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3A1BE703" w14:textId="32BA8A76" w:rsidR="00080146" w:rsidRDefault="005B08C0" w:rsidP="008D7D7F">
      <w:pPr>
        <w:ind w:left="1814" w:firstLine="58"/>
        <w:rPr>
          <w:rFonts w:ascii="Arial" w:hAnsi="Arial" w:cs="Arial"/>
          <w:noProof/>
          <w:color w:val="5F5F5F"/>
          <w:sz w:val="28"/>
          <w:szCs w:val="28"/>
        </w:rPr>
      </w:pPr>
      <w:r>
        <w:rPr>
          <w:rFonts w:ascii="Arial" w:hAnsi="Arial" w:cs="Arial"/>
          <w:noProof/>
          <w:color w:val="5F5F5F"/>
          <w:sz w:val="28"/>
          <w:szCs w:val="28"/>
        </w:rPr>
        <mc:AlternateContent>
          <mc:Choice Requires="wps">
            <w:drawing>
              <wp:anchor distT="0" distB="0" distL="114300" distR="114300" simplePos="0" relativeHeight="251660288" behindDoc="0" locked="0" layoutInCell="1" allowOverlap="1" wp14:anchorId="1C079C88" wp14:editId="6B0CC78C">
                <wp:simplePos x="0" y="0"/>
                <wp:positionH relativeFrom="column">
                  <wp:posOffset>5418455</wp:posOffset>
                </wp:positionH>
                <wp:positionV relativeFrom="paragraph">
                  <wp:posOffset>-635000</wp:posOffset>
                </wp:positionV>
                <wp:extent cx="994410" cy="908050"/>
                <wp:effectExtent l="0" t="0" r="0" b="6350"/>
                <wp:wrapNone/>
                <wp:docPr id="6" name="Casella di tes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94410" cy="908050"/>
                        </a:xfrm>
                        <a:prstGeom prst="rect">
                          <a:avLst/>
                        </a:prstGeom>
                        <a:solidFill>
                          <a:sysClr val="window" lastClr="FFFFFF"/>
                        </a:solidFill>
                        <a:ln w="6350">
                          <a:noFill/>
                        </a:ln>
                      </wps:spPr>
                      <wps:txbx>
                        <w:txbxContent>
                          <w:p w14:paraId="1391B96A" w14:textId="77777777" w:rsidR="00560DE1" w:rsidRDefault="00B30D64" w:rsidP="005B08C0">
                            <w:pPr>
                              <w:spacing w:after="120" w:line="276" w:lineRule="auto"/>
                              <w:rPr>
                                <w:rFonts w:ascii="Arial Narrow" w:hAnsi="Arial Narrow"/>
                                <w:sz w:val="18"/>
                                <w:szCs w:val="18"/>
                              </w:rPr>
                            </w:pPr>
                            <w:hyperlink r:id="rId13" w:history="1">
                              <w:r w:rsidR="00560DE1" w:rsidRPr="0059658A">
                                <w:rPr>
                                  <w:rStyle w:val="Collegamentoipertestuale"/>
                                  <w:rFonts w:ascii="Arial Narrow" w:hAnsi="Arial Narrow"/>
                                  <w:sz w:val="18"/>
                                  <w:szCs w:val="18"/>
                                </w:rPr>
                                <w:t>http://www.istat.it</w:t>
                              </w:r>
                            </w:hyperlink>
                          </w:p>
                          <w:p w14:paraId="5882C1D7" w14:textId="77777777" w:rsidR="00560DE1" w:rsidRPr="00D94ACE" w:rsidRDefault="00B30D64" w:rsidP="005B08C0">
                            <w:pPr>
                              <w:spacing w:line="276" w:lineRule="auto"/>
                              <w:rPr>
                                <w:rFonts w:ascii="Arial Narrow" w:hAnsi="Arial Narrow"/>
                                <w:b/>
                                <w:bCs/>
                                <w:sz w:val="18"/>
                                <w:szCs w:val="18"/>
                              </w:rPr>
                            </w:pPr>
                            <w:hyperlink r:id="rId14" w:history="1">
                              <w:r w:rsidR="00560DE1" w:rsidRPr="00BC1A46">
                                <w:rPr>
                                  <w:rStyle w:val="Collegamentoipertestuale"/>
                                  <w:rFonts w:ascii="Arial Narrow" w:hAnsi="Arial Narrow"/>
                                  <w:b/>
                                  <w:bCs/>
                                  <w:sz w:val="18"/>
                                  <w:szCs w:val="18"/>
                                </w:rPr>
                                <w:t>Contact Centre</w:t>
                              </w:r>
                            </w:hyperlink>
                          </w:p>
                          <w:p w14:paraId="2B534700" w14:textId="77777777" w:rsidR="00560DE1" w:rsidRPr="00A5259B" w:rsidRDefault="00560DE1" w:rsidP="005B08C0">
                            <w:pPr>
                              <w:spacing w:line="276" w:lineRule="auto"/>
                              <w:rPr>
                                <w:rFonts w:ascii="Arial Narrow" w:hAnsi="Arial Narrow"/>
                                <w:sz w:val="18"/>
                                <w:szCs w:val="18"/>
                              </w:rPr>
                            </w:pPr>
                            <w:r w:rsidRPr="00235BD6">
                              <w:rPr>
                                <w:rFonts w:ascii="Arial Narrow" w:hAnsi="Arial Narrow"/>
                                <w:b/>
                                <w:bCs/>
                                <w:sz w:val="18"/>
                                <w:szCs w:val="18"/>
                              </w:rPr>
                              <w:t>Ufficio Stampa</w:t>
                            </w:r>
                            <w:r w:rsidRPr="00235BD6">
                              <w:rPr>
                                <w:rFonts w:ascii="Arial Narrow" w:hAnsi="Arial Narrow"/>
                                <w:b/>
                                <w:bCs/>
                                <w:sz w:val="18"/>
                                <w:szCs w:val="18"/>
                              </w:rPr>
                              <w:br/>
                            </w:r>
                            <w:r w:rsidRPr="00235BD6">
                              <w:rPr>
                                <w:rFonts w:ascii="Arial Narrow" w:hAnsi="Arial Narrow"/>
                                <w:sz w:val="18"/>
                                <w:szCs w:val="18"/>
                              </w:rPr>
                              <w:t xml:space="preserve">tel. </w:t>
                            </w:r>
                            <w:r w:rsidRPr="00A5259B">
                              <w:rPr>
                                <w:rFonts w:ascii="Arial Narrow" w:hAnsi="Arial Narrow"/>
                                <w:sz w:val="18"/>
                                <w:szCs w:val="18"/>
                              </w:rPr>
                              <w:t>+39 06 4673.2243/4</w:t>
                            </w:r>
                          </w:p>
                          <w:p w14:paraId="34D78213" w14:textId="77777777" w:rsidR="00560DE1" w:rsidRPr="00A5259B" w:rsidRDefault="00B30D64" w:rsidP="005B08C0">
                            <w:pPr>
                              <w:spacing w:after="120" w:line="276" w:lineRule="auto"/>
                              <w:rPr>
                                <w:rFonts w:ascii="Arial Narrow" w:hAnsi="Arial Narrow"/>
                                <w:b/>
                                <w:bCs/>
                                <w:color w:val="7F7F7F"/>
                                <w:sz w:val="18"/>
                                <w:szCs w:val="18"/>
                              </w:rPr>
                            </w:pPr>
                            <w:hyperlink r:id="rId15" w:history="1">
                              <w:r w:rsidR="00560DE1" w:rsidRPr="00A5259B">
                                <w:rPr>
                                  <w:rStyle w:val="Collegamentoipertestuale"/>
                                  <w:rFonts w:ascii="Arial Narrow" w:hAnsi="Arial Narrow"/>
                                  <w:bCs/>
                                  <w:sz w:val="18"/>
                                  <w:szCs w:val="18"/>
                                </w:rPr>
                                <w:t>ufficiostampa@istat.it</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079C88" id="_x0000_t202" coordsize="21600,21600" o:spt="202" path="m,l,21600r21600,l21600,xe">
                <v:stroke joinstyle="miter"/>
                <v:path gradientshapeok="t" o:connecttype="rect"/>
              </v:shapetype>
              <v:shape id="Casella di testo 6" o:spid="_x0000_s1026" type="#_x0000_t202" style="position:absolute;left:0;text-align:left;margin-left:426.65pt;margin-top:-50pt;width:78.3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" fillcolor="window" stroked="f" strokeweight=".5pt">
                <v:path arrowok="t"/>
                <v:textbox inset="0,0,0,0">
                  <w:txbxContent>
                    <w:p w14:paraId="1391B96A" w14:textId="77777777" w:rsidR="00560DE1" w:rsidRDefault="00560DE1" w:rsidP="005B08C0">
                      <w:pPr>
                        <w:spacing w:after="120" w:line="276" w:lineRule="auto"/>
                        <w:rPr>
                          <w:rFonts w:ascii="Arial Narrow" w:hAnsi="Arial Narrow"/>
                          <w:sz w:val="18"/>
                          <w:szCs w:val="18"/>
                        </w:rPr>
                      </w:pPr>
                      <w:hyperlink r:id="rId16" w:history="1">
                        <w:r w:rsidRPr="0059658A">
                          <w:rPr>
                            <w:rStyle w:val="Collegamentoipertestuale"/>
                            <w:rFonts w:ascii="Arial Narrow" w:hAnsi="Arial Narrow"/>
                            <w:sz w:val="18"/>
                            <w:szCs w:val="18"/>
                          </w:rPr>
                          <w:t>http://www.istat.it</w:t>
                        </w:r>
                      </w:hyperlink>
                    </w:p>
                    <w:p w14:paraId="5882C1D7" w14:textId="77777777" w:rsidR="00560DE1" w:rsidRPr="00D94ACE" w:rsidRDefault="00560DE1" w:rsidP="005B08C0">
                      <w:pPr>
                        <w:spacing w:line="276" w:lineRule="auto"/>
                        <w:rPr>
                          <w:rFonts w:ascii="Arial Narrow" w:hAnsi="Arial Narrow"/>
                          <w:b/>
                          <w:bCs/>
                          <w:sz w:val="18"/>
                          <w:szCs w:val="18"/>
                        </w:rPr>
                      </w:pPr>
                      <w:hyperlink r:id="rId17" w:history="1">
                        <w:r w:rsidRPr="00BC1A46">
                          <w:rPr>
                            <w:rStyle w:val="Collegamentoipertestuale"/>
                            <w:rFonts w:ascii="Arial Narrow" w:hAnsi="Arial Narrow"/>
                            <w:b/>
                            <w:bCs/>
                            <w:sz w:val="18"/>
                            <w:szCs w:val="18"/>
                          </w:rPr>
                          <w:t>Contact Centre</w:t>
                        </w:r>
                      </w:hyperlink>
                    </w:p>
                    <w:p w14:paraId="2B534700" w14:textId="77777777" w:rsidR="00560DE1" w:rsidRPr="00A5259B" w:rsidRDefault="00560DE1" w:rsidP="005B08C0">
                      <w:pPr>
                        <w:spacing w:line="276" w:lineRule="auto"/>
                        <w:rPr>
                          <w:rFonts w:ascii="Arial Narrow" w:hAnsi="Arial Narrow"/>
                          <w:sz w:val="18"/>
                          <w:szCs w:val="18"/>
                        </w:rPr>
                      </w:pPr>
                      <w:r w:rsidRPr="00235BD6">
                        <w:rPr>
                          <w:rFonts w:ascii="Arial Narrow" w:hAnsi="Arial Narrow"/>
                          <w:b/>
                          <w:bCs/>
                          <w:sz w:val="18"/>
                          <w:szCs w:val="18"/>
                        </w:rPr>
                        <w:t>Ufficio Stampa</w:t>
                      </w:r>
                      <w:r w:rsidRPr="00235BD6">
                        <w:rPr>
                          <w:rFonts w:ascii="Arial Narrow" w:hAnsi="Arial Narrow"/>
                          <w:b/>
                          <w:bCs/>
                          <w:sz w:val="18"/>
                          <w:szCs w:val="18"/>
                        </w:rPr>
                        <w:br/>
                      </w:r>
                      <w:r w:rsidRPr="00235BD6">
                        <w:rPr>
                          <w:rFonts w:ascii="Arial Narrow" w:hAnsi="Arial Narrow"/>
                          <w:sz w:val="18"/>
                          <w:szCs w:val="18"/>
                        </w:rPr>
                        <w:t xml:space="preserve">tel. </w:t>
                      </w:r>
                      <w:r w:rsidRPr="00A5259B">
                        <w:rPr>
                          <w:rFonts w:ascii="Arial Narrow" w:hAnsi="Arial Narrow"/>
                          <w:sz w:val="18"/>
                          <w:szCs w:val="18"/>
                        </w:rPr>
                        <w:t>+39 06 4673.2243/4</w:t>
                      </w:r>
                    </w:p>
                    <w:p w14:paraId="34D78213" w14:textId="77777777" w:rsidR="00560DE1" w:rsidRPr="00A5259B" w:rsidRDefault="00560DE1" w:rsidP="005B08C0">
                      <w:pPr>
                        <w:spacing w:after="120" w:line="276" w:lineRule="auto"/>
                        <w:rPr>
                          <w:rFonts w:ascii="Arial Narrow" w:hAnsi="Arial Narrow"/>
                          <w:b/>
                          <w:bCs/>
                          <w:color w:val="7F7F7F"/>
                          <w:sz w:val="18"/>
                          <w:szCs w:val="18"/>
                        </w:rPr>
                      </w:pPr>
                      <w:hyperlink r:id="rId18" w:history="1">
                        <w:r w:rsidRPr="00A5259B">
                          <w:rPr>
                            <w:rStyle w:val="Collegamentoipertestuale"/>
                            <w:rFonts w:ascii="Arial Narrow" w:hAnsi="Arial Narrow"/>
                            <w:bCs/>
                            <w:sz w:val="18"/>
                            <w:szCs w:val="18"/>
                          </w:rPr>
                          <w:t>ufficiostampa@istat.it</w:t>
                        </w:r>
                      </w:hyperlink>
                    </w:p>
                  </w:txbxContent>
                </v:textbox>
              </v:shape>
            </w:pict>
          </mc:Fallback>
        </mc:AlternateContent>
      </w:r>
    </w:p>
    <w:p w14:paraId="5B7A4245" w14:textId="77777777" w:rsidR="00B43883" w:rsidRDefault="00B43883" w:rsidP="008D7D7F">
      <w:pPr>
        <w:ind w:left="1814" w:firstLine="58"/>
        <w:rPr>
          <w:rFonts w:ascii="Arial" w:hAnsi="Arial" w:cs="Arial"/>
          <w:noProof/>
          <w:color w:val="5F5F5F"/>
          <w:sz w:val="28"/>
          <w:szCs w:val="28"/>
        </w:rPr>
      </w:pPr>
      <w:r>
        <w:rPr>
          <w:rFonts w:ascii="Arial" w:hAnsi="Arial" w:cs="Arial"/>
          <w:noProof/>
          <w:color w:val="5F5F5F"/>
          <w:sz w:val="28"/>
          <w:szCs w:val="28"/>
        </w:rPr>
        <mc:AlternateContent>
          <mc:Choice Requires="wps">
            <w:drawing>
              <wp:anchor distT="0" distB="0" distL="114300" distR="114300" simplePos="0" relativeHeight="251656192" behindDoc="0" locked="0" layoutInCell="1" allowOverlap="1" wp14:anchorId="64504443" wp14:editId="7657A8A9">
                <wp:simplePos x="0" y="0"/>
                <wp:positionH relativeFrom="column">
                  <wp:posOffset>3780790</wp:posOffset>
                </wp:positionH>
                <wp:positionV relativeFrom="paragraph">
                  <wp:posOffset>-593090</wp:posOffset>
                </wp:positionV>
                <wp:extent cx="1305560" cy="261620"/>
                <wp:effectExtent l="0" t="0" r="8890" b="5080"/>
                <wp:wrapNone/>
                <wp:docPr id="2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5560" cy="261620"/>
                        </a:xfrm>
                        <a:prstGeom prst="rect">
                          <a:avLst/>
                        </a:prstGeom>
                        <a:solidFill>
                          <a:srgbClr val="FFFFFF"/>
                        </a:solidFill>
                        <a:ln w="9525">
                          <a:solidFill>
                            <a:srgbClr val="FFFFFF"/>
                          </a:solidFill>
                          <a:miter lim="800000"/>
                          <a:headEnd/>
                          <a:tailEnd/>
                        </a:ln>
                      </wps:spPr>
                      <wps:txbx>
                        <w:txbxContent>
                          <w:p w14:paraId="57A0C76A" w14:textId="31A9DA7C" w:rsidR="00560DE1" w:rsidRPr="00BC0AFE" w:rsidRDefault="00560DE1" w:rsidP="00AE6AE5">
                            <w:pPr>
                              <w:jc w:val="right"/>
                              <w:rPr>
                                <w:rFonts w:ascii="Arial Narrow" w:hAnsi="Arial Narrow"/>
                                <w:b/>
                                <w:color w:val="5F5F5F"/>
                                <w:sz w:val="26"/>
                                <w:szCs w:val="26"/>
                              </w:rPr>
                            </w:pPr>
                            <w:r>
                              <w:rPr>
                                <w:rFonts w:ascii="Arial Narrow" w:hAnsi="Arial Narrow"/>
                                <w:b/>
                                <w:color w:val="5F5F5F"/>
                                <w:sz w:val="26"/>
                                <w:szCs w:val="26"/>
                              </w:rPr>
                              <w:t>18 marzo 2025</w:t>
                            </w:r>
                          </w:p>
                          <w:p w14:paraId="4E0F0DB7" w14:textId="77777777" w:rsidR="00560DE1" w:rsidRPr="00884ED9" w:rsidRDefault="00560DE1" w:rsidP="00AE6AE5">
                            <w:pPr>
                              <w:jc w:val="right"/>
                              <w:rPr>
                                <w:rFonts w:ascii="Arial Narrow" w:hAnsi="Arial Narrow"/>
                                <w:b/>
                                <w:color w:val="2298D1"/>
                                <w:sz w:val="26"/>
                                <w:szCs w:val="26"/>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504443" id="Casella di testo 2" o:spid="_x0000_s1027" type="#_x0000_t202" style="position:absolute;left:0;text-align:left;margin-left:297.7pt;margin-top:-46.7pt;width:102.8pt;height:20.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" strokecolor="white">
                <v:textbox inset="0,0,0,0">
                  <w:txbxContent>
                    <w:p w14:paraId="57A0C76A" w14:textId="31A9DA7C" w:rsidR="00560DE1" w:rsidRPr="00BC0AFE" w:rsidRDefault="00560DE1" w:rsidP="00AE6AE5">
                      <w:pPr>
                        <w:jc w:val="right"/>
                        <w:rPr>
                          <w:rFonts w:ascii="Arial Narrow" w:hAnsi="Arial Narrow"/>
                          <w:b/>
                          <w:color w:val="5F5F5F"/>
                          <w:sz w:val="26"/>
                          <w:szCs w:val="26"/>
                        </w:rPr>
                      </w:pPr>
                      <w:r>
                        <w:rPr>
                          <w:rFonts w:ascii="Arial Narrow" w:hAnsi="Arial Narrow"/>
                          <w:b/>
                          <w:color w:val="5F5F5F"/>
                          <w:sz w:val="26"/>
                          <w:szCs w:val="26"/>
                        </w:rPr>
                        <w:t>18 marzo 2025</w:t>
                      </w:r>
                    </w:p>
                    <w:p w14:paraId="4E0F0DB7" w14:textId="77777777" w:rsidR="00560DE1" w:rsidRPr="00884ED9" w:rsidRDefault="00560DE1" w:rsidP="00AE6AE5">
                      <w:pPr>
                        <w:jc w:val="right"/>
                        <w:rPr>
                          <w:rFonts w:ascii="Arial Narrow" w:hAnsi="Arial Narrow"/>
                          <w:b/>
                          <w:color w:val="2298D1"/>
                          <w:sz w:val="26"/>
                          <w:szCs w:val="26"/>
                        </w:rPr>
                      </w:pPr>
                    </w:p>
                  </w:txbxContent>
                </v:textbox>
              </v:shape>
            </w:pict>
          </mc:Fallback>
        </mc:AlternateContent>
      </w:r>
    </w:p>
    <w:p w14:paraId="7C4D2548" w14:textId="77777777" w:rsidR="004342C5" w:rsidRPr="009D2CD6" w:rsidRDefault="004342C5" w:rsidP="008D7D7F">
      <w:pPr>
        <w:ind w:left="1814" w:firstLine="58"/>
        <w:rPr>
          <w:rFonts w:ascii="Arial" w:hAnsi="Arial" w:cs="Arial"/>
          <w:noProof/>
          <w:color w:val="5F5F5F"/>
          <w:sz w:val="16"/>
          <w:szCs w:val="16"/>
        </w:rPr>
      </w:pPr>
    </w:p>
    <w:p w14:paraId="369C41A7" w14:textId="45076D62" w:rsidR="008D7D7F" w:rsidRPr="00D134E3" w:rsidRDefault="00CB4FCD" w:rsidP="005E6A4F">
      <w:pPr>
        <w:ind w:left="1418"/>
        <w:rPr>
          <w:rFonts w:ascii="Arial" w:hAnsi="Arial" w:cs="Arial"/>
          <w:color w:val="5F5F5F"/>
          <w:sz w:val="28"/>
          <w:szCs w:val="28"/>
        </w:rPr>
      </w:pPr>
      <w:r>
        <w:rPr>
          <w:rFonts w:ascii="Arial" w:hAnsi="Arial" w:cs="Arial"/>
          <w:noProof/>
          <w:color w:val="5F5F5F"/>
          <w:sz w:val="28"/>
          <w:szCs w:val="28"/>
        </w:rPr>
        <w:t>Gennaio</w:t>
      </w:r>
      <w:r>
        <w:rPr>
          <w:rFonts w:ascii="Arial" w:hAnsi="Arial" w:cs="Arial"/>
          <w:color w:val="5F5F5F"/>
          <w:sz w:val="28"/>
          <w:szCs w:val="28"/>
        </w:rPr>
        <w:t xml:space="preserve"> 2025</w:t>
      </w:r>
    </w:p>
    <w:p w14:paraId="5313B2CB" w14:textId="0801A7F7" w:rsidR="00A8222C" w:rsidRDefault="00AE6AE5" w:rsidP="004E2116">
      <w:pPr>
        <w:spacing w:after="120"/>
        <w:ind w:left="1418"/>
        <w:rPr>
          <w:rFonts w:ascii="Calibri" w:hAnsi="Calibri" w:cs="Arial"/>
          <w:b/>
          <w:color w:val="5F5F5F"/>
          <w:sz w:val="42"/>
          <w:szCs w:val="42"/>
        </w:rPr>
      </w:pPr>
      <w:r w:rsidRPr="005E6A4F">
        <w:rPr>
          <w:rFonts w:ascii="Calibri" w:hAnsi="Calibri" w:cs="Arial"/>
          <w:b/>
          <w:color w:val="5F5F5F"/>
          <w:sz w:val="42"/>
          <w:szCs w:val="42"/>
        </w:rPr>
        <w:t>CO</w:t>
      </w:r>
      <w:r w:rsidR="00284F38" w:rsidRPr="005E6A4F">
        <w:rPr>
          <w:rFonts w:ascii="Calibri" w:hAnsi="Calibri" w:cs="Arial"/>
          <w:b/>
          <w:color w:val="5F5F5F"/>
          <w:sz w:val="42"/>
          <w:szCs w:val="42"/>
        </w:rPr>
        <w:t>M</w:t>
      </w:r>
      <w:r w:rsidR="00A8222C" w:rsidRPr="005E6A4F">
        <w:rPr>
          <w:rFonts w:ascii="Calibri" w:hAnsi="Calibri" w:cs="Arial"/>
          <w:b/>
          <w:color w:val="5F5F5F"/>
          <w:sz w:val="42"/>
          <w:szCs w:val="42"/>
        </w:rPr>
        <w:t>MER</w:t>
      </w:r>
      <w:r w:rsidR="00284F38" w:rsidRPr="005E6A4F">
        <w:rPr>
          <w:rFonts w:ascii="Calibri" w:hAnsi="Calibri" w:cs="Arial"/>
          <w:b/>
          <w:color w:val="5F5F5F"/>
          <w:sz w:val="42"/>
          <w:szCs w:val="42"/>
        </w:rPr>
        <w:t>CI</w:t>
      </w:r>
      <w:r w:rsidR="00A8222C" w:rsidRPr="005E6A4F">
        <w:rPr>
          <w:rFonts w:ascii="Calibri" w:hAnsi="Calibri" w:cs="Arial"/>
          <w:b/>
          <w:color w:val="5F5F5F"/>
          <w:sz w:val="42"/>
          <w:szCs w:val="42"/>
        </w:rPr>
        <w:t>O CON L’ESTERO</w:t>
      </w:r>
      <w:r w:rsidR="005E6A4F">
        <w:rPr>
          <w:rFonts w:ascii="Calibri" w:hAnsi="Calibri" w:cs="Arial"/>
          <w:b/>
          <w:color w:val="5F5F5F"/>
          <w:sz w:val="42"/>
          <w:szCs w:val="42"/>
        </w:rPr>
        <w:t xml:space="preserve"> </w:t>
      </w:r>
      <w:r w:rsidR="00793BF4" w:rsidRPr="005E6A4F">
        <w:rPr>
          <w:rFonts w:ascii="Calibri" w:hAnsi="Calibri" w:cs="Arial"/>
          <w:b/>
          <w:color w:val="5F5F5F"/>
          <w:sz w:val="42"/>
          <w:szCs w:val="42"/>
        </w:rPr>
        <w:t xml:space="preserve">E </w:t>
      </w:r>
      <w:r w:rsidR="00A8222C" w:rsidRPr="005E6A4F">
        <w:rPr>
          <w:rFonts w:ascii="Calibri" w:hAnsi="Calibri" w:cs="Arial"/>
          <w:b/>
          <w:color w:val="5F5F5F"/>
          <w:sz w:val="42"/>
          <w:szCs w:val="42"/>
        </w:rPr>
        <w:t>PREZZI ALL’IMPORT</w:t>
      </w:r>
    </w:p>
    <w:p w14:paraId="4295570B" w14:textId="77777777" w:rsidR="008A0C91" w:rsidRPr="002E3189" w:rsidRDefault="008A0C91" w:rsidP="005E6A4F">
      <w:pPr>
        <w:ind w:left="1418"/>
        <w:rPr>
          <w:rFonts w:ascii="Calibri" w:hAnsi="Calibri" w:cs="Arial"/>
          <w:b/>
          <w:color w:val="5F5F5F"/>
          <w:sz w:val="10"/>
          <w:szCs w:val="10"/>
        </w:rPr>
      </w:pPr>
    </w:p>
    <w:p w14:paraId="35BEFF52" w14:textId="77777777" w:rsidR="004E4512" w:rsidRPr="00F14685" w:rsidRDefault="004E4512" w:rsidP="00D66C47">
      <w:pPr>
        <w:ind w:left="1814" w:firstLine="57"/>
        <w:rPr>
          <w:rFonts w:ascii="Calibri" w:hAnsi="Calibri" w:cs="Arial"/>
          <w:b/>
          <w:color w:val="5F5F5F"/>
          <w:sz w:val="2"/>
          <w:szCs w:val="2"/>
        </w:rPr>
      </w:pPr>
    </w:p>
    <w:p w14:paraId="37CD6161" w14:textId="3B56407B" w:rsidR="00CC4A6F" w:rsidRPr="00B47481" w:rsidRDefault="008128DE" w:rsidP="00353744">
      <w:pPr>
        <w:numPr>
          <w:ilvl w:val="0"/>
          <w:numId w:val="22"/>
        </w:numPr>
        <w:tabs>
          <w:tab w:val="left" w:pos="426"/>
          <w:tab w:val="left" w:pos="1843"/>
        </w:tabs>
        <w:spacing w:after="120" w:line="230" w:lineRule="exact"/>
        <w:ind w:left="357" w:hanging="357"/>
        <w:jc w:val="both"/>
        <w:rPr>
          <w:rFonts w:ascii="Arial" w:hAnsi="Arial" w:cs="Arial"/>
          <w:bCs/>
          <w:sz w:val="21"/>
          <w:szCs w:val="21"/>
          <w:lang w:eastAsia="en-US"/>
        </w:rPr>
      </w:pPr>
      <w:r w:rsidRPr="00B47481">
        <w:rPr>
          <w:rFonts w:ascii="Arial" w:hAnsi="Arial" w:cs="Arial"/>
          <w:bCs/>
          <w:sz w:val="21"/>
          <w:szCs w:val="21"/>
          <w:lang w:eastAsia="en-US"/>
        </w:rPr>
        <w:t>A</w:t>
      </w:r>
      <w:r w:rsidR="0017158E" w:rsidRPr="00B47481">
        <w:rPr>
          <w:rFonts w:ascii="Arial" w:hAnsi="Arial" w:cs="Arial"/>
          <w:bCs/>
          <w:sz w:val="21"/>
          <w:szCs w:val="21"/>
          <w:lang w:eastAsia="en-US"/>
        </w:rPr>
        <w:t xml:space="preserve"> </w:t>
      </w:r>
      <w:r w:rsidR="00694712" w:rsidRPr="00B47481">
        <w:rPr>
          <w:rFonts w:ascii="Arial" w:hAnsi="Arial" w:cs="Arial"/>
          <w:bCs/>
          <w:sz w:val="21"/>
          <w:szCs w:val="21"/>
          <w:lang w:eastAsia="en-US"/>
        </w:rPr>
        <w:t>gennaio</w:t>
      </w:r>
      <w:r w:rsidR="0017158E" w:rsidRPr="00B47481">
        <w:rPr>
          <w:rFonts w:ascii="Arial" w:hAnsi="Arial" w:cs="Arial"/>
          <w:bCs/>
          <w:sz w:val="21"/>
          <w:szCs w:val="21"/>
          <w:lang w:eastAsia="en-US"/>
        </w:rPr>
        <w:t xml:space="preserve"> </w:t>
      </w:r>
      <w:r w:rsidR="00694712" w:rsidRPr="00B47481">
        <w:rPr>
          <w:rFonts w:ascii="Arial" w:hAnsi="Arial" w:cs="Arial"/>
          <w:bCs/>
          <w:sz w:val="21"/>
          <w:szCs w:val="21"/>
          <w:lang w:eastAsia="en-US"/>
        </w:rPr>
        <w:t>2025</w:t>
      </w:r>
      <w:r w:rsidR="00E50DD8" w:rsidRPr="00B47481">
        <w:rPr>
          <w:rFonts w:ascii="Arial" w:hAnsi="Arial" w:cs="Arial"/>
          <w:bCs/>
          <w:sz w:val="21"/>
          <w:szCs w:val="21"/>
          <w:lang w:eastAsia="en-US"/>
        </w:rPr>
        <w:t xml:space="preserve"> si stima </w:t>
      </w:r>
      <w:r w:rsidR="0017158E" w:rsidRPr="00B47481">
        <w:rPr>
          <w:rFonts w:ascii="Arial" w:hAnsi="Arial" w:cs="Arial"/>
          <w:bCs/>
          <w:sz w:val="21"/>
          <w:szCs w:val="21"/>
          <w:lang w:eastAsia="en-US"/>
        </w:rPr>
        <w:t>una</w:t>
      </w:r>
      <w:r w:rsidR="00B54B90" w:rsidRPr="00B47481">
        <w:rPr>
          <w:rFonts w:ascii="Arial" w:hAnsi="Arial" w:cs="Arial"/>
          <w:bCs/>
          <w:sz w:val="21"/>
          <w:szCs w:val="21"/>
          <w:lang w:eastAsia="en-US"/>
        </w:rPr>
        <w:t xml:space="preserve"> </w:t>
      </w:r>
      <w:r w:rsidR="00692598" w:rsidRPr="00B47481">
        <w:rPr>
          <w:rFonts w:ascii="Arial" w:hAnsi="Arial" w:cs="Arial"/>
          <w:bCs/>
          <w:sz w:val="21"/>
          <w:szCs w:val="21"/>
          <w:lang w:eastAsia="en-US"/>
        </w:rPr>
        <w:t>crescita</w:t>
      </w:r>
      <w:r w:rsidR="0017158E" w:rsidRPr="00B47481">
        <w:rPr>
          <w:rFonts w:ascii="Arial" w:hAnsi="Arial" w:cs="Arial"/>
          <w:bCs/>
          <w:sz w:val="21"/>
          <w:szCs w:val="21"/>
          <w:lang w:eastAsia="en-US"/>
        </w:rPr>
        <w:t xml:space="preserve"> congiunturale</w:t>
      </w:r>
      <w:r w:rsidR="00694712" w:rsidRPr="00B47481">
        <w:rPr>
          <w:rFonts w:ascii="Arial" w:hAnsi="Arial" w:cs="Arial"/>
          <w:bCs/>
          <w:sz w:val="21"/>
          <w:szCs w:val="21"/>
          <w:lang w:eastAsia="en-US"/>
        </w:rPr>
        <w:t xml:space="preserve"> più </w:t>
      </w:r>
      <w:r w:rsidR="004E2116" w:rsidRPr="00B47481">
        <w:rPr>
          <w:rFonts w:ascii="Arial" w:hAnsi="Arial" w:cs="Arial"/>
          <w:bCs/>
          <w:sz w:val="21"/>
          <w:szCs w:val="21"/>
          <w:lang w:eastAsia="en-US"/>
        </w:rPr>
        <w:t>ampia</w:t>
      </w:r>
      <w:r w:rsidR="00694712" w:rsidRPr="00B47481">
        <w:rPr>
          <w:rFonts w:ascii="Arial" w:hAnsi="Arial" w:cs="Arial"/>
          <w:bCs/>
          <w:sz w:val="21"/>
          <w:szCs w:val="21"/>
          <w:lang w:eastAsia="en-US"/>
        </w:rPr>
        <w:t xml:space="preserve"> per le importazioni (+3,2%) rispetto al</w:t>
      </w:r>
      <w:r w:rsidR="002F2EFF" w:rsidRPr="00B47481">
        <w:rPr>
          <w:rFonts w:ascii="Arial" w:hAnsi="Arial" w:cs="Arial"/>
          <w:bCs/>
          <w:sz w:val="21"/>
          <w:szCs w:val="21"/>
          <w:lang w:eastAsia="en-US"/>
        </w:rPr>
        <w:t>l</w:t>
      </w:r>
      <w:r w:rsidR="00BE182F" w:rsidRPr="00B47481">
        <w:rPr>
          <w:rFonts w:ascii="Arial" w:hAnsi="Arial" w:cs="Arial"/>
          <w:bCs/>
          <w:sz w:val="21"/>
          <w:szCs w:val="21"/>
          <w:lang w:eastAsia="en-US"/>
        </w:rPr>
        <w:t>e</w:t>
      </w:r>
      <w:r w:rsidR="002B1173" w:rsidRPr="00B47481">
        <w:rPr>
          <w:rFonts w:ascii="Arial" w:hAnsi="Arial" w:cs="Arial"/>
          <w:bCs/>
          <w:sz w:val="21"/>
          <w:szCs w:val="21"/>
          <w:lang w:eastAsia="en-US"/>
        </w:rPr>
        <w:t xml:space="preserve"> </w:t>
      </w:r>
      <w:r w:rsidR="00692598" w:rsidRPr="00B47481">
        <w:rPr>
          <w:rFonts w:ascii="Arial" w:hAnsi="Arial" w:cs="Arial"/>
          <w:bCs/>
          <w:sz w:val="21"/>
          <w:szCs w:val="21"/>
          <w:lang w:eastAsia="en-US"/>
        </w:rPr>
        <w:t>esportazioni (+</w:t>
      </w:r>
      <w:r w:rsidR="00694712" w:rsidRPr="00B47481">
        <w:rPr>
          <w:rFonts w:ascii="Arial" w:hAnsi="Arial" w:cs="Arial"/>
          <w:bCs/>
          <w:sz w:val="21"/>
          <w:szCs w:val="21"/>
          <w:lang w:eastAsia="en-US"/>
        </w:rPr>
        <w:t>0,6</w:t>
      </w:r>
      <w:r w:rsidR="00E50DD8" w:rsidRPr="00B47481">
        <w:rPr>
          <w:rFonts w:ascii="Arial" w:hAnsi="Arial" w:cs="Arial"/>
          <w:bCs/>
          <w:sz w:val="21"/>
          <w:szCs w:val="21"/>
          <w:lang w:eastAsia="en-US"/>
        </w:rPr>
        <w:t>%)</w:t>
      </w:r>
      <w:r w:rsidR="00694712" w:rsidRPr="00B47481">
        <w:rPr>
          <w:rFonts w:ascii="Arial" w:hAnsi="Arial" w:cs="Arial"/>
          <w:bCs/>
          <w:sz w:val="21"/>
          <w:szCs w:val="21"/>
          <w:lang w:eastAsia="en-US"/>
        </w:rPr>
        <w:t>.</w:t>
      </w:r>
      <w:r w:rsidR="0017158E" w:rsidRPr="00B47481">
        <w:rPr>
          <w:rFonts w:ascii="Arial" w:hAnsi="Arial" w:cs="Arial"/>
          <w:bCs/>
          <w:sz w:val="21"/>
          <w:szCs w:val="21"/>
          <w:lang w:eastAsia="en-US"/>
        </w:rPr>
        <w:t xml:space="preserve"> </w:t>
      </w:r>
      <w:r w:rsidR="00694712" w:rsidRPr="00B47481">
        <w:rPr>
          <w:rFonts w:ascii="Arial" w:hAnsi="Arial" w:cs="Arial"/>
          <w:bCs/>
          <w:sz w:val="21"/>
          <w:szCs w:val="21"/>
          <w:lang w:eastAsia="en-US"/>
        </w:rPr>
        <w:t xml:space="preserve">Il moderato </w:t>
      </w:r>
      <w:r w:rsidR="0060767F" w:rsidRPr="00B47481">
        <w:rPr>
          <w:rFonts w:ascii="Arial" w:hAnsi="Arial" w:cs="Arial"/>
          <w:bCs/>
          <w:sz w:val="21"/>
          <w:szCs w:val="21"/>
          <w:lang w:eastAsia="en-US"/>
        </w:rPr>
        <w:t>aumento</w:t>
      </w:r>
      <w:r w:rsidR="00E50DD8" w:rsidRPr="00B47481">
        <w:rPr>
          <w:rFonts w:ascii="Arial" w:hAnsi="Arial" w:cs="Arial"/>
          <w:bCs/>
          <w:sz w:val="21"/>
          <w:szCs w:val="21"/>
          <w:lang w:eastAsia="en-US"/>
        </w:rPr>
        <w:t xml:space="preserve"> </w:t>
      </w:r>
      <w:r w:rsidR="004E2116" w:rsidRPr="00B47481">
        <w:rPr>
          <w:rFonts w:ascii="Arial" w:hAnsi="Arial" w:cs="Arial"/>
          <w:bCs/>
          <w:sz w:val="21"/>
          <w:szCs w:val="21"/>
          <w:lang w:eastAsia="en-US"/>
        </w:rPr>
        <w:t xml:space="preserve">su base mensile </w:t>
      </w:r>
      <w:r w:rsidR="00E50DD8" w:rsidRPr="00B47481">
        <w:rPr>
          <w:rFonts w:ascii="Arial" w:hAnsi="Arial" w:cs="Arial"/>
          <w:bCs/>
          <w:sz w:val="21"/>
          <w:szCs w:val="21"/>
          <w:lang w:eastAsia="en-US"/>
        </w:rPr>
        <w:t xml:space="preserve">dell’export </w:t>
      </w:r>
      <w:r w:rsidR="00F8477E" w:rsidRPr="00B47481">
        <w:rPr>
          <w:rFonts w:ascii="Arial" w:hAnsi="Arial" w:cs="Arial"/>
          <w:bCs/>
          <w:sz w:val="21"/>
          <w:szCs w:val="21"/>
          <w:lang w:eastAsia="en-US"/>
        </w:rPr>
        <w:t xml:space="preserve">è </w:t>
      </w:r>
      <w:r w:rsidR="00694712" w:rsidRPr="00B47481">
        <w:rPr>
          <w:rFonts w:ascii="Arial" w:hAnsi="Arial" w:cs="Arial"/>
          <w:bCs/>
          <w:sz w:val="21"/>
          <w:szCs w:val="21"/>
          <w:lang w:eastAsia="en-US"/>
        </w:rPr>
        <w:t>sintesi di un</w:t>
      </w:r>
      <w:r w:rsidR="00692598" w:rsidRPr="00B47481">
        <w:rPr>
          <w:rFonts w:ascii="Arial" w:hAnsi="Arial" w:cs="Arial"/>
          <w:bCs/>
          <w:sz w:val="21"/>
          <w:szCs w:val="21"/>
          <w:lang w:eastAsia="en-US"/>
        </w:rPr>
        <w:t xml:space="preserve"> incremento</w:t>
      </w:r>
      <w:r w:rsidR="002F2EFF" w:rsidRPr="00B47481">
        <w:rPr>
          <w:rFonts w:ascii="Arial" w:hAnsi="Arial" w:cs="Arial"/>
          <w:bCs/>
          <w:sz w:val="21"/>
          <w:szCs w:val="21"/>
          <w:lang w:eastAsia="en-US"/>
        </w:rPr>
        <w:t xml:space="preserve"> per </w:t>
      </w:r>
      <w:r w:rsidR="0060767F" w:rsidRPr="00B47481">
        <w:rPr>
          <w:rFonts w:ascii="Arial" w:hAnsi="Arial" w:cs="Arial"/>
          <w:bCs/>
          <w:sz w:val="21"/>
          <w:szCs w:val="21"/>
          <w:lang w:eastAsia="en-US"/>
        </w:rPr>
        <w:t>l’area</w:t>
      </w:r>
      <w:r w:rsidR="00E50DD8" w:rsidRPr="00B47481">
        <w:rPr>
          <w:rFonts w:ascii="Arial" w:hAnsi="Arial" w:cs="Arial"/>
          <w:bCs/>
          <w:sz w:val="21"/>
          <w:szCs w:val="21"/>
          <w:lang w:eastAsia="en-US"/>
        </w:rPr>
        <w:t xml:space="preserve"> </w:t>
      </w:r>
      <w:r w:rsidR="00A55EAE" w:rsidRPr="00B47481">
        <w:rPr>
          <w:rFonts w:ascii="Arial" w:hAnsi="Arial" w:cs="Arial"/>
          <w:bCs/>
          <w:sz w:val="21"/>
          <w:szCs w:val="21"/>
          <w:lang w:eastAsia="en-US"/>
        </w:rPr>
        <w:t xml:space="preserve">Ue </w:t>
      </w:r>
      <w:r w:rsidR="00692598" w:rsidRPr="00B47481">
        <w:rPr>
          <w:rFonts w:ascii="Arial" w:hAnsi="Arial" w:cs="Arial"/>
          <w:bCs/>
          <w:sz w:val="21"/>
          <w:szCs w:val="21"/>
          <w:lang w:eastAsia="en-US"/>
        </w:rPr>
        <w:t>(+</w:t>
      </w:r>
      <w:r w:rsidR="00694712" w:rsidRPr="00B47481">
        <w:rPr>
          <w:rFonts w:ascii="Arial" w:hAnsi="Arial" w:cs="Arial"/>
          <w:bCs/>
          <w:sz w:val="21"/>
          <w:szCs w:val="21"/>
          <w:lang w:eastAsia="en-US"/>
        </w:rPr>
        <w:t>1,8</w:t>
      </w:r>
      <w:r w:rsidR="00E50DD8" w:rsidRPr="00B47481">
        <w:rPr>
          <w:rFonts w:ascii="Arial" w:hAnsi="Arial" w:cs="Arial"/>
          <w:bCs/>
          <w:sz w:val="21"/>
          <w:szCs w:val="21"/>
          <w:lang w:eastAsia="en-US"/>
        </w:rPr>
        <w:t>%)</w:t>
      </w:r>
      <w:r w:rsidR="00AE014D" w:rsidRPr="00B47481">
        <w:rPr>
          <w:rFonts w:ascii="Arial" w:hAnsi="Arial" w:cs="Arial"/>
          <w:bCs/>
          <w:sz w:val="21"/>
          <w:szCs w:val="21"/>
          <w:lang w:eastAsia="en-US"/>
        </w:rPr>
        <w:t xml:space="preserve"> </w:t>
      </w:r>
      <w:r w:rsidR="00692598" w:rsidRPr="00B47481">
        <w:rPr>
          <w:rFonts w:ascii="Arial" w:hAnsi="Arial" w:cs="Arial"/>
          <w:bCs/>
          <w:sz w:val="21"/>
          <w:szCs w:val="21"/>
          <w:lang w:eastAsia="en-US"/>
        </w:rPr>
        <w:t xml:space="preserve">e di una </w:t>
      </w:r>
      <w:r w:rsidR="004E2116" w:rsidRPr="00B47481">
        <w:rPr>
          <w:rFonts w:ascii="Arial" w:hAnsi="Arial" w:cs="Arial"/>
          <w:bCs/>
          <w:sz w:val="21"/>
          <w:szCs w:val="21"/>
          <w:lang w:eastAsia="en-US"/>
        </w:rPr>
        <w:t xml:space="preserve">lieve </w:t>
      </w:r>
      <w:r w:rsidR="0060767F" w:rsidRPr="00B47481">
        <w:rPr>
          <w:rFonts w:ascii="Arial" w:hAnsi="Arial" w:cs="Arial"/>
          <w:bCs/>
          <w:sz w:val="21"/>
          <w:szCs w:val="21"/>
          <w:lang w:eastAsia="en-US"/>
        </w:rPr>
        <w:t>riduzione</w:t>
      </w:r>
      <w:r w:rsidR="00692598" w:rsidRPr="00B47481">
        <w:rPr>
          <w:rFonts w:ascii="Arial" w:hAnsi="Arial" w:cs="Arial"/>
          <w:bCs/>
          <w:sz w:val="21"/>
          <w:szCs w:val="21"/>
          <w:lang w:eastAsia="en-US"/>
        </w:rPr>
        <w:t xml:space="preserve"> per</w:t>
      </w:r>
      <w:r w:rsidR="00AE014D" w:rsidRPr="00B47481">
        <w:rPr>
          <w:rFonts w:ascii="Arial" w:hAnsi="Arial" w:cs="Arial"/>
          <w:bCs/>
          <w:sz w:val="21"/>
          <w:szCs w:val="21"/>
          <w:lang w:eastAsia="en-US"/>
        </w:rPr>
        <w:t xml:space="preserve"> </w:t>
      </w:r>
      <w:r w:rsidR="005134E9" w:rsidRPr="00B47481">
        <w:rPr>
          <w:rFonts w:ascii="Arial" w:hAnsi="Arial" w:cs="Arial"/>
          <w:bCs/>
          <w:sz w:val="21"/>
          <w:szCs w:val="21"/>
          <w:lang w:eastAsia="en-US"/>
        </w:rPr>
        <w:t>l’are</w:t>
      </w:r>
      <w:r w:rsidRPr="00B47481">
        <w:rPr>
          <w:rFonts w:ascii="Arial" w:hAnsi="Arial" w:cs="Arial"/>
          <w:bCs/>
          <w:sz w:val="21"/>
          <w:szCs w:val="21"/>
          <w:lang w:eastAsia="en-US"/>
        </w:rPr>
        <w:t>a</w:t>
      </w:r>
      <w:r w:rsidR="00F8477E" w:rsidRPr="00B47481">
        <w:rPr>
          <w:rFonts w:ascii="Arial" w:hAnsi="Arial" w:cs="Arial"/>
          <w:bCs/>
          <w:sz w:val="21"/>
          <w:szCs w:val="21"/>
          <w:lang w:eastAsia="en-US"/>
        </w:rPr>
        <w:t xml:space="preserve"> </w:t>
      </w:r>
      <w:r w:rsidR="003C31F7" w:rsidRPr="00B47481">
        <w:rPr>
          <w:rFonts w:ascii="Arial" w:hAnsi="Arial" w:cs="Arial"/>
          <w:bCs/>
          <w:sz w:val="21"/>
          <w:szCs w:val="21"/>
          <w:lang w:eastAsia="en-US"/>
        </w:rPr>
        <w:t>extra-</w:t>
      </w:r>
      <w:r w:rsidR="00A55EAE" w:rsidRPr="00B47481">
        <w:rPr>
          <w:rFonts w:ascii="Arial" w:hAnsi="Arial" w:cs="Arial"/>
          <w:bCs/>
          <w:sz w:val="21"/>
          <w:szCs w:val="21"/>
          <w:lang w:eastAsia="en-US"/>
        </w:rPr>
        <w:t xml:space="preserve">Ue </w:t>
      </w:r>
      <w:r w:rsidRPr="00B47481">
        <w:rPr>
          <w:rFonts w:ascii="Arial" w:hAnsi="Arial" w:cs="Arial"/>
          <w:bCs/>
          <w:sz w:val="21"/>
          <w:szCs w:val="21"/>
          <w:lang w:eastAsia="en-US"/>
        </w:rPr>
        <w:t>(</w:t>
      </w:r>
      <w:r w:rsidR="00A55EAE" w:rsidRPr="00B47481">
        <w:rPr>
          <w:rFonts w:ascii="Arial" w:hAnsi="Arial" w:cs="Arial"/>
          <w:bCs/>
          <w:sz w:val="21"/>
          <w:szCs w:val="21"/>
          <w:lang w:eastAsia="en-US"/>
        </w:rPr>
        <w:t>-</w:t>
      </w:r>
      <w:r w:rsidR="00694712" w:rsidRPr="00B47481">
        <w:rPr>
          <w:rFonts w:ascii="Arial" w:hAnsi="Arial" w:cs="Arial"/>
          <w:bCs/>
          <w:sz w:val="21"/>
          <w:szCs w:val="21"/>
          <w:lang w:eastAsia="en-US"/>
        </w:rPr>
        <w:t>0,6</w:t>
      </w:r>
      <w:r w:rsidR="00E50DD8" w:rsidRPr="00B47481">
        <w:rPr>
          <w:rFonts w:ascii="Arial" w:hAnsi="Arial" w:cs="Arial"/>
          <w:bCs/>
          <w:sz w:val="21"/>
          <w:szCs w:val="21"/>
          <w:lang w:eastAsia="en-US"/>
        </w:rPr>
        <w:t>%).</w:t>
      </w:r>
    </w:p>
    <w:p w14:paraId="0A7A1CB6" w14:textId="6FDC71D1" w:rsidR="00E50DD8" w:rsidRPr="00B47481" w:rsidRDefault="004E0F0B" w:rsidP="00353744">
      <w:pPr>
        <w:pStyle w:val="Paragrafoelenco"/>
        <w:numPr>
          <w:ilvl w:val="0"/>
          <w:numId w:val="22"/>
        </w:numPr>
        <w:ind w:left="357" w:hanging="357"/>
        <w:contextualSpacing w:val="0"/>
        <w:rPr>
          <w:rFonts w:ascii="Arial" w:hAnsi="Arial" w:cs="Arial"/>
          <w:bCs/>
          <w:color w:val="auto"/>
          <w:sz w:val="21"/>
          <w:szCs w:val="21"/>
          <w:lang w:eastAsia="en-US"/>
        </w:rPr>
      </w:pPr>
      <w:r w:rsidRPr="00B47481">
        <w:rPr>
          <w:rFonts w:ascii="Arial" w:hAnsi="Arial" w:cs="Arial"/>
          <w:bCs/>
          <w:color w:val="auto"/>
          <w:sz w:val="21"/>
          <w:szCs w:val="21"/>
          <w:lang w:eastAsia="en-US"/>
        </w:rPr>
        <w:t>Nel</w:t>
      </w:r>
      <w:r w:rsidR="005134E9" w:rsidRPr="00B47481">
        <w:rPr>
          <w:rFonts w:ascii="Arial" w:hAnsi="Arial" w:cs="Arial"/>
          <w:bCs/>
          <w:color w:val="auto"/>
          <w:sz w:val="21"/>
          <w:szCs w:val="21"/>
          <w:lang w:eastAsia="en-US"/>
        </w:rPr>
        <w:t xml:space="preserve"> </w:t>
      </w:r>
      <w:r w:rsidRPr="00B47481">
        <w:rPr>
          <w:rFonts w:ascii="Arial" w:hAnsi="Arial" w:cs="Arial"/>
          <w:bCs/>
          <w:color w:val="auto"/>
          <w:sz w:val="21"/>
          <w:szCs w:val="21"/>
          <w:lang w:eastAsia="en-US"/>
        </w:rPr>
        <w:t xml:space="preserve">trimestre </w:t>
      </w:r>
      <w:r w:rsidR="00694712" w:rsidRPr="00B47481">
        <w:rPr>
          <w:rFonts w:ascii="Arial" w:hAnsi="Arial" w:cs="Arial"/>
          <w:bCs/>
          <w:color w:val="auto"/>
          <w:sz w:val="21"/>
          <w:szCs w:val="21"/>
          <w:lang w:eastAsia="en-US"/>
        </w:rPr>
        <w:t>novembre 2024</w:t>
      </w:r>
      <w:r w:rsidR="00A55EAE" w:rsidRPr="00B47481">
        <w:rPr>
          <w:rFonts w:ascii="Arial" w:hAnsi="Arial" w:cs="Arial"/>
          <w:bCs/>
          <w:color w:val="auto"/>
          <w:sz w:val="21"/>
          <w:szCs w:val="21"/>
          <w:lang w:eastAsia="en-US"/>
        </w:rPr>
        <w:t>-</w:t>
      </w:r>
      <w:r w:rsidR="00694712" w:rsidRPr="00B47481">
        <w:rPr>
          <w:rFonts w:ascii="Arial" w:hAnsi="Arial" w:cs="Arial"/>
          <w:bCs/>
          <w:color w:val="auto"/>
          <w:sz w:val="21"/>
          <w:szCs w:val="21"/>
          <w:lang w:eastAsia="en-US"/>
        </w:rPr>
        <w:t>gennaio 2025</w:t>
      </w:r>
      <w:r w:rsidRPr="00B47481">
        <w:rPr>
          <w:rFonts w:ascii="Arial" w:hAnsi="Arial" w:cs="Arial"/>
          <w:bCs/>
          <w:color w:val="auto"/>
          <w:sz w:val="21"/>
          <w:szCs w:val="21"/>
          <w:lang w:eastAsia="en-US"/>
        </w:rPr>
        <w:t xml:space="preserve">, rispetto </w:t>
      </w:r>
      <w:r w:rsidR="005134E9" w:rsidRPr="00B47481">
        <w:rPr>
          <w:rFonts w:ascii="Arial" w:hAnsi="Arial" w:cs="Arial"/>
          <w:bCs/>
          <w:color w:val="auto"/>
          <w:sz w:val="21"/>
          <w:szCs w:val="21"/>
          <w:lang w:eastAsia="en-US"/>
        </w:rPr>
        <w:t>al precedente</w:t>
      </w:r>
      <w:r w:rsidR="00E50DD8" w:rsidRPr="00B47481">
        <w:rPr>
          <w:rFonts w:ascii="Arial" w:hAnsi="Arial" w:cs="Arial"/>
          <w:bCs/>
          <w:color w:val="auto"/>
          <w:sz w:val="21"/>
          <w:szCs w:val="21"/>
          <w:lang w:eastAsia="en-US"/>
        </w:rPr>
        <w:t xml:space="preserve">, </w:t>
      </w:r>
      <w:r w:rsidR="00F14E2F" w:rsidRPr="00B47481">
        <w:rPr>
          <w:rFonts w:ascii="Arial" w:hAnsi="Arial" w:cs="Arial"/>
          <w:bCs/>
          <w:color w:val="auto"/>
          <w:sz w:val="21"/>
          <w:szCs w:val="21"/>
          <w:lang w:eastAsia="en-US"/>
        </w:rPr>
        <w:t xml:space="preserve">sia l’export sia l’import crescono del </w:t>
      </w:r>
      <w:r w:rsidR="003C31F7" w:rsidRPr="00B47481">
        <w:rPr>
          <w:rFonts w:ascii="Arial" w:hAnsi="Arial" w:cs="Arial"/>
          <w:bCs/>
          <w:color w:val="auto"/>
          <w:sz w:val="21"/>
          <w:szCs w:val="21"/>
          <w:lang w:eastAsia="en-US"/>
        </w:rPr>
        <w:t>2,2</w:t>
      </w:r>
      <w:r w:rsidRPr="00B47481">
        <w:rPr>
          <w:rFonts w:ascii="Arial" w:hAnsi="Arial" w:cs="Arial"/>
          <w:bCs/>
          <w:color w:val="auto"/>
          <w:sz w:val="21"/>
          <w:szCs w:val="21"/>
          <w:lang w:eastAsia="en-US"/>
        </w:rPr>
        <w:t>%</w:t>
      </w:r>
      <w:r w:rsidR="00F14E2F" w:rsidRPr="00B47481">
        <w:rPr>
          <w:rFonts w:ascii="Arial" w:hAnsi="Arial" w:cs="Arial"/>
          <w:bCs/>
          <w:color w:val="auto"/>
          <w:sz w:val="21"/>
          <w:szCs w:val="21"/>
          <w:lang w:eastAsia="en-US"/>
        </w:rPr>
        <w:t>.</w:t>
      </w:r>
    </w:p>
    <w:p w14:paraId="3575B977" w14:textId="04544CEA" w:rsidR="003C4572" w:rsidRPr="00B47481" w:rsidRDefault="00970878" w:rsidP="00353744">
      <w:pPr>
        <w:numPr>
          <w:ilvl w:val="0"/>
          <w:numId w:val="22"/>
        </w:numPr>
        <w:tabs>
          <w:tab w:val="left" w:pos="426"/>
          <w:tab w:val="left" w:pos="1843"/>
        </w:tabs>
        <w:spacing w:after="120" w:line="230" w:lineRule="exact"/>
        <w:jc w:val="both"/>
        <w:rPr>
          <w:rFonts w:ascii="Arial" w:hAnsi="Arial" w:cs="Arial"/>
          <w:bCs/>
          <w:sz w:val="21"/>
          <w:szCs w:val="21"/>
          <w:lang w:eastAsia="en-US"/>
        </w:rPr>
      </w:pPr>
      <w:r w:rsidRPr="00B47481">
        <w:rPr>
          <w:rFonts w:ascii="Arial" w:hAnsi="Arial" w:cs="Arial"/>
          <w:bCs/>
          <w:sz w:val="21"/>
          <w:szCs w:val="21"/>
          <w:lang w:eastAsia="en-US"/>
        </w:rPr>
        <w:t>A</w:t>
      </w:r>
      <w:r w:rsidR="008128DE" w:rsidRPr="00B47481">
        <w:rPr>
          <w:rFonts w:ascii="Arial" w:hAnsi="Arial" w:cs="Arial"/>
          <w:bCs/>
          <w:sz w:val="21"/>
          <w:szCs w:val="21"/>
          <w:lang w:eastAsia="en-US"/>
        </w:rPr>
        <w:t xml:space="preserve"> </w:t>
      </w:r>
      <w:r w:rsidR="003C31F7" w:rsidRPr="00B47481">
        <w:rPr>
          <w:rFonts w:ascii="Arial" w:hAnsi="Arial" w:cs="Arial"/>
          <w:bCs/>
          <w:sz w:val="21"/>
          <w:szCs w:val="21"/>
          <w:lang w:eastAsia="en-US"/>
        </w:rPr>
        <w:t>gennaio 2025</w:t>
      </w:r>
      <w:r w:rsidR="00E50DD8" w:rsidRPr="00B47481">
        <w:rPr>
          <w:rFonts w:ascii="Arial" w:hAnsi="Arial" w:cs="Arial"/>
          <w:bCs/>
          <w:sz w:val="21"/>
          <w:szCs w:val="21"/>
          <w:lang w:eastAsia="en-US"/>
        </w:rPr>
        <w:t xml:space="preserve"> l’export </w:t>
      </w:r>
      <w:r w:rsidR="003C31F7" w:rsidRPr="00B47481">
        <w:rPr>
          <w:rFonts w:ascii="Arial" w:hAnsi="Arial" w:cs="Arial"/>
          <w:bCs/>
          <w:sz w:val="21"/>
          <w:szCs w:val="21"/>
          <w:lang w:eastAsia="en-US"/>
        </w:rPr>
        <w:t>cresce</w:t>
      </w:r>
      <w:r w:rsidR="00564199" w:rsidRPr="00B47481">
        <w:rPr>
          <w:rFonts w:ascii="Arial" w:hAnsi="Arial" w:cs="Arial"/>
          <w:bCs/>
          <w:sz w:val="21"/>
          <w:szCs w:val="21"/>
          <w:lang w:eastAsia="en-US"/>
        </w:rPr>
        <w:t xml:space="preserve"> </w:t>
      </w:r>
      <w:r w:rsidRPr="00B47481">
        <w:rPr>
          <w:rFonts w:ascii="Arial" w:hAnsi="Arial" w:cs="Arial"/>
          <w:bCs/>
          <w:sz w:val="21"/>
          <w:szCs w:val="21"/>
          <w:lang w:eastAsia="en-US"/>
        </w:rPr>
        <w:t xml:space="preserve">su base annua </w:t>
      </w:r>
      <w:r w:rsidR="003C31F7" w:rsidRPr="00B47481">
        <w:rPr>
          <w:rFonts w:ascii="Arial" w:hAnsi="Arial" w:cs="Arial"/>
          <w:bCs/>
          <w:sz w:val="21"/>
          <w:szCs w:val="21"/>
          <w:lang w:eastAsia="en-US"/>
        </w:rPr>
        <w:t>del 2,5</w:t>
      </w:r>
      <w:r w:rsidR="003032A8" w:rsidRPr="00B47481">
        <w:rPr>
          <w:rFonts w:ascii="Arial" w:hAnsi="Arial" w:cs="Arial"/>
          <w:bCs/>
          <w:sz w:val="21"/>
          <w:szCs w:val="21"/>
          <w:lang w:eastAsia="en-US"/>
        </w:rPr>
        <w:t>%</w:t>
      </w:r>
      <w:r w:rsidR="00866CD7" w:rsidRPr="00B47481">
        <w:rPr>
          <w:rFonts w:ascii="Arial" w:hAnsi="Arial" w:cs="Arial"/>
          <w:bCs/>
          <w:sz w:val="21"/>
          <w:szCs w:val="21"/>
          <w:lang w:eastAsia="en-US"/>
        </w:rPr>
        <w:t xml:space="preserve"> in </w:t>
      </w:r>
      <w:r w:rsidR="00E00680" w:rsidRPr="00B47481">
        <w:rPr>
          <w:rFonts w:ascii="Arial" w:hAnsi="Arial" w:cs="Arial"/>
          <w:bCs/>
          <w:sz w:val="21"/>
          <w:szCs w:val="21"/>
          <w:lang w:eastAsia="en-US"/>
        </w:rPr>
        <w:t>termini monetari</w:t>
      </w:r>
      <w:r w:rsidR="003C31F7" w:rsidRPr="00B47481">
        <w:rPr>
          <w:rFonts w:ascii="Arial" w:hAnsi="Arial" w:cs="Arial"/>
          <w:bCs/>
          <w:sz w:val="21"/>
          <w:szCs w:val="21"/>
          <w:lang w:eastAsia="en-US"/>
        </w:rPr>
        <w:t>, mentre si riduce del 2,6</w:t>
      </w:r>
      <w:r w:rsidR="00866CD7" w:rsidRPr="00B47481">
        <w:rPr>
          <w:rFonts w:ascii="Arial" w:hAnsi="Arial" w:cs="Arial"/>
          <w:bCs/>
          <w:sz w:val="21"/>
          <w:szCs w:val="21"/>
          <w:lang w:eastAsia="en-US"/>
        </w:rPr>
        <w:t>% in volume</w:t>
      </w:r>
      <w:r w:rsidR="00B77738" w:rsidRPr="00B47481">
        <w:rPr>
          <w:rFonts w:ascii="Arial" w:hAnsi="Arial" w:cs="Arial"/>
          <w:bCs/>
          <w:sz w:val="21"/>
          <w:szCs w:val="21"/>
          <w:lang w:eastAsia="en-US"/>
        </w:rPr>
        <w:t xml:space="preserve">. </w:t>
      </w:r>
      <w:r w:rsidR="00D77A2A" w:rsidRPr="00B47481">
        <w:rPr>
          <w:rFonts w:ascii="Arial" w:hAnsi="Arial" w:cs="Arial"/>
          <w:bCs/>
          <w:sz w:val="21"/>
          <w:szCs w:val="21"/>
          <w:lang w:eastAsia="en-US"/>
        </w:rPr>
        <w:t xml:space="preserve">La </w:t>
      </w:r>
      <w:r w:rsidR="003C31F7" w:rsidRPr="00B47481">
        <w:rPr>
          <w:rFonts w:ascii="Arial" w:hAnsi="Arial" w:cs="Arial"/>
          <w:bCs/>
          <w:sz w:val="21"/>
          <w:szCs w:val="21"/>
          <w:lang w:eastAsia="en-US"/>
        </w:rPr>
        <w:t>crescita</w:t>
      </w:r>
      <w:r w:rsidR="00D77A2A" w:rsidRPr="00B47481">
        <w:rPr>
          <w:rFonts w:ascii="Arial" w:hAnsi="Arial" w:cs="Arial"/>
          <w:bCs/>
          <w:sz w:val="21"/>
          <w:szCs w:val="21"/>
          <w:lang w:eastAsia="en-US"/>
        </w:rPr>
        <w:t xml:space="preserve"> </w:t>
      </w:r>
      <w:r w:rsidR="00670662" w:rsidRPr="00B47481">
        <w:rPr>
          <w:rFonts w:ascii="Arial" w:hAnsi="Arial" w:cs="Arial"/>
          <w:bCs/>
          <w:sz w:val="21"/>
          <w:szCs w:val="21"/>
          <w:lang w:eastAsia="en-US"/>
        </w:rPr>
        <w:t xml:space="preserve">delle esportazioni </w:t>
      </w:r>
      <w:r w:rsidR="00D77A2A" w:rsidRPr="00B47481">
        <w:rPr>
          <w:rFonts w:ascii="Arial" w:hAnsi="Arial" w:cs="Arial"/>
          <w:bCs/>
          <w:sz w:val="21"/>
          <w:szCs w:val="21"/>
          <w:lang w:eastAsia="en-US"/>
        </w:rPr>
        <w:t>in</w:t>
      </w:r>
      <w:r w:rsidR="00866CD7" w:rsidRPr="00B47481">
        <w:rPr>
          <w:rFonts w:ascii="Arial" w:hAnsi="Arial" w:cs="Arial"/>
          <w:bCs/>
          <w:sz w:val="21"/>
          <w:szCs w:val="21"/>
          <w:lang w:eastAsia="en-US"/>
        </w:rPr>
        <w:t xml:space="preserve"> </w:t>
      </w:r>
      <w:r w:rsidR="00E00680" w:rsidRPr="00B47481">
        <w:rPr>
          <w:rFonts w:ascii="Arial" w:hAnsi="Arial" w:cs="Arial"/>
          <w:bCs/>
          <w:sz w:val="21"/>
          <w:szCs w:val="21"/>
          <w:lang w:eastAsia="en-US"/>
        </w:rPr>
        <w:t>valore</w:t>
      </w:r>
      <w:r w:rsidR="00921E0D" w:rsidRPr="00B47481">
        <w:rPr>
          <w:rFonts w:ascii="Arial" w:hAnsi="Arial" w:cs="Arial"/>
          <w:bCs/>
          <w:sz w:val="21"/>
          <w:szCs w:val="21"/>
          <w:lang w:eastAsia="en-US"/>
        </w:rPr>
        <w:t xml:space="preserve"> </w:t>
      </w:r>
      <w:r w:rsidR="00514C19" w:rsidRPr="00B47481">
        <w:rPr>
          <w:rFonts w:ascii="Arial" w:hAnsi="Arial" w:cs="Arial"/>
          <w:bCs/>
          <w:sz w:val="21"/>
          <w:szCs w:val="21"/>
          <w:lang w:eastAsia="en-US"/>
        </w:rPr>
        <w:t xml:space="preserve">è </w:t>
      </w:r>
      <w:r w:rsidR="003C31F7" w:rsidRPr="00B47481">
        <w:rPr>
          <w:rFonts w:ascii="Arial" w:hAnsi="Arial" w:cs="Arial"/>
          <w:bCs/>
          <w:sz w:val="21"/>
          <w:szCs w:val="21"/>
          <w:lang w:eastAsia="en-US"/>
        </w:rPr>
        <w:t>più intensa</w:t>
      </w:r>
      <w:r w:rsidR="00514C19" w:rsidRPr="00B47481">
        <w:rPr>
          <w:rFonts w:ascii="Arial" w:hAnsi="Arial" w:cs="Arial"/>
          <w:bCs/>
          <w:sz w:val="21"/>
          <w:szCs w:val="21"/>
          <w:lang w:eastAsia="en-US"/>
        </w:rPr>
        <w:t xml:space="preserve"> per </w:t>
      </w:r>
      <w:r w:rsidR="00425584" w:rsidRPr="00B47481">
        <w:rPr>
          <w:rFonts w:ascii="Arial" w:hAnsi="Arial" w:cs="Arial"/>
          <w:bCs/>
          <w:sz w:val="21"/>
          <w:szCs w:val="21"/>
          <w:lang w:eastAsia="en-US"/>
        </w:rPr>
        <w:t xml:space="preserve">i mercati </w:t>
      </w:r>
      <w:r w:rsidR="003C31F7" w:rsidRPr="00B47481">
        <w:rPr>
          <w:rFonts w:ascii="Arial" w:hAnsi="Arial" w:cs="Arial"/>
          <w:bCs/>
          <w:sz w:val="21"/>
          <w:szCs w:val="21"/>
          <w:lang w:eastAsia="en-US"/>
        </w:rPr>
        <w:t>extra-</w:t>
      </w:r>
      <w:r w:rsidR="00514C19" w:rsidRPr="00B47481">
        <w:rPr>
          <w:rFonts w:ascii="Arial" w:hAnsi="Arial" w:cs="Arial"/>
          <w:bCs/>
          <w:sz w:val="21"/>
          <w:szCs w:val="21"/>
          <w:lang w:eastAsia="en-US"/>
        </w:rPr>
        <w:t xml:space="preserve">Ue </w:t>
      </w:r>
      <w:r w:rsidR="003C31F7" w:rsidRPr="00B47481">
        <w:rPr>
          <w:rFonts w:ascii="Arial" w:hAnsi="Arial" w:cs="Arial"/>
          <w:bCs/>
          <w:sz w:val="21"/>
          <w:szCs w:val="21"/>
          <w:lang w:eastAsia="en-US"/>
        </w:rPr>
        <w:t>(+3,3</w:t>
      </w:r>
      <w:r w:rsidR="00F8477E" w:rsidRPr="00B47481">
        <w:rPr>
          <w:rFonts w:ascii="Arial" w:hAnsi="Arial" w:cs="Arial"/>
          <w:bCs/>
          <w:sz w:val="21"/>
          <w:szCs w:val="21"/>
          <w:lang w:eastAsia="en-US"/>
        </w:rPr>
        <w:t xml:space="preserve">%) </w:t>
      </w:r>
      <w:r w:rsidR="003C31F7" w:rsidRPr="00B47481">
        <w:rPr>
          <w:rFonts w:ascii="Arial" w:hAnsi="Arial" w:cs="Arial"/>
          <w:bCs/>
          <w:sz w:val="21"/>
          <w:szCs w:val="21"/>
          <w:lang w:eastAsia="en-US"/>
        </w:rPr>
        <w:t>rispetto a quelli Ue (+1,9%)</w:t>
      </w:r>
      <w:r w:rsidR="00D77A2A" w:rsidRPr="00B47481">
        <w:rPr>
          <w:rFonts w:ascii="Arial" w:hAnsi="Arial" w:cs="Arial"/>
          <w:bCs/>
          <w:sz w:val="21"/>
          <w:szCs w:val="21"/>
          <w:lang w:eastAsia="en-US"/>
        </w:rPr>
        <w:t xml:space="preserve">. </w:t>
      </w:r>
      <w:r w:rsidR="00D067A5" w:rsidRPr="00B47481">
        <w:rPr>
          <w:rFonts w:ascii="Arial" w:hAnsi="Arial" w:cs="Arial"/>
          <w:bCs/>
          <w:sz w:val="21"/>
          <w:szCs w:val="21"/>
          <w:lang w:eastAsia="en-US"/>
        </w:rPr>
        <w:t>L</w:t>
      </w:r>
      <w:r w:rsidR="00670662" w:rsidRPr="00B47481">
        <w:rPr>
          <w:rFonts w:ascii="Arial" w:hAnsi="Arial" w:cs="Arial"/>
          <w:bCs/>
          <w:sz w:val="21"/>
          <w:szCs w:val="21"/>
          <w:lang w:eastAsia="en-US"/>
        </w:rPr>
        <w:t xml:space="preserve">’import registra </w:t>
      </w:r>
      <w:r w:rsidR="009A102B" w:rsidRPr="00B47481">
        <w:rPr>
          <w:rFonts w:ascii="Arial" w:hAnsi="Arial" w:cs="Arial"/>
          <w:bCs/>
          <w:sz w:val="21"/>
          <w:szCs w:val="21"/>
          <w:lang w:eastAsia="en-US"/>
        </w:rPr>
        <w:t>un incremento</w:t>
      </w:r>
      <w:r w:rsidR="00BE182F" w:rsidRPr="00B47481">
        <w:rPr>
          <w:rFonts w:ascii="Arial" w:hAnsi="Arial" w:cs="Arial"/>
          <w:bCs/>
          <w:sz w:val="21"/>
          <w:szCs w:val="21"/>
          <w:lang w:eastAsia="en-US"/>
        </w:rPr>
        <w:t xml:space="preserve"> </w:t>
      </w:r>
      <w:r w:rsidR="008128DE" w:rsidRPr="00B47481">
        <w:rPr>
          <w:rFonts w:ascii="Arial" w:hAnsi="Arial" w:cs="Arial"/>
          <w:bCs/>
          <w:sz w:val="21"/>
          <w:szCs w:val="21"/>
          <w:lang w:eastAsia="en-US"/>
        </w:rPr>
        <w:t xml:space="preserve">tendenziale </w:t>
      </w:r>
      <w:r w:rsidR="003C31F7" w:rsidRPr="00B47481">
        <w:rPr>
          <w:rFonts w:ascii="Arial" w:hAnsi="Arial" w:cs="Arial"/>
          <w:bCs/>
          <w:sz w:val="21"/>
          <w:szCs w:val="21"/>
          <w:lang w:eastAsia="en-US"/>
        </w:rPr>
        <w:t>dell’8,8</w:t>
      </w:r>
      <w:r w:rsidR="00AD44D4" w:rsidRPr="00B47481">
        <w:rPr>
          <w:rFonts w:ascii="Arial" w:hAnsi="Arial" w:cs="Arial"/>
          <w:bCs/>
          <w:sz w:val="21"/>
          <w:szCs w:val="21"/>
          <w:lang w:eastAsia="en-US"/>
        </w:rPr>
        <w:t>% in valore</w:t>
      </w:r>
      <w:r w:rsidR="00F8477E" w:rsidRPr="00B47481">
        <w:rPr>
          <w:rFonts w:ascii="Arial" w:hAnsi="Arial" w:cs="Arial"/>
          <w:bCs/>
          <w:sz w:val="21"/>
          <w:szCs w:val="21"/>
          <w:lang w:eastAsia="en-US"/>
        </w:rPr>
        <w:t xml:space="preserve">, </w:t>
      </w:r>
      <w:r w:rsidR="004E2116" w:rsidRPr="00B47481">
        <w:rPr>
          <w:rFonts w:ascii="Arial" w:hAnsi="Arial" w:cs="Arial"/>
          <w:bCs/>
          <w:sz w:val="21"/>
          <w:szCs w:val="21"/>
          <w:lang w:eastAsia="en-US"/>
        </w:rPr>
        <w:t>determinato dall’aumento degli acquisti da entrambe le aree</w:t>
      </w:r>
      <w:r w:rsidR="00B47481" w:rsidRPr="00B47481">
        <w:rPr>
          <w:rFonts w:ascii="Arial" w:hAnsi="Arial" w:cs="Arial"/>
          <w:bCs/>
          <w:sz w:val="21"/>
          <w:szCs w:val="21"/>
          <w:lang w:eastAsia="en-US"/>
        </w:rPr>
        <w:t>,</w:t>
      </w:r>
      <w:r w:rsidR="004E2116" w:rsidRPr="00B47481">
        <w:rPr>
          <w:rFonts w:ascii="Arial" w:hAnsi="Arial" w:cs="Arial"/>
          <w:bCs/>
          <w:sz w:val="21"/>
          <w:szCs w:val="21"/>
          <w:lang w:eastAsia="en-US"/>
        </w:rPr>
        <w:t xml:space="preserve"> </w:t>
      </w:r>
      <w:r w:rsidR="00B47481" w:rsidRPr="00B47481">
        <w:rPr>
          <w:rFonts w:ascii="Arial" w:hAnsi="Arial" w:cs="Arial"/>
          <w:bCs/>
          <w:sz w:val="21"/>
          <w:szCs w:val="21"/>
          <w:lang w:eastAsia="en-US"/>
        </w:rPr>
        <w:t>più marcato p</w:t>
      </w:r>
      <w:r w:rsidR="003C31F7" w:rsidRPr="00B47481">
        <w:rPr>
          <w:rFonts w:ascii="Arial" w:hAnsi="Arial" w:cs="Arial"/>
          <w:bCs/>
          <w:sz w:val="21"/>
          <w:szCs w:val="21"/>
          <w:lang w:eastAsia="en-US"/>
        </w:rPr>
        <w:t>er l’area extra-Ue (+18,0%) rispetto a quella Ue (+2,2%);</w:t>
      </w:r>
      <w:r w:rsidR="009A102B" w:rsidRPr="00B47481">
        <w:rPr>
          <w:rFonts w:ascii="Arial" w:hAnsi="Arial" w:cs="Arial"/>
          <w:bCs/>
          <w:sz w:val="21"/>
          <w:szCs w:val="21"/>
          <w:lang w:eastAsia="en-US"/>
        </w:rPr>
        <w:t xml:space="preserve"> </w:t>
      </w:r>
      <w:r w:rsidR="00670662" w:rsidRPr="00B47481">
        <w:rPr>
          <w:rFonts w:ascii="Arial" w:hAnsi="Arial" w:cs="Arial"/>
          <w:bCs/>
          <w:sz w:val="21"/>
          <w:szCs w:val="21"/>
          <w:lang w:eastAsia="en-US"/>
        </w:rPr>
        <w:t xml:space="preserve">in volume, le importazioni </w:t>
      </w:r>
      <w:r w:rsidR="00B47481" w:rsidRPr="00B47481">
        <w:rPr>
          <w:rFonts w:ascii="Arial" w:hAnsi="Arial" w:cs="Arial"/>
          <w:bCs/>
          <w:sz w:val="21"/>
          <w:szCs w:val="21"/>
          <w:lang w:eastAsia="en-US"/>
        </w:rPr>
        <w:t>aumentano</w:t>
      </w:r>
      <w:r w:rsidR="009A102B" w:rsidRPr="00B47481">
        <w:rPr>
          <w:rFonts w:ascii="Arial" w:hAnsi="Arial" w:cs="Arial"/>
          <w:bCs/>
          <w:sz w:val="21"/>
          <w:szCs w:val="21"/>
          <w:lang w:eastAsia="en-US"/>
        </w:rPr>
        <w:t xml:space="preserve"> del 4,1%</w:t>
      </w:r>
      <w:r w:rsidR="00670662" w:rsidRPr="00B47481">
        <w:rPr>
          <w:rFonts w:ascii="Arial" w:hAnsi="Arial" w:cs="Arial"/>
          <w:bCs/>
          <w:sz w:val="21"/>
          <w:szCs w:val="21"/>
          <w:lang w:eastAsia="en-US"/>
        </w:rPr>
        <w:t>.</w:t>
      </w:r>
      <w:r w:rsidR="00E50DD8" w:rsidRPr="00B47481">
        <w:rPr>
          <w:rFonts w:ascii="Arial" w:hAnsi="Arial" w:cs="Arial"/>
          <w:bCs/>
          <w:sz w:val="21"/>
          <w:szCs w:val="21"/>
          <w:lang w:eastAsia="en-US"/>
        </w:rPr>
        <w:t xml:space="preserve"> </w:t>
      </w:r>
      <w:r w:rsidR="00C509E2" w:rsidRPr="00B47481">
        <w:rPr>
          <w:rFonts w:ascii="Arial" w:hAnsi="Arial" w:cs="Arial"/>
          <w:bCs/>
          <w:sz w:val="21"/>
          <w:szCs w:val="21"/>
          <w:lang w:eastAsia="en-US"/>
        </w:rPr>
        <w:t xml:space="preserve"> </w:t>
      </w:r>
    </w:p>
    <w:p w14:paraId="5DD5B326" w14:textId="320CBB8D" w:rsidR="005C27CC" w:rsidRPr="00B47481" w:rsidRDefault="0028039B" w:rsidP="00353744">
      <w:pPr>
        <w:numPr>
          <w:ilvl w:val="0"/>
          <w:numId w:val="22"/>
        </w:numPr>
        <w:tabs>
          <w:tab w:val="left" w:pos="426"/>
          <w:tab w:val="left" w:pos="1843"/>
        </w:tabs>
        <w:spacing w:after="120" w:line="230" w:lineRule="exact"/>
        <w:jc w:val="both"/>
        <w:rPr>
          <w:rFonts w:ascii="Arial" w:hAnsi="Arial" w:cs="Arial"/>
          <w:bCs/>
          <w:sz w:val="21"/>
          <w:szCs w:val="21"/>
          <w:lang w:eastAsia="en-US"/>
        </w:rPr>
      </w:pPr>
      <w:r w:rsidRPr="00B47481">
        <w:rPr>
          <w:rFonts w:ascii="Arial" w:hAnsi="Arial" w:cs="Arial"/>
          <w:bCs/>
          <w:sz w:val="21"/>
          <w:szCs w:val="21"/>
          <w:lang w:eastAsia="en-US"/>
        </w:rPr>
        <w:t>Tra i</w:t>
      </w:r>
      <w:r w:rsidR="00BE182F" w:rsidRPr="00B47481">
        <w:rPr>
          <w:rFonts w:ascii="Arial" w:hAnsi="Arial" w:cs="Arial"/>
          <w:bCs/>
          <w:sz w:val="21"/>
          <w:szCs w:val="21"/>
          <w:lang w:eastAsia="en-US"/>
        </w:rPr>
        <w:t xml:space="preserve"> </w:t>
      </w:r>
      <w:r w:rsidR="00B77738" w:rsidRPr="00B47481">
        <w:rPr>
          <w:rFonts w:ascii="Arial" w:hAnsi="Arial" w:cs="Arial"/>
          <w:bCs/>
          <w:sz w:val="21"/>
          <w:szCs w:val="21"/>
          <w:lang w:eastAsia="en-US"/>
        </w:rPr>
        <w:t xml:space="preserve">settori che </w:t>
      </w:r>
      <w:r w:rsidR="00670322" w:rsidRPr="00B47481">
        <w:rPr>
          <w:rFonts w:ascii="Arial" w:hAnsi="Arial" w:cs="Arial"/>
          <w:bCs/>
          <w:sz w:val="21"/>
          <w:szCs w:val="21"/>
          <w:lang w:eastAsia="en-US"/>
        </w:rPr>
        <w:t xml:space="preserve">più </w:t>
      </w:r>
      <w:r w:rsidR="00F8477E" w:rsidRPr="00B47481">
        <w:rPr>
          <w:rFonts w:ascii="Arial" w:hAnsi="Arial" w:cs="Arial"/>
          <w:bCs/>
          <w:sz w:val="21"/>
          <w:szCs w:val="21"/>
          <w:lang w:eastAsia="en-US"/>
        </w:rPr>
        <w:t>contribuiscono</w:t>
      </w:r>
      <w:r w:rsidR="00D77A2A" w:rsidRPr="00B47481">
        <w:rPr>
          <w:rFonts w:ascii="Arial" w:hAnsi="Arial" w:cs="Arial"/>
          <w:bCs/>
          <w:sz w:val="21"/>
          <w:szCs w:val="21"/>
          <w:lang w:eastAsia="en-US"/>
        </w:rPr>
        <w:t xml:space="preserve"> </w:t>
      </w:r>
      <w:r w:rsidR="00B77738" w:rsidRPr="00B47481">
        <w:rPr>
          <w:rFonts w:ascii="Arial" w:hAnsi="Arial" w:cs="Arial"/>
          <w:bCs/>
          <w:sz w:val="21"/>
          <w:szCs w:val="21"/>
          <w:lang w:eastAsia="en-US"/>
        </w:rPr>
        <w:t xml:space="preserve">alla </w:t>
      </w:r>
      <w:r w:rsidR="009A102B" w:rsidRPr="00B47481">
        <w:rPr>
          <w:rFonts w:ascii="Arial" w:hAnsi="Arial" w:cs="Arial"/>
          <w:bCs/>
          <w:sz w:val="21"/>
          <w:szCs w:val="21"/>
          <w:lang w:eastAsia="en-US"/>
        </w:rPr>
        <w:t>crescita</w:t>
      </w:r>
      <w:r w:rsidR="00F8477E" w:rsidRPr="00B47481">
        <w:rPr>
          <w:rFonts w:ascii="Arial" w:hAnsi="Arial" w:cs="Arial"/>
          <w:bCs/>
          <w:sz w:val="21"/>
          <w:szCs w:val="21"/>
          <w:lang w:eastAsia="en-US"/>
        </w:rPr>
        <w:t xml:space="preserve"> </w:t>
      </w:r>
      <w:r w:rsidR="00B77738" w:rsidRPr="00B47481">
        <w:rPr>
          <w:rFonts w:ascii="Arial" w:hAnsi="Arial" w:cs="Arial"/>
          <w:bCs/>
          <w:sz w:val="21"/>
          <w:szCs w:val="21"/>
          <w:lang w:eastAsia="en-US"/>
        </w:rPr>
        <w:t xml:space="preserve">tendenziale dell’export </w:t>
      </w:r>
      <w:r w:rsidRPr="00B47481">
        <w:rPr>
          <w:rFonts w:ascii="Arial" w:hAnsi="Arial" w:cs="Arial"/>
          <w:bCs/>
          <w:sz w:val="21"/>
          <w:szCs w:val="21"/>
          <w:lang w:eastAsia="en-US"/>
        </w:rPr>
        <w:t>si segnalano</w:t>
      </w:r>
      <w:r w:rsidR="00B77738" w:rsidRPr="00B47481">
        <w:rPr>
          <w:rFonts w:ascii="Arial" w:hAnsi="Arial" w:cs="Arial"/>
          <w:bCs/>
          <w:sz w:val="21"/>
          <w:szCs w:val="21"/>
          <w:lang w:eastAsia="en-US"/>
        </w:rPr>
        <w:t>:</w:t>
      </w:r>
      <w:r w:rsidRPr="00B47481">
        <w:t xml:space="preserve"> </w:t>
      </w:r>
      <w:r w:rsidR="009A102B" w:rsidRPr="00B47481">
        <w:rPr>
          <w:rFonts w:ascii="Arial" w:hAnsi="Arial" w:cs="Arial"/>
          <w:bCs/>
          <w:sz w:val="21"/>
          <w:szCs w:val="21"/>
          <w:lang w:eastAsia="en-US"/>
        </w:rPr>
        <w:t>articoli farmaceutici, chimico-medicinali e botanici (+33,6%), prodotti alimentari, bevande e tabacco (+7,4%)</w:t>
      </w:r>
      <w:r w:rsidR="00567EA3" w:rsidRPr="00B47481">
        <w:rPr>
          <w:rFonts w:ascii="Arial" w:hAnsi="Arial" w:cs="Arial"/>
          <w:bCs/>
          <w:sz w:val="21"/>
          <w:szCs w:val="21"/>
          <w:lang w:eastAsia="en-US"/>
        </w:rPr>
        <w:t xml:space="preserve"> e</w:t>
      </w:r>
      <w:r w:rsidR="009A102B" w:rsidRPr="00B47481">
        <w:rPr>
          <w:rFonts w:ascii="Arial" w:hAnsi="Arial" w:cs="Arial"/>
          <w:bCs/>
          <w:sz w:val="21"/>
          <w:szCs w:val="21"/>
          <w:lang w:eastAsia="en-US"/>
        </w:rPr>
        <w:t xml:space="preserve"> metalli di base e prodotti in metallo</w:t>
      </w:r>
      <w:r w:rsidR="00567EA3" w:rsidRPr="00B47481">
        <w:rPr>
          <w:rFonts w:ascii="Arial" w:hAnsi="Arial" w:cs="Arial"/>
          <w:bCs/>
          <w:sz w:val="21"/>
          <w:szCs w:val="21"/>
          <w:lang w:eastAsia="en-US"/>
        </w:rPr>
        <w:t>, esclusi macchine e impianti</w:t>
      </w:r>
      <w:r w:rsidR="009A102B" w:rsidRPr="00B47481">
        <w:rPr>
          <w:rFonts w:ascii="Arial" w:hAnsi="Arial" w:cs="Arial"/>
          <w:bCs/>
          <w:sz w:val="21"/>
          <w:szCs w:val="21"/>
          <w:lang w:eastAsia="en-US"/>
        </w:rPr>
        <w:t xml:space="preserve"> (+6,4%). Si riduc</w:t>
      </w:r>
      <w:r w:rsidR="00B47481" w:rsidRPr="00B47481">
        <w:rPr>
          <w:rFonts w:ascii="Arial" w:hAnsi="Arial" w:cs="Arial"/>
          <w:bCs/>
          <w:sz w:val="21"/>
          <w:szCs w:val="21"/>
          <w:lang w:eastAsia="en-US"/>
        </w:rPr>
        <w:t xml:space="preserve">ono </w:t>
      </w:r>
      <w:r w:rsidR="009A102B" w:rsidRPr="00B47481">
        <w:rPr>
          <w:rFonts w:ascii="Arial" w:hAnsi="Arial" w:cs="Arial"/>
          <w:bCs/>
          <w:sz w:val="21"/>
          <w:szCs w:val="21"/>
          <w:lang w:eastAsia="en-US"/>
        </w:rPr>
        <w:t xml:space="preserve">su base annua </w:t>
      </w:r>
      <w:r w:rsidR="00B47481" w:rsidRPr="00B47481">
        <w:rPr>
          <w:rFonts w:ascii="Arial" w:hAnsi="Arial" w:cs="Arial"/>
          <w:bCs/>
          <w:sz w:val="21"/>
          <w:szCs w:val="21"/>
          <w:lang w:eastAsia="en-US"/>
        </w:rPr>
        <w:t xml:space="preserve">le esportazioni </w:t>
      </w:r>
      <w:r w:rsidR="009A102B" w:rsidRPr="00B47481">
        <w:rPr>
          <w:rFonts w:ascii="Arial" w:hAnsi="Arial" w:cs="Arial"/>
          <w:bCs/>
          <w:sz w:val="21"/>
          <w:szCs w:val="21"/>
          <w:lang w:eastAsia="en-US"/>
        </w:rPr>
        <w:t>di autoveicoli (-15</w:t>
      </w:r>
      <w:r w:rsidR="00891FCD" w:rsidRPr="00B47481">
        <w:rPr>
          <w:rFonts w:ascii="Arial" w:hAnsi="Arial" w:cs="Arial"/>
          <w:bCs/>
          <w:sz w:val="21"/>
          <w:szCs w:val="21"/>
          <w:lang w:eastAsia="en-US"/>
        </w:rPr>
        <w:t xml:space="preserve">,8%), </w:t>
      </w:r>
      <w:r w:rsidR="009A102B" w:rsidRPr="00B47481">
        <w:rPr>
          <w:rFonts w:ascii="Arial" w:hAnsi="Arial" w:cs="Arial"/>
          <w:bCs/>
          <w:sz w:val="21"/>
          <w:szCs w:val="21"/>
          <w:lang w:eastAsia="en-US"/>
        </w:rPr>
        <w:t>coke e prodotti petroliferi raffinati (-16,7%), articoli di abbigliamento</w:t>
      </w:r>
      <w:r w:rsidR="00567EA3" w:rsidRPr="00B47481">
        <w:rPr>
          <w:rFonts w:ascii="Arial" w:hAnsi="Arial" w:cs="Arial"/>
          <w:bCs/>
          <w:sz w:val="21"/>
          <w:szCs w:val="21"/>
          <w:lang w:eastAsia="en-US"/>
        </w:rPr>
        <w:t>, anche in pelle e in pelliccia</w:t>
      </w:r>
      <w:r w:rsidR="009A102B" w:rsidRPr="00B47481">
        <w:rPr>
          <w:rFonts w:ascii="Arial" w:hAnsi="Arial" w:cs="Arial"/>
          <w:bCs/>
          <w:sz w:val="21"/>
          <w:szCs w:val="21"/>
          <w:lang w:eastAsia="en-US"/>
        </w:rPr>
        <w:t xml:space="preserve"> (-9,2%), </w:t>
      </w:r>
      <w:r w:rsidR="00891FCD" w:rsidRPr="00B47481">
        <w:rPr>
          <w:rFonts w:ascii="Arial" w:hAnsi="Arial" w:cs="Arial"/>
          <w:sz w:val="21"/>
          <w:szCs w:val="21"/>
          <w:shd w:val="clear" w:color="auto" w:fill="FFFFFF"/>
        </w:rPr>
        <w:t>macchinari e apparecchi non cla</w:t>
      </w:r>
      <w:r w:rsidR="009A102B" w:rsidRPr="00B47481">
        <w:rPr>
          <w:rFonts w:ascii="Arial" w:hAnsi="Arial" w:cs="Arial"/>
          <w:sz w:val="21"/>
          <w:szCs w:val="21"/>
          <w:shd w:val="clear" w:color="auto" w:fill="FFFFFF"/>
        </w:rPr>
        <w:t>ssificati altrove (n.c.a.) (-3,1</w:t>
      </w:r>
      <w:r w:rsidR="00891FCD" w:rsidRPr="00B47481">
        <w:rPr>
          <w:rFonts w:ascii="Arial" w:hAnsi="Arial" w:cs="Arial"/>
          <w:sz w:val="21"/>
          <w:szCs w:val="21"/>
          <w:shd w:val="clear" w:color="auto" w:fill="FFFFFF"/>
        </w:rPr>
        <w:t xml:space="preserve">%), </w:t>
      </w:r>
      <w:r w:rsidR="009531AF" w:rsidRPr="00B47481">
        <w:rPr>
          <w:rFonts w:ascii="Arial" w:hAnsi="Arial" w:cs="Arial"/>
          <w:bCs/>
          <w:sz w:val="21"/>
          <w:szCs w:val="21"/>
          <w:lang w:eastAsia="en-US"/>
        </w:rPr>
        <w:t xml:space="preserve">e </w:t>
      </w:r>
      <w:r w:rsidR="00891FCD" w:rsidRPr="00B47481">
        <w:rPr>
          <w:rFonts w:ascii="Arial" w:hAnsi="Arial" w:cs="Arial"/>
          <w:bCs/>
          <w:sz w:val="21"/>
          <w:szCs w:val="21"/>
          <w:lang w:eastAsia="en-US"/>
        </w:rPr>
        <w:t>articoli in pelle</w:t>
      </w:r>
      <w:r w:rsidR="00670322" w:rsidRPr="00B47481">
        <w:rPr>
          <w:rFonts w:ascii="Arial" w:hAnsi="Arial" w:cs="Arial"/>
          <w:bCs/>
          <w:sz w:val="21"/>
          <w:szCs w:val="21"/>
          <w:lang w:eastAsia="en-US"/>
        </w:rPr>
        <w:t xml:space="preserve">, escluso abbigliamento, </w:t>
      </w:r>
      <w:r w:rsidR="006069F5" w:rsidRPr="00B47481">
        <w:rPr>
          <w:rFonts w:ascii="Arial" w:hAnsi="Arial" w:cs="Arial"/>
          <w:bCs/>
          <w:sz w:val="21"/>
          <w:szCs w:val="21"/>
          <w:lang w:eastAsia="en-US"/>
        </w:rPr>
        <w:t>e simili (-8,9%).</w:t>
      </w:r>
    </w:p>
    <w:p w14:paraId="43FEFC7D" w14:textId="0F799754" w:rsidR="00E00680" w:rsidRPr="00B47481" w:rsidRDefault="002D1C37" w:rsidP="00353744">
      <w:pPr>
        <w:pStyle w:val="Paragrafoelenco"/>
        <w:numPr>
          <w:ilvl w:val="0"/>
          <w:numId w:val="22"/>
        </w:numPr>
        <w:contextualSpacing w:val="0"/>
        <w:rPr>
          <w:rFonts w:ascii="Arial" w:hAnsi="Arial" w:cs="Arial"/>
          <w:bCs/>
          <w:color w:val="auto"/>
          <w:sz w:val="21"/>
          <w:szCs w:val="21"/>
          <w:lang w:eastAsia="en-US"/>
        </w:rPr>
      </w:pPr>
      <w:r w:rsidRPr="00B47481">
        <w:rPr>
          <w:rFonts w:ascii="Arial" w:hAnsi="Arial" w:cs="Arial"/>
          <w:bCs/>
          <w:color w:val="auto"/>
          <w:sz w:val="21"/>
          <w:szCs w:val="21"/>
          <w:lang w:eastAsia="en-US"/>
        </w:rPr>
        <w:t xml:space="preserve">Su base annua, i paesi che forniscono i contributi </w:t>
      </w:r>
      <w:r w:rsidR="00872147" w:rsidRPr="00B47481">
        <w:rPr>
          <w:rFonts w:ascii="Arial" w:hAnsi="Arial" w:cs="Arial"/>
          <w:bCs/>
          <w:color w:val="auto"/>
          <w:sz w:val="21"/>
          <w:szCs w:val="21"/>
          <w:lang w:eastAsia="en-US"/>
        </w:rPr>
        <w:t>maggiori</w:t>
      </w:r>
      <w:r w:rsidRPr="00B47481">
        <w:rPr>
          <w:rFonts w:ascii="Arial" w:hAnsi="Arial" w:cs="Arial"/>
          <w:bCs/>
          <w:color w:val="auto"/>
          <w:sz w:val="21"/>
          <w:szCs w:val="21"/>
          <w:lang w:eastAsia="en-US"/>
        </w:rPr>
        <w:t xml:space="preserve"> all</w:t>
      </w:r>
      <w:r w:rsidR="00567EA3" w:rsidRPr="00B47481">
        <w:rPr>
          <w:rFonts w:ascii="Arial" w:hAnsi="Arial" w:cs="Arial"/>
          <w:bCs/>
          <w:color w:val="auto"/>
          <w:sz w:val="21"/>
          <w:szCs w:val="21"/>
          <w:lang w:eastAsia="en-US"/>
        </w:rPr>
        <w:t>’incremento dell</w:t>
      </w:r>
      <w:r w:rsidR="00B47481" w:rsidRPr="00B47481">
        <w:rPr>
          <w:rFonts w:ascii="Arial" w:hAnsi="Arial" w:cs="Arial"/>
          <w:bCs/>
          <w:color w:val="auto"/>
          <w:sz w:val="21"/>
          <w:szCs w:val="21"/>
          <w:lang w:eastAsia="en-US"/>
        </w:rPr>
        <w:t xml:space="preserve">’export </w:t>
      </w:r>
      <w:r w:rsidR="00567EA3" w:rsidRPr="00B47481">
        <w:rPr>
          <w:rFonts w:ascii="Arial" w:hAnsi="Arial" w:cs="Arial"/>
          <w:bCs/>
          <w:color w:val="auto"/>
          <w:sz w:val="21"/>
          <w:szCs w:val="21"/>
          <w:lang w:eastAsia="en-US"/>
        </w:rPr>
        <w:t>nazional</w:t>
      </w:r>
      <w:r w:rsidR="00B47481" w:rsidRPr="00B47481">
        <w:rPr>
          <w:rFonts w:ascii="Arial" w:hAnsi="Arial" w:cs="Arial"/>
          <w:bCs/>
          <w:color w:val="auto"/>
          <w:sz w:val="21"/>
          <w:szCs w:val="21"/>
          <w:lang w:eastAsia="en-US"/>
        </w:rPr>
        <w:t>e</w:t>
      </w:r>
      <w:r w:rsidR="00567EA3" w:rsidRPr="00B47481">
        <w:rPr>
          <w:rFonts w:ascii="Arial" w:hAnsi="Arial" w:cs="Arial"/>
          <w:bCs/>
          <w:color w:val="auto"/>
          <w:sz w:val="21"/>
          <w:szCs w:val="21"/>
          <w:lang w:eastAsia="en-US"/>
        </w:rPr>
        <w:t xml:space="preserve"> sono</w:t>
      </w:r>
      <w:r w:rsidRPr="00B47481">
        <w:rPr>
          <w:rFonts w:ascii="Arial" w:hAnsi="Arial" w:cs="Arial"/>
          <w:bCs/>
          <w:color w:val="auto"/>
          <w:sz w:val="21"/>
          <w:szCs w:val="21"/>
          <w:lang w:eastAsia="en-US"/>
        </w:rPr>
        <w:t xml:space="preserve">: </w:t>
      </w:r>
      <w:r w:rsidR="00582E63" w:rsidRPr="00B47481">
        <w:rPr>
          <w:rFonts w:ascii="Arial" w:hAnsi="Arial" w:cs="Arial"/>
          <w:bCs/>
          <w:color w:val="auto"/>
          <w:sz w:val="21"/>
          <w:szCs w:val="21"/>
          <w:lang w:eastAsia="en-US"/>
        </w:rPr>
        <w:t>Svizzera (+13,6%), Stati Uniti (+6,2</w:t>
      </w:r>
      <w:r w:rsidR="0041611A" w:rsidRPr="00B47481">
        <w:rPr>
          <w:rFonts w:ascii="Arial" w:hAnsi="Arial" w:cs="Arial"/>
          <w:bCs/>
          <w:color w:val="auto"/>
          <w:sz w:val="21"/>
          <w:szCs w:val="21"/>
          <w:lang w:eastAsia="en-US"/>
        </w:rPr>
        <w:t xml:space="preserve">%), </w:t>
      </w:r>
      <w:r w:rsidR="00582E63" w:rsidRPr="00B47481">
        <w:rPr>
          <w:rFonts w:ascii="Arial" w:hAnsi="Arial" w:cs="Arial"/>
          <w:bCs/>
          <w:color w:val="auto"/>
          <w:sz w:val="21"/>
          <w:szCs w:val="21"/>
          <w:lang w:eastAsia="en-US"/>
        </w:rPr>
        <w:t>Regno Unito (+12,1%), Cechia (+30,8%), paesi OPEC (+10,5%), Spagna (+4,8%)</w:t>
      </w:r>
      <w:r w:rsidR="00E00680" w:rsidRPr="00B47481">
        <w:rPr>
          <w:rFonts w:ascii="Arial" w:hAnsi="Arial" w:cs="Arial"/>
          <w:bCs/>
          <w:color w:val="auto"/>
          <w:sz w:val="21"/>
          <w:szCs w:val="21"/>
          <w:lang w:eastAsia="en-US"/>
        </w:rPr>
        <w:t xml:space="preserve"> e </w:t>
      </w:r>
      <w:r w:rsidR="00582E63" w:rsidRPr="00B47481">
        <w:rPr>
          <w:rFonts w:ascii="Arial" w:hAnsi="Arial" w:cs="Arial"/>
          <w:bCs/>
          <w:color w:val="auto"/>
          <w:sz w:val="21"/>
          <w:szCs w:val="21"/>
          <w:lang w:eastAsia="en-US"/>
        </w:rPr>
        <w:t>Franci</w:t>
      </w:r>
      <w:r w:rsidR="00974DAC" w:rsidRPr="00B47481">
        <w:rPr>
          <w:rFonts w:ascii="Arial" w:hAnsi="Arial" w:cs="Arial"/>
          <w:bCs/>
          <w:color w:val="auto"/>
          <w:sz w:val="21"/>
          <w:szCs w:val="21"/>
          <w:lang w:eastAsia="en-US"/>
        </w:rPr>
        <w:t xml:space="preserve">a (+2,6%). All’opposto, </w:t>
      </w:r>
      <w:r w:rsidR="00E00680" w:rsidRPr="00B47481">
        <w:rPr>
          <w:rFonts w:ascii="Arial" w:hAnsi="Arial" w:cs="Arial"/>
          <w:bCs/>
          <w:color w:val="auto"/>
          <w:sz w:val="21"/>
          <w:szCs w:val="21"/>
          <w:lang w:eastAsia="en-US"/>
        </w:rPr>
        <w:t>la Cina (-24,1%) fornisce il contributo negativo più ampio.</w:t>
      </w:r>
    </w:p>
    <w:p w14:paraId="473F6048" w14:textId="4B8EC312" w:rsidR="00CC4A6F" w:rsidRPr="00DB04BA" w:rsidRDefault="00645AF6" w:rsidP="00353744">
      <w:pPr>
        <w:pStyle w:val="Paragrafoelenco"/>
        <w:numPr>
          <w:ilvl w:val="0"/>
          <w:numId w:val="22"/>
        </w:numPr>
        <w:contextualSpacing w:val="0"/>
        <w:rPr>
          <w:rFonts w:ascii="Arial" w:hAnsi="Arial" w:cs="Arial"/>
          <w:bCs/>
          <w:color w:val="auto"/>
          <w:sz w:val="21"/>
          <w:szCs w:val="21"/>
          <w:lang w:eastAsia="en-US"/>
        </w:rPr>
      </w:pPr>
      <w:r>
        <w:rPr>
          <w:rFonts w:ascii="Arial" w:hAnsi="Arial" w:cs="Arial"/>
          <w:bCs/>
          <w:color w:val="auto"/>
          <w:sz w:val="21"/>
          <w:szCs w:val="21"/>
          <w:lang w:eastAsia="en-US"/>
        </w:rPr>
        <w:t xml:space="preserve">Il saldo commerciale a gennaio 2025 </w:t>
      </w:r>
      <w:r w:rsidR="00D35476">
        <w:rPr>
          <w:rFonts w:ascii="Arial" w:hAnsi="Arial" w:cs="Arial"/>
          <w:bCs/>
          <w:color w:val="auto"/>
          <w:sz w:val="21"/>
          <w:szCs w:val="21"/>
          <w:lang w:eastAsia="en-US"/>
        </w:rPr>
        <w:t>è</w:t>
      </w:r>
      <w:r w:rsidR="00567772">
        <w:rPr>
          <w:rFonts w:ascii="Arial" w:hAnsi="Arial" w:cs="Arial"/>
          <w:bCs/>
          <w:color w:val="auto"/>
          <w:sz w:val="21"/>
          <w:szCs w:val="21"/>
          <w:lang w:eastAsia="en-US"/>
        </w:rPr>
        <w:t xml:space="preserve"> </w:t>
      </w:r>
      <w:r w:rsidR="00F642FA" w:rsidRPr="00357792">
        <w:rPr>
          <w:rFonts w:ascii="Arial" w:hAnsi="Arial" w:cs="Arial"/>
          <w:bCs/>
          <w:color w:val="auto"/>
          <w:sz w:val="21"/>
          <w:szCs w:val="21"/>
          <w:lang w:eastAsia="en-US"/>
        </w:rPr>
        <w:t xml:space="preserve">pari a </w:t>
      </w:r>
      <w:r>
        <w:rPr>
          <w:rFonts w:ascii="Arial" w:hAnsi="Arial" w:cs="Arial"/>
          <w:bCs/>
          <w:color w:val="auto"/>
          <w:sz w:val="21"/>
          <w:szCs w:val="21"/>
          <w:lang w:eastAsia="en-US"/>
        </w:rPr>
        <w:t>-</w:t>
      </w:r>
      <w:r w:rsidR="00183189">
        <w:rPr>
          <w:rFonts w:ascii="Arial" w:hAnsi="Arial" w:cs="Arial"/>
          <w:bCs/>
          <w:color w:val="auto"/>
          <w:sz w:val="21"/>
          <w:szCs w:val="21"/>
          <w:lang w:eastAsia="en-US"/>
        </w:rPr>
        <w:t>264</w:t>
      </w:r>
      <w:r w:rsidR="00CC4A6F" w:rsidRPr="00357792">
        <w:rPr>
          <w:rFonts w:ascii="Arial" w:hAnsi="Arial" w:cs="Arial"/>
          <w:bCs/>
          <w:color w:val="auto"/>
          <w:sz w:val="21"/>
          <w:szCs w:val="21"/>
          <w:lang w:eastAsia="en-US"/>
        </w:rPr>
        <w:t xml:space="preserve"> milioni di </w:t>
      </w:r>
      <w:r w:rsidR="00E54B69" w:rsidRPr="00357792">
        <w:rPr>
          <w:rFonts w:ascii="Arial" w:hAnsi="Arial" w:cs="Arial"/>
          <w:bCs/>
          <w:color w:val="auto"/>
          <w:sz w:val="21"/>
          <w:szCs w:val="21"/>
          <w:lang w:eastAsia="en-US"/>
        </w:rPr>
        <w:t>euro</w:t>
      </w:r>
      <w:r w:rsidR="002D6530" w:rsidRPr="00357792">
        <w:rPr>
          <w:rFonts w:ascii="Arial" w:hAnsi="Arial" w:cs="Arial"/>
          <w:bCs/>
          <w:color w:val="auto"/>
          <w:sz w:val="21"/>
          <w:szCs w:val="21"/>
          <w:lang w:eastAsia="en-US"/>
        </w:rPr>
        <w:t xml:space="preserve"> (</w:t>
      </w:r>
      <w:r>
        <w:rPr>
          <w:rFonts w:ascii="Arial" w:hAnsi="Arial" w:cs="Arial"/>
          <w:bCs/>
          <w:color w:val="auto"/>
          <w:sz w:val="21"/>
          <w:szCs w:val="21"/>
          <w:lang w:eastAsia="en-US"/>
        </w:rPr>
        <w:t>era +</w:t>
      </w:r>
      <w:r w:rsidR="00880B5B" w:rsidRPr="00880B5B">
        <w:rPr>
          <w:rFonts w:ascii="Arial" w:hAnsi="Arial" w:cs="Arial"/>
          <w:bCs/>
          <w:color w:val="auto"/>
          <w:sz w:val="21"/>
          <w:szCs w:val="21"/>
          <w:lang w:eastAsia="en-US"/>
        </w:rPr>
        <w:t>2.495</w:t>
      </w:r>
      <w:r w:rsidR="00880B5B">
        <w:rPr>
          <w:rFonts w:ascii="Arial" w:hAnsi="Arial" w:cs="Arial"/>
          <w:bCs/>
          <w:color w:val="auto"/>
          <w:sz w:val="21"/>
          <w:szCs w:val="21"/>
          <w:lang w:eastAsia="en-US"/>
        </w:rPr>
        <w:t xml:space="preserve"> </w:t>
      </w:r>
      <w:r w:rsidR="00CC4A6F" w:rsidRPr="00357792">
        <w:rPr>
          <w:rFonts w:ascii="Arial" w:hAnsi="Arial" w:cs="Arial"/>
          <w:bCs/>
          <w:color w:val="auto"/>
          <w:sz w:val="21"/>
          <w:szCs w:val="21"/>
          <w:lang w:eastAsia="en-US"/>
        </w:rPr>
        <w:t xml:space="preserve">milioni </w:t>
      </w:r>
      <w:r w:rsidR="00281F9D">
        <w:rPr>
          <w:rFonts w:ascii="Arial" w:hAnsi="Arial" w:cs="Arial"/>
          <w:bCs/>
          <w:color w:val="auto"/>
          <w:sz w:val="21"/>
          <w:szCs w:val="21"/>
          <w:lang w:eastAsia="en-US"/>
        </w:rPr>
        <w:t>nello stesso mese del</w:t>
      </w:r>
      <w:r w:rsidR="003A6614" w:rsidRPr="00357792">
        <w:rPr>
          <w:rFonts w:ascii="Arial" w:hAnsi="Arial" w:cs="Arial"/>
          <w:bCs/>
          <w:color w:val="auto"/>
          <w:sz w:val="21"/>
          <w:szCs w:val="21"/>
          <w:lang w:eastAsia="en-US"/>
        </w:rPr>
        <w:t xml:space="preserve"> </w:t>
      </w:r>
      <w:r w:rsidR="00880B5B">
        <w:rPr>
          <w:rFonts w:ascii="Arial" w:hAnsi="Arial" w:cs="Arial"/>
          <w:bCs/>
          <w:color w:val="auto"/>
          <w:sz w:val="21"/>
          <w:szCs w:val="21"/>
          <w:lang w:eastAsia="en-US"/>
        </w:rPr>
        <w:t>2024</w:t>
      </w:r>
      <w:r w:rsidR="002D6530" w:rsidRPr="00357792">
        <w:rPr>
          <w:rFonts w:ascii="Arial" w:hAnsi="Arial" w:cs="Arial"/>
          <w:bCs/>
          <w:color w:val="auto"/>
          <w:sz w:val="21"/>
          <w:szCs w:val="21"/>
          <w:lang w:eastAsia="en-US"/>
        </w:rPr>
        <w:t>)</w:t>
      </w:r>
      <w:r w:rsidR="000420ED" w:rsidRPr="00357792">
        <w:rPr>
          <w:rFonts w:ascii="Arial" w:hAnsi="Arial" w:cs="Arial"/>
          <w:bCs/>
          <w:color w:val="auto"/>
          <w:sz w:val="21"/>
          <w:szCs w:val="21"/>
          <w:lang w:eastAsia="en-US"/>
        </w:rPr>
        <w:t xml:space="preserve">. Il deficit </w:t>
      </w:r>
      <w:r w:rsidR="000420ED" w:rsidRPr="00DB04BA">
        <w:rPr>
          <w:rFonts w:ascii="Arial" w:hAnsi="Arial" w:cs="Arial"/>
          <w:bCs/>
          <w:color w:val="auto"/>
          <w:sz w:val="21"/>
          <w:szCs w:val="21"/>
          <w:lang w:eastAsia="en-US"/>
        </w:rPr>
        <w:t>energetico</w:t>
      </w:r>
      <w:r w:rsidR="00281F9D">
        <w:rPr>
          <w:rFonts w:ascii="Arial" w:hAnsi="Arial" w:cs="Arial"/>
          <w:bCs/>
          <w:color w:val="auto"/>
          <w:sz w:val="21"/>
          <w:szCs w:val="21"/>
          <w:lang w:eastAsia="en-US"/>
        </w:rPr>
        <w:t xml:space="preserve"> (</w:t>
      </w:r>
      <w:r w:rsidR="0003282C" w:rsidRPr="00DB04BA">
        <w:rPr>
          <w:rFonts w:ascii="Arial" w:hAnsi="Arial" w:cs="Arial"/>
          <w:bCs/>
          <w:color w:val="auto"/>
          <w:sz w:val="21"/>
          <w:szCs w:val="21"/>
          <w:lang w:eastAsia="en-US"/>
        </w:rPr>
        <w:t>-</w:t>
      </w:r>
      <w:r w:rsidR="005B660E" w:rsidRPr="00DB04BA">
        <w:rPr>
          <w:rFonts w:ascii="Arial" w:hAnsi="Arial" w:cs="Arial"/>
          <w:bCs/>
          <w:color w:val="auto"/>
          <w:sz w:val="21"/>
          <w:szCs w:val="21"/>
          <w:lang w:eastAsia="en-US"/>
        </w:rPr>
        <w:t>4</w:t>
      </w:r>
      <w:r w:rsidR="002844BC" w:rsidRPr="00DB04BA">
        <w:rPr>
          <w:rFonts w:ascii="Arial" w:hAnsi="Arial" w:cs="Arial"/>
          <w:bCs/>
          <w:color w:val="auto"/>
          <w:sz w:val="21"/>
          <w:szCs w:val="21"/>
          <w:lang w:eastAsia="en-US"/>
        </w:rPr>
        <w:t>.</w:t>
      </w:r>
      <w:r w:rsidR="00880B5B">
        <w:rPr>
          <w:rFonts w:ascii="Arial" w:hAnsi="Arial" w:cs="Arial"/>
          <w:bCs/>
          <w:color w:val="auto"/>
          <w:sz w:val="21"/>
          <w:szCs w:val="21"/>
          <w:lang w:eastAsia="en-US"/>
        </w:rPr>
        <w:t>693</w:t>
      </w:r>
      <w:r w:rsidR="00E54B69" w:rsidRPr="00DB04BA">
        <w:rPr>
          <w:rFonts w:ascii="Arial" w:hAnsi="Arial" w:cs="Arial"/>
          <w:bCs/>
          <w:color w:val="auto"/>
          <w:sz w:val="21"/>
          <w:szCs w:val="21"/>
          <w:lang w:eastAsia="en-US"/>
        </w:rPr>
        <w:t xml:space="preserve"> milioni</w:t>
      </w:r>
      <w:r w:rsidR="00B95EE4">
        <w:rPr>
          <w:rFonts w:ascii="Arial" w:hAnsi="Arial" w:cs="Arial"/>
          <w:bCs/>
          <w:color w:val="auto"/>
          <w:sz w:val="21"/>
          <w:szCs w:val="21"/>
          <w:lang w:eastAsia="en-US"/>
        </w:rPr>
        <w:t xml:space="preserve">) è </w:t>
      </w:r>
      <w:r w:rsidR="00836331">
        <w:rPr>
          <w:rFonts w:ascii="Arial" w:hAnsi="Arial" w:cs="Arial"/>
          <w:bCs/>
          <w:color w:val="auto"/>
          <w:sz w:val="21"/>
          <w:szCs w:val="21"/>
          <w:lang w:eastAsia="en-US"/>
        </w:rPr>
        <w:t xml:space="preserve">superiore </w:t>
      </w:r>
      <w:r w:rsidR="00B95EE4">
        <w:rPr>
          <w:rFonts w:ascii="Arial" w:hAnsi="Arial" w:cs="Arial"/>
          <w:bCs/>
          <w:color w:val="auto"/>
          <w:sz w:val="21"/>
          <w:szCs w:val="21"/>
          <w:lang w:eastAsia="en-US"/>
        </w:rPr>
        <w:t>rispetto</w:t>
      </w:r>
      <w:r w:rsidR="00281F9D">
        <w:rPr>
          <w:rFonts w:ascii="Arial" w:hAnsi="Arial" w:cs="Arial"/>
          <w:bCs/>
          <w:color w:val="auto"/>
          <w:sz w:val="21"/>
          <w:szCs w:val="21"/>
          <w:lang w:eastAsia="en-US"/>
        </w:rPr>
        <w:t xml:space="preserve"> a un anno prima </w:t>
      </w:r>
      <w:r w:rsidR="00880B5B">
        <w:rPr>
          <w:rFonts w:ascii="Arial" w:hAnsi="Arial" w:cs="Arial"/>
          <w:bCs/>
          <w:color w:val="auto"/>
          <w:sz w:val="21"/>
          <w:szCs w:val="21"/>
          <w:lang w:eastAsia="en-US"/>
        </w:rPr>
        <w:t>(</w:t>
      </w:r>
      <w:r w:rsidR="00880B5B" w:rsidRPr="00880B5B">
        <w:rPr>
          <w:rFonts w:ascii="Arial" w:hAnsi="Arial" w:cs="Arial"/>
          <w:bCs/>
          <w:color w:val="auto"/>
          <w:sz w:val="21"/>
          <w:szCs w:val="21"/>
          <w:lang w:eastAsia="en-US"/>
        </w:rPr>
        <w:t>-4.233</w:t>
      </w:r>
      <w:r w:rsidR="00880B5B">
        <w:rPr>
          <w:rFonts w:ascii="Arial" w:hAnsi="Arial" w:cs="Arial"/>
          <w:bCs/>
          <w:color w:val="auto"/>
          <w:sz w:val="21"/>
          <w:szCs w:val="21"/>
          <w:lang w:eastAsia="en-US"/>
        </w:rPr>
        <w:t xml:space="preserve"> </w:t>
      </w:r>
      <w:r w:rsidR="00BA6B16" w:rsidRPr="00DB04BA">
        <w:rPr>
          <w:rFonts w:ascii="Arial" w:hAnsi="Arial" w:cs="Arial"/>
          <w:bCs/>
          <w:color w:val="auto"/>
          <w:sz w:val="21"/>
          <w:szCs w:val="21"/>
          <w:lang w:eastAsia="en-US"/>
        </w:rPr>
        <w:t>milioni</w:t>
      </w:r>
      <w:r w:rsidR="00281F9D">
        <w:rPr>
          <w:rFonts w:ascii="Arial" w:hAnsi="Arial" w:cs="Arial"/>
          <w:bCs/>
          <w:color w:val="auto"/>
          <w:sz w:val="21"/>
          <w:szCs w:val="21"/>
          <w:lang w:eastAsia="en-US"/>
        </w:rPr>
        <w:t>)</w:t>
      </w:r>
      <w:r w:rsidR="00164684" w:rsidRPr="00DB04BA">
        <w:rPr>
          <w:rFonts w:ascii="Arial" w:hAnsi="Arial" w:cs="Arial"/>
          <w:bCs/>
          <w:color w:val="auto"/>
          <w:sz w:val="21"/>
          <w:szCs w:val="21"/>
          <w:lang w:eastAsia="en-US"/>
        </w:rPr>
        <w:t>.</w:t>
      </w:r>
      <w:r w:rsidR="00CC4A6F" w:rsidRPr="00DB04BA">
        <w:rPr>
          <w:rFonts w:ascii="Arial" w:hAnsi="Arial" w:cs="Arial"/>
          <w:bCs/>
          <w:color w:val="auto"/>
          <w:sz w:val="21"/>
          <w:szCs w:val="21"/>
          <w:lang w:eastAsia="en-US"/>
        </w:rPr>
        <w:t xml:space="preserve"> L’avanzo nell’interscambio di prodotti non energetici </w:t>
      </w:r>
      <w:r w:rsidR="00021BD3" w:rsidRPr="00DB04BA">
        <w:rPr>
          <w:rFonts w:ascii="Arial" w:hAnsi="Arial" w:cs="Arial"/>
          <w:bCs/>
          <w:color w:val="auto"/>
          <w:sz w:val="21"/>
          <w:szCs w:val="21"/>
          <w:lang w:eastAsia="en-US"/>
        </w:rPr>
        <w:t>si riduce</w:t>
      </w:r>
      <w:r w:rsidR="005B660E" w:rsidRPr="00DB04BA">
        <w:rPr>
          <w:rFonts w:ascii="Arial" w:hAnsi="Arial" w:cs="Arial"/>
          <w:bCs/>
          <w:color w:val="auto"/>
          <w:sz w:val="21"/>
          <w:szCs w:val="21"/>
          <w:lang w:eastAsia="en-US"/>
        </w:rPr>
        <w:t xml:space="preserve"> </w:t>
      </w:r>
      <w:r w:rsidR="00CC4A6F" w:rsidRPr="00DB04BA">
        <w:rPr>
          <w:rFonts w:ascii="Arial" w:hAnsi="Arial" w:cs="Arial"/>
          <w:bCs/>
          <w:color w:val="auto"/>
          <w:sz w:val="21"/>
          <w:szCs w:val="21"/>
          <w:lang w:eastAsia="en-US"/>
        </w:rPr>
        <w:t xml:space="preserve">da </w:t>
      </w:r>
      <w:r w:rsidR="00880B5B" w:rsidRPr="00880B5B">
        <w:rPr>
          <w:rFonts w:ascii="Arial" w:hAnsi="Arial" w:cs="Arial"/>
          <w:bCs/>
          <w:color w:val="auto"/>
          <w:sz w:val="21"/>
          <w:szCs w:val="21"/>
          <w:lang w:eastAsia="en-US"/>
        </w:rPr>
        <w:t>6.728</w:t>
      </w:r>
      <w:r w:rsidR="00814749" w:rsidRPr="00DB04BA">
        <w:rPr>
          <w:rFonts w:ascii="Arial" w:hAnsi="Arial" w:cs="Arial"/>
          <w:bCs/>
          <w:color w:val="auto"/>
          <w:sz w:val="21"/>
          <w:szCs w:val="21"/>
          <w:lang w:eastAsia="en-US"/>
        </w:rPr>
        <w:t xml:space="preserve"> </w:t>
      </w:r>
      <w:r w:rsidR="00CC4A6F" w:rsidRPr="00DB04BA">
        <w:rPr>
          <w:rFonts w:ascii="Arial" w:hAnsi="Arial" w:cs="Arial"/>
          <w:bCs/>
          <w:color w:val="auto"/>
          <w:sz w:val="21"/>
          <w:szCs w:val="21"/>
          <w:lang w:eastAsia="en-US"/>
        </w:rPr>
        <w:t xml:space="preserve">milioni di </w:t>
      </w:r>
      <w:r w:rsidR="00880B5B">
        <w:rPr>
          <w:rFonts w:ascii="Arial" w:hAnsi="Arial" w:cs="Arial"/>
          <w:bCs/>
          <w:color w:val="auto"/>
          <w:sz w:val="21"/>
          <w:szCs w:val="21"/>
          <w:lang w:eastAsia="en-US"/>
        </w:rPr>
        <w:t>gennaio 2024</w:t>
      </w:r>
      <w:r w:rsidR="0093009A" w:rsidRPr="00DB04BA">
        <w:rPr>
          <w:rFonts w:ascii="Arial" w:hAnsi="Arial" w:cs="Arial"/>
          <w:bCs/>
          <w:color w:val="auto"/>
          <w:sz w:val="21"/>
          <w:szCs w:val="21"/>
          <w:lang w:eastAsia="en-US"/>
        </w:rPr>
        <w:t xml:space="preserve"> a </w:t>
      </w:r>
      <w:r w:rsidR="00880B5B" w:rsidRPr="00880B5B">
        <w:rPr>
          <w:rFonts w:ascii="Arial" w:hAnsi="Arial" w:cs="Arial"/>
          <w:bCs/>
          <w:color w:val="auto"/>
          <w:sz w:val="21"/>
          <w:szCs w:val="21"/>
          <w:lang w:eastAsia="en-US"/>
        </w:rPr>
        <w:t>4.428</w:t>
      </w:r>
      <w:r w:rsidR="00880B5B">
        <w:rPr>
          <w:rFonts w:ascii="Arial" w:hAnsi="Arial" w:cs="Arial"/>
          <w:bCs/>
          <w:color w:val="auto"/>
          <w:sz w:val="21"/>
          <w:szCs w:val="21"/>
          <w:lang w:eastAsia="en-US"/>
        </w:rPr>
        <w:t xml:space="preserve"> </w:t>
      </w:r>
      <w:r w:rsidR="00CC4A6F" w:rsidRPr="00DB04BA">
        <w:rPr>
          <w:rFonts w:ascii="Arial" w:hAnsi="Arial" w:cs="Arial"/>
          <w:bCs/>
          <w:color w:val="auto"/>
          <w:sz w:val="21"/>
          <w:szCs w:val="21"/>
          <w:lang w:eastAsia="en-US"/>
        </w:rPr>
        <w:t xml:space="preserve">milioni di </w:t>
      </w:r>
      <w:r w:rsidR="00880B5B">
        <w:rPr>
          <w:rFonts w:ascii="Arial" w:hAnsi="Arial" w:cs="Arial"/>
          <w:bCs/>
          <w:color w:val="auto"/>
          <w:sz w:val="21"/>
          <w:szCs w:val="21"/>
          <w:lang w:eastAsia="en-US"/>
        </w:rPr>
        <w:t>gennaio 2025</w:t>
      </w:r>
      <w:r w:rsidR="00CC4A6F" w:rsidRPr="00DB04BA">
        <w:rPr>
          <w:rFonts w:ascii="Arial" w:hAnsi="Arial" w:cs="Arial"/>
          <w:bCs/>
          <w:color w:val="auto"/>
          <w:sz w:val="21"/>
          <w:szCs w:val="21"/>
          <w:lang w:eastAsia="en-US"/>
        </w:rPr>
        <w:t>.</w:t>
      </w:r>
    </w:p>
    <w:p w14:paraId="68ECB47A" w14:textId="2F32C0EC" w:rsidR="00091839" w:rsidRPr="00B47481" w:rsidRDefault="00E96B7E" w:rsidP="00353744">
      <w:pPr>
        <w:pStyle w:val="Paragrafoelenco"/>
        <w:numPr>
          <w:ilvl w:val="0"/>
          <w:numId w:val="22"/>
        </w:numPr>
        <w:contextualSpacing w:val="0"/>
        <w:rPr>
          <w:rFonts w:ascii="Arial" w:hAnsi="Arial" w:cs="Arial"/>
          <w:bCs/>
          <w:color w:val="auto"/>
          <w:sz w:val="21"/>
          <w:szCs w:val="21"/>
          <w:lang w:eastAsia="en-US"/>
        </w:rPr>
      </w:pPr>
      <w:r w:rsidRPr="00B47481">
        <w:rPr>
          <w:rFonts w:ascii="Arial" w:hAnsi="Arial" w:cs="Arial"/>
          <w:bCs/>
          <w:color w:val="auto"/>
          <w:sz w:val="21"/>
          <w:szCs w:val="21"/>
          <w:lang w:eastAsia="en-US"/>
        </w:rPr>
        <w:t>Nel mese di gennaio 2025 i prezzi all’importazione aumentano dello 0,4% su base mensile e dell’1,4% su base annua (era +0,1% a dicembre 2024)</w:t>
      </w:r>
      <w:r w:rsidR="00091839" w:rsidRPr="00B47481">
        <w:rPr>
          <w:rFonts w:ascii="Arial" w:hAnsi="Arial" w:cs="Arial"/>
          <w:bCs/>
          <w:color w:val="auto"/>
          <w:sz w:val="21"/>
          <w:szCs w:val="21"/>
          <w:lang w:eastAsia="en-US"/>
        </w:rPr>
        <w:t>.</w:t>
      </w:r>
    </w:p>
    <w:p w14:paraId="5BC1E8DE" w14:textId="645C4F9F" w:rsidR="00353744" w:rsidRPr="00B47481" w:rsidRDefault="00353744" w:rsidP="00F437A7">
      <w:pPr>
        <w:pStyle w:val="Paragrafoelenco"/>
        <w:numPr>
          <w:ilvl w:val="0"/>
          <w:numId w:val="22"/>
        </w:numPr>
        <w:spacing w:after="0"/>
        <w:ind w:left="357" w:hanging="357"/>
        <w:contextualSpacing w:val="0"/>
        <w:rPr>
          <w:rFonts w:ascii="Arial" w:hAnsi="Arial" w:cs="Arial"/>
          <w:bCs/>
          <w:color w:val="auto"/>
          <w:sz w:val="21"/>
          <w:szCs w:val="21"/>
          <w:lang w:eastAsia="en-US"/>
        </w:rPr>
      </w:pPr>
      <w:r w:rsidRPr="00B47481">
        <w:rPr>
          <w:rFonts w:ascii="Arial" w:hAnsi="Arial" w:cs="Arial"/>
          <w:color w:val="auto"/>
          <w:sz w:val="21"/>
          <w:szCs w:val="21"/>
        </w:rPr>
        <w:t>L’aggiornamento della base di calcolo a dicembre 2024</w:t>
      </w:r>
      <w:r w:rsidR="00645AF6" w:rsidRPr="00B47481">
        <w:rPr>
          <w:rFonts w:ascii="Arial" w:hAnsi="Arial" w:cs="Arial"/>
          <w:color w:val="auto"/>
          <w:sz w:val="21"/>
          <w:szCs w:val="21"/>
        </w:rPr>
        <w:t xml:space="preserve"> degli indici dei prezzi all’importazione – </w:t>
      </w:r>
      <w:r w:rsidRPr="00B47481">
        <w:rPr>
          <w:rFonts w:ascii="Arial" w:hAnsi="Arial" w:cs="Arial"/>
          <w:color w:val="auto"/>
          <w:sz w:val="21"/>
          <w:szCs w:val="21"/>
        </w:rPr>
        <w:t>la base di riferimento resta 2021=100 come per gli altri indicatori congiunturali</w:t>
      </w:r>
      <w:r w:rsidR="00645AF6" w:rsidRPr="00B47481">
        <w:rPr>
          <w:rFonts w:ascii="Arial" w:hAnsi="Arial" w:cs="Arial"/>
          <w:color w:val="auto"/>
          <w:sz w:val="21"/>
          <w:szCs w:val="21"/>
        </w:rPr>
        <w:t xml:space="preserve"> –</w:t>
      </w:r>
      <w:r w:rsidRPr="00B47481">
        <w:rPr>
          <w:rFonts w:ascii="Arial" w:hAnsi="Arial" w:cs="Arial"/>
          <w:color w:val="auto"/>
          <w:sz w:val="21"/>
          <w:szCs w:val="21"/>
        </w:rPr>
        <w:t xml:space="preserve"> è illustrato nella Nota informativa</w:t>
      </w:r>
      <w:r w:rsidR="00645AF6" w:rsidRPr="00B47481">
        <w:rPr>
          <w:rFonts w:ascii="Arial" w:hAnsi="Arial" w:cs="Arial"/>
          <w:color w:val="auto"/>
          <w:sz w:val="21"/>
          <w:szCs w:val="21"/>
        </w:rPr>
        <w:t>.</w:t>
      </w:r>
    </w:p>
    <w:p w14:paraId="4D2D692A" w14:textId="58E8F8EB" w:rsidR="00455ADD" w:rsidRPr="00F437A7" w:rsidRDefault="00455ADD" w:rsidP="00455ADD">
      <w:pPr>
        <w:pStyle w:val="Paragrafoelenco"/>
        <w:ind w:left="360"/>
        <w:rPr>
          <w:rFonts w:ascii="Arial" w:hAnsi="Arial" w:cs="Arial"/>
          <w:bCs/>
          <w:color w:val="auto"/>
          <w:sz w:val="10"/>
          <w:szCs w:val="10"/>
          <w:lang w:eastAsia="en-US"/>
        </w:rPr>
      </w:pPr>
    </w:p>
    <w:p w14:paraId="52EE1F34" w14:textId="3AEC8837" w:rsidR="00221C0F" w:rsidRPr="00872147" w:rsidRDefault="00EC535A" w:rsidP="00CA08B9">
      <w:pPr>
        <w:pStyle w:val="Paragrafoelenco"/>
        <w:ind w:left="360"/>
        <w:contextualSpacing w:val="0"/>
        <w:rPr>
          <w:rFonts w:ascii="Arial" w:hAnsi="Arial" w:cs="Arial"/>
          <w:bCs/>
          <w:color w:val="auto"/>
          <w:sz w:val="10"/>
          <w:szCs w:val="10"/>
          <w:lang w:eastAsia="en-US"/>
        </w:rPr>
      </w:pPr>
      <w:r w:rsidRPr="004F13FA">
        <w:rPr>
          <w:noProof/>
          <w:highlight w:val="yellow"/>
          <w:lang w:eastAsia="it-IT"/>
        </w:rPr>
        <w:drawing>
          <wp:anchor distT="0" distB="0" distL="114300" distR="114300" simplePos="0" relativeHeight="251658240" behindDoc="0" locked="0" layoutInCell="1" allowOverlap="1" wp14:anchorId="1BEE51EF" wp14:editId="25858C3C">
            <wp:simplePos x="0" y="0"/>
            <wp:positionH relativeFrom="column">
              <wp:posOffset>-54610</wp:posOffset>
            </wp:positionH>
            <wp:positionV relativeFrom="paragraph">
              <wp:posOffset>31115</wp:posOffset>
            </wp:positionV>
            <wp:extent cx="752475" cy="719455"/>
            <wp:effectExtent l="0" t="0" r="9525" b="4445"/>
            <wp:wrapNone/>
            <wp:docPr id="260" name="Immagin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52475" cy="719455"/>
                    </a:xfrm>
                    <a:prstGeom prst="rect">
                      <a:avLst/>
                    </a:prstGeom>
                    <a:noFill/>
                  </pic:spPr>
                </pic:pic>
              </a:graphicData>
            </a:graphic>
            <wp14:sizeRelH relativeFrom="margin">
              <wp14:pctWidth>0</wp14:pctWidth>
            </wp14:sizeRelH>
            <wp14:sizeRelV relativeFrom="margin">
              <wp14:pctHeight>0</wp14:pctHeight>
            </wp14:sizeRelV>
          </wp:anchor>
        </w:drawing>
      </w:r>
      <w:r w:rsidR="00EA1812" w:rsidRPr="00954729">
        <w:rPr>
          <w:rFonts w:ascii="Arial" w:hAnsi="Arial" w:cs="Arial"/>
          <w:bCs/>
          <w:color w:val="auto"/>
          <w:sz w:val="21"/>
          <w:szCs w:val="21"/>
          <w:lang w:eastAsia="en-US"/>
        </w:rPr>
        <w:t xml:space="preserve"> </w:t>
      </w:r>
    </w:p>
    <w:p w14:paraId="214C5075" w14:textId="52D24D87" w:rsidR="00AC73B4" w:rsidRPr="00221C0F" w:rsidRDefault="00AC73B4" w:rsidP="00221C0F">
      <w:pPr>
        <w:spacing w:after="60"/>
        <w:rPr>
          <w:rFonts w:ascii="Arial" w:hAnsi="Arial" w:cs="Arial"/>
          <w:bCs/>
          <w:sz w:val="2"/>
          <w:szCs w:val="2"/>
          <w:lang w:eastAsia="en-US"/>
        </w:rPr>
      </w:pPr>
    </w:p>
    <w:p w14:paraId="07B759FF" w14:textId="77777777" w:rsidR="00710291" w:rsidRPr="00710291" w:rsidRDefault="008B0A95" w:rsidP="005622DB">
      <w:pPr>
        <w:pStyle w:val="Paragrafoelenco"/>
        <w:spacing w:after="0"/>
        <w:ind w:left="357"/>
        <w:contextualSpacing w:val="0"/>
        <w:rPr>
          <w:rFonts w:ascii="Arial" w:hAnsi="Arial" w:cs="Arial"/>
          <w:bCs/>
          <w:color w:val="auto"/>
          <w:sz w:val="8"/>
          <w:szCs w:val="21"/>
          <w:lang w:eastAsia="en-US"/>
        </w:rPr>
      </w:pPr>
      <w:r>
        <w:rPr>
          <w:rFonts w:ascii="Arial" w:hAnsi="Arial" w:cs="Arial"/>
          <w:bCs/>
          <w:sz w:val="21"/>
          <w:szCs w:val="21"/>
          <w:lang w:eastAsia="en-US"/>
        </w:rPr>
        <w:t xml:space="preserve"> </w:t>
      </w: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6"/>
        <w:gridCol w:w="3290"/>
      </w:tblGrid>
      <w:tr w:rsidR="00F527AD" w:rsidRPr="002578CE" w14:paraId="65656644" w14:textId="77777777" w:rsidTr="00053850">
        <w:trPr>
          <w:trHeight w:val="115"/>
        </w:trPr>
        <w:tc>
          <w:tcPr>
            <w:tcW w:w="6916" w:type="dxa"/>
            <w:vMerge w:val="restart"/>
            <w:tcBorders>
              <w:top w:val="nil"/>
              <w:left w:val="single" w:sz="4" w:space="0" w:color="FFFFFF"/>
              <w:right w:val="single" w:sz="48" w:space="0" w:color="FFFFFF"/>
            </w:tcBorders>
            <w:shd w:val="clear" w:color="auto" w:fill="D9D9D9"/>
          </w:tcPr>
          <w:p w14:paraId="200435AC" w14:textId="2320C32E" w:rsidR="00016974" w:rsidRPr="005337F8" w:rsidRDefault="005301CF" w:rsidP="00FE2840">
            <w:pPr>
              <w:pStyle w:val="Paragrafobase"/>
              <w:spacing w:before="40" w:after="120" w:line="140" w:lineRule="atLeast"/>
              <w:rPr>
                <w:rFonts w:ascii="Arial" w:hAnsi="Arial" w:cs="Arial"/>
                <w:sz w:val="21"/>
                <w:szCs w:val="21"/>
              </w:rPr>
            </w:pPr>
            <w:r w:rsidRPr="005337F8">
              <w:rPr>
                <w:noProof/>
              </w:rPr>
              <w:drawing>
                <wp:anchor distT="0" distB="0" distL="114300" distR="114300" simplePos="0" relativeHeight="251659264" behindDoc="0" locked="0" layoutInCell="1" allowOverlap="1" wp14:anchorId="004BD0DA" wp14:editId="7797F736">
                  <wp:simplePos x="0" y="0"/>
                  <wp:positionH relativeFrom="column">
                    <wp:posOffset>5989320</wp:posOffset>
                  </wp:positionH>
                  <wp:positionV relativeFrom="paragraph">
                    <wp:posOffset>44450</wp:posOffset>
                  </wp:positionV>
                  <wp:extent cx="657225" cy="638175"/>
                  <wp:effectExtent l="0" t="0" r="0" b="0"/>
                  <wp:wrapNone/>
                  <wp:docPr id="259" name="Immagine 3" descr="Descrizione: iconeComunicati-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Descrizione: iconeComunicati-0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57225" cy="638175"/>
                          </a:xfrm>
                          <a:prstGeom prst="rect">
                            <a:avLst/>
                          </a:prstGeom>
                          <a:noFill/>
                          <a:ln>
                            <a:noFill/>
                          </a:ln>
                        </pic:spPr>
                      </pic:pic>
                    </a:graphicData>
                  </a:graphic>
                </wp:anchor>
              </w:drawing>
            </w:r>
            <w:r w:rsidR="00F527AD" w:rsidRPr="005337F8">
              <w:rPr>
                <w:rFonts w:ascii="Arial" w:hAnsi="Arial" w:cs="Arial"/>
                <w:sz w:val="22"/>
                <w:szCs w:val="22"/>
              </w:rPr>
              <w:t xml:space="preserve">                  </w:t>
            </w:r>
            <w:r w:rsidR="00F527AD" w:rsidRPr="005337F8">
              <w:rPr>
                <w:rFonts w:ascii="Calibri" w:hAnsi="Calibri" w:cs="Arial"/>
                <w:color w:val="E41C18"/>
                <w:sz w:val="56"/>
                <w:szCs w:val="56"/>
              </w:rPr>
              <w:t>Il commento</w:t>
            </w:r>
          </w:p>
          <w:p w14:paraId="33D4A9EF" w14:textId="7325A2BF" w:rsidR="00B81D6C" w:rsidRPr="005337F8" w:rsidRDefault="00AE727C" w:rsidP="00836297">
            <w:pPr>
              <w:spacing w:before="40"/>
              <w:jc w:val="both"/>
              <w:rPr>
                <w:rFonts w:ascii="Arial" w:hAnsi="Arial" w:cs="Arial"/>
                <w:sz w:val="21"/>
                <w:szCs w:val="21"/>
              </w:rPr>
            </w:pPr>
            <w:bookmarkStart w:id="1" w:name="_Hlk184971786"/>
            <w:r w:rsidRPr="005337F8">
              <w:rPr>
                <w:rFonts w:ascii="Arial" w:hAnsi="Arial" w:cs="Arial"/>
                <w:sz w:val="21"/>
                <w:szCs w:val="21"/>
              </w:rPr>
              <w:t xml:space="preserve">A </w:t>
            </w:r>
            <w:r w:rsidR="00835371" w:rsidRPr="005337F8">
              <w:rPr>
                <w:rFonts w:ascii="Arial" w:hAnsi="Arial" w:cs="Arial"/>
                <w:sz w:val="21"/>
                <w:szCs w:val="21"/>
              </w:rPr>
              <w:t>gennaio</w:t>
            </w:r>
            <w:r w:rsidR="006E685C" w:rsidRPr="005337F8">
              <w:rPr>
                <w:rFonts w:ascii="Arial" w:hAnsi="Arial" w:cs="Arial"/>
                <w:sz w:val="21"/>
                <w:szCs w:val="21"/>
              </w:rPr>
              <w:t xml:space="preserve">, </w:t>
            </w:r>
            <w:r w:rsidR="00431834" w:rsidRPr="005337F8">
              <w:rPr>
                <w:rFonts w:ascii="Arial" w:hAnsi="Arial" w:cs="Arial"/>
                <w:sz w:val="21"/>
                <w:szCs w:val="21"/>
              </w:rPr>
              <w:t xml:space="preserve">la </w:t>
            </w:r>
            <w:r w:rsidR="00F437A7" w:rsidRPr="005337F8">
              <w:rPr>
                <w:rFonts w:ascii="Arial" w:hAnsi="Arial" w:cs="Arial"/>
                <w:sz w:val="21"/>
                <w:szCs w:val="21"/>
              </w:rPr>
              <w:t>moderata</w:t>
            </w:r>
            <w:r w:rsidR="00FE2840" w:rsidRPr="005337F8">
              <w:rPr>
                <w:rFonts w:ascii="Arial" w:hAnsi="Arial" w:cs="Arial"/>
                <w:sz w:val="21"/>
                <w:szCs w:val="21"/>
              </w:rPr>
              <w:t xml:space="preserve"> </w:t>
            </w:r>
            <w:r w:rsidRPr="005337F8">
              <w:rPr>
                <w:rFonts w:ascii="Arial" w:hAnsi="Arial" w:cs="Arial"/>
                <w:sz w:val="21"/>
                <w:szCs w:val="21"/>
              </w:rPr>
              <w:t>crescita</w:t>
            </w:r>
            <w:r w:rsidR="009B00E9" w:rsidRPr="005337F8">
              <w:rPr>
                <w:rFonts w:ascii="Arial" w:hAnsi="Arial" w:cs="Arial"/>
                <w:sz w:val="21"/>
                <w:szCs w:val="21"/>
              </w:rPr>
              <w:t xml:space="preserve"> congiunturale del</w:t>
            </w:r>
            <w:r w:rsidR="006E685C" w:rsidRPr="005337F8">
              <w:rPr>
                <w:rFonts w:ascii="Arial" w:hAnsi="Arial" w:cs="Arial"/>
                <w:sz w:val="21"/>
                <w:szCs w:val="21"/>
              </w:rPr>
              <w:t>l’export</w:t>
            </w:r>
            <w:r w:rsidR="007D6A28" w:rsidRPr="005337F8">
              <w:rPr>
                <w:rFonts w:ascii="Arial" w:hAnsi="Arial" w:cs="Arial"/>
                <w:sz w:val="21"/>
                <w:szCs w:val="21"/>
              </w:rPr>
              <w:t xml:space="preserve"> </w:t>
            </w:r>
            <w:r w:rsidR="009E6C4E" w:rsidRPr="005337F8">
              <w:rPr>
                <w:rFonts w:ascii="Arial" w:hAnsi="Arial" w:cs="Arial"/>
                <w:sz w:val="21"/>
                <w:szCs w:val="21"/>
              </w:rPr>
              <w:t xml:space="preserve">è </w:t>
            </w:r>
            <w:r w:rsidR="00FE2840" w:rsidRPr="005337F8">
              <w:rPr>
                <w:rFonts w:ascii="Arial" w:hAnsi="Arial" w:cs="Arial"/>
                <w:sz w:val="21"/>
                <w:szCs w:val="21"/>
              </w:rPr>
              <w:t>sostenuta dalle vendite verso l’area Ue</w:t>
            </w:r>
            <w:r w:rsidR="00AD0824">
              <w:rPr>
                <w:rFonts w:ascii="Arial" w:hAnsi="Arial" w:cs="Arial"/>
                <w:sz w:val="21"/>
                <w:szCs w:val="21"/>
              </w:rPr>
              <w:t>; l</w:t>
            </w:r>
            <w:r w:rsidR="00FE2840" w:rsidRPr="005337F8">
              <w:rPr>
                <w:rFonts w:ascii="Arial" w:hAnsi="Arial" w:cs="Arial"/>
                <w:sz w:val="21"/>
                <w:szCs w:val="21"/>
              </w:rPr>
              <w:t>’aumento su base mensile dell</w:t>
            </w:r>
            <w:r w:rsidR="009E6C4E" w:rsidRPr="005337F8">
              <w:rPr>
                <w:rFonts w:ascii="Arial" w:hAnsi="Arial" w:cs="Arial"/>
                <w:sz w:val="21"/>
                <w:szCs w:val="21"/>
              </w:rPr>
              <w:t>’import</w:t>
            </w:r>
            <w:r w:rsidR="00B203B3" w:rsidRPr="005337F8">
              <w:rPr>
                <w:rFonts w:ascii="Arial" w:hAnsi="Arial" w:cs="Arial"/>
                <w:sz w:val="21"/>
                <w:szCs w:val="21"/>
              </w:rPr>
              <w:t>, invece,</w:t>
            </w:r>
            <w:r w:rsidR="00846B17" w:rsidRPr="005337F8">
              <w:rPr>
                <w:rFonts w:ascii="Arial" w:hAnsi="Arial" w:cs="Arial"/>
                <w:sz w:val="21"/>
                <w:szCs w:val="21"/>
              </w:rPr>
              <w:t xml:space="preserve"> coinvolge entrambe le aree, Ue ed extra-Ue</w:t>
            </w:r>
            <w:r w:rsidR="00E860AD" w:rsidRPr="005337F8">
              <w:rPr>
                <w:rFonts w:ascii="Arial" w:hAnsi="Arial" w:cs="Arial"/>
                <w:sz w:val="21"/>
                <w:szCs w:val="21"/>
              </w:rPr>
              <w:t>.</w:t>
            </w:r>
          </w:p>
          <w:p w14:paraId="65A2C17C" w14:textId="1EA24C0E" w:rsidR="0071006D" w:rsidRPr="005337F8" w:rsidRDefault="005E6994" w:rsidP="00836297">
            <w:pPr>
              <w:jc w:val="both"/>
              <w:rPr>
                <w:rFonts w:ascii="Arial" w:hAnsi="Arial" w:cs="Arial"/>
                <w:sz w:val="21"/>
                <w:szCs w:val="21"/>
              </w:rPr>
            </w:pPr>
            <w:r w:rsidRPr="005337F8">
              <w:rPr>
                <w:rFonts w:ascii="Arial" w:hAnsi="Arial" w:cs="Arial"/>
                <w:sz w:val="21"/>
                <w:szCs w:val="21"/>
              </w:rPr>
              <w:t>Su</w:t>
            </w:r>
            <w:r w:rsidR="00D26A66" w:rsidRPr="005337F8">
              <w:rPr>
                <w:rFonts w:ascii="Arial" w:hAnsi="Arial" w:cs="Arial"/>
                <w:sz w:val="21"/>
                <w:szCs w:val="21"/>
              </w:rPr>
              <w:t xml:space="preserve"> base annua, </w:t>
            </w:r>
            <w:r w:rsidR="00FE2840" w:rsidRPr="005337F8">
              <w:rPr>
                <w:rFonts w:ascii="Arial" w:hAnsi="Arial" w:cs="Arial"/>
                <w:sz w:val="21"/>
                <w:szCs w:val="21"/>
              </w:rPr>
              <w:t>la crescita dell’</w:t>
            </w:r>
            <w:r w:rsidRPr="005337F8">
              <w:rPr>
                <w:rFonts w:ascii="Arial" w:hAnsi="Arial" w:cs="Arial"/>
                <w:sz w:val="21"/>
                <w:szCs w:val="21"/>
              </w:rPr>
              <w:t>export</w:t>
            </w:r>
            <w:r w:rsidR="00FE2840" w:rsidRPr="005337F8">
              <w:rPr>
                <w:rFonts w:ascii="Arial" w:hAnsi="Arial" w:cs="Arial"/>
                <w:sz w:val="21"/>
                <w:szCs w:val="21"/>
              </w:rPr>
              <w:t xml:space="preserve"> in valore </w:t>
            </w:r>
            <w:r w:rsidR="001321B0" w:rsidRPr="005337F8">
              <w:rPr>
                <w:rFonts w:ascii="Arial" w:hAnsi="Arial" w:cs="Arial"/>
                <w:sz w:val="21"/>
                <w:szCs w:val="21"/>
              </w:rPr>
              <w:t>è</w:t>
            </w:r>
            <w:r w:rsidR="00846B17" w:rsidRPr="005337F8">
              <w:rPr>
                <w:rFonts w:ascii="Arial" w:hAnsi="Arial" w:cs="Arial"/>
                <w:sz w:val="21"/>
                <w:szCs w:val="21"/>
              </w:rPr>
              <w:t xml:space="preserve"> trainata</w:t>
            </w:r>
            <w:r w:rsidR="0020115A" w:rsidRPr="005337F8">
              <w:rPr>
                <w:rFonts w:ascii="Arial" w:hAnsi="Arial" w:cs="Arial"/>
                <w:sz w:val="21"/>
                <w:szCs w:val="21"/>
              </w:rPr>
              <w:t xml:space="preserve"> </w:t>
            </w:r>
            <w:r w:rsidR="00574757">
              <w:rPr>
                <w:rFonts w:ascii="Arial" w:hAnsi="Arial" w:cs="Arial"/>
                <w:sz w:val="21"/>
                <w:szCs w:val="21"/>
              </w:rPr>
              <w:t>soprattutto</w:t>
            </w:r>
            <w:r w:rsidR="00D26A66" w:rsidRPr="005337F8">
              <w:rPr>
                <w:rFonts w:ascii="Arial" w:hAnsi="Arial" w:cs="Arial"/>
                <w:sz w:val="21"/>
                <w:szCs w:val="21"/>
              </w:rPr>
              <w:t xml:space="preserve"> </w:t>
            </w:r>
            <w:r w:rsidR="00846B17" w:rsidRPr="005337F8">
              <w:rPr>
                <w:rFonts w:ascii="Arial" w:hAnsi="Arial" w:cs="Arial"/>
                <w:sz w:val="21"/>
                <w:szCs w:val="21"/>
              </w:rPr>
              <w:t>dall</w:t>
            </w:r>
            <w:r w:rsidR="00550B59">
              <w:rPr>
                <w:rFonts w:ascii="Arial" w:hAnsi="Arial" w:cs="Arial"/>
                <w:sz w:val="21"/>
                <w:szCs w:val="21"/>
              </w:rPr>
              <w:t xml:space="preserve">e maggiori </w:t>
            </w:r>
            <w:r w:rsidR="00846B17" w:rsidRPr="005337F8">
              <w:rPr>
                <w:rFonts w:ascii="Arial" w:hAnsi="Arial" w:cs="Arial"/>
                <w:sz w:val="21"/>
                <w:szCs w:val="21"/>
              </w:rPr>
              <w:t xml:space="preserve">vendite </w:t>
            </w:r>
            <w:r w:rsidR="00183AA5" w:rsidRPr="005337F8">
              <w:rPr>
                <w:rFonts w:ascii="Arial" w:hAnsi="Arial" w:cs="Arial"/>
                <w:sz w:val="21"/>
                <w:szCs w:val="21"/>
              </w:rPr>
              <w:t xml:space="preserve">del settore farmaceutico, mentre </w:t>
            </w:r>
            <w:r w:rsidR="00B203B3" w:rsidRPr="005337F8">
              <w:rPr>
                <w:rFonts w:ascii="Arial" w:hAnsi="Arial" w:cs="Arial"/>
                <w:sz w:val="21"/>
                <w:szCs w:val="21"/>
              </w:rPr>
              <w:t>un freno deriva dal</w:t>
            </w:r>
            <w:r w:rsidR="00183AA5" w:rsidRPr="005337F8">
              <w:rPr>
                <w:rFonts w:ascii="Arial" w:hAnsi="Arial" w:cs="Arial"/>
                <w:sz w:val="21"/>
                <w:szCs w:val="21"/>
              </w:rPr>
              <w:t xml:space="preserve">le minori </w:t>
            </w:r>
            <w:r w:rsidR="00F437A7" w:rsidRPr="005337F8">
              <w:rPr>
                <w:rFonts w:ascii="Arial" w:hAnsi="Arial" w:cs="Arial"/>
                <w:sz w:val="21"/>
                <w:szCs w:val="21"/>
              </w:rPr>
              <w:t>esportazioni</w:t>
            </w:r>
            <w:r w:rsidR="00183AA5" w:rsidRPr="005337F8">
              <w:rPr>
                <w:rFonts w:ascii="Arial" w:hAnsi="Arial" w:cs="Arial"/>
                <w:sz w:val="21"/>
                <w:szCs w:val="21"/>
              </w:rPr>
              <w:t xml:space="preserve"> di autoveicoli, prodotti della raffinazione</w:t>
            </w:r>
            <w:r w:rsidR="00574757">
              <w:rPr>
                <w:rFonts w:ascii="Arial" w:hAnsi="Arial" w:cs="Arial"/>
                <w:sz w:val="21"/>
                <w:szCs w:val="21"/>
              </w:rPr>
              <w:t xml:space="preserve">, </w:t>
            </w:r>
            <w:r w:rsidR="00183AA5" w:rsidRPr="005337F8">
              <w:rPr>
                <w:rFonts w:ascii="Arial" w:hAnsi="Arial" w:cs="Arial"/>
                <w:sz w:val="21"/>
                <w:szCs w:val="21"/>
              </w:rPr>
              <w:t>abbigliamento</w:t>
            </w:r>
            <w:r w:rsidR="00574757">
              <w:rPr>
                <w:rFonts w:ascii="Arial" w:hAnsi="Arial" w:cs="Arial"/>
                <w:sz w:val="21"/>
                <w:szCs w:val="21"/>
              </w:rPr>
              <w:t xml:space="preserve"> e macchinari</w:t>
            </w:r>
            <w:r w:rsidR="00D26A66" w:rsidRPr="005337F8">
              <w:rPr>
                <w:rFonts w:ascii="Arial" w:hAnsi="Arial" w:cs="Arial"/>
                <w:sz w:val="21"/>
                <w:szCs w:val="21"/>
              </w:rPr>
              <w:t>.</w:t>
            </w:r>
            <w:r w:rsidR="001321B0" w:rsidRPr="005337F8">
              <w:rPr>
                <w:rFonts w:ascii="Arial" w:hAnsi="Arial" w:cs="Arial"/>
                <w:sz w:val="21"/>
                <w:szCs w:val="21"/>
              </w:rPr>
              <w:t xml:space="preserve"> </w:t>
            </w:r>
            <w:r w:rsidR="00F437A7" w:rsidRPr="005337F8">
              <w:rPr>
                <w:rFonts w:ascii="Arial" w:hAnsi="Arial" w:cs="Arial"/>
                <w:sz w:val="21"/>
                <w:szCs w:val="21"/>
              </w:rPr>
              <w:t xml:space="preserve">II forte </w:t>
            </w:r>
            <w:r w:rsidR="00923A55">
              <w:rPr>
                <w:rFonts w:ascii="Arial" w:hAnsi="Arial" w:cs="Arial"/>
                <w:sz w:val="21"/>
                <w:szCs w:val="21"/>
              </w:rPr>
              <w:t>in</w:t>
            </w:r>
            <w:r w:rsidR="00F437A7" w:rsidRPr="005337F8">
              <w:rPr>
                <w:rFonts w:ascii="Arial" w:hAnsi="Arial" w:cs="Arial"/>
                <w:sz w:val="21"/>
                <w:szCs w:val="21"/>
              </w:rPr>
              <w:t xml:space="preserve">cremento tendenziale dell’import è per oltre la metà </w:t>
            </w:r>
            <w:r w:rsidR="00560DE1">
              <w:rPr>
                <w:rFonts w:ascii="Arial" w:hAnsi="Arial" w:cs="Arial"/>
                <w:sz w:val="21"/>
                <w:szCs w:val="21"/>
              </w:rPr>
              <w:t>determinato da</w:t>
            </w:r>
            <w:r w:rsidR="00550B59">
              <w:rPr>
                <w:rFonts w:ascii="Arial" w:hAnsi="Arial" w:cs="Arial"/>
                <w:sz w:val="21"/>
                <w:szCs w:val="21"/>
              </w:rPr>
              <w:t xml:space="preserve">ll’aumento degli </w:t>
            </w:r>
            <w:r w:rsidR="00F437A7" w:rsidRPr="005337F8">
              <w:rPr>
                <w:rFonts w:ascii="Arial" w:hAnsi="Arial" w:cs="Arial"/>
                <w:sz w:val="21"/>
                <w:szCs w:val="21"/>
              </w:rPr>
              <w:t xml:space="preserve">acquisti di prodotti chimici, metalli </w:t>
            </w:r>
            <w:r w:rsidR="00923A55">
              <w:rPr>
                <w:rFonts w:ascii="Arial" w:hAnsi="Arial" w:cs="Arial"/>
                <w:sz w:val="21"/>
                <w:szCs w:val="21"/>
              </w:rPr>
              <w:t xml:space="preserve">di base </w:t>
            </w:r>
            <w:r w:rsidR="00574757">
              <w:rPr>
                <w:rFonts w:ascii="Arial" w:hAnsi="Arial" w:cs="Arial"/>
                <w:sz w:val="21"/>
                <w:szCs w:val="21"/>
              </w:rPr>
              <w:t xml:space="preserve">e prodotti in metallo </w:t>
            </w:r>
            <w:r w:rsidR="00F437A7" w:rsidRPr="005337F8">
              <w:rPr>
                <w:rFonts w:ascii="Arial" w:hAnsi="Arial" w:cs="Arial"/>
                <w:sz w:val="21"/>
                <w:szCs w:val="21"/>
              </w:rPr>
              <w:t xml:space="preserve">e </w:t>
            </w:r>
            <w:r w:rsidR="00923A55">
              <w:rPr>
                <w:rFonts w:ascii="Arial" w:hAnsi="Arial" w:cs="Arial"/>
                <w:sz w:val="21"/>
                <w:szCs w:val="21"/>
              </w:rPr>
              <w:t xml:space="preserve">prodotti </w:t>
            </w:r>
            <w:r w:rsidR="00F437A7" w:rsidRPr="005337F8">
              <w:rPr>
                <w:rFonts w:ascii="Arial" w:hAnsi="Arial" w:cs="Arial"/>
                <w:sz w:val="21"/>
                <w:szCs w:val="21"/>
              </w:rPr>
              <w:t>farmaceutici.</w:t>
            </w:r>
          </w:p>
          <w:p w14:paraId="687BFF9E" w14:textId="7BCFCAB6" w:rsidR="00455ADD" w:rsidRPr="005337F8" w:rsidRDefault="00FE2840" w:rsidP="00FB59DF">
            <w:pPr>
              <w:spacing w:after="60"/>
              <w:jc w:val="both"/>
              <w:rPr>
                <w:rFonts w:ascii="Arial" w:hAnsi="Arial" w:cs="Arial"/>
                <w:sz w:val="21"/>
                <w:szCs w:val="21"/>
              </w:rPr>
            </w:pPr>
            <w:r w:rsidRPr="005337F8">
              <w:rPr>
                <w:rFonts w:ascii="Arial" w:hAnsi="Arial" w:cs="Arial"/>
                <w:sz w:val="21"/>
                <w:szCs w:val="21"/>
              </w:rPr>
              <w:t xml:space="preserve">L’andamento degli scambi con l’estero, a inizio 2025, si traduce in un disavanzo </w:t>
            </w:r>
            <w:r w:rsidR="00FB4508" w:rsidRPr="005337F8">
              <w:rPr>
                <w:rFonts w:ascii="Arial" w:hAnsi="Arial" w:cs="Arial"/>
                <w:sz w:val="21"/>
                <w:szCs w:val="21"/>
              </w:rPr>
              <w:t>commerciale</w:t>
            </w:r>
            <w:r w:rsidRPr="005337F8">
              <w:rPr>
                <w:rFonts w:ascii="Arial" w:hAnsi="Arial" w:cs="Arial"/>
                <w:sz w:val="21"/>
                <w:szCs w:val="21"/>
              </w:rPr>
              <w:t xml:space="preserve"> molto contenuto.</w:t>
            </w:r>
            <w:r w:rsidR="00F437A7" w:rsidRPr="005337F8">
              <w:rPr>
                <w:rFonts w:ascii="Arial" w:hAnsi="Arial" w:cs="Arial"/>
                <w:sz w:val="21"/>
                <w:szCs w:val="21"/>
              </w:rPr>
              <w:t xml:space="preserve"> </w:t>
            </w:r>
            <w:r w:rsidRPr="005337F8">
              <w:rPr>
                <w:rFonts w:ascii="Arial" w:hAnsi="Arial" w:cs="Arial"/>
                <w:sz w:val="21"/>
                <w:szCs w:val="21"/>
              </w:rPr>
              <w:t>In lieve peggioramento il deficit energetico</w:t>
            </w:r>
            <w:r w:rsidR="00455ADD" w:rsidRPr="005337F8">
              <w:rPr>
                <w:rFonts w:ascii="Arial" w:hAnsi="Arial" w:cs="Arial"/>
                <w:sz w:val="21"/>
                <w:szCs w:val="21"/>
              </w:rPr>
              <w:t>.</w:t>
            </w:r>
          </w:p>
          <w:bookmarkEnd w:id="1"/>
          <w:p w14:paraId="400A8062" w14:textId="18FC6630" w:rsidR="00307104" w:rsidRPr="005337F8" w:rsidRDefault="009B00E9" w:rsidP="00923A55">
            <w:pPr>
              <w:spacing w:after="60"/>
              <w:jc w:val="both"/>
              <w:rPr>
                <w:rFonts w:ascii="Arial" w:hAnsi="Arial" w:cs="Arial"/>
                <w:sz w:val="21"/>
                <w:szCs w:val="21"/>
              </w:rPr>
            </w:pPr>
            <w:r w:rsidRPr="005337F8">
              <w:rPr>
                <w:rFonts w:ascii="Arial" w:hAnsi="Arial" w:cs="Arial"/>
                <w:sz w:val="21"/>
                <w:szCs w:val="21"/>
              </w:rPr>
              <w:t>I prezzi all’import</w:t>
            </w:r>
            <w:r w:rsidR="005337F8">
              <w:rPr>
                <w:rFonts w:ascii="Arial" w:hAnsi="Arial" w:cs="Arial"/>
                <w:sz w:val="21"/>
                <w:szCs w:val="21"/>
              </w:rPr>
              <w:t xml:space="preserve"> </w:t>
            </w:r>
            <w:r w:rsidR="00836297">
              <w:rPr>
                <w:rFonts w:ascii="Arial" w:hAnsi="Arial" w:cs="Arial"/>
                <w:sz w:val="21"/>
                <w:szCs w:val="21"/>
              </w:rPr>
              <w:t>segnano</w:t>
            </w:r>
            <w:r w:rsidR="00574757">
              <w:rPr>
                <w:rFonts w:ascii="Arial" w:hAnsi="Arial" w:cs="Arial"/>
                <w:sz w:val="21"/>
                <w:szCs w:val="21"/>
              </w:rPr>
              <w:t xml:space="preserve"> un nuovo </w:t>
            </w:r>
            <w:r w:rsidR="005337F8">
              <w:rPr>
                <w:rFonts w:ascii="Arial" w:hAnsi="Arial" w:cs="Arial"/>
                <w:sz w:val="21"/>
                <w:szCs w:val="21"/>
              </w:rPr>
              <w:t>aumento</w:t>
            </w:r>
            <w:r w:rsidR="00FE2840" w:rsidRPr="005337F8">
              <w:rPr>
                <w:rFonts w:ascii="Arial" w:hAnsi="Arial" w:cs="Arial"/>
                <w:sz w:val="21"/>
                <w:szCs w:val="21"/>
              </w:rPr>
              <w:t xml:space="preserve"> </w:t>
            </w:r>
            <w:r w:rsidR="00574757">
              <w:rPr>
                <w:rFonts w:ascii="Arial" w:hAnsi="Arial" w:cs="Arial"/>
                <w:sz w:val="21"/>
                <w:szCs w:val="21"/>
              </w:rPr>
              <w:t>congiunturale</w:t>
            </w:r>
            <w:r w:rsidR="00FE2840" w:rsidRPr="005337F8">
              <w:rPr>
                <w:rFonts w:ascii="Arial" w:hAnsi="Arial" w:cs="Arial"/>
                <w:sz w:val="21"/>
                <w:szCs w:val="21"/>
              </w:rPr>
              <w:t xml:space="preserve"> e </w:t>
            </w:r>
            <w:r w:rsidR="00096705" w:rsidRPr="005337F8">
              <w:rPr>
                <w:rFonts w:ascii="Arial" w:hAnsi="Arial" w:cs="Arial"/>
                <w:sz w:val="21"/>
                <w:szCs w:val="21"/>
              </w:rPr>
              <w:t>mostrano</w:t>
            </w:r>
            <w:r w:rsidR="005A1C03" w:rsidRPr="005337F8">
              <w:rPr>
                <w:rFonts w:ascii="Arial" w:hAnsi="Arial" w:cs="Arial"/>
                <w:sz w:val="21"/>
                <w:szCs w:val="21"/>
              </w:rPr>
              <w:t xml:space="preserve"> un</w:t>
            </w:r>
            <w:r w:rsidR="00F437A7" w:rsidRPr="005337F8">
              <w:rPr>
                <w:rFonts w:ascii="Arial" w:hAnsi="Arial" w:cs="Arial"/>
                <w:sz w:val="21"/>
                <w:szCs w:val="21"/>
              </w:rPr>
              <w:t xml:space="preserve">’accelerazione della crescita tendenziale. </w:t>
            </w:r>
            <w:r w:rsidR="00506A09">
              <w:rPr>
                <w:rFonts w:ascii="Arial" w:hAnsi="Arial" w:cs="Arial"/>
                <w:sz w:val="21"/>
                <w:szCs w:val="21"/>
              </w:rPr>
              <w:t xml:space="preserve">Spiegano tali </w:t>
            </w:r>
            <w:r w:rsidR="005337F8">
              <w:rPr>
                <w:rFonts w:ascii="Arial" w:hAnsi="Arial" w:cs="Arial"/>
                <w:sz w:val="21"/>
                <w:szCs w:val="21"/>
              </w:rPr>
              <w:t xml:space="preserve">dinamiche </w:t>
            </w:r>
            <w:r w:rsidR="005337F8" w:rsidRPr="005337F8">
              <w:rPr>
                <w:rFonts w:ascii="Arial" w:hAnsi="Arial" w:cs="Arial"/>
                <w:sz w:val="21"/>
                <w:szCs w:val="21"/>
              </w:rPr>
              <w:t>i</w:t>
            </w:r>
            <w:r w:rsidR="00F437A7" w:rsidRPr="005337F8">
              <w:rPr>
                <w:rFonts w:ascii="Arial" w:hAnsi="Arial" w:cs="Arial"/>
                <w:sz w:val="21"/>
                <w:szCs w:val="21"/>
              </w:rPr>
              <w:t xml:space="preserve"> rialzi dei prezzi de</w:t>
            </w:r>
            <w:r w:rsidR="006266E5">
              <w:rPr>
                <w:rFonts w:ascii="Arial" w:hAnsi="Arial" w:cs="Arial"/>
                <w:sz w:val="21"/>
                <w:szCs w:val="21"/>
              </w:rPr>
              <w:t xml:space="preserve">i prodotti </w:t>
            </w:r>
            <w:r w:rsidR="00F437A7" w:rsidRPr="005337F8">
              <w:rPr>
                <w:rFonts w:ascii="Arial" w:hAnsi="Arial" w:cs="Arial"/>
                <w:sz w:val="21"/>
                <w:szCs w:val="21"/>
              </w:rPr>
              <w:t>energetici (</w:t>
            </w:r>
            <w:r w:rsidR="00923A55">
              <w:rPr>
                <w:rFonts w:ascii="Arial" w:hAnsi="Arial" w:cs="Arial"/>
                <w:sz w:val="21"/>
                <w:szCs w:val="21"/>
              </w:rPr>
              <w:t xml:space="preserve">in particolare </w:t>
            </w:r>
            <w:r w:rsidR="00AB7502" w:rsidRPr="005337F8">
              <w:rPr>
                <w:rFonts w:ascii="Arial" w:hAnsi="Arial" w:cs="Arial"/>
                <w:sz w:val="21"/>
                <w:szCs w:val="21"/>
              </w:rPr>
              <w:t>petrolio greggio</w:t>
            </w:r>
            <w:r w:rsidR="00574757">
              <w:rPr>
                <w:rFonts w:ascii="Arial" w:hAnsi="Arial" w:cs="Arial"/>
                <w:sz w:val="21"/>
                <w:szCs w:val="21"/>
              </w:rPr>
              <w:t xml:space="preserve">) </w:t>
            </w:r>
            <w:r w:rsidR="00F437A7" w:rsidRPr="005337F8">
              <w:rPr>
                <w:rFonts w:ascii="Arial" w:hAnsi="Arial" w:cs="Arial"/>
                <w:sz w:val="21"/>
                <w:szCs w:val="21"/>
              </w:rPr>
              <w:t xml:space="preserve">e </w:t>
            </w:r>
            <w:r w:rsidR="00AB7502" w:rsidRPr="005337F8">
              <w:rPr>
                <w:rFonts w:ascii="Arial" w:hAnsi="Arial" w:cs="Arial"/>
                <w:sz w:val="21"/>
                <w:szCs w:val="21"/>
              </w:rPr>
              <w:t>dei beni intermedi</w:t>
            </w:r>
            <w:r w:rsidR="00C82921" w:rsidRPr="005337F8">
              <w:rPr>
                <w:rFonts w:ascii="Arial" w:hAnsi="Arial" w:cs="Arial"/>
                <w:sz w:val="21"/>
                <w:szCs w:val="21"/>
              </w:rPr>
              <w:t>.</w:t>
            </w:r>
          </w:p>
        </w:tc>
        <w:tc>
          <w:tcPr>
            <w:tcW w:w="3290" w:type="dxa"/>
            <w:tcBorders>
              <w:top w:val="nil"/>
              <w:left w:val="single" w:sz="48" w:space="0" w:color="FFFFFF"/>
              <w:bottom w:val="single" w:sz="36" w:space="0" w:color="FFFFFF"/>
              <w:right w:val="single" w:sz="36" w:space="0" w:color="FFFFFF"/>
            </w:tcBorders>
            <w:shd w:val="clear" w:color="auto" w:fill="E31C18"/>
          </w:tcPr>
          <w:p w14:paraId="6DEC0265" w14:textId="77777777" w:rsidR="00F527AD" w:rsidRPr="00AC2483" w:rsidRDefault="00F527AD" w:rsidP="00FB50EB">
            <w:pPr>
              <w:pStyle w:val="Paragrafobase"/>
              <w:spacing w:before="200" w:line="320" w:lineRule="exact"/>
              <w:ind w:left="176"/>
              <w:rPr>
                <w:rFonts w:ascii="Calibri" w:hAnsi="Calibri" w:cs="Arial"/>
                <w:b/>
                <w:color w:val="FFFFFF"/>
                <w:sz w:val="28"/>
                <w:szCs w:val="28"/>
              </w:rPr>
            </w:pPr>
            <w:r w:rsidRPr="00AC2483">
              <w:rPr>
                <w:rFonts w:ascii="Calibri" w:hAnsi="Calibri" w:cs="Arial"/>
                <w:b/>
                <w:color w:val="FFFFFF"/>
                <w:sz w:val="28"/>
                <w:szCs w:val="28"/>
              </w:rPr>
              <w:t>PROSSIMA</w:t>
            </w:r>
          </w:p>
          <w:p w14:paraId="1224D1E2" w14:textId="77777777" w:rsidR="00F527AD" w:rsidRDefault="00F527AD" w:rsidP="00FB50EB">
            <w:pPr>
              <w:pStyle w:val="Paragrafobase"/>
              <w:spacing w:line="320" w:lineRule="exact"/>
              <w:ind w:left="175"/>
              <w:rPr>
                <w:rFonts w:ascii="Calibri" w:hAnsi="Calibri" w:cs="Arial"/>
                <w:b/>
                <w:color w:val="FFFFFF"/>
                <w:sz w:val="28"/>
                <w:szCs w:val="28"/>
              </w:rPr>
            </w:pPr>
            <w:r w:rsidRPr="00AC2483">
              <w:rPr>
                <w:rFonts w:ascii="Calibri" w:hAnsi="Calibri" w:cs="Arial"/>
                <w:b/>
                <w:color w:val="FFFFFF"/>
                <w:sz w:val="28"/>
                <w:szCs w:val="28"/>
              </w:rPr>
              <w:t>DIFFUSIONE</w:t>
            </w:r>
          </w:p>
          <w:p w14:paraId="299481E0" w14:textId="77777777" w:rsidR="00F527AD" w:rsidRPr="00C32401" w:rsidRDefault="00F527AD" w:rsidP="00FB50EB">
            <w:pPr>
              <w:pStyle w:val="Paragrafobase"/>
              <w:spacing w:line="320" w:lineRule="exact"/>
              <w:ind w:left="175"/>
              <w:rPr>
                <w:rStyle w:val="Collegamentoipertestuale"/>
                <w:rFonts w:ascii="Arial" w:hAnsi="Arial" w:cs="Arial"/>
                <w:color w:val="FFFFFF"/>
                <w:sz w:val="20"/>
                <w:szCs w:val="20"/>
              </w:rPr>
            </w:pPr>
          </w:p>
          <w:p w14:paraId="41473FBF" w14:textId="3FAC69CE" w:rsidR="00F527AD" w:rsidRPr="002578CE" w:rsidRDefault="00CB4FCD" w:rsidP="00CB4FCD">
            <w:pPr>
              <w:pStyle w:val="Paragrafobase"/>
              <w:spacing w:before="120" w:after="120" w:line="160" w:lineRule="atLeast"/>
              <w:ind w:left="176"/>
              <w:rPr>
                <w:rFonts w:ascii="Arial" w:hAnsi="Arial" w:cs="Arial"/>
                <w:sz w:val="21"/>
                <w:szCs w:val="21"/>
              </w:rPr>
            </w:pPr>
            <w:r>
              <w:rPr>
                <w:rFonts w:ascii="Arial Narrow" w:hAnsi="Arial Narrow" w:cs="Arial"/>
                <w:color w:val="FFFFFF"/>
                <w:sz w:val="22"/>
                <w:szCs w:val="22"/>
              </w:rPr>
              <w:t>18</w:t>
            </w:r>
            <w:r w:rsidR="006C7BC0">
              <w:rPr>
                <w:rFonts w:ascii="Arial Narrow" w:hAnsi="Arial Narrow" w:cs="Arial"/>
                <w:color w:val="FFFFFF"/>
                <w:sz w:val="22"/>
                <w:szCs w:val="22"/>
              </w:rPr>
              <w:t xml:space="preserve"> </w:t>
            </w:r>
            <w:r>
              <w:rPr>
                <w:rFonts w:ascii="Arial Narrow" w:hAnsi="Arial Narrow" w:cs="Arial"/>
                <w:color w:val="FFFFFF"/>
                <w:sz w:val="22"/>
                <w:szCs w:val="22"/>
              </w:rPr>
              <w:t>Aprile</w:t>
            </w:r>
            <w:r w:rsidR="00A45FC3">
              <w:rPr>
                <w:rFonts w:ascii="Arial Narrow" w:hAnsi="Arial Narrow" w:cs="Arial"/>
                <w:color w:val="FFFFFF"/>
                <w:sz w:val="22"/>
                <w:szCs w:val="22"/>
              </w:rPr>
              <w:t xml:space="preserve"> </w:t>
            </w:r>
            <w:r w:rsidR="009C7615">
              <w:rPr>
                <w:rFonts w:ascii="Arial Narrow" w:hAnsi="Arial Narrow" w:cs="Arial"/>
                <w:color w:val="FFFFFF"/>
                <w:sz w:val="22"/>
                <w:szCs w:val="22"/>
              </w:rPr>
              <w:t>202</w:t>
            </w:r>
            <w:r w:rsidR="00EB3AA0">
              <w:rPr>
                <w:rFonts w:ascii="Arial Narrow" w:hAnsi="Arial Narrow" w:cs="Arial"/>
                <w:color w:val="FFFFFF"/>
                <w:sz w:val="22"/>
                <w:szCs w:val="22"/>
              </w:rPr>
              <w:t>5</w:t>
            </w:r>
          </w:p>
        </w:tc>
      </w:tr>
      <w:tr w:rsidR="00F527AD" w:rsidRPr="002578CE" w14:paraId="76F553FA" w14:textId="77777777" w:rsidTr="00053850">
        <w:trPr>
          <w:trHeight w:val="115"/>
        </w:trPr>
        <w:tc>
          <w:tcPr>
            <w:tcW w:w="6916" w:type="dxa"/>
            <w:vMerge/>
            <w:tcBorders>
              <w:left w:val="single" w:sz="4" w:space="0" w:color="FFFFFF"/>
              <w:right w:val="single" w:sz="48" w:space="0" w:color="FFFFFF"/>
            </w:tcBorders>
            <w:shd w:val="clear" w:color="auto" w:fill="D9D9D9"/>
          </w:tcPr>
          <w:p w14:paraId="7E111D69" w14:textId="77777777" w:rsidR="00F527AD" w:rsidRPr="002578CE" w:rsidRDefault="00F527AD" w:rsidP="00FB50EB">
            <w:pPr>
              <w:tabs>
                <w:tab w:val="left" w:pos="284"/>
                <w:tab w:val="left" w:pos="709"/>
              </w:tabs>
              <w:spacing w:after="120" w:line="230" w:lineRule="exact"/>
              <w:jc w:val="both"/>
              <w:rPr>
                <w:rFonts w:ascii="Arial" w:hAnsi="Arial" w:cs="Arial"/>
                <w:sz w:val="21"/>
                <w:szCs w:val="21"/>
              </w:rPr>
            </w:pPr>
          </w:p>
        </w:tc>
        <w:tc>
          <w:tcPr>
            <w:tcW w:w="3290" w:type="dxa"/>
            <w:tcBorders>
              <w:top w:val="single" w:sz="36" w:space="0" w:color="FFFFFF"/>
              <w:left w:val="single" w:sz="48" w:space="0" w:color="FFFFFF"/>
              <w:bottom w:val="single" w:sz="36" w:space="0" w:color="FFFFFF"/>
              <w:right w:val="single" w:sz="36" w:space="0" w:color="FFFFFF"/>
            </w:tcBorders>
            <w:shd w:val="clear" w:color="auto" w:fill="auto"/>
          </w:tcPr>
          <w:p w14:paraId="71A235C2" w14:textId="77777777" w:rsidR="00F527AD" w:rsidRPr="002578CE" w:rsidRDefault="005301CF" w:rsidP="0056309F">
            <w:pPr>
              <w:pStyle w:val="Paragrafobase"/>
              <w:spacing w:before="120" w:line="240" w:lineRule="exact"/>
              <w:rPr>
                <w:rFonts w:ascii="Arial" w:hAnsi="Arial" w:cs="Arial"/>
                <w:sz w:val="21"/>
                <w:szCs w:val="21"/>
              </w:rPr>
            </w:pPr>
            <w:r>
              <w:rPr>
                <w:rFonts w:ascii="Arial" w:hAnsi="Arial" w:cs="Arial"/>
                <w:noProof/>
                <w:sz w:val="21"/>
                <w:szCs w:val="21"/>
              </w:rPr>
              <w:drawing>
                <wp:anchor distT="0" distB="0" distL="114300" distR="114300" simplePos="0" relativeHeight="251657216" behindDoc="0" locked="0" layoutInCell="1" allowOverlap="1" wp14:anchorId="1BF3BF6B" wp14:editId="710323D7">
                  <wp:simplePos x="0" y="0"/>
                  <wp:positionH relativeFrom="column">
                    <wp:posOffset>1497330</wp:posOffset>
                  </wp:positionH>
                  <wp:positionV relativeFrom="paragraph">
                    <wp:posOffset>49530</wp:posOffset>
                  </wp:positionV>
                  <wp:extent cx="647700" cy="628650"/>
                  <wp:effectExtent l="0" t="0" r="0" b="0"/>
                  <wp:wrapNone/>
                  <wp:docPr id="258" name="Immagine 9" descr="Descrizione: iconeComunicati-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descr="Descrizione: iconeComunicati-0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a:ln>
                            <a:noFill/>
                          </a:ln>
                        </pic:spPr>
                      </pic:pic>
                    </a:graphicData>
                  </a:graphic>
                </wp:anchor>
              </w:drawing>
            </w:r>
          </w:p>
        </w:tc>
      </w:tr>
      <w:tr w:rsidR="00F527AD" w:rsidRPr="005622DB" w14:paraId="63E2DD52" w14:textId="77777777" w:rsidTr="00053850">
        <w:trPr>
          <w:trHeight w:val="115"/>
        </w:trPr>
        <w:tc>
          <w:tcPr>
            <w:tcW w:w="6916" w:type="dxa"/>
            <w:vMerge/>
            <w:tcBorders>
              <w:left w:val="single" w:sz="4" w:space="0" w:color="FFFFFF"/>
              <w:bottom w:val="nil"/>
              <w:right w:val="single" w:sz="48" w:space="0" w:color="FFFFFF"/>
            </w:tcBorders>
            <w:shd w:val="clear" w:color="auto" w:fill="D9D9D9"/>
          </w:tcPr>
          <w:p w14:paraId="3CA38B71" w14:textId="77777777" w:rsidR="00F527AD" w:rsidRPr="002578CE" w:rsidRDefault="00F527AD" w:rsidP="00FB50EB">
            <w:pPr>
              <w:tabs>
                <w:tab w:val="left" w:pos="284"/>
                <w:tab w:val="left" w:pos="709"/>
              </w:tabs>
              <w:spacing w:after="120" w:line="230" w:lineRule="exact"/>
              <w:jc w:val="both"/>
              <w:rPr>
                <w:rFonts w:ascii="Arial" w:hAnsi="Arial" w:cs="Arial"/>
                <w:sz w:val="21"/>
                <w:szCs w:val="21"/>
              </w:rPr>
            </w:pPr>
          </w:p>
        </w:tc>
        <w:tc>
          <w:tcPr>
            <w:tcW w:w="3290" w:type="dxa"/>
            <w:tcBorders>
              <w:top w:val="single" w:sz="36" w:space="0" w:color="FFFFFF"/>
              <w:left w:val="single" w:sz="48" w:space="0" w:color="FFFFFF"/>
              <w:bottom w:val="single" w:sz="36" w:space="0" w:color="FFFFFF"/>
              <w:right w:val="single" w:sz="36" w:space="0" w:color="FFFFFF"/>
            </w:tcBorders>
            <w:shd w:val="clear" w:color="auto" w:fill="E31C18"/>
          </w:tcPr>
          <w:p w14:paraId="69293DFF" w14:textId="77777777" w:rsidR="00F527AD" w:rsidRPr="00707C05" w:rsidRDefault="00F527AD" w:rsidP="00FB50EB">
            <w:pPr>
              <w:pStyle w:val="Paragrafobase"/>
              <w:spacing w:before="160" w:line="320" w:lineRule="exact"/>
              <w:ind w:left="175"/>
              <w:rPr>
                <w:rFonts w:ascii="Calibri" w:hAnsi="Calibri" w:cs="Arial"/>
                <w:b/>
                <w:color w:val="FFFFFF"/>
                <w:sz w:val="28"/>
                <w:szCs w:val="28"/>
                <w:lang w:val="en-GB"/>
              </w:rPr>
            </w:pPr>
            <w:r w:rsidRPr="00707C05">
              <w:rPr>
                <w:rFonts w:ascii="Calibri" w:hAnsi="Calibri" w:cs="Arial"/>
                <w:b/>
                <w:color w:val="FFFFFF"/>
                <w:sz w:val="28"/>
                <w:szCs w:val="28"/>
                <w:lang w:val="en-GB"/>
              </w:rPr>
              <w:t>Link utili</w:t>
            </w:r>
          </w:p>
          <w:p w14:paraId="6E3C5892" w14:textId="77777777" w:rsidR="000876D8" w:rsidRPr="00707C05" w:rsidRDefault="00B30D64" w:rsidP="000876D8">
            <w:pPr>
              <w:pStyle w:val="Paragrafobase"/>
              <w:spacing w:before="120" w:line="240" w:lineRule="exact"/>
              <w:ind w:left="176"/>
              <w:rPr>
                <w:rStyle w:val="Collegamentoipertestuale"/>
                <w:rFonts w:ascii="Arial Narrow" w:hAnsi="Arial Narrow" w:cs="Arial"/>
                <w:color w:val="FFFFFF"/>
                <w:sz w:val="22"/>
                <w:szCs w:val="22"/>
                <w:lang w:val="en-GB"/>
              </w:rPr>
            </w:pPr>
            <w:hyperlink r:id="rId22" w:history="1">
              <w:r w:rsidR="000876D8" w:rsidRPr="00707C05">
                <w:rPr>
                  <w:rStyle w:val="Collegamentoipertestuale"/>
                  <w:rFonts w:ascii="Arial Narrow" w:hAnsi="Arial Narrow" w:cs="Arial"/>
                  <w:color w:val="FFFFFF"/>
                  <w:sz w:val="22"/>
                  <w:szCs w:val="22"/>
                  <w:lang w:val="en-GB"/>
                </w:rPr>
                <w:t>http://dati.istat.it/</w:t>
              </w:r>
            </w:hyperlink>
          </w:p>
          <w:p w14:paraId="1C1EB953" w14:textId="77777777" w:rsidR="000876D8" w:rsidRPr="00AF6380" w:rsidRDefault="00B30D64" w:rsidP="000876D8">
            <w:pPr>
              <w:pStyle w:val="Paragrafobase"/>
              <w:spacing w:before="120" w:line="240" w:lineRule="exact"/>
              <w:ind w:left="175"/>
              <w:rPr>
                <w:rStyle w:val="Collegamentoipertestuale"/>
                <w:rFonts w:ascii="Arial Narrow" w:hAnsi="Arial Narrow" w:cs="Arial"/>
                <w:color w:val="FFFFFF"/>
                <w:sz w:val="22"/>
                <w:szCs w:val="22"/>
                <w:lang w:val="en-US"/>
              </w:rPr>
            </w:pPr>
            <w:hyperlink r:id="rId23" w:history="1">
              <w:r w:rsidR="000876D8" w:rsidRPr="00AF6380">
                <w:rPr>
                  <w:rStyle w:val="Collegamentoipertestuale"/>
                  <w:rFonts w:ascii="Arial Narrow" w:hAnsi="Arial Narrow" w:cs="Arial"/>
                  <w:color w:val="FFFFFF"/>
                  <w:sz w:val="22"/>
                  <w:szCs w:val="22"/>
                  <w:lang w:val="en-US"/>
                </w:rPr>
                <w:t>http://www.istat.it/it/congiuntura</w:t>
              </w:r>
            </w:hyperlink>
          </w:p>
          <w:p w14:paraId="61B8685C" w14:textId="77777777" w:rsidR="00430DDB" w:rsidRDefault="00B30D64" w:rsidP="006664BF">
            <w:pPr>
              <w:pStyle w:val="Paragrafobase"/>
              <w:spacing w:before="120" w:line="240" w:lineRule="exact"/>
              <w:ind w:left="176"/>
              <w:rPr>
                <w:rStyle w:val="Collegamentoipertestuale"/>
                <w:rFonts w:ascii="Arial Narrow" w:hAnsi="Arial Narrow" w:cs="Arial"/>
                <w:color w:val="FFFFFF"/>
                <w:sz w:val="22"/>
                <w:szCs w:val="22"/>
                <w:lang w:val="en-US"/>
              </w:rPr>
            </w:pPr>
            <w:hyperlink r:id="rId24" w:history="1">
              <w:r w:rsidR="000876D8" w:rsidRPr="00AF6380">
                <w:rPr>
                  <w:rStyle w:val="Collegamentoipertestuale"/>
                  <w:rFonts w:ascii="Arial Narrow" w:hAnsi="Arial Narrow" w:cs="Arial"/>
                  <w:color w:val="FFFFFF"/>
                  <w:sz w:val="22"/>
                  <w:szCs w:val="22"/>
                  <w:lang w:val="en-US"/>
                </w:rPr>
                <w:t>https://www.coeweb.istat.it</w:t>
              </w:r>
            </w:hyperlink>
          </w:p>
          <w:p w14:paraId="7A888F00" w14:textId="77777777" w:rsidR="006664BF" w:rsidRPr="000077FA" w:rsidRDefault="006664BF" w:rsidP="006664BF">
            <w:pPr>
              <w:pStyle w:val="Paragrafobase"/>
              <w:spacing w:before="120" w:line="240" w:lineRule="exact"/>
              <w:ind w:left="176"/>
              <w:rPr>
                <w:rFonts w:ascii="Arial Narrow" w:hAnsi="Arial Narrow" w:cs="Arial"/>
                <w:color w:val="FFFFFF"/>
                <w:sz w:val="22"/>
                <w:szCs w:val="22"/>
                <w:u w:val="single"/>
                <w:lang w:val="en-US"/>
              </w:rPr>
            </w:pPr>
          </w:p>
        </w:tc>
      </w:tr>
    </w:tbl>
    <w:p w14:paraId="11518967" w14:textId="7A17A21D" w:rsidR="00787294" w:rsidRDefault="00833A77" w:rsidP="00477B3A">
      <w:pPr>
        <w:tabs>
          <w:tab w:val="left" w:pos="284"/>
        </w:tabs>
        <w:spacing w:before="120"/>
        <w:rPr>
          <w:sz w:val="22"/>
          <w:szCs w:val="22"/>
        </w:rPr>
      </w:pPr>
      <w:r w:rsidRPr="007939D9">
        <w:rPr>
          <w:rFonts w:ascii="Arial Narrow" w:hAnsi="Arial Narrow" w:cs="Arial"/>
          <w:b/>
          <w:color w:val="E42618"/>
          <w:sz w:val="22"/>
          <w:szCs w:val="22"/>
        </w:rPr>
        <w:lastRenderedPageBreak/>
        <w:t xml:space="preserve">FIGURA </w:t>
      </w:r>
      <w:r w:rsidR="00BE55AA">
        <w:rPr>
          <w:rFonts w:ascii="Arial Narrow" w:hAnsi="Arial Narrow" w:cs="Arial"/>
          <w:b/>
          <w:color w:val="E42618"/>
          <w:sz w:val="22"/>
          <w:szCs w:val="22"/>
        </w:rPr>
        <w:t>1</w:t>
      </w:r>
      <w:r w:rsidRPr="007939D9">
        <w:rPr>
          <w:rFonts w:ascii="Arial Narrow" w:hAnsi="Arial Narrow" w:cs="Arial"/>
          <w:b/>
          <w:color w:val="E42618"/>
          <w:sz w:val="22"/>
          <w:szCs w:val="22"/>
        </w:rPr>
        <w:t>.</w:t>
      </w:r>
      <w:r w:rsidRPr="007939D9">
        <w:rPr>
          <w:sz w:val="22"/>
          <w:szCs w:val="22"/>
        </w:rPr>
        <w:t xml:space="preserve"> </w:t>
      </w:r>
      <w:r w:rsidR="00787294" w:rsidRPr="00787294">
        <w:rPr>
          <w:rFonts w:ascii="Arial Narrow" w:hAnsi="Arial Narrow" w:cs="Arial"/>
          <w:b/>
          <w:caps/>
          <w:color w:val="5F5F5F"/>
          <w:sz w:val="22"/>
          <w:szCs w:val="22"/>
        </w:rPr>
        <w:t>FLUSSI COMMERCIALI CON L’ESTERO</w:t>
      </w:r>
      <w:r w:rsidR="00787294">
        <w:rPr>
          <w:sz w:val="22"/>
          <w:szCs w:val="22"/>
        </w:rPr>
        <w:t xml:space="preserve"> </w:t>
      </w:r>
    </w:p>
    <w:p w14:paraId="0010FC81" w14:textId="6EB568F6" w:rsidR="00833A77" w:rsidRDefault="00787294" w:rsidP="00293461">
      <w:pPr>
        <w:tabs>
          <w:tab w:val="left" w:pos="284"/>
        </w:tabs>
        <w:spacing w:after="60"/>
        <w:rPr>
          <w:rFonts w:ascii="Arial Narrow" w:hAnsi="Arial Narrow" w:cs="Arial"/>
          <w:color w:val="5F5F5F"/>
          <w:sz w:val="20"/>
        </w:rPr>
      </w:pPr>
      <w:r w:rsidRPr="0071152F">
        <w:rPr>
          <w:rFonts w:ascii="Arial Narrow" w:hAnsi="Arial Narrow" w:cs="Arial"/>
          <w:color w:val="5F5F5F"/>
          <w:sz w:val="20"/>
        </w:rPr>
        <w:t>Gennaio 20</w:t>
      </w:r>
      <w:r w:rsidR="00CB4FCD">
        <w:rPr>
          <w:rFonts w:ascii="Arial Narrow" w:hAnsi="Arial Narrow" w:cs="Arial"/>
          <w:color w:val="5F5F5F"/>
          <w:sz w:val="20"/>
        </w:rPr>
        <w:t>20</w:t>
      </w:r>
      <w:r w:rsidR="004D5E96" w:rsidRPr="0071152F">
        <w:rPr>
          <w:rFonts w:ascii="Arial Narrow" w:hAnsi="Arial Narrow" w:cs="Arial"/>
          <w:color w:val="5F5F5F"/>
          <w:sz w:val="20"/>
        </w:rPr>
        <w:t xml:space="preserve"> </w:t>
      </w:r>
      <w:r w:rsidR="00644975">
        <w:rPr>
          <w:rFonts w:ascii="Arial Narrow" w:hAnsi="Arial Narrow" w:cs="Arial"/>
          <w:color w:val="5F5F5F"/>
          <w:sz w:val="20"/>
        </w:rPr>
        <w:t>–</w:t>
      </w:r>
      <w:r w:rsidRPr="0071152F">
        <w:rPr>
          <w:rFonts w:ascii="Arial Narrow" w:hAnsi="Arial Narrow" w:cs="Arial"/>
          <w:color w:val="5F5F5F"/>
          <w:sz w:val="20"/>
        </w:rPr>
        <w:t xml:space="preserve"> </w:t>
      </w:r>
      <w:r w:rsidR="00CB4FCD">
        <w:rPr>
          <w:rFonts w:ascii="Arial Narrow" w:hAnsi="Arial Narrow" w:cs="Arial"/>
          <w:color w:val="5F5F5F"/>
          <w:sz w:val="20"/>
        </w:rPr>
        <w:t>gennaio</w:t>
      </w:r>
      <w:r w:rsidR="00C60507" w:rsidRPr="0071152F">
        <w:rPr>
          <w:rFonts w:ascii="Arial Narrow" w:hAnsi="Arial Narrow" w:cs="Arial"/>
          <w:color w:val="5F5F5F"/>
          <w:sz w:val="20"/>
        </w:rPr>
        <w:t xml:space="preserve"> </w:t>
      </w:r>
      <w:r w:rsidRPr="0071152F">
        <w:rPr>
          <w:rFonts w:ascii="Arial Narrow" w:hAnsi="Arial Narrow" w:cs="Arial"/>
          <w:color w:val="5F5F5F"/>
          <w:sz w:val="20"/>
        </w:rPr>
        <w:t>20</w:t>
      </w:r>
      <w:r w:rsidR="00CB4FCD">
        <w:rPr>
          <w:rFonts w:ascii="Arial Narrow" w:hAnsi="Arial Narrow" w:cs="Arial"/>
          <w:color w:val="5F5F5F"/>
          <w:sz w:val="20"/>
        </w:rPr>
        <w:t>25</w:t>
      </w:r>
      <w:r w:rsidRPr="0071152F">
        <w:rPr>
          <w:rFonts w:ascii="Arial Narrow" w:hAnsi="Arial Narrow" w:cs="Arial"/>
          <w:color w:val="5F5F5F"/>
          <w:sz w:val="20"/>
        </w:rPr>
        <w:t xml:space="preserve">, </w:t>
      </w:r>
      <w:r w:rsidR="000B7E0D" w:rsidRPr="0071152F">
        <w:rPr>
          <w:rFonts w:ascii="Arial Narrow" w:hAnsi="Arial Narrow" w:cs="Arial"/>
          <w:color w:val="5F5F5F"/>
          <w:sz w:val="20"/>
        </w:rPr>
        <w:t xml:space="preserve">dati mensili e medie mobili a tre mesi, </w:t>
      </w:r>
      <w:r w:rsidR="00D36CA1" w:rsidRPr="0071152F">
        <w:rPr>
          <w:rFonts w:ascii="Arial Narrow" w:hAnsi="Arial Narrow" w:cs="Arial"/>
          <w:color w:val="5F5F5F"/>
          <w:sz w:val="20"/>
        </w:rPr>
        <w:t>dati destagionalizzati e saldi in</w:t>
      </w:r>
      <w:r w:rsidR="00516EEC" w:rsidRPr="0071152F">
        <w:rPr>
          <w:rFonts w:ascii="Arial Narrow" w:hAnsi="Arial Narrow" w:cs="Arial"/>
          <w:color w:val="5F5F5F"/>
          <w:sz w:val="20"/>
        </w:rPr>
        <w:t xml:space="preserve"> miliardi</w:t>
      </w:r>
      <w:r w:rsidRPr="0071152F">
        <w:rPr>
          <w:rFonts w:ascii="Arial Narrow" w:hAnsi="Arial Narrow" w:cs="Arial"/>
          <w:color w:val="5F5F5F"/>
          <w:sz w:val="20"/>
        </w:rPr>
        <w:t xml:space="preserve"> di eur</w:t>
      </w:r>
      <w:r w:rsidR="00D36CA1" w:rsidRPr="0071152F">
        <w:rPr>
          <w:rFonts w:ascii="Arial Narrow" w:hAnsi="Arial Narrow" w:cs="Arial"/>
          <w:color w:val="5F5F5F"/>
          <w:sz w:val="20"/>
        </w:rPr>
        <w:t>o</w:t>
      </w:r>
    </w:p>
    <w:p w14:paraId="26B38A4D" w14:textId="3C29701B" w:rsidR="00E24C53" w:rsidRPr="0071152F" w:rsidRDefault="0004702D" w:rsidP="00293461">
      <w:pPr>
        <w:tabs>
          <w:tab w:val="left" w:pos="284"/>
        </w:tabs>
        <w:spacing w:after="60"/>
        <w:rPr>
          <w:rFonts w:ascii="Arial Narrow" w:hAnsi="Arial Narrow" w:cs="Arial"/>
          <w:color w:val="5F5F5F"/>
          <w:sz w:val="20"/>
        </w:rPr>
      </w:pPr>
      <w:r>
        <w:rPr>
          <w:noProof/>
        </w:rPr>
        <w:drawing>
          <wp:inline distT="0" distB="0" distL="0" distR="0" wp14:anchorId="1CBE83E4" wp14:editId="45DA76DC">
            <wp:extent cx="6479540" cy="3239770"/>
            <wp:effectExtent l="0" t="0" r="0" b="0"/>
            <wp:docPr id="15" name="Grafico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125FF2EF" w14:textId="65C2D218" w:rsidR="00DC006D" w:rsidRPr="002B1173" w:rsidRDefault="00DC006D" w:rsidP="00D36CA1">
      <w:pPr>
        <w:rPr>
          <w:rFonts w:ascii="Arial Narrow" w:hAnsi="Arial Narrow" w:cs="Arial"/>
          <w:b/>
          <w:color w:val="E42618"/>
          <w:sz w:val="10"/>
          <w:szCs w:val="10"/>
        </w:rPr>
      </w:pPr>
    </w:p>
    <w:p w14:paraId="7E02C505" w14:textId="77777777" w:rsidR="002B1173" w:rsidRPr="002B1173" w:rsidRDefault="002B1173" w:rsidP="00D36CA1">
      <w:pPr>
        <w:rPr>
          <w:rFonts w:ascii="Arial Narrow" w:hAnsi="Arial Narrow" w:cs="Arial"/>
          <w:b/>
          <w:color w:val="E42618"/>
          <w:sz w:val="20"/>
          <w:szCs w:val="20"/>
        </w:rPr>
      </w:pPr>
    </w:p>
    <w:p w14:paraId="03614698" w14:textId="77777777" w:rsidR="00833A77" w:rsidRDefault="00F00744" w:rsidP="00D36CA1">
      <w:pPr>
        <w:rPr>
          <w:rFonts w:ascii="Arial Narrow" w:hAnsi="Arial Narrow" w:cs="Arial"/>
          <w:b/>
          <w:caps/>
          <w:color w:val="5F5F5F"/>
          <w:sz w:val="22"/>
          <w:szCs w:val="22"/>
        </w:rPr>
      </w:pPr>
      <w:r w:rsidRPr="007939D9">
        <w:rPr>
          <w:rFonts w:ascii="Arial Narrow" w:hAnsi="Arial Narrow" w:cs="Arial"/>
          <w:b/>
          <w:color w:val="E42618"/>
          <w:sz w:val="22"/>
          <w:szCs w:val="22"/>
        </w:rPr>
        <w:t xml:space="preserve">FIGURA </w:t>
      </w:r>
      <w:r>
        <w:rPr>
          <w:rFonts w:ascii="Arial Narrow" w:hAnsi="Arial Narrow" w:cs="Arial"/>
          <w:b/>
          <w:color w:val="E42618"/>
          <w:sz w:val="22"/>
          <w:szCs w:val="22"/>
        </w:rPr>
        <w:t>2</w:t>
      </w:r>
      <w:r w:rsidRPr="007939D9">
        <w:rPr>
          <w:rFonts w:ascii="Arial Narrow" w:hAnsi="Arial Narrow" w:cs="Arial"/>
          <w:b/>
          <w:color w:val="E42618"/>
          <w:sz w:val="22"/>
          <w:szCs w:val="22"/>
        </w:rPr>
        <w:t>.</w:t>
      </w:r>
      <w:r w:rsidR="00D36CA1">
        <w:rPr>
          <w:rFonts w:ascii="Arial Narrow" w:hAnsi="Arial Narrow" w:cs="Arial"/>
          <w:b/>
          <w:color w:val="E42618"/>
          <w:sz w:val="22"/>
          <w:szCs w:val="22"/>
        </w:rPr>
        <w:t xml:space="preserve"> </w:t>
      </w:r>
      <w:r w:rsidR="00605103" w:rsidRPr="00D36CA1">
        <w:rPr>
          <w:rFonts w:ascii="Arial Narrow" w:hAnsi="Arial Narrow" w:cs="Arial"/>
          <w:b/>
          <w:caps/>
          <w:color w:val="5F5F5F"/>
          <w:sz w:val="22"/>
          <w:szCs w:val="22"/>
        </w:rPr>
        <w:t>ESPORTAZIO</w:t>
      </w:r>
      <w:r w:rsidR="00605103">
        <w:rPr>
          <w:rFonts w:ascii="Arial Narrow" w:hAnsi="Arial Narrow" w:cs="Arial"/>
          <w:b/>
          <w:caps/>
          <w:color w:val="5F5F5F"/>
          <w:sz w:val="22"/>
          <w:szCs w:val="22"/>
        </w:rPr>
        <w:t xml:space="preserve">NI E IMPORTAZIONI </w:t>
      </w:r>
      <w:r w:rsidR="008014ED" w:rsidRPr="007C052D">
        <w:rPr>
          <w:rFonts w:ascii="Arial Narrow" w:hAnsi="Arial Narrow" w:cs="Arial"/>
          <w:b/>
          <w:caps/>
          <w:color w:val="5F5F5F"/>
          <w:sz w:val="22"/>
          <w:szCs w:val="22"/>
        </w:rPr>
        <w:t>CON L’</w:t>
      </w:r>
      <w:r w:rsidR="00D36CA1" w:rsidRPr="007C052D">
        <w:rPr>
          <w:rFonts w:ascii="Arial Narrow" w:hAnsi="Arial Narrow" w:cs="Arial"/>
          <w:b/>
          <w:caps/>
          <w:color w:val="5F5F5F"/>
          <w:sz w:val="22"/>
          <w:szCs w:val="22"/>
        </w:rPr>
        <w:t>AREA Ue</w:t>
      </w:r>
      <w:r w:rsidR="00E56E72" w:rsidRPr="007C052D">
        <w:rPr>
          <w:rFonts w:ascii="Arial Narrow" w:hAnsi="Arial Narrow" w:cs="Arial"/>
          <w:b/>
          <w:caps/>
          <w:color w:val="5F5F5F"/>
          <w:sz w:val="22"/>
          <w:szCs w:val="22"/>
        </w:rPr>
        <w:t>27</w:t>
      </w:r>
      <w:r w:rsidR="00D36CA1" w:rsidRPr="00D36CA1">
        <w:rPr>
          <w:rFonts w:ascii="Arial Narrow" w:hAnsi="Arial Narrow" w:cs="Arial"/>
          <w:b/>
          <w:caps/>
          <w:color w:val="5F5F5F"/>
          <w:sz w:val="22"/>
          <w:szCs w:val="22"/>
        </w:rPr>
        <w:t xml:space="preserve"> </w:t>
      </w:r>
    </w:p>
    <w:p w14:paraId="45DDF761" w14:textId="1D5F07E9" w:rsidR="00516EEC" w:rsidRPr="0071152F" w:rsidRDefault="008D7D7F" w:rsidP="00293461">
      <w:pPr>
        <w:tabs>
          <w:tab w:val="left" w:pos="284"/>
        </w:tabs>
        <w:spacing w:after="60"/>
        <w:rPr>
          <w:rFonts w:ascii="Arial Narrow" w:hAnsi="Arial Narrow" w:cs="Arial"/>
          <w:color w:val="5F5F5F"/>
          <w:sz w:val="20"/>
        </w:rPr>
      </w:pPr>
      <w:r w:rsidRPr="0071152F">
        <w:rPr>
          <w:rFonts w:ascii="Arial Narrow" w:hAnsi="Arial Narrow" w:cs="Arial"/>
          <w:color w:val="5F5F5F"/>
          <w:sz w:val="20"/>
        </w:rPr>
        <w:t>Gennaio 20</w:t>
      </w:r>
      <w:r w:rsidR="00CB4FCD">
        <w:rPr>
          <w:rFonts w:ascii="Arial Narrow" w:hAnsi="Arial Narrow" w:cs="Arial"/>
          <w:color w:val="5F5F5F"/>
          <w:sz w:val="20"/>
        </w:rPr>
        <w:t>20</w:t>
      </w:r>
      <w:r w:rsidRPr="0071152F">
        <w:rPr>
          <w:rFonts w:ascii="Arial Narrow" w:hAnsi="Arial Narrow" w:cs="Arial"/>
          <w:color w:val="5F5F5F"/>
          <w:sz w:val="20"/>
        </w:rPr>
        <w:t xml:space="preserve"> </w:t>
      </w:r>
      <w:r w:rsidR="00644975">
        <w:rPr>
          <w:rFonts w:ascii="Arial Narrow" w:hAnsi="Arial Narrow" w:cs="Arial"/>
          <w:color w:val="5F5F5F"/>
          <w:sz w:val="20"/>
        </w:rPr>
        <w:t>–</w:t>
      </w:r>
      <w:r w:rsidRPr="0071152F">
        <w:rPr>
          <w:rFonts w:ascii="Arial Narrow" w:hAnsi="Arial Narrow" w:cs="Arial"/>
          <w:color w:val="5F5F5F"/>
          <w:sz w:val="20"/>
        </w:rPr>
        <w:t xml:space="preserve"> </w:t>
      </w:r>
      <w:r w:rsidR="00CB4FCD">
        <w:rPr>
          <w:rFonts w:ascii="Arial Narrow" w:hAnsi="Arial Narrow" w:cs="Arial"/>
          <w:color w:val="5F5F5F"/>
          <w:sz w:val="20"/>
        </w:rPr>
        <w:t>gennaio</w:t>
      </w:r>
      <w:r w:rsidR="005F4922" w:rsidRPr="0071152F">
        <w:rPr>
          <w:rFonts w:ascii="Arial Narrow" w:hAnsi="Arial Narrow" w:cs="Arial"/>
          <w:color w:val="5F5F5F"/>
          <w:sz w:val="20"/>
        </w:rPr>
        <w:t xml:space="preserve"> </w:t>
      </w:r>
      <w:r w:rsidRPr="0071152F">
        <w:rPr>
          <w:rFonts w:ascii="Arial Narrow" w:hAnsi="Arial Narrow" w:cs="Arial"/>
          <w:color w:val="5F5F5F"/>
          <w:sz w:val="20"/>
        </w:rPr>
        <w:t>20</w:t>
      </w:r>
      <w:r w:rsidR="00CB4FCD">
        <w:rPr>
          <w:rFonts w:ascii="Arial Narrow" w:hAnsi="Arial Narrow" w:cs="Arial"/>
          <w:color w:val="5F5F5F"/>
          <w:sz w:val="20"/>
        </w:rPr>
        <w:t>25</w:t>
      </w:r>
      <w:r w:rsidR="00516EEC" w:rsidRPr="0071152F">
        <w:rPr>
          <w:rFonts w:ascii="Arial Narrow" w:hAnsi="Arial Narrow" w:cs="Arial"/>
          <w:color w:val="5F5F5F"/>
          <w:sz w:val="20"/>
        </w:rPr>
        <w:t xml:space="preserve">, </w:t>
      </w:r>
      <w:r w:rsidR="0063317A" w:rsidRPr="0071152F">
        <w:rPr>
          <w:rFonts w:ascii="Arial Narrow" w:hAnsi="Arial Narrow" w:cs="Arial"/>
          <w:color w:val="5F5F5F"/>
          <w:sz w:val="20"/>
        </w:rPr>
        <w:t xml:space="preserve">dati mensili e medie mobili a tre mesi, </w:t>
      </w:r>
      <w:r w:rsidR="00516EEC" w:rsidRPr="0071152F">
        <w:rPr>
          <w:rFonts w:ascii="Arial Narrow" w:hAnsi="Arial Narrow" w:cs="Arial"/>
          <w:color w:val="5F5F5F"/>
          <w:sz w:val="20"/>
        </w:rPr>
        <w:t>dati destagionalizzati in miliardi di euro</w:t>
      </w:r>
    </w:p>
    <w:p w14:paraId="43330F07" w14:textId="07F74761" w:rsidR="001F3295" w:rsidRPr="001F3295" w:rsidRDefault="0004702D" w:rsidP="000B7E0D">
      <w:pPr>
        <w:rPr>
          <w:rFonts w:ascii="Arial Narrow" w:hAnsi="Arial Narrow" w:cs="Arial"/>
          <w:b/>
          <w:caps/>
          <w:color w:val="5F5F5F"/>
          <w:spacing w:val="-2"/>
          <w:sz w:val="22"/>
          <w:szCs w:val="22"/>
        </w:rPr>
      </w:pPr>
      <w:r>
        <w:rPr>
          <w:noProof/>
        </w:rPr>
        <w:drawing>
          <wp:inline distT="0" distB="0" distL="0" distR="0" wp14:anchorId="3479FB21" wp14:editId="4E11C387">
            <wp:extent cx="6660000" cy="2160000"/>
            <wp:effectExtent l="0" t="0" r="7620" b="0"/>
            <wp:docPr id="16" name="Grafico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E7B9A48" w14:textId="77777777" w:rsidR="002B1173" w:rsidRDefault="002B1173" w:rsidP="000B7E0D">
      <w:pPr>
        <w:rPr>
          <w:rFonts w:ascii="Arial Narrow" w:hAnsi="Arial Narrow" w:cs="Arial"/>
          <w:b/>
          <w:color w:val="E42618"/>
          <w:sz w:val="22"/>
          <w:szCs w:val="22"/>
        </w:rPr>
      </w:pPr>
    </w:p>
    <w:p w14:paraId="3A713EE5" w14:textId="1EC8F56A" w:rsidR="000B7E0D" w:rsidRDefault="000B7E0D" w:rsidP="000B7E0D">
      <w:pPr>
        <w:rPr>
          <w:rFonts w:ascii="Arial Narrow" w:hAnsi="Arial Narrow" w:cs="Arial"/>
          <w:b/>
          <w:caps/>
          <w:color w:val="5F5F5F"/>
          <w:sz w:val="22"/>
          <w:szCs w:val="22"/>
        </w:rPr>
      </w:pPr>
      <w:r w:rsidRPr="007939D9">
        <w:rPr>
          <w:rFonts w:ascii="Arial Narrow" w:hAnsi="Arial Narrow" w:cs="Arial"/>
          <w:b/>
          <w:color w:val="E42618"/>
          <w:sz w:val="22"/>
          <w:szCs w:val="22"/>
        </w:rPr>
        <w:t xml:space="preserve">FIGURA </w:t>
      </w:r>
      <w:r w:rsidR="00CF30A4">
        <w:rPr>
          <w:rFonts w:ascii="Arial Narrow" w:hAnsi="Arial Narrow" w:cs="Arial"/>
          <w:b/>
          <w:color w:val="E42618"/>
          <w:sz w:val="22"/>
          <w:szCs w:val="22"/>
        </w:rPr>
        <w:t>3</w:t>
      </w:r>
      <w:r w:rsidRPr="007939D9">
        <w:rPr>
          <w:rFonts w:ascii="Arial Narrow" w:hAnsi="Arial Narrow" w:cs="Arial"/>
          <w:b/>
          <w:color w:val="E42618"/>
          <w:sz w:val="22"/>
          <w:szCs w:val="22"/>
        </w:rPr>
        <w:t>.</w:t>
      </w:r>
      <w:r>
        <w:rPr>
          <w:rFonts w:ascii="Arial Narrow" w:hAnsi="Arial Narrow" w:cs="Arial"/>
          <w:b/>
          <w:color w:val="E42618"/>
          <w:sz w:val="22"/>
          <w:szCs w:val="22"/>
        </w:rPr>
        <w:t xml:space="preserve"> </w:t>
      </w:r>
      <w:r w:rsidRPr="00D36CA1">
        <w:rPr>
          <w:rFonts w:ascii="Arial Narrow" w:hAnsi="Arial Narrow" w:cs="Arial"/>
          <w:b/>
          <w:caps/>
          <w:color w:val="5F5F5F"/>
          <w:sz w:val="22"/>
          <w:szCs w:val="22"/>
        </w:rPr>
        <w:t>ESPORTAZIO</w:t>
      </w:r>
      <w:r w:rsidR="00CF30A4">
        <w:rPr>
          <w:rFonts w:ascii="Arial Narrow" w:hAnsi="Arial Narrow" w:cs="Arial"/>
          <w:b/>
          <w:caps/>
          <w:color w:val="5F5F5F"/>
          <w:sz w:val="22"/>
          <w:szCs w:val="22"/>
        </w:rPr>
        <w:t xml:space="preserve">NI E IMPORTAZIONI </w:t>
      </w:r>
      <w:r w:rsidR="008014ED">
        <w:rPr>
          <w:rFonts w:ascii="Arial Narrow" w:hAnsi="Arial Narrow" w:cs="Arial"/>
          <w:b/>
          <w:caps/>
          <w:color w:val="5F5F5F"/>
          <w:sz w:val="22"/>
          <w:szCs w:val="22"/>
        </w:rPr>
        <w:t xml:space="preserve">CON </w:t>
      </w:r>
      <w:r w:rsidR="008014ED" w:rsidRPr="007C052D">
        <w:rPr>
          <w:rFonts w:ascii="Arial Narrow" w:hAnsi="Arial Narrow" w:cs="Arial"/>
          <w:b/>
          <w:caps/>
          <w:color w:val="5F5F5F"/>
          <w:sz w:val="22"/>
          <w:szCs w:val="22"/>
        </w:rPr>
        <w:t>L’</w:t>
      </w:r>
      <w:r w:rsidR="00CF30A4" w:rsidRPr="007C052D">
        <w:rPr>
          <w:rFonts w:ascii="Arial Narrow" w:hAnsi="Arial Narrow" w:cs="Arial"/>
          <w:b/>
          <w:caps/>
          <w:color w:val="5F5F5F"/>
          <w:sz w:val="22"/>
          <w:szCs w:val="22"/>
        </w:rPr>
        <w:t>AREA</w:t>
      </w:r>
      <w:r w:rsidRPr="007C052D">
        <w:rPr>
          <w:rFonts w:ascii="Arial Narrow" w:hAnsi="Arial Narrow" w:cs="Arial"/>
          <w:b/>
          <w:caps/>
          <w:color w:val="5F5F5F"/>
          <w:sz w:val="22"/>
          <w:szCs w:val="22"/>
        </w:rPr>
        <w:t xml:space="preserve"> extra Ue</w:t>
      </w:r>
      <w:r w:rsidR="00E56E72" w:rsidRPr="007C052D">
        <w:rPr>
          <w:rFonts w:ascii="Arial Narrow" w:hAnsi="Arial Narrow" w:cs="Arial"/>
          <w:b/>
          <w:caps/>
          <w:color w:val="5F5F5F"/>
          <w:sz w:val="22"/>
          <w:szCs w:val="22"/>
        </w:rPr>
        <w:t>27</w:t>
      </w:r>
    </w:p>
    <w:p w14:paraId="2586AA37" w14:textId="1ECC7AC1" w:rsidR="00CF30A4" w:rsidRPr="005B110A" w:rsidRDefault="008D7D7F" w:rsidP="00293461">
      <w:pPr>
        <w:tabs>
          <w:tab w:val="left" w:pos="284"/>
        </w:tabs>
        <w:spacing w:after="60"/>
        <w:rPr>
          <w:rFonts w:ascii="Arial Narrow" w:hAnsi="Arial Narrow" w:cs="Arial"/>
          <w:color w:val="5F5F5F"/>
          <w:sz w:val="20"/>
        </w:rPr>
      </w:pPr>
      <w:r w:rsidRPr="0071152F">
        <w:rPr>
          <w:rFonts w:ascii="Arial Narrow" w:hAnsi="Arial Narrow" w:cs="Arial"/>
          <w:color w:val="5F5F5F"/>
          <w:sz w:val="20"/>
        </w:rPr>
        <w:t>Gennaio 20</w:t>
      </w:r>
      <w:r w:rsidR="00CB4FCD">
        <w:rPr>
          <w:rFonts w:ascii="Arial Narrow" w:hAnsi="Arial Narrow" w:cs="Arial"/>
          <w:color w:val="5F5F5F"/>
          <w:sz w:val="20"/>
        </w:rPr>
        <w:t>20</w:t>
      </w:r>
      <w:r w:rsidRPr="0071152F">
        <w:rPr>
          <w:rFonts w:ascii="Arial Narrow" w:hAnsi="Arial Narrow" w:cs="Arial"/>
          <w:color w:val="5F5F5F"/>
          <w:sz w:val="20"/>
        </w:rPr>
        <w:t xml:space="preserve"> </w:t>
      </w:r>
      <w:r w:rsidR="00644975">
        <w:rPr>
          <w:rFonts w:ascii="Arial Narrow" w:hAnsi="Arial Narrow" w:cs="Arial"/>
          <w:color w:val="5F5F5F"/>
          <w:sz w:val="20"/>
        </w:rPr>
        <w:t>–</w:t>
      </w:r>
      <w:r w:rsidRPr="0071152F">
        <w:rPr>
          <w:rFonts w:ascii="Arial Narrow" w:hAnsi="Arial Narrow" w:cs="Arial"/>
          <w:color w:val="5F5F5F"/>
          <w:sz w:val="20"/>
        </w:rPr>
        <w:t xml:space="preserve"> </w:t>
      </w:r>
      <w:r w:rsidR="00CB4FCD">
        <w:rPr>
          <w:rFonts w:ascii="Arial Narrow" w:hAnsi="Arial Narrow" w:cs="Arial"/>
          <w:color w:val="5F5F5F"/>
          <w:sz w:val="20"/>
        </w:rPr>
        <w:t>gennaio</w:t>
      </w:r>
      <w:r w:rsidR="005F4922" w:rsidRPr="0071152F">
        <w:rPr>
          <w:rFonts w:ascii="Arial Narrow" w:hAnsi="Arial Narrow" w:cs="Arial"/>
          <w:color w:val="5F5F5F"/>
          <w:sz w:val="20"/>
        </w:rPr>
        <w:t xml:space="preserve"> </w:t>
      </w:r>
      <w:r w:rsidRPr="0071152F">
        <w:rPr>
          <w:rFonts w:ascii="Arial Narrow" w:hAnsi="Arial Narrow" w:cs="Arial"/>
          <w:color w:val="5F5F5F"/>
          <w:sz w:val="20"/>
        </w:rPr>
        <w:t>20</w:t>
      </w:r>
      <w:r w:rsidR="00CB4FCD">
        <w:rPr>
          <w:rFonts w:ascii="Arial Narrow" w:hAnsi="Arial Narrow" w:cs="Arial"/>
          <w:color w:val="5F5F5F"/>
          <w:sz w:val="20"/>
        </w:rPr>
        <w:t>25</w:t>
      </w:r>
      <w:r w:rsidR="00CF30A4" w:rsidRPr="005B110A">
        <w:rPr>
          <w:rFonts w:ascii="Arial Narrow" w:hAnsi="Arial Narrow" w:cs="Arial"/>
          <w:color w:val="5F5F5F"/>
          <w:sz w:val="20"/>
        </w:rPr>
        <w:t xml:space="preserve">, </w:t>
      </w:r>
      <w:r w:rsidR="0063317A" w:rsidRPr="005B110A">
        <w:rPr>
          <w:rFonts w:ascii="Arial Narrow" w:hAnsi="Arial Narrow" w:cs="Arial"/>
          <w:color w:val="5F5F5F"/>
          <w:sz w:val="20"/>
        </w:rPr>
        <w:t xml:space="preserve">dati mensili e medie mobili a tre mesi, </w:t>
      </w:r>
      <w:r w:rsidR="00CF30A4" w:rsidRPr="005B110A">
        <w:rPr>
          <w:rFonts w:ascii="Arial Narrow" w:hAnsi="Arial Narrow" w:cs="Arial"/>
          <w:color w:val="5F5F5F"/>
          <w:sz w:val="20"/>
        </w:rPr>
        <w:t>dati destagionalizzati in miliardi di euro</w:t>
      </w:r>
    </w:p>
    <w:p w14:paraId="2AF5D091" w14:textId="13C373E2" w:rsidR="00353744" w:rsidRPr="00353744" w:rsidRDefault="0004702D" w:rsidP="00353744">
      <w:pPr>
        <w:tabs>
          <w:tab w:val="left" w:pos="284"/>
        </w:tabs>
        <w:spacing w:after="120"/>
        <w:rPr>
          <w:rFonts w:ascii="Arial" w:hAnsi="Arial" w:cs="Arial"/>
          <w:b/>
          <w:color w:val="000000"/>
        </w:rPr>
      </w:pPr>
      <w:r>
        <w:rPr>
          <w:noProof/>
        </w:rPr>
        <w:drawing>
          <wp:inline distT="0" distB="0" distL="0" distR="0" wp14:anchorId="1882E53C" wp14:editId="6F43D06A">
            <wp:extent cx="6660000" cy="2160000"/>
            <wp:effectExtent l="0" t="0" r="7620" b="0"/>
            <wp:docPr id="17" name="Grafico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4738D01B" w14:textId="490048CE" w:rsidR="00516EEC" w:rsidRDefault="00516EEC" w:rsidP="00353744">
      <w:pPr>
        <w:tabs>
          <w:tab w:val="left" w:pos="284"/>
        </w:tabs>
        <w:rPr>
          <w:sz w:val="22"/>
          <w:szCs w:val="22"/>
        </w:rPr>
      </w:pPr>
      <w:r w:rsidRPr="007939D9">
        <w:rPr>
          <w:rFonts w:ascii="Arial Narrow" w:hAnsi="Arial Narrow" w:cs="Arial"/>
          <w:b/>
          <w:color w:val="E42618"/>
          <w:sz w:val="22"/>
          <w:szCs w:val="22"/>
        </w:rPr>
        <w:lastRenderedPageBreak/>
        <w:t xml:space="preserve">FIGURA </w:t>
      </w:r>
      <w:r w:rsidR="006D02F3">
        <w:rPr>
          <w:rFonts w:ascii="Arial Narrow" w:hAnsi="Arial Narrow" w:cs="Arial"/>
          <w:b/>
          <w:color w:val="E42618"/>
          <w:sz w:val="22"/>
          <w:szCs w:val="22"/>
        </w:rPr>
        <w:t>4</w:t>
      </w:r>
      <w:r w:rsidRPr="007939D9">
        <w:rPr>
          <w:rFonts w:ascii="Arial Narrow" w:hAnsi="Arial Narrow" w:cs="Arial"/>
          <w:b/>
          <w:color w:val="E42618"/>
          <w:sz w:val="22"/>
          <w:szCs w:val="22"/>
        </w:rPr>
        <w:t>.</w:t>
      </w:r>
      <w:r w:rsidRPr="007939D9">
        <w:rPr>
          <w:sz w:val="22"/>
          <w:szCs w:val="22"/>
        </w:rPr>
        <w:t xml:space="preserve"> </w:t>
      </w:r>
      <w:r w:rsidRPr="00787294">
        <w:rPr>
          <w:rFonts w:ascii="Arial Narrow" w:hAnsi="Arial Narrow" w:cs="Arial"/>
          <w:b/>
          <w:caps/>
          <w:color w:val="5F5F5F"/>
          <w:sz w:val="22"/>
          <w:szCs w:val="22"/>
        </w:rPr>
        <w:t>FLUSSI COMMERCIALI CON L’ESTERO</w:t>
      </w:r>
      <w:r w:rsidR="00B827C7">
        <w:rPr>
          <w:sz w:val="22"/>
          <w:szCs w:val="22"/>
        </w:rPr>
        <w:t>,</w:t>
      </w:r>
      <w:r w:rsidR="008014ED">
        <w:rPr>
          <w:sz w:val="22"/>
          <w:szCs w:val="22"/>
        </w:rPr>
        <w:t xml:space="preserve"> </w:t>
      </w:r>
      <w:r>
        <w:rPr>
          <w:rFonts w:ascii="Arial Narrow" w:hAnsi="Arial Narrow" w:cs="Arial"/>
          <w:b/>
          <w:caps/>
          <w:color w:val="5F5F5F"/>
          <w:sz w:val="22"/>
          <w:szCs w:val="22"/>
        </w:rPr>
        <w:t xml:space="preserve">VARIAZIONI </w:t>
      </w:r>
      <w:r w:rsidR="00146099">
        <w:rPr>
          <w:rFonts w:ascii="Arial Narrow" w:hAnsi="Arial Narrow" w:cs="Arial"/>
          <w:b/>
          <w:caps/>
          <w:color w:val="5F5F5F"/>
          <w:sz w:val="22"/>
          <w:szCs w:val="22"/>
        </w:rPr>
        <w:t xml:space="preserve">PERCENTUALI </w:t>
      </w:r>
      <w:r w:rsidRPr="00516EEC">
        <w:rPr>
          <w:rFonts w:ascii="Arial Narrow" w:hAnsi="Arial Narrow" w:cs="Arial"/>
          <w:b/>
          <w:caps/>
          <w:color w:val="5F5F5F"/>
          <w:sz w:val="22"/>
          <w:szCs w:val="22"/>
        </w:rPr>
        <w:t>TENDENZIALI</w:t>
      </w:r>
    </w:p>
    <w:p w14:paraId="69946E4D" w14:textId="7E1C32BA" w:rsidR="00516EEC" w:rsidRPr="00787294" w:rsidRDefault="008D7D7F" w:rsidP="00516EEC">
      <w:pPr>
        <w:tabs>
          <w:tab w:val="left" w:pos="284"/>
        </w:tabs>
        <w:spacing w:after="120"/>
        <w:rPr>
          <w:rFonts w:ascii="Arial Narrow" w:hAnsi="Arial Narrow" w:cs="Arial"/>
          <w:color w:val="5F5F5F"/>
        </w:rPr>
      </w:pPr>
      <w:r w:rsidRPr="0071152F">
        <w:rPr>
          <w:rFonts w:ascii="Arial Narrow" w:hAnsi="Arial Narrow" w:cs="Arial"/>
          <w:color w:val="5F5F5F"/>
          <w:sz w:val="20"/>
        </w:rPr>
        <w:t>Gennaio 20</w:t>
      </w:r>
      <w:r w:rsidR="00AA6D45">
        <w:rPr>
          <w:rFonts w:ascii="Arial Narrow" w:hAnsi="Arial Narrow" w:cs="Arial"/>
          <w:color w:val="5F5F5F"/>
          <w:sz w:val="20"/>
        </w:rPr>
        <w:t>2</w:t>
      </w:r>
      <w:r w:rsidR="00DE04DE">
        <w:rPr>
          <w:rFonts w:ascii="Arial Narrow" w:hAnsi="Arial Narrow" w:cs="Arial"/>
          <w:color w:val="5F5F5F"/>
          <w:sz w:val="20"/>
        </w:rPr>
        <w:t>1</w:t>
      </w:r>
      <w:r w:rsidR="00AA6D45">
        <w:rPr>
          <w:rFonts w:ascii="Arial Narrow" w:hAnsi="Arial Narrow" w:cs="Arial"/>
          <w:color w:val="5F5F5F"/>
          <w:sz w:val="20"/>
        </w:rPr>
        <w:t xml:space="preserve"> </w:t>
      </w:r>
      <w:r w:rsidR="00644975">
        <w:rPr>
          <w:rFonts w:ascii="Arial Narrow" w:hAnsi="Arial Narrow" w:cs="Arial"/>
          <w:color w:val="5F5F5F"/>
          <w:sz w:val="20"/>
        </w:rPr>
        <w:t>–</w:t>
      </w:r>
      <w:r w:rsidRPr="0071152F">
        <w:rPr>
          <w:rFonts w:ascii="Arial Narrow" w:hAnsi="Arial Narrow" w:cs="Arial"/>
          <w:color w:val="5F5F5F"/>
          <w:sz w:val="20"/>
        </w:rPr>
        <w:t xml:space="preserve"> </w:t>
      </w:r>
      <w:r w:rsidR="00DE04DE">
        <w:rPr>
          <w:rFonts w:ascii="Arial Narrow" w:hAnsi="Arial Narrow" w:cs="Arial"/>
          <w:color w:val="5F5F5F"/>
          <w:sz w:val="20"/>
        </w:rPr>
        <w:t>gennaio</w:t>
      </w:r>
      <w:r w:rsidR="005F4922" w:rsidRPr="0071152F">
        <w:rPr>
          <w:rFonts w:ascii="Arial Narrow" w:hAnsi="Arial Narrow" w:cs="Arial"/>
          <w:color w:val="5F5F5F"/>
          <w:sz w:val="20"/>
        </w:rPr>
        <w:t xml:space="preserve"> </w:t>
      </w:r>
      <w:r w:rsidRPr="0071152F">
        <w:rPr>
          <w:rFonts w:ascii="Arial Narrow" w:hAnsi="Arial Narrow" w:cs="Arial"/>
          <w:color w:val="5F5F5F"/>
          <w:sz w:val="20"/>
        </w:rPr>
        <w:t>20</w:t>
      </w:r>
      <w:r w:rsidR="00DE04DE">
        <w:rPr>
          <w:rFonts w:ascii="Arial Narrow" w:hAnsi="Arial Narrow" w:cs="Arial"/>
          <w:color w:val="5F5F5F"/>
          <w:sz w:val="20"/>
        </w:rPr>
        <w:t>25</w:t>
      </w:r>
      <w:r w:rsidR="0063317A" w:rsidRPr="00EE5993">
        <w:rPr>
          <w:rFonts w:ascii="Arial Narrow" w:hAnsi="Arial Narrow" w:cs="Arial"/>
          <w:color w:val="5F5F5F"/>
          <w:sz w:val="20"/>
        </w:rPr>
        <w:t>,</w:t>
      </w:r>
      <w:r w:rsidR="00516EEC" w:rsidRPr="00EE5993">
        <w:rPr>
          <w:rFonts w:ascii="Arial Narrow" w:hAnsi="Arial Narrow" w:cs="Arial"/>
          <w:color w:val="5F5F5F"/>
          <w:sz w:val="20"/>
        </w:rPr>
        <w:t xml:space="preserve"> dati grezzi</w:t>
      </w:r>
      <w:r w:rsidR="00516EEC" w:rsidRPr="00EE5993">
        <w:rPr>
          <w:noProof/>
          <w:sz w:val="20"/>
        </w:rPr>
        <w:t xml:space="preserve"> </w:t>
      </w:r>
      <w:r w:rsidR="0004702D">
        <w:rPr>
          <w:noProof/>
        </w:rPr>
        <w:drawing>
          <wp:inline distT="0" distB="0" distL="0" distR="0" wp14:anchorId="1AD3104B" wp14:editId="5767D6DA">
            <wp:extent cx="6660000" cy="2160000"/>
            <wp:effectExtent l="0" t="0" r="7620" b="0"/>
            <wp:docPr id="27" name="Grafico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2425F0ED" w14:textId="77777777" w:rsidR="00FE069A" w:rsidRDefault="00FE069A" w:rsidP="00516EEC">
      <w:pPr>
        <w:tabs>
          <w:tab w:val="left" w:pos="284"/>
        </w:tabs>
        <w:rPr>
          <w:rFonts w:ascii="Arial Narrow" w:hAnsi="Arial Narrow" w:cs="Arial"/>
          <w:b/>
          <w:color w:val="E42618"/>
          <w:sz w:val="22"/>
          <w:szCs w:val="22"/>
        </w:rPr>
      </w:pPr>
    </w:p>
    <w:p w14:paraId="4DF29799" w14:textId="77777777" w:rsidR="00353744" w:rsidRDefault="00353744" w:rsidP="00516EEC">
      <w:pPr>
        <w:tabs>
          <w:tab w:val="left" w:pos="284"/>
        </w:tabs>
        <w:rPr>
          <w:rFonts w:ascii="Arial Narrow" w:hAnsi="Arial Narrow" w:cs="Arial"/>
          <w:b/>
          <w:color w:val="E42618"/>
          <w:sz w:val="22"/>
          <w:szCs w:val="22"/>
        </w:rPr>
      </w:pPr>
    </w:p>
    <w:p w14:paraId="5E98840B" w14:textId="513A8AFB" w:rsidR="00516EEC" w:rsidRPr="00DB04BA" w:rsidRDefault="00516EEC" w:rsidP="00516EEC">
      <w:pPr>
        <w:tabs>
          <w:tab w:val="left" w:pos="284"/>
        </w:tabs>
        <w:rPr>
          <w:sz w:val="22"/>
          <w:szCs w:val="22"/>
        </w:rPr>
      </w:pPr>
      <w:r w:rsidRPr="00DB04BA">
        <w:rPr>
          <w:rFonts w:ascii="Arial Narrow" w:hAnsi="Arial Narrow" w:cs="Arial"/>
          <w:b/>
          <w:color w:val="E42618"/>
          <w:sz w:val="22"/>
          <w:szCs w:val="22"/>
        </w:rPr>
        <w:t xml:space="preserve">FIGURA </w:t>
      </w:r>
      <w:r w:rsidR="006D02F3" w:rsidRPr="00DB04BA">
        <w:rPr>
          <w:rFonts w:ascii="Arial Narrow" w:hAnsi="Arial Narrow" w:cs="Arial"/>
          <w:b/>
          <w:color w:val="E42618"/>
          <w:sz w:val="22"/>
          <w:szCs w:val="22"/>
        </w:rPr>
        <w:t>5</w:t>
      </w:r>
      <w:r w:rsidRPr="00DB04BA">
        <w:rPr>
          <w:rFonts w:ascii="Arial Narrow" w:hAnsi="Arial Narrow" w:cs="Arial"/>
          <w:b/>
          <w:color w:val="E42618"/>
          <w:sz w:val="22"/>
          <w:szCs w:val="22"/>
        </w:rPr>
        <w:t>.</w:t>
      </w:r>
      <w:r w:rsidRPr="00DB04BA">
        <w:rPr>
          <w:sz w:val="22"/>
          <w:szCs w:val="22"/>
        </w:rPr>
        <w:t xml:space="preserve"> </w:t>
      </w:r>
      <w:r w:rsidRPr="00DB04BA">
        <w:rPr>
          <w:rFonts w:ascii="Arial Narrow" w:hAnsi="Arial Narrow" w:cs="Arial"/>
          <w:b/>
          <w:caps/>
          <w:color w:val="5F5F5F"/>
          <w:sz w:val="22"/>
          <w:szCs w:val="22"/>
        </w:rPr>
        <w:t>PREZZI ALL’IMPORTAZIONE</w:t>
      </w:r>
      <w:r w:rsidR="00806BEC" w:rsidRPr="00DB04BA">
        <w:rPr>
          <w:rFonts w:ascii="Arial Narrow" w:hAnsi="Arial Narrow" w:cs="Arial"/>
          <w:b/>
          <w:caps/>
          <w:color w:val="5F5F5F"/>
          <w:sz w:val="22"/>
          <w:szCs w:val="22"/>
        </w:rPr>
        <w:t>, VARIAZIONI PERCENTUALI TENDENZIALI</w:t>
      </w:r>
    </w:p>
    <w:p w14:paraId="14693204" w14:textId="0E77130C" w:rsidR="006D601F" w:rsidRDefault="008D7D7F" w:rsidP="00EB3E42">
      <w:pPr>
        <w:spacing w:after="120"/>
        <w:rPr>
          <w:noProof/>
          <w:sz w:val="20"/>
        </w:rPr>
      </w:pPr>
      <w:r w:rsidRPr="00DB04BA">
        <w:rPr>
          <w:rFonts w:ascii="Arial Narrow" w:hAnsi="Arial Narrow" w:cs="Arial"/>
          <w:color w:val="5F5F5F"/>
          <w:sz w:val="20"/>
        </w:rPr>
        <w:t>Gennaio 20</w:t>
      </w:r>
      <w:r w:rsidR="00DE04DE">
        <w:rPr>
          <w:rFonts w:ascii="Arial Narrow" w:hAnsi="Arial Narrow" w:cs="Arial"/>
          <w:color w:val="5F5F5F"/>
          <w:sz w:val="20"/>
        </w:rPr>
        <w:t>21</w:t>
      </w:r>
      <w:r w:rsidRPr="00DB04BA">
        <w:rPr>
          <w:rFonts w:ascii="Arial Narrow" w:hAnsi="Arial Narrow" w:cs="Arial"/>
          <w:color w:val="5F5F5F"/>
          <w:sz w:val="20"/>
        </w:rPr>
        <w:t xml:space="preserve"> </w:t>
      </w:r>
      <w:r w:rsidR="009446F0" w:rsidRPr="00DB04BA">
        <w:rPr>
          <w:rFonts w:ascii="Arial Narrow" w:hAnsi="Arial Narrow" w:cs="Arial"/>
          <w:color w:val="5F5F5F"/>
          <w:sz w:val="20"/>
        </w:rPr>
        <w:t>–</w:t>
      </w:r>
      <w:r w:rsidRPr="00DB04BA">
        <w:rPr>
          <w:rFonts w:ascii="Arial Narrow" w:hAnsi="Arial Narrow" w:cs="Arial"/>
          <w:color w:val="5F5F5F"/>
          <w:sz w:val="20"/>
        </w:rPr>
        <w:t xml:space="preserve"> </w:t>
      </w:r>
      <w:r w:rsidR="00DE04DE">
        <w:rPr>
          <w:rFonts w:ascii="Arial Narrow" w:hAnsi="Arial Narrow" w:cs="Arial"/>
          <w:color w:val="5F5F5F"/>
          <w:sz w:val="20"/>
        </w:rPr>
        <w:t>gennaio</w:t>
      </w:r>
      <w:r w:rsidR="005F4922" w:rsidRPr="00DB04BA">
        <w:rPr>
          <w:rFonts w:ascii="Arial Narrow" w:hAnsi="Arial Narrow" w:cs="Arial"/>
          <w:color w:val="5F5F5F"/>
          <w:sz w:val="20"/>
        </w:rPr>
        <w:t xml:space="preserve"> </w:t>
      </w:r>
      <w:r w:rsidR="00DE04DE">
        <w:rPr>
          <w:rFonts w:ascii="Arial Narrow" w:hAnsi="Arial Narrow" w:cs="Arial"/>
          <w:color w:val="5F5F5F"/>
          <w:sz w:val="20"/>
        </w:rPr>
        <w:t>2025</w:t>
      </w:r>
      <w:r w:rsidR="00B827C7" w:rsidRPr="00DB04BA">
        <w:rPr>
          <w:rFonts w:ascii="Arial Narrow" w:hAnsi="Arial Narrow" w:cs="Arial"/>
          <w:color w:val="5F5F5F"/>
          <w:sz w:val="20"/>
        </w:rPr>
        <w:t>,</w:t>
      </w:r>
      <w:r w:rsidR="00516EEC" w:rsidRPr="00DB04BA">
        <w:rPr>
          <w:rFonts w:ascii="Arial Narrow" w:hAnsi="Arial Narrow" w:cs="Arial"/>
          <w:color w:val="5F5F5F"/>
          <w:sz w:val="20"/>
        </w:rPr>
        <w:t xml:space="preserve"> (base 20</w:t>
      </w:r>
      <w:r w:rsidR="001B5C6D" w:rsidRPr="00DB04BA">
        <w:rPr>
          <w:rFonts w:ascii="Arial Narrow" w:hAnsi="Arial Narrow" w:cs="Arial"/>
          <w:color w:val="5F5F5F"/>
          <w:sz w:val="20"/>
        </w:rPr>
        <w:t>21</w:t>
      </w:r>
      <w:r w:rsidR="00516EEC" w:rsidRPr="00DB04BA">
        <w:rPr>
          <w:rFonts w:ascii="Arial Narrow" w:hAnsi="Arial Narrow" w:cs="Arial"/>
          <w:color w:val="5F5F5F"/>
          <w:sz w:val="20"/>
        </w:rPr>
        <w:t>=100)</w:t>
      </w:r>
      <w:r w:rsidR="00B23E66" w:rsidRPr="00EE5993">
        <w:rPr>
          <w:noProof/>
          <w:sz w:val="20"/>
        </w:rPr>
        <w:t xml:space="preserve"> </w:t>
      </w:r>
    </w:p>
    <w:p w14:paraId="7A18ABAD" w14:textId="0BEDA0FA" w:rsidR="00DB04BA" w:rsidRDefault="008114A4" w:rsidP="00EB3E42">
      <w:pPr>
        <w:spacing w:after="120"/>
        <w:rPr>
          <w:noProof/>
          <w:sz w:val="20"/>
        </w:rPr>
      </w:pPr>
      <w:r>
        <w:rPr>
          <w:noProof/>
        </w:rPr>
        <w:drawing>
          <wp:inline distT="0" distB="0" distL="0" distR="0" wp14:anchorId="36454128" wp14:editId="723D17D0">
            <wp:extent cx="6660000" cy="2160000"/>
            <wp:effectExtent l="0" t="0" r="7620" b="0"/>
            <wp:docPr id="9" name="Gra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05EC2BEC" w14:textId="164AD38F" w:rsidR="006D601F" w:rsidRDefault="006D601F" w:rsidP="00EB3E42">
      <w:pPr>
        <w:spacing w:after="120"/>
        <w:rPr>
          <w:noProof/>
          <w:sz w:val="20"/>
        </w:rPr>
      </w:pPr>
    </w:p>
    <w:p w14:paraId="000151DF" w14:textId="77777777" w:rsidR="006D601F" w:rsidRDefault="006D601F" w:rsidP="00EB3E42">
      <w:pPr>
        <w:spacing w:after="120"/>
        <w:rPr>
          <w:noProof/>
          <w:sz w:val="20"/>
        </w:rPr>
      </w:pPr>
    </w:p>
    <w:p w14:paraId="1C0E92EF" w14:textId="78633ED7" w:rsidR="00F00744" w:rsidRDefault="00F00744" w:rsidP="00EB3E42">
      <w:pPr>
        <w:spacing w:after="120"/>
        <w:rPr>
          <w:noProof/>
          <w:sz w:val="20"/>
        </w:rPr>
      </w:pPr>
    </w:p>
    <w:p w14:paraId="5DBB05AF" w14:textId="3B9CA195" w:rsidR="009616C9" w:rsidRDefault="002B046C" w:rsidP="00EB3E42">
      <w:pPr>
        <w:spacing w:after="120"/>
        <w:rPr>
          <w:noProof/>
          <w:sz w:val="20"/>
        </w:rPr>
      </w:pPr>
      <w:r w:rsidRPr="002B046C">
        <w:rPr>
          <w:noProof/>
        </w:rPr>
        <w:t xml:space="preserve"> </w:t>
      </w:r>
    </w:p>
    <w:p w14:paraId="0561B941" w14:textId="7C098C1F" w:rsidR="00016D99" w:rsidRDefault="00016D99" w:rsidP="00EB3E42">
      <w:pPr>
        <w:spacing w:after="120"/>
        <w:rPr>
          <w:noProof/>
          <w:sz w:val="20"/>
        </w:rPr>
      </w:pPr>
    </w:p>
    <w:p w14:paraId="08FB2CEF" w14:textId="1905AF53" w:rsidR="00054481" w:rsidRDefault="00054481" w:rsidP="00EB3E42">
      <w:pPr>
        <w:spacing w:after="120"/>
        <w:rPr>
          <w:noProof/>
          <w:sz w:val="20"/>
        </w:rPr>
      </w:pPr>
    </w:p>
    <w:p w14:paraId="4B83DCDF" w14:textId="183C415F" w:rsidR="00A43303" w:rsidRDefault="00A43303" w:rsidP="00EB3E42">
      <w:pPr>
        <w:spacing w:after="120"/>
        <w:rPr>
          <w:noProof/>
          <w:sz w:val="20"/>
        </w:rPr>
      </w:pPr>
    </w:p>
    <w:p w14:paraId="762794BE" w14:textId="0F18ABC4" w:rsidR="00931795" w:rsidRDefault="00931795" w:rsidP="00EB3E42">
      <w:pPr>
        <w:spacing w:after="120"/>
        <w:rPr>
          <w:noProof/>
          <w:sz w:val="20"/>
        </w:rPr>
      </w:pPr>
    </w:p>
    <w:p w14:paraId="50A85A9E" w14:textId="5F6AB764" w:rsidR="00833A77" w:rsidRPr="006768B9" w:rsidRDefault="00833A77" w:rsidP="00833A77">
      <w:pPr>
        <w:tabs>
          <w:tab w:val="left" w:pos="7485"/>
        </w:tabs>
        <w:sectPr w:rsidR="00833A77" w:rsidRPr="006768B9" w:rsidSect="00AD0AC6">
          <w:headerReference w:type="default" r:id="rId30"/>
          <w:footerReference w:type="default" r:id="rId31"/>
          <w:headerReference w:type="first" r:id="rId32"/>
          <w:pgSz w:w="11906" w:h="16838" w:code="9"/>
          <w:pgMar w:top="1701" w:right="851" w:bottom="249" w:left="851" w:header="567" w:footer="567" w:gutter="0"/>
          <w:cols w:space="720"/>
          <w:noEndnote/>
          <w:titlePg/>
          <w:docGrid w:linePitch="326"/>
        </w:sectPr>
      </w:pPr>
    </w:p>
    <w:p w14:paraId="65A93603" w14:textId="77777777" w:rsidR="008D10C8" w:rsidRPr="005F1ADE" w:rsidRDefault="008D10C8" w:rsidP="004B5FCF">
      <w:pPr>
        <w:pStyle w:val="001TitoloBolocco"/>
        <w:spacing w:after="120" w:line="240" w:lineRule="auto"/>
        <w:rPr>
          <w:rFonts w:cs="Calibri"/>
          <w:b w:val="0"/>
          <w:bCs w:val="0"/>
          <w:caps w:val="0"/>
          <w:color w:val="E42618"/>
          <w:sz w:val="36"/>
          <w:szCs w:val="36"/>
        </w:rPr>
      </w:pPr>
      <w:r w:rsidRPr="005F1ADE">
        <w:rPr>
          <w:rFonts w:cs="Calibri"/>
          <w:b w:val="0"/>
          <w:bCs w:val="0"/>
          <w:caps w:val="0"/>
          <w:color w:val="E42618"/>
          <w:sz w:val="36"/>
          <w:szCs w:val="36"/>
        </w:rPr>
        <w:lastRenderedPageBreak/>
        <w:t>Commercio con l’estero</w:t>
      </w:r>
    </w:p>
    <w:p w14:paraId="278A1065" w14:textId="77777777" w:rsidR="00833A77" w:rsidRDefault="00BF702B" w:rsidP="004B5FCF">
      <w:pPr>
        <w:pStyle w:val="001TitoloBolocco"/>
        <w:spacing w:after="120" w:line="240" w:lineRule="auto"/>
      </w:pPr>
      <w:r>
        <w:rPr>
          <w:bCs w:val="0"/>
          <w:caps w:val="0"/>
        </w:rPr>
        <w:t>P</w:t>
      </w:r>
      <w:r w:rsidR="003C7722">
        <w:rPr>
          <w:bCs w:val="0"/>
          <w:caps w:val="0"/>
        </w:rPr>
        <w:t>RODOTTI ESPORTATI E IMPORTATI</w:t>
      </w:r>
    </w:p>
    <w:p w14:paraId="76A3BD78" w14:textId="1682F1A6" w:rsidR="00516EEC" w:rsidRPr="00EE5993" w:rsidRDefault="00516EEC" w:rsidP="00516EEC">
      <w:pPr>
        <w:spacing w:after="120"/>
        <w:rPr>
          <w:rFonts w:ascii="Arial Narrow" w:hAnsi="Arial Narrow" w:cs="Arial"/>
          <w:b/>
          <w:bCs/>
          <w:i/>
          <w:sz w:val="16"/>
          <w:szCs w:val="19"/>
        </w:rPr>
      </w:pPr>
      <w:r w:rsidRPr="007939D9">
        <w:rPr>
          <w:rFonts w:ascii="Arial Narrow" w:hAnsi="Arial Narrow" w:cs="Arial"/>
          <w:b/>
          <w:bCs/>
          <w:color w:val="E42618"/>
          <w:sz w:val="22"/>
          <w:szCs w:val="22"/>
        </w:rPr>
        <w:t>PROSPETTO 1</w:t>
      </w:r>
      <w:r w:rsidRPr="00AF23DD">
        <w:rPr>
          <w:rFonts w:ascii="Arial Narrow" w:hAnsi="Arial Narrow" w:cs="Arial"/>
          <w:b/>
          <w:bCs/>
          <w:color w:val="E42618"/>
          <w:sz w:val="22"/>
          <w:szCs w:val="22"/>
        </w:rPr>
        <w:t xml:space="preserve">. </w:t>
      </w:r>
      <w:r w:rsidRPr="003C7722">
        <w:rPr>
          <w:rFonts w:ascii="Arial Narrow" w:hAnsi="Arial Narrow" w:cs="Arial"/>
          <w:b/>
          <w:bCs/>
          <w:color w:val="5F5F5F"/>
          <w:sz w:val="22"/>
          <w:szCs w:val="22"/>
        </w:rPr>
        <w:t>ESPORTAZIONI, IMPORTAZIONI E SALDI DELLA BILANCIA COMMERCIALE</w:t>
      </w:r>
      <w:r w:rsidRPr="005F1ADE">
        <w:rPr>
          <w:rFonts w:ascii="Arial Narrow" w:hAnsi="Arial Narrow" w:cs="Arial"/>
          <w:b/>
          <w:bCs/>
          <w:color w:val="7F7F7F"/>
          <w:sz w:val="22"/>
          <w:szCs w:val="22"/>
        </w:rPr>
        <w:br/>
      </w:r>
      <w:r w:rsidR="00FE4793">
        <w:rPr>
          <w:rFonts w:ascii="Arial Narrow" w:hAnsi="Arial Narrow" w:cs="Arial"/>
          <w:color w:val="5F5F5F"/>
          <w:sz w:val="20"/>
        </w:rPr>
        <w:t>Gennaio</w:t>
      </w:r>
      <w:r w:rsidR="007657DD">
        <w:rPr>
          <w:rFonts w:ascii="Arial Narrow" w:hAnsi="Arial Narrow" w:cs="Arial"/>
          <w:color w:val="5F5F5F"/>
          <w:sz w:val="20"/>
        </w:rPr>
        <w:t xml:space="preserve"> 202</w:t>
      </w:r>
      <w:r w:rsidR="00FE4793">
        <w:rPr>
          <w:rFonts w:ascii="Arial Narrow" w:hAnsi="Arial Narrow" w:cs="Arial"/>
          <w:color w:val="5F5F5F"/>
          <w:sz w:val="20"/>
        </w:rPr>
        <w:t>5</w:t>
      </w:r>
      <w:r w:rsidRPr="00EE5993">
        <w:rPr>
          <w:rFonts w:ascii="Arial Narrow" w:hAnsi="Arial Narrow" w:cs="Arial"/>
          <w:color w:val="5F5F5F"/>
          <w:sz w:val="20"/>
        </w:rPr>
        <w:t xml:space="preserve">, variazioni percentuali congiunturali e tendenziali e </w:t>
      </w:r>
      <w:r w:rsidR="00AF23DD" w:rsidRPr="00EE5993">
        <w:rPr>
          <w:rFonts w:ascii="Arial Narrow" w:hAnsi="Arial Narrow" w:cs="Arial"/>
          <w:color w:val="5F5F5F"/>
          <w:sz w:val="20"/>
        </w:rPr>
        <w:t xml:space="preserve">saldi in milioni di </w:t>
      </w:r>
      <w:r w:rsidR="00AF23DD" w:rsidRPr="00243B6A">
        <w:rPr>
          <w:rFonts w:ascii="Arial Narrow" w:hAnsi="Arial Narrow" w:cs="Arial"/>
          <w:color w:val="5F5F5F"/>
          <w:sz w:val="20"/>
        </w:rPr>
        <w:t>e</w:t>
      </w:r>
      <w:r w:rsidR="00CE1ED0" w:rsidRPr="00243B6A">
        <w:rPr>
          <w:rFonts w:ascii="Arial Narrow" w:hAnsi="Arial Narrow" w:cs="Arial"/>
          <w:color w:val="5F5F5F"/>
          <w:sz w:val="20"/>
        </w:rPr>
        <w:t>u</w:t>
      </w:r>
      <w:r w:rsidR="00AF23DD" w:rsidRPr="00243B6A">
        <w:rPr>
          <w:rFonts w:ascii="Arial Narrow" w:hAnsi="Arial Narrow" w:cs="Arial"/>
          <w:color w:val="5F5F5F"/>
          <w:sz w:val="20"/>
        </w:rPr>
        <w:t>ro</w:t>
      </w:r>
    </w:p>
    <w:tbl>
      <w:tblPr>
        <w:tblW w:w="10300" w:type="dxa"/>
        <w:tblInd w:w="70" w:type="dxa"/>
        <w:tblBorders>
          <w:top w:val="single" w:sz="4" w:space="0" w:color="333333"/>
          <w:bottom w:val="single" w:sz="4" w:space="0" w:color="333333"/>
          <w:insideH w:val="single" w:sz="4" w:space="0" w:color="333333"/>
        </w:tblBorders>
        <w:tblLayout w:type="fixed"/>
        <w:tblCellMar>
          <w:left w:w="70" w:type="dxa"/>
          <w:right w:w="70" w:type="dxa"/>
        </w:tblCellMar>
        <w:tblLook w:val="0000" w:firstRow="0" w:lastRow="0" w:firstColumn="0" w:lastColumn="0" w:noHBand="0" w:noVBand="0"/>
      </w:tblPr>
      <w:tblGrid>
        <w:gridCol w:w="1348"/>
        <w:gridCol w:w="709"/>
        <w:gridCol w:w="1123"/>
        <w:gridCol w:w="7"/>
        <w:gridCol w:w="1725"/>
        <w:gridCol w:w="7"/>
        <w:gridCol w:w="665"/>
        <w:gridCol w:w="1219"/>
        <w:gridCol w:w="7"/>
        <w:gridCol w:w="160"/>
        <w:gridCol w:w="1661"/>
        <w:gridCol w:w="7"/>
        <w:gridCol w:w="665"/>
        <w:gridCol w:w="990"/>
        <w:gridCol w:w="7"/>
      </w:tblGrid>
      <w:tr w:rsidR="008C4276" w:rsidRPr="003C7722" w14:paraId="4E71D960" w14:textId="77777777" w:rsidTr="004E2116">
        <w:trPr>
          <w:gridAfter w:val="1"/>
          <w:wAfter w:w="7" w:type="dxa"/>
          <w:trHeight w:val="255"/>
        </w:trPr>
        <w:tc>
          <w:tcPr>
            <w:tcW w:w="1348" w:type="dxa"/>
            <w:vMerge w:val="restart"/>
            <w:shd w:val="clear" w:color="auto" w:fill="auto"/>
            <w:noWrap/>
            <w:vAlign w:val="center"/>
          </w:tcPr>
          <w:p w14:paraId="336D457F" w14:textId="77777777" w:rsidR="008C4276" w:rsidRPr="003C7722" w:rsidRDefault="008C4276" w:rsidP="003C4572">
            <w:pPr>
              <w:spacing w:before="40" w:after="20"/>
              <w:ind w:left="-57"/>
              <w:rPr>
                <w:rFonts w:ascii="Arial Narrow" w:hAnsi="Arial Narrow"/>
                <w:sz w:val="18"/>
                <w:szCs w:val="18"/>
              </w:rPr>
            </w:pPr>
          </w:p>
        </w:tc>
        <w:tc>
          <w:tcPr>
            <w:tcW w:w="3564" w:type="dxa"/>
            <w:gridSpan w:val="4"/>
            <w:tcBorders>
              <w:bottom w:val="single" w:sz="4" w:space="0" w:color="333333"/>
            </w:tcBorders>
            <w:shd w:val="clear" w:color="auto" w:fill="D9D9D9"/>
            <w:vAlign w:val="center"/>
          </w:tcPr>
          <w:p w14:paraId="020FEFFC" w14:textId="77777777" w:rsidR="008C4276" w:rsidRPr="003C7722" w:rsidRDefault="008C4276" w:rsidP="003C4572">
            <w:pPr>
              <w:tabs>
                <w:tab w:val="left" w:pos="1316"/>
              </w:tabs>
              <w:spacing w:before="40" w:after="20"/>
              <w:ind w:right="-70"/>
              <w:jc w:val="center"/>
              <w:rPr>
                <w:rFonts w:ascii="Arial Narrow" w:hAnsi="Arial Narrow"/>
                <w:sz w:val="18"/>
                <w:szCs w:val="18"/>
              </w:rPr>
            </w:pPr>
            <w:r w:rsidRPr="003C7722">
              <w:rPr>
                <w:rFonts w:ascii="Arial Narrow" w:hAnsi="Arial Narrow" w:cs="Arial"/>
                <w:b/>
                <w:sz w:val="18"/>
                <w:szCs w:val="18"/>
              </w:rPr>
              <w:t>ESPORTAZIONI</w:t>
            </w:r>
          </w:p>
        </w:tc>
        <w:tc>
          <w:tcPr>
            <w:tcW w:w="3719" w:type="dxa"/>
            <w:gridSpan w:val="6"/>
            <w:tcBorders>
              <w:bottom w:val="single" w:sz="4" w:space="0" w:color="333333"/>
            </w:tcBorders>
            <w:shd w:val="clear" w:color="auto" w:fill="auto"/>
            <w:vAlign w:val="center"/>
          </w:tcPr>
          <w:p w14:paraId="387637AA" w14:textId="77777777" w:rsidR="008C4276" w:rsidRPr="003C7722" w:rsidRDefault="008C4276" w:rsidP="003C4572">
            <w:pPr>
              <w:spacing w:before="40" w:after="20"/>
              <w:jc w:val="center"/>
              <w:rPr>
                <w:rFonts w:ascii="Arial Narrow" w:hAnsi="Arial Narrow"/>
                <w:sz w:val="18"/>
                <w:szCs w:val="18"/>
              </w:rPr>
            </w:pPr>
            <w:r w:rsidRPr="003C7722">
              <w:rPr>
                <w:rFonts w:ascii="Arial Narrow" w:hAnsi="Arial Narrow" w:cs="Arial"/>
                <w:b/>
                <w:sz w:val="18"/>
                <w:szCs w:val="18"/>
              </w:rPr>
              <w:t>IMPORTAZIONI</w:t>
            </w:r>
          </w:p>
        </w:tc>
        <w:tc>
          <w:tcPr>
            <w:tcW w:w="1662" w:type="dxa"/>
            <w:gridSpan w:val="3"/>
            <w:vMerge w:val="restart"/>
            <w:shd w:val="clear" w:color="auto" w:fill="D9D9D9" w:themeFill="background1" w:themeFillShade="D9"/>
            <w:vAlign w:val="center"/>
          </w:tcPr>
          <w:p w14:paraId="2A42598A" w14:textId="77777777" w:rsidR="008C4276" w:rsidRPr="003C7722" w:rsidRDefault="008C4276" w:rsidP="003C4572">
            <w:pPr>
              <w:spacing w:before="40" w:after="20"/>
              <w:jc w:val="center"/>
              <w:rPr>
                <w:rFonts w:ascii="Arial Narrow" w:hAnsi="Arial Narrow"/>
                <w:b/>
                <w:bCs/>
                <w:sz w:val="18"/>
                <w:szCs w:val="18"/>
              </w:rPr>
            </w:pPr>
            <w:r w:rsidRPr="003C7722">
              <w:rPr>
                <w:rFonts w:ascii="Arial Narrow" w:hAnsi="Arial Narrow"/>
                <w:b/>
                <w:bCs/>
                <w:sz w:val="18"/>
                <w:szCs w:val="18"/>
              </w:rPr>
              <w:t>SALDI</w:t>
            </w:r>
          </w:p>
        </w:tc>
      </w:tr>
      <w:tr w:rsidR="008C4276" w:rsidRPr="003C7722" w14:paraId="1185FA6C" w14:textId="77777777" w:rsidTr="004E2116">
        <w:trPr>
          <w:gridAfter w:val="1"/>
          <w:wAfter w:w="7" w:type="dxa"/>
          <w:trHeight w:val="255"/>
        </w:trPr>
        <w:tc>
          <w:tcPr>
            <w:tcW w:w="1348" w:type="dxa"/>
            <w:vMerge/>
            <w:shd w:val="clear" w:color="auto" w:fill="auto"/>
            <w:noWrap/>
            <w:vAlign w:val="center"/>
          </w:tcPr>
          <w:p w14:paraId="00AD1457" w14:textId="77777777" w:rsidR="008C4276" w:rsidRPr="003C7722" w:rsidRDefault="008C4276" w:rsidP="003C4572">
            <w:pPr>
              <w:spacing w:before="40" w:after="20"/>
              <w:ind w:left="-57"/>
              <w:rPr>
                <w:rFonts w:ascii="Arial Narrow" w:hAnsi="Arial Narrow"/>
                <w:sz w:val="18"/>
                <w:szCs w:val="18"/>
              </w:rPr>
            </w:pPr>
          </w:p>
        </w:tc>
        <w:tc>
          <w:tcPr>
            <w:tcW w:w="1832" w:type="dxa"/>
            <w:gridSpan w:val="2"/>
            <w:tcBorders>
              <w:bottom w:val="single" w:sz="4" w:space="0" w:color="333333"/>
            </w:tcBorders>
            <w:shd w:val="clear" w:color="auto" w:fill="auto"/>
            <w:vAlign w:val="center"/>
          </w:tcPr>
          <w:p w14:paraId="0AF206A1" w14:textId="77777777" w:rsidR="008C4276" w:rsidRDefault="008C4276"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Variazioni</w:t>
            </w:r>
          </w:p>
          <w:p w14:paraId="01F50ABC" w14:textId="77777777" w:rsidR="008C4276" w:rsidRPr="00AF23DD" w:rsidRDefault="008C4276"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congiunturali</w:t>
            </w:r>
          </w:p>
        </w:tc>
        <w:tc>
          <w:tcPr>
            <w:tcW w:w="1732" w:type="dxa"/>
            <w:gridSpan w:val="2"/>
            <w:tcBorders>
              <w:bottom w:val="single" w:sz="4" w:space="0" w:color="333333"/>
            </w:tcBorders>
            <w:shd w:val="clear" w:color="auto" w:fill="auto"/>
            <w:vAlign w:val="center"/>
          </w:tcPr>
          <w:p w14:paraId="30A98EC6" w14:textId="77777777" w:rsidR="008C4276" w:rsidRDefault="008C4276" w:rsidP="003C4572">
            <w:pPr>
              <w:tabs>
                <w:tab w:val="left" w:pos="1316"/>
              </w:tabs>
              <w:spacing w:before="40"/>
              <w:ind w:right="-68"/>
              <w:jc w:val="center"/>
              <w:rPr>
                <w:rFonts w:ascii="Arial Narrow" w:hAnsi="Arial Narrow" w:cs="Arial"/>
                <w:b/>
                <w:sz w:val="18"/>
                <w:szCs w:val="18"/>
              </w:rPr>
            </w:pPr>
            <w:r w:rsidRPr="00AF23DD">
              <w:rPr>
                <w:rFonts w:ascii="Arial Narrow" w:hAnsi="Arial Narrow" w:cs="Arial"/>
                <w:b/>
                <w:sz w:val="18"/>
                <w:szCs w:val="18"/>
              </w:rPr>
              <w:t>Variazioni</w:t>
            </w:r>
          </w:p>
          <w:p w14:paraId="73D7142A" w14:textId="77777777" w:rsidR="008C4276" w:rsidRPr="003C7722" w:rsidRDefault="008C4276" w:rsidP="003C4572">
            <w:pPr>
              <w:tabs>
                <w:tab w:val="left" w:pos="1316"/>
              </w:tabs>
              <w:spacing w:before="40" w:after="20"/>
              <w:ind w:right="-70"/>
              <w:jc w:val="center"/>
              <w:rPr>
                <w:rFonts w:ascii="Arial Narrow" w:hAnsi="Arial Narrow" w:cs="Arial"/>
                <w:b/>
                <w:sz w:val="18"/>
                <w:szCs w:val="18"/>
              </w:rPr>
            </w:pPr>
            <w:r>
              <w:rPr>
                <w:rFonts w:ascii="Arial Narrow" w:hAnsi="Arial Narrow" w:cs="Arial"/>
                <w:b/>
                <w:sz w:val="18"/>
                <w:szCs w:val="18"/>
              </w:rPr>
              <w:t>tendenziali</w:t>
            </w:r>
          </w:p>
        </w:tc>
        <w:tc>
          <w:tcPr>
            <w:tcW w:w="2058" w:type="dxa"/>
            <w:gridSpan w:val="5"/>
            <w:tcBorders>
              <w:bottom w:val="single" w:sz="4" w:space="0" w:color="333333"/>
            </w:tcBorders>
            <w:shd w:val="clear" w:color="auto" w:fill="auto"/>
            <w:vAlign w:val="center"/>
          </w:tcPr>
          <w:p w14:paraId="1D2D7A5F" w14:textId="77777777" w:rsidR="008C4276" w:rsidRDefault="008C4276"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Variazioni</w:t>
            </w:r>
          </w:p>
          <w:p w14:paraId="74BC47FB" w14:textId="77777777" w:rsidR="008C4276" w:rsidRPr="003C7722" w:rsidRDefault="008C4276"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congiunturali</w:t>
            </w:r>
          </w:p>
        </w:tc>
        <w:tc>
          <w:tcPr>
            <w:tcW w:w="1661" w:type="dxa"/>
            <w:tcBorders>
              <w:bottom w:val="single" w:sz="4" w:space="0" w:color="333333"/>
            </w:tcBorders>
            <w:shd w:val="clear" w:color="auto" w:fill="auto"/>
            <w:vAlign w:val="center"/>
          </w:tcPr>
          <w:p w14:paraId="76224E3C" w14:textId="77777777" w:rsidR="008C4276" w:rsidRDefault="008C4276" w:rsidP="003C4572">
            <w:pPr>
              <w:tabs>
                <w:tab w:val="left" w:pos="1316"/>
              </w:tabs>
              <w:spacing w:before="40"/>
              <w:ind w:right="-68"/>
              <w:jc w:val="center"/>
              <w:rPr>
                <w:rFonts w:ascii="Arial Narrow" w:hAnsi="Arial Narrow" w:cs="Arial"/>
                <w:b/>
                <w:sz w:val="18"/>
                <w:szCs w:val="18"/>
              </w:rPr>
            </w:pPr>
            <w:r w:rsidRPr="00AF23DD">
              <w:rPr>
                <w:rFonts w:ascii="Arial Narrow" w:hAnsi="Arial Narrow" w:cs="Arial"/>
                <w:b/>
                <w:sz w:val="18"/>
                <w:szCs w:val="18"/>
              </w:rPr>
              <w:t>Variazioni</w:t>
            </w:r>
          </w:p>
          <w:p w14:paraId="1D203CEC" w14:textId="77777777" w:rsidR="008C4276" w:rsidRPr="003C7722" w:rsidRDefault="008C4276" w:rsidP="003C4572">
            <w:pPr>
              <w:tabs>
                <w:tab w:val="left" w:pos="1316"/>
              </w:tabs>
              <w:spacing w:before="40" w:after="20"/>
              <w:ind w:right="-70"/>
              <w:jc w:val="center"/>
              <w:rPr>
                <w:rFonts w:ascii="Arial Narrow" w:hAnsi="Arial Narrow" w:cs="Arial"/>
                <w:b/>
                <w:sz w:val="18"/>
                <w:szCs w:val="18"/>
              </w:rPr>
            </w:pPr>
            <w:r>
              <w:rPr>
                <w:rFonts w:ascii="Arial Narrow" w:hAnsi="Arial Narrow" w:cs="Arial"/>
                <w:b/>
                <w:sz w:val="18"/>
                <w:szCs w:val="18"/>
              </w:rPr>
              <w:t>tendenziali</w:t>
            </w:r>
          </w:p>
        </w:tc>
        <w:tc>
          <w:tcPr>
            <w:tcW w:w="1662" w:type="dxa"/>
            <w:gridSpan w:val="3"/>
            <w:vMerge/>
            <w:shd w:val="clear" w:color="auto" w:fill="D9D9D9" w:themeFill="background1" w:themeFillShade="D9"/>
            <w:vAlign w:val="center"/>
          </w:tcPr>
          <w:p w14:paraId="78CDFD93" w14:textId="77777777" w:rsidR="008C4276" w:rsidRPr="003C7722" w:rsidRDefault="008C4276" w:rsidP="003C4572">
            <w:pPr>
              <w:spacing w:before="40" w:after="20"/>
              <w:jc w:val="center"/>
              <w:rPr>
                <w:rFonts w:ascii="Arial Narrow" w:hAnsi="Arial Narrow"/>
                <w:b/>
                <w:bCs/>
                <w:sz w:val="18"/>
                <w:szCs w:val="18"/>
              </w:rPr>
            </w:pPr>
          </w:p>
        </w:tc>
      </w:tr>
      <w:tr w:rsidR="008C4276" w:rsidRPr="003C7722" w14:paraId="78C2F6D6" w14:textId="77777777" w:rsidTr="003C4572">
        <w:trPr>
          <w:gridAfter w:val="1"/>
          <w:wAfter w:w="7" w:type="dxa"/>
          <w:trHeight w:val="255"/>
        </w:trPr>
        <w:tc>
          <w:tcPr>
            <w:tcW w:w="1348" w:type="dxa"/>
            <w:vMerge/>
            <w:shd w:val="clear" w:color="auto" w:fill="auto"/>
            <w:noWrap/>
            <w:vAlign w:val="center"/>
          </w:tcPr>
          <w:p w14:paraId="5BE4CB30" w14:textId="77777777" w:rsidR="008C4276" w:rsidRPr="003C7722" w:rsidRDefault="008C4276" w:rsidP="003C4572">
            <w:pPr>
              <w:spacing w:before="40" w:after="20"/>
              <w:ind w:left="-57"/>
              <w:rPr>
                <w:rFonts w:ascii="Arial Narrow" w:hAnsi="Arial Narrow"/>
                <w:sz w:val="18"/>
                <w:szCs w:val="18"/>
              </w:rPr>
            </w:pPr>
          </w:p>
        </w:tc>
        <w:tc>
          <w:tcPr>
            <w:tcW w:w="1832" w:type="dxa"/>
            <w:gridSpan w:val="2"/>
            <w:shd w:val="clear" w:color="auto" w:fill="D9D9D9"/>
            <w:vAlign w:val="center"/>
          </w:tcPr>
          <w:p w14:paraId="7353D4FD" w14:textId="77777777" w:rsidR="008C4276" w:rsidRPr="004C7973" w:rsidRDefault="008C4276" w:rsidP="003C4572">
            <w:pPr>
              <w:spacing w:before="40" w:after="20"/>
              <w:ind w:right="-70"/>
              <w:jc w:val="center"/>
              <w:rPr>
                <w:rFonts w:ascii="Arial Narrow" w:hAnsi="Arial Narrow"/>
                <w:sz w:val="18"/>
                <w:szCs w:val="18"/>
              </w:rPr>
            </w:pPr>
            <w:r w:rsidRPr="004C7973">
              <w:rPr>
                <w:rFonts w:ascii="Arial Narrow" w:hAnsi="Arial Narrow"/>
                <w:sz w:val="18"/>
                <w:szCs w:val="18"/>
              </w:rPr>
              <w:t>Dati destagionalizzati</w:t>
            </w:r>
          </w:p>
        </w:tc>
        <w:tc>
          <w:tcPr>
            <w:tcW w:w="1732" w:type="dxa"/>
            <w:gridSpan w:val="2"/>
            <w:shd w:val="clear" w:color="auto" w:fill="auto"/>
            <w:vAlign w:val="center"/>
          </w:tcPr>
          <w:p w14:paraId="721EE4F8" w14:textId="77777777" w:rsidR="008C4276" w:rsidRPr="004C7973" w:rsidRDefault="008C4276" w:rsidP="003C4572">
            <w:pPr>
              <w:spacing w:before="40" w:after="20"/>
              <w:ind w:right="-70"/>
              <w:jc w:val="center"/>
              <w:rPr>
                <w:rFonts w:ascii="Arial Narrow" w:hAnsi="Arial Narrow"/>
                <w:sz w:val="18"/>
                <w:szCs w:val="18"/>
              </w:rPr>
            </w:pPr>
            <w:r w:rsidRPr="004C7973">
              <w:rPr>
                <w:rFonts w:ascii="Arial Narrow" w:hAnsi="Arial Narrow"/>
                <w:sz w:val="18"/>
                <w:szCs w:val="18"/>
              </w:rPr>
              <w:t>Dati grezzi</w:t>
            </w:r>
          </w:p>
        </w:tc>
        <w:tc>
          <w:tcPr>
            <w:tcW w:w="1891" w:type="dxa"/>
            <w:gridSpan w:val="3"/>
            <w:tcBorders>
              <w:bottom w:val="single" w:sz="4" w:space="0" w:color="333333"/>
            </w:tcBorders>
            <w:shd w:val="clear" w:color="auto" w:fill="D9D9D9"/>
            <w:vAlign w:val="center"/>
          </w:tcPr>
          <w:p w14:paraId="2642F010" w14:textId="77777777" w:rsidR="008C4276" w:rsidRPr="004C7973" w:rsidRDefault="008C4276" w:rsidP="003C4572">
            <w:pPr>
              <w:spacing w:before="40" w:after="20"/>
              <w:jc w:val="center"/>
              <w:rPr>
                <w:rFonts w:ascii="Arial Narrow" w:hAnsi="Arial Narrow"/>
                <w:sz w:val="18"/>
                <w:szCs w:val="18"/>
              </w:rPr>
            </w:pPr>
            <w:r w:rsidRPr="004C7973">
              <w:rPr>
                <w:rFonts w:ascii="Arial Narrow" w:hAnsi="Arial Narrow"/>
                <w:sz w:val="18"/>
                <w:szCs w:val="18"/>
              </w:rPr>
              <w:t>Dati destagionalizzati</w:t>
            </w:r>
          </w:p>
        </w:tc>
        <w:tc>
          <w:tcPr>
            <w:tcW w:w="1828" w:type="dxa"/>
            <w:gridSpan w:val="3"/>
            <w:tcBorders>
              <w:bottom w:val="single" w:sz="4" w:space="0" w:color="333333"/>
            </w:tcBorders>
            <w:shd w:val="clear" w:color="auto" w:fill="auto"/>
            <w:noWrap/>
            <w:vAlign w:val="center"/>
          </w:tcPr>
          <w:p w14:paraId="710053ED" w14:textId="77777777" w:rsidR="008C4276" w:rsidRPr="004C7973" w:rsidRDefault="008C4276" w:rsidP="003C4572">
            <w:pPr>
              <w:spacing w:before="40" w:after="20"/>
              <w:jc w:val="center"/>
              <w:rPr>
                <w:rFonts w:ascii="Arial Narrow" w:hAnsi="Arial Narrow"/>
                <w:sz w:val="18"/>
                <w:szCs w:val="18"/>
              </w:rPr>
            </w:pPr>
            <w:r w:rsidRPr="004C7973">
              <w:rPr>
                <w:rFonts w:ascii="Arial Narrow" w:hAnsi="Arial Narrow"/>
                <w:sz w:val="18"/>
                <w:szCs w:val="18"/>
              </w:rPr>
              <w:t>Dati grezzi</w:t>
            </w:r>
          </w:p>
        </w:tc>
        <w:tc>
          <w:tcPr>
            <w:tcW w:w="1662" w:type="dxa"/>
            <w:gridSpan w:val="3"/>
            <w:tcBorders>
              <w:bottom w:val="single" w:sz="4" w:space="0" w:color="333333"/>
            </w:tcBorders>
            <w:shd w:val="clear" w:color="auto" w:fill="D9D9D9"/>
            <w:noWrap/>
            <w:vAlign w:val="center"/>
          </w:tcPr>
          <w:p w14:paraId="34A09B31" w14:textId="77777777" w:rsidR="008C4276" w:rsidRPr="004C7973" w:rsidRDefault="008C4276" w:rsidP="003C4572">
            <w:pPr>
              <w:spacing w:before="40" w:after="20"/>
              <w:jc w:val="center"/>
              <w:rPr>
                <w:rFonts w:ascii="Arial Narrow" w:hAnsi="Arial Narrow"/>
                <w:sz w:val="18"/>
                <w:szCs w:val="18"/>
              </w:rPr>
            </w:pPr>
            <w:r w:rsidRPr="004C7973">
              <w:rPr>
                <w:rFonts w:ascii="Arial Narrow" w:hAnsi="Arial Narrow"/>
                <w:sz w:val="18"/>
                <w:szCs w:val="18"/>
              </w:rPr>
              <w:t>Dati grezzi</w:t>
            </w:r>
          </w:p>
          <w:p w14:paraId="106E7674" w14:textId="77777777" w:rsidR="008C4276" w:rsidRPr="004C7973" w:rsidRDefault="008C4276" w:rsidP="003C4572">
            <w:pPr>
              <w:spacing w:before="40" w:after="20"/>
              <w:jc w:val="center"/>
              <w:rPr>
                <w:rFonts w:ascii="Arial Narrow" w:hAnsi="Arial Narrow"/>
                <w:sz w:val="18"/>
                <w:szCs w:val="18"/>
              </w:rPr>
            </w:pPr>
            <w:r w:rsidRPr="004C7973">
              <w:rPr>
                <w:rFonts w:ascii="Arial Narrow" w:hAnsi="Arial Narrow"/>
                <w:sz w:val="18"/>
                <w:szCs w:val="18"/>
              </w:rPr>
              <w:t>Milioni di euro</w:t>
            </w:r>
          </w:p>
        </w:tc>
      </w:tr>
      <w:tr w:rsidR="00FE4793" w:rsidRPr="003C7722" w14:paraId="0BB9A649" w14:textId="77777777" w:rsidTr="00FE4793">
        <w:trPr>
          <w:trHeight w:val="255"/>
        </w:trPr>
        <w:tc>
          <w:tcPr>
            <w:tcW w:w="1348" w:type="dxa"/>
            <w:vMerge/>
            <w:shd w:val="clear" w:color="auto" w:fill="auto"/>
            <w:noWrap/>
            <w:vAlign w:val="center"/>
          </w:tcPr>
          <w:p w14:paraId="6A846082" w14:textId="77777777" w:rsidR="00FE4793" w:rsidRPr="003C7722" w:rsidRDefault="00FE4793" w:rsidP="00FE4793">
            <w:pPr>
              <w:spacing w:before="40" w:after="20"/>
              <w:ind w:left="-57"/>
              <w:rPr>
                <w:rFonts w:ascii="Arial Narrow" w:hAnsi="Arial Narrow"/>
                <w:sz w:val="18"/>
                <w:szCs w:val="18"/>
              </w:rPr>
            </w:pPr>
          </w:p>
        </w:tc>
        <w:tc>
          <w:tcPr>
            <w:tcW w:w="709" w:type="dxa"/>
            <w:shd w:val="clear" w:color="auto" w:fill="auto"/>
            <w:vAlign w:val="center"/>
          </w:tcPr>
          <w:p w14:paraId="7377434D" w14:textId="0D12467C"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15DC647" w14:textId="790E83DD"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dic 24</w:t>
            </w:r>
          </w:p>
        </w:tc>
        <w:tc>
          <w:tcPr>
            <w:tcW w:w="1130" w:type="dxa"/>
            <w:gridSpan w:val="2"/>
            <w:shd w:val="clear" w:color="auto" w:fill="auto"/>
            <w:noWrap/>
            <w:vAlign w:val="center"/>
          </w:tcPr>
          <w:p w14:paraId="458C5B73" w14:textId="6B68124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nov 24-gen 25</w:t>
            </w:r>
          </w:p>
          <w:p w14:paraId="349D1375" w14:textId="66354129"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ago-ott 24</w:t>
            </w:r>
          </w:p>
        </w:tc>
        <w:tc>
          <w:tcPr>
            <w:tcW w:w="1732" w:type="dxa"/>
            <w:gridSpan w:val="2"/>
            <w:shd w:val="clear" w:color="auto" w:fill="auto"/>
            <w:vAlign w:val="center"/>
          </w:tcPr>
          <w:p w14:paraId="17CC99CB"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133A1E45" w14:textId="1F34CCE0"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665" w:type="dxa"/>
            <w:shd w:val="clear" w:color="auto" w:fill="auto"/>
            <w:noWrap/>
            <w:vAlign w:val="center"/>
          </w:tcPr>
          <w:p w14:paraId="6127AA17"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3FB88232" w14:textId="49B51730"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dic 24</w:t>
            </w:r>
          </w:p>
        </w:tc>
        <w:tc>
          <w:tcPr>
            <w:tcW w:w="1226" w:type="dxa"/>
            <w:gridSpan w:val="2"/>
            <w:shd w:val="clear" w:color="auto" w:fill="auto"/>
            <w:vAlign w:val="center"/>
          </w:tcPr>
          <w:p w14:paraId="22C73F03"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nov 24-gen 25</w:t>
            </w:r>
          </w:p>
          <w:p w14:paraId="34396375" w14:textId="50C92AE8"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ago-ott 24</w:t>
            </w:r>
          </w:p>
        </w:tc>
        <w:tc>
          <w:tcPr>
            <w:tcW w:w="1828" w:type="dxa"/>
            <w:gridSpan w:val="3"/>
            <w:shd w:val="clear" w:color="auto" w:fill="auto"/>
            <w:noWrap/>
            <w:vAlign w:val="center"/>
          </w:tcPr>
          <w:p w14:paraId="6BBAC30A"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01BFFBF7" w14:textId="76D94AD8"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1662" w:type="dxa"/>
            <w:gridSpan w:val="3"/>
            <w:tcBorders>
              <w:bottom w:val="nil"/>
            </w:tcBorders>
            <w:shd w:val="clear" w:color="auto" w:fill="auto"/>
            <w:noWrap/>
            <w:vAlign w:val="center"/>
          </w:tcPr>
          <w:p w14:paraId="3C510856" w14:textId="60BF4A7C"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25</w:t>
            </w:r>
          </w:p>
        </w:tc>
      </w:tr>
      <w:tr w:rsidR="0004702D" w:rsidRPr="008C0651" w14:paraId="312F17E6" w14:textId="77777777" w:rsidTr="0004702D">
        <w:trPr>
          <w:trHeight w:val="255"/>
        </w:trPr>
        <w:tc>
          <w:tcPr>
            <w:tcW w:w="1348" w:type="dxa"/>
            <w:shd w:val="clear" w:color="auto" w:fill="auto"/>
            <w:noWrap/>
            <w:vAlign w:val="center"/>
          </w:tcPr>
          <w:p w14:paraId="6C2CE63B" w14:textId="77777777" w:rsidR="0004702D" w:rsidRPr="007C052D" w:rsidRDefault="0004702D" w:rsidP="0004702D">
            <w:pPr>
              <w:spacing w:before="40" w:after="20"/>
              <w:rPr>
                <w:rFonts w:ascii="Arial Narrow" w:hAnsi="Arial Narrow"/>
                <w:sz w:val="18"/>
                <w:szCs w:val="18"/>
              </w:rPr>
            </w:pPr>
            <w:r w:rsidRPr="007C052D">
              <w:rPr>
                <w:rFonts w:ascii="Arial Narrow" w:hAnsi="Arial Narrow"/>
                <w:sz w:val="18"/>
                <w:szCs w:val="18"/>
              </w:rPr>
              <w:t>Paesi Ue27</w:t>
            </w:r>
          </w:p>
        </w:tc>
        <w:tc>
          <w:tcPr>
            <w:tcW w:w="709" w:type="dxa"/>
            <w:shd w:val="clear" w:color="auto" w:fill="D9D9D9"/>
            <w:vAlign w:val="center"/>
          </w:tcPr>
          <w:p w14:paraId="1189499E" w14:textId="07BDBF63" w:rsidR="0004702D" w:rsidRDefault="0004702D" w:rsidP="0004702D">
            <w:pPr>
              <w:jc w:val="center"/>
              <w:rPr>
                <w:rFonts w:ascii="Arial Narrow" w:hAnsi="Arial Narrow"/>
                <w:sz w:val="18"/>
                <w:szCs w:val="18"/>
              </w:rPr>
            </w:pPr>
            <w:r>
              <w:rPr>
                <w:rFonts w:ascii="Arial Narrow" w:hAnsi="Arial Narrow"/>
                <w:sz w:val="18"/>
                <w:szCs w:val="18"/>
              </w:rPr>
              <w:t>+1,8</w:t>
            </w:r>
          </w:p>
        </w:tc>
        <w:tc>
          <w:tcPr>
            <w:tcW w:w="1130" w:type="dxa"/>
            <w:gridSpan w:val="2"/>
            <w:shd w:val="clear" w:color="auto" w:fill="D9D9D9"/>
            <w:noWrap/>
            <w:vAlign w:val="center"/>
          </w:tcPr>
          <w:p w14:paraId="5AD9E054" w14:textId="333F1612" w:rsidR="0004702D" w:rsidRDefault="0004702D" w:rsidP="0004702D">
            <w:pPr>
              <w:jc w:val="center"/>
              <w:rPr>
                <w:rFonts w:ascii="Arial Narrow" w:hAnsi="Arial Narrow"/>
                <w:sz w:val="18"/>
                <w:szCs w:val="18"/>
              </w:rPr>
            </w:pPr>
            <w:r>
              <w:rPr>
                <w:rFonts w:ascii="Arial Narrow" w:hAnsi="Arial Narrow"/>
                <w:sz w:val="18"/>
                <w:szCs w:val="18"/>
              </w:rPr>
              <w:t>+0,7</w:t>
            </w:r>
          </w:p>
        </w:tc>
        <w:tc>
          <w:tcPr>
            <w:tcW w:w="1732" w:type="dxa"/>
            <w:gridSpan w:val="2"/>
            <w:vAlign w:val="center"/>
          </w:tcPr>
          <w:p w14:paraId="0B65CDD8" w14:textId="788EBA10" w:rsidR="0004702D" w:rsidRDefault="0004702D" w:rsidP="0004702D">
            <w:pPr>
              <w:jc w:val="center"/>
              <w:rPr>
                <w:rFonts w:ascii="Arial Narrow" w:hAnsi="Arial Narrow"/>
                <w:sz w:val="18"/>
                <w:szCs w:val="18"/>
              </w:rPr>
            </w:pPr>
            <w:r>
              <w:rPr>
                <w:rFonts w:ascii="Arial Narrow" w:hAnsi="Arial Narrow"/>
                <w:sz w:val="18"/>
                <w:szCs w:val="18"/>
              </w:rPr>
              <w:t>+1,9</w:t>
            </w:r>
          </w:p>
        </w:tc>
        <w:tc>
          <w:tcPr>
            <w:tcW w:w="665" w:type="dxa"/>
            <w:shd w:val="clear" w:color="auto" w:fill="D9D9D9"/>
            <w:noWrap/>
            <w:vAlign w:val="center"/>
          </w:tcPr>
          <w:p w14:paraId="5B968A0B" w14:textId="7FD097B6" w:rsidR="0004702D" w:rsidRDefault="0004702D" w:rsidP="0004702D">
            <w:pPr>
              <w:jc w:val="center"/>
              <w:rPr>
                <w:rFonts w:ascii="Arial Narrow" w:hAnsi="Arial Narrow"/>
                <w:sz w:val="18"/>
                <w:szCs w:val="18"/>
              </w:rPr>
            </w:pPr>
            <w:r>
              <w:rPr>
                <w:rFonts w:ascii="Arial Narrow" w:hAnsi="Arial Narrow"/>
                <w:sz w:val="18"/>
                <w:szCs w:val="18"/>
              </w:rPr>
              <w:t>+2,8</w:t>
            </w:r>
          </w:p>
        </w:tc>
        <w:tc>
          <w:tcPr>
            <w:tcW w:w="1226" w:type="dxa"/>
            <w:gridSpan w:val="2"/>
            <w:shd w:val="clear" w:color="auto" w:fill="D9D9D9"/>
            <w:vAlign w:val="center"/>
          </w:tcPr>
          <w:p w14:paraId="393AB923" w14:textId="72FEDF89" w:rsidR="0004702D" w:rsidRDefault="0004702D" w:rsidP="0004702D">
            <w:pPr>
              <w:jc w:val="center"/>
              <w:rPr>
                <w:rFonts w:ascii="Arial Narrow" w:hAnsi="Arial Narrow"/>
                <w:sz w:val="18"/>
                <w:szCs w:val="18"/>
              </w:rPr>
            </w:pPr>
            <w:r>
              <w:rPr>
                <w:rFonts w:ascii="Arial Narrow" w:hAnsi="Arial Narrow"/>
                <w:sz w:val="18"/>
                <w:szCs w:val="18"/>
              </w:rPr>
              <w:t>-1,8</w:t>
            </w:r>
          </w:p>
        </w:tc>
        <w:tc>
          <w:tcPr>
            <w:tcW w:w="1828" w:type="dxa"/>
            <w:gridSpan w:val="3"/>
            <w:shd w:val="clear" w:color="auto" w:fill="auto"/>
            <w:noWrap/>
            <w:vAlign w:val="center"/>
          </w:tcPr>
          <w:p w14:paraId="728D3FE4" w14:textId="445B8756" w:rsidR="0004702D" w:rsidRDefault="0004702D" w:rsidP="0004702D">
            <w:pPr>
              <w:jc w:val="center"/>
              <w:rPr>
                <w:rFonts w:ascii="Arial Narrow" w:hAnsi="Arial Narrow"/>
                <w:sz w:val="18"/>
                <w:szCs w:val="18"/>
              </w:rPr>
            </w:pPr>
            <w:r>
              <w:rPr>
                <w:rFonts w:ascii="Arial Narrow" w:hAnsi="Arial Narrow"/>
                <w:sz w:val="18"/>
                <w:szCs w:val="18"/>
              </w:rPr>
              <w:t>+2,2</w:t>
            </w:r>
          </w:p>
        </w:tc>
        <w:tc>
          <w:tcPr>
            <w:tcW w:w="1662" w:type="dxa"/>
            <w:gridSpan w:val="3"/>
            <w:shd w:val="clear" w:color="auto" w:fill="D9D9D9"/>
            <w:noWrap/>
            <w:vAlign w:val="center"/>
          </w:tcPr>
          <w:p w14:paraId="33752C3E" w14:textId="122FF885" w:rsidR="0004702D" w:rsidRDefault="0004702D" w:rsidP="0004702D">
            <w:pPr>
              <w:jc w:val="center"/>
              <w:rPr>
                <w:rFonts w:ascii="Arial Narrow" w:hAnsi="Arial Narrow"/>
                <w:sz w:val="18"/>
                <w:szCs w:val="18"/>
              </w:rPr>
            </w:pPr>
            <w:r>
              <w:rPr>
                <w:rFonts w:ascii="Arial Narrow" w:hAnsi="Arial Narrow"/>
                <w:sz w:val="18"/>
                <w:szCs w:val="18"/>
              </w:rPr>
              <w:t>-635</w:t>
            </w:r>
          </w:p>
        </w:tc>
      </w:tr>
      <w:tr w:rsidR="0004702D" w:rsidRPr="008C0651" w14:paraId="42AE5B05" w14:textId="77777777" w:rsidTr="0004702D">
        <w:trPr>
          <w:trHeight w:val="255"/>
        </w:trPr>
        <w:tc>
          <w:tcPr>
            <w:tcW w:w="1348" w:type="dxa"/>
            <w:shd w:val="clear" w:color="auto" w:fill="auto"/>
            <w:noWrap/>
            <w:vAlign w:val="center"/>
          </w:tcPr>
          <w:p w14:paraId="76B49011" w14:textId="77777777" w:rsidR="0004702D" w:rsidRPr="007C052D" w:rsidRDefault="0004702D" w:rsidP="0004702D">
            <w:pPr>
              <w:spacing w:before="40" w:after="20"/>
              <w:rPr>
                <w:rFonts w:ascii="Arial Narrow" w:hAnsi="Arial Narrow"/>
                <w:sz w:val="18"/>
                <w:szCs w:val="18"/>
              </w:rPr>
            </w:pPr>
            <w:r w:rsidRPr="007C052D">
              <w:rPr>
                <w:rFonts w:ascii="Arial Narrow" w:hAnsi="Arial Narrow"/>
                <w:sz w:val="18"/>
                <w:szCs w:val="18"/>
              </w:rPr>
              <w:t>Paesi extra Ue27</w:t>
            </w:r>
          </w:p>
        </w:tc>
        <w:tc>
          <w:tcPr>
            <w:tcW w:w="709" w:type="dxa"/>
            <w:shd w:val="clear" w:color="auto" w:fill="D9D9D9"/>
            <w:vAlign w:val="center"/>
          </w:tcPr>
          <w:p w14:paraId="0807E141" w14:textId="04039C09" w:rsidR="0004702D" w:rsidRDefault="0004702D" w:rsidP="0004702D">
            <w:pPr>
              <w:jc w:val="center"/>
              <w:rPr>
                <w:rFonts w:ascii="Arial Narrow" w:hAnsi="Arial Narrow"/>
                <w:sz w:val="18"/>
                <w:szCs w:val="18"/>
              </w:rPr>
            </w:pPr>
            <w:r>
              <w:rPr>
                <w:rFonts w:ascii="Arial Narrow" w:hAnsi="Arial Narrow"/>
                <w:sz w:val="18"/>
                <w:szCs w:val="18"/>
              </w:rPr>
              <w:t>-0,6</w:t>
            </w:r>
          </w:p>
        </w:tc>
        <w:tc>
          <w:tcPr>
            <w:tcW w:w="1130" w:type="dxa"/>
            <w:gridSpan w:val="2"/>
            <w:shd w:val="clear" w:color="auto" w:fill="D9D9D9"/>
            <w:noWrap/>
            <w:vAlign w:val="center"/>
          </w:tcPr>
          <w:p w14:paraId="31591E81" w14:textId="38DF76A3" w:rsidR="0004702D" w:rsidRDefault="0004702D" w:rsidP="0004702D">
            <w:pPr>
              <w:jc w:val="center"/>
              <w:rPr>
                <w:rFonts w:ascii="Arial Narrow" w:hAnsi="Arial Narrow"/>
                <w:sz w:val="18"/>
                <w:szCs w:val="18"/>
              </w:rPr>
            </w:pPr>
            <w:r>
              <w:rPr>
                <w:rFonts w:ascii="Arial Narrow" w:hAnsi="Arial Narrow"/>
                <w:sz w:val="18"/>
                <w:szCs w:val="18"/>
              </w:rPr>
              <w:t>+3,8</w:t>
            </w:r>
          </w:p>
        </w:tc>
        <w:tc>
          <w:tcPr>
            <w:tcW w:w="1732" w:type="dxa"/>
            <w:gridSpan w:val="2"/>
            <w:vAlign w:val="center"/>
          </w:tcPr>
          <w:p w14:paraId="28D3AEAD" w14:textId="2D3F2A0B" w:rsidR="0004702D" w:rsidRDefault="0004702D" w:rsidP="0004702D">
            <w:pPr>
              <w:jc w:val="center"/>
              <w:rPr>
                <w:rFonts w:ascii="Arial Narrow" w:hAnsi="Arial Narrow"/>
                <w:sz w:val="18"/>
                <w:szCs w:val="18"/>
              </w:rPr>
            </w:pPr>
            <w:r>
              <w:rPr>
                <w:rFonts w:ascii="Arial Narrow" w:hAnsi="Arial Narrow"/>
                <w:sz w:val="18"/>
                <w:szCs w:val="18"/>
              </w:rPr>
              <w:t>+3,3</w:t>
            </w:r>
          </w:p>
        </w:tc>
        <w:tc>
          <w:tcPr>
            <w:tcW w:w="665" w:type="dxa"/>
            <w:shd w:val="clear" w:color="auto" w:fill="D9D9D9"/>
            <w:noWrap/>
            <w:vAlign w:val="center"/>
          </w:tcPr>
          <w:p w14:paraId="5BE0EFDF" w14:textId="3DE874D3" w:rsidR="0004702D" w:rsidRDefault="0004702D" w:rsidP="0004702D">
            <w:pPr>
              <w:jc w:val="center"/>
              <w:rPr>
                <w:rFonts w:ascii="Arial Narrow" w:hAnsi="Arial Narrow"/>
                <w:sz w:val="18"/>
                <w:szCs w:val="18"/>
              </w:rPr>
            </w:pPr>
            <w:r>
              <w:rPr>
                <w:rFonts w:ascii="Arial Narrow" w:hAnsi="Arial Narrow"/>
                <w:sz w:val="18"/>
                <w:szCs w:val="18"/>
              </w:rPr>
              <w:t>+3,6</w:t>
            </w:r>
          </w:p>
        </w:tc>
        <w:tc>
          <w:tcPr>
            <w:tcW w:w="1226" w:type="dxa"/>
            <w:gridSpan w:val="2"/>
            <w:shd w:val="clear" w:color="auto" w:fill="D9D9D9"/>
            <w:vAlign w:val="center"/>
          </w:tcPr>
          <w:p w14:paraId="5F5F33B9" w14:textId="5AE4EC6F" w:rsidR="0004702D" w:rsidRDefault="0004702D" w:rsidP="0004702D">
            <w:pPr>
              <w:jc w:val="center"/>
              <w:rPr>
                <w:rFonts w:ascii="Arial Narrow" w:hAnsi="Arial Narrow"/>
                <w:sz w:val="18"/>
                <w:szCs w:val="18"/>
              </w:rPr>
            </w:pPr>
            <w:r>
              <w:rPr>
                <w:rFonts w:ascii="Arial Narrow" w:hAnsi="Arial Narrow"/>
                <w:sz w:val="18"/>
                <w:szCs w:val="18"/>
              </w:rPr>
              <w:t>+7,7</w:t>
            </w:r>
          </w:p>
        </w:tc>
        <w:tc>
          <w:tcPr>
            <w:tcW w:w="1828" w:type="dxa"/>
            <w:gridSpan w:val="3"/>
            <w:shd w:val="clear" w:color="auto" w:fill="auto"/>
            <w:noWrap/>
            <w:vAlign w:val="center"/>
          </w:tcPr>
          <w:p w14:paraId="3812185E" w14:textId="4A4CC7DE" w:rsidR="0004702D" w:rsidRDefault="0004702D" w:rsidP="0004702D">
            <w:pPr>
              <w:jc w:val="center"/>
              <w:rPr>
                <w:rFonts w:ascii="Arial Narrow" w:hAnsi="Arial Narrow"/>
                <w:sz w:val="18"/>
                <w:szCs w:val="18"/>
              </w:rPr>
            </w:pPr>
            <w:r>
              <w:rPr>
                <w:rFonts w:ascii="Arial Narrow" w:hAnsi="Arial Narrow"/>
                <w:sz w:val="18"/>
                <w:szCs w:val="18"/>
              </w:rPr>
              <w:t>+18,0</w:t>
            </w:r>
          </w:p>
        </w:tc>
        <w:tc>
          <w:tcPr>
            <w:tcW w:w="1662" w:type="dxa"/>
            <w:gridSpan w:val="3"/>
            <w:shd w:val="clear" w:color="auto" w:fill="D9D9D9"/>
            <w:noWrap/>
            <w:vAlign w:val="center"/>
          </w:tcPr>
          <w:p w14:paraId="398872F1" w14:textId="0900A329" w:rsidR="0004702D" w:rsidRDefault="0004702D" w:rsidP="0004702D">
            <w:pPr>
              <w:jc w:val="center"/>
              <w:rPr>
                <w:rFonts w:ascii="Arial Narrow" w:hAnsi="Arial Narrow"/>
                <w:sz w:val="18"/>
                <w:szCs w:val="18"/>
              </w:rPr>
            </w:pPr>
            <w:r>
              <w:rPr>
                <w:rFonts w:ascii="Arial Narrow" w:hAnsi="Arial Narrow"/>
                <w:sz w:val="18"/>
                <w:szCs w:val="18"/>
              </w:rPr>
              <w:t>+370</w:t>
            </w:r>
          </w:p>
        </w:tc>
      </w:tr>
      <w:tr w:rsidR="0004702D" w:rsidRPr="008C0651" w14:paraId="60536C1B" w14:textId="77777777" w:rsidTr="0004702D">
        <w:trPr>
          <w:trHeight w:val="255"/>
        </w:trPr>
        <w:tc>
          <w:tcPr>
            <w:tcW w:w="1348" w:type="dxa"/>
            <w:shd w:val="clear" w:color="auto" w:fill="auto"/>
            <w:noWrap/>
            <w:vAlign w:val="center"/>
          </w:tcPr>
          <w:p w14:paraId="35E6B5FE" w14:textId="77777777" w:rsidR="0004702D" w:rsidRPr="003C7722" w:rsidRDefault="0004702D" w:rsidP="0004702D">
            <w:pPr>
              <w:spacing w:before="40" w:after="20"/>
              <w:rPr>
                <w:rFonts w:ascii="Arial Narrow" w:hAnsi="Arial Narrow"/>
                <w:sz w:val="18"/>
                <w:szCs w:val="18"/>
              </w:rPr>
            </w:pPr>
            <w:r w:rsidRPr="003C7722">
              <w:rPr>
                <w:rFonts w:ascii="Arial Narrow" w:hAnsi="Arial Narrow"/>
                <w:sz w:val="18"/>
                <w:szCs w:val="18"/>
              </w:rPr>
              <w:t>Mondo</w:t>
            </w:r>
          </w:p>
        </w:tc>
        <w:tc>
          <w:tcPr>
            <w:tcW w:w="709" w:type="dxa"/>
            <w:shd w:val="clear" w:color="auto" w:fill="D9D9D9"/>
            <w:vAlign w:val="center"/>
          </w:tcPr>
          <w:p w14:paraId="6EE0AFAE" w14:textId="10B7B087" w:rsidR="0004702D" w:rsidRDefault="0004702D" w:rsidP="0004702D">
            <w:pPr>
              <w:jc w:val="center"/>
              <w:rPr>
                <w:rFonts w:ascii="Arial Narrow" w:hAnsi="Arial Narrow"/>
                <w:sz w:val="18"/>
                <w:szCs w:val="18"/>
              </w:rPr>
            </w:pPr>
            <w:r>
              <w:rPr>
                <w:rFonts w:ascii="Arial Narrow" w:hAnsi="Arial Narrow"/>
                <w:sz w:val="18"/>
                <w:szCs w:val="18"/>
              </w:rPr>
              <w:t>+0,6</w:t>
            </w:r>
          </w:p>
        </w:tc>
        <w:tc>
          <w:tcPr>
            <w:tcW w:w="1130" w:type="dxa"/>
            <w:gridSpan w:val="2"/>
            <w:shd w:val="clear" w:color="auto" w:fill="D9D9D9"/>
            <w:noWrap/>
            <w:vAlign w:val="center"/>
          </w:tcPr>
          <w:p w14:paraId="3CC0A152" w14:textId="664F6917" w:rsidR="0004702D" w:rsidRDefault="0004702D" w:rsidP="0004702D">
            <w:pPr>
              <w:jc w:val="center"/>
              <w:rPr>
                <w:rFonts w:ascii="Arial Narrow" w:hAnsi="Arial Narrow"/>
                <w:sz w:val="18"/>
                <w:szCs w:val="18"/>
              </w:rPr>
            </w:pPr>
            <w:r>
              <w:rPr>
                <w:rFonts w:ascii="Arial Narrow" w:hAnsi="Arial Narrow"/>
                <w:sz w:val="18"/>
                <w:szCs w:val="18"/>
              </w:rPr>
              <w:t>+2,2</w:t>
            </w:r>
          </w:p>
        </w:tc>
        <w:tc>
          <w:tcPr>
            <w:tcW w:w="1732" w:type="dxa"/>
            <w:gridSpan w:val="2"/>
            <w:vAlign w:val="center"/>
          </w:tcPr>
          <w:p w14:paraId="34583768" w14:textId="2A6DB713" w:rsidR="0004702D" w:rsidRDefault="0004702D" w:rsidP="0004702D">
            <w:pPr>
              <w:jc w:val="center"/>
              <w:rPr>
                <w:rFonts w:ascii="Arial Narrow" w:hAnsi="Arial Narrow"/>
                <w:sz w:val="18"/>
                <w:szCs w:val="18"/>
              </w:rPr>
            </w:pPr>
            <w:r>
              <w:rPr>
                <w:rFonts w:ascii="Arial Narrow" w:hAnsi="Arial Narrow"/>
                <w:sz w:val="18"/>
                <w:szCs w:val="18"/>
              </w:rPr>
              <w:t>+2,5</w:t>
            </w:r>
          </w:p>
        </w:tc>
        <w:tc>
          <w:tcPr>
            <w:tcW w:w="665" w:type="dxa"/>
            <w:shd w:val="clear" w:color="auto" w:fill="D9D9D9"/>
            <w:noWrap/>
            <w:vAlign w:val="center"/>
          </w:tcPr>
          <w:p w14:paraId="375267C6" w14:textId="5253C8E6" w:rsidR="0004702D" w:rsidRDefault="0004702D" w:rsidP="0004702D">
            <w:pPr>
              <w:jc w:val="center"/>
              <w:rPr>
                <w:rFonts w:ascii="Arial Narrow" w:hAnsi="Arial Narrow"/>
                <w:sz w:val="18"/>
                <w:szCs w:val="18"/>
              </w:rPr>
            </w:pPr>
            <w:r>
              <w:rPr>
                <w:rFonts w:ascii="Arial Narrow" w:hAnsi="Arial Narrow"/>
                <w:sz w:val="18"/>
                <w:szCs w:val="18"/>
              </w:rPr>
              <w:t>+3,2</w:t>
            </w:r>
          </w:p>
        </w:tc>
        <w:tc>
          <w:tcPr>
            <w:tcW w:w="1226" w:type="dxa"/>
            <w:gridSpan w:val="2"/>
            <w:shd w:val="clear" w:color="auto" w:fill="D9D9D9"/>
            <w:vAlign w:val="center"/>
          </w:tcPr>
          <w:p w14:paraId="6F63EC58" w14:textId="39D9114F" w:rsidR="0004702D" w:rsidRDefault="0004702D" w:rsidP="0004702D">
            <w:pPr>
              <w:jc w:val="center"/>
              <w:rPr>
                <w:rFonts w:ascii="Arial Narrow" w:hAnsi="Arial Narrow"/>
                <w:sz w:val="18"/>
                <w:szCs w:val="18"/>
              </w:rPr>
            </w:pPr>
            <w:r>
              <w:rPr>
                <w:rFonts w:ascii="Arial Narrow" w:hAnsi="Arial Narrow"/>
                <w:sz w:val="18"/>
                <w:szCs w:val="18"/>
              </w:rPr>
              <w:t>+2,2</w:t>
            </w:r>
          </w:p>
        </w:tc>
        <w:tc>
          <w:tcPr>
            <w:tcW w:w="1828" w:type="dxa"/>
            <w:gridSpan w:val="3"/>
            <w:shd w:val="clear" w:color="auto" w:fill="auto"/>
            <w:noWrap/>
            <w:vAlign w:val="center"/>
          </w:tcPr>
          <w:p w14:paraId="25CEA114" w14:textId="79404849" w:rsidR="0004702D" w:rsidRDefault="0004702D" w:rsidP="0004702D">
            <w:pPr>
              <w:jc w:val="center"/>
              <w:rPr>
                <w:rFonts w:ascii="Arial Narrow" w:hAnsi="Arial Narrow"/>
                <w:sz w:val="18"/>
                <w:szCs w:val="18"/>
              </w:rPr>
            </w:pPr>
            <w:r>
              <w:rPr>
                <w:rFonts w:ascii="Arial Narrow" w:hAnsi="Arial Narrow"/>
                <w:sz w:val="18"/>
                <w:szCs w:val="18"/>
              </w:rPr>
              <w:t>+8,8</w:t>
            </w:r>
          </w:p>
        </w:tc>
        <w:tc>
          <w:tcPr>
            <w:tcW w:w="1662" w:type="dxa"/>
            <w:gridSpan w:val="3"/>
            <w:shd w:val="clear" w:color="auto" w:fill="D9D9D9"/>
            <w:noWrap/>
            <w:vAlign w:val="center"/>
          </w:tcPr>
          <w:p w14:paraId="211FE9A7" w14:textId="65A66C7D" w:rsidR="0004702D" w:rsidRDefault="0004702D" w:rsidP="0004702D">
            <w:pPr>
              <w:jc w:val="center"/>
              <w:rPr>
                <w:rFonts w:ascii="Arial Narrow" w:hAnsi="Arial Narrow"/>
                <w:sz w:val="18"/>
                <w:szCs w:val="18"/>
              </w:rPr>
            </w:pPr>
            <w:r>
              <w:rPr>
                <w:rFonts w:ascii="Arial Narrow" w:hAnsi="Arial Narrow"/>
                <w:sz w:val="18"/>
                <w:szCs w:val="18"/>
              </w:rPr>
              <w:t>-264</w:t>
            </w:r>
          </w:p>
        </w:tc>
      </w:tr>
      <w:tr w:rsidR="0004702D" w:rsidRPr="00826161" w14:paraId="433E017C" w14:textId="77777777" w:rsidTr="0004702D">
        <w:trPr>
          <w:trHeight w:val="255"/>
        </w:trPr>
        <w:tc>
          <w:tcPr>
            <w:tcW w:w="1348" w:type="dxa"/>
            <w:shd w:val="clear" w:color="auto" w:fill="auto"/>
            <w:noWrap/>
            <w:vAlign w:val="center"/>
          </w:tcPr>
          <w:p w14:paraId="7B6740BD" w14:textId="77777777" w:rsidR="0004702D" w:rsidRPr="00826161" w:rsidRDefault="0004702D" w:rsidP="0004702D">
            <w:pPr>
              <w:spacing w:before="40" w:after="20"/>
              <w:rPr>
                <w:rFonts w:ascii="Arial Narrow" w:hAnsi="Arial Narrow"/>
                <w:sz w:val="18"/>
                <w:szCs w:val="18"/>
              </w:rPr>
            </w:pPr>
            <w:r w:rsidRPr="00826161">
              <w:rPr>
                <w:rFonts w:ascii="Arial Narrow" w:hAnsi="Arial Narrow"/>
                <w:sz w:val="18"/>
                <w:szCs w:val="18"/>
              </w:rPr>
              <w:t>Valori medi unitari</w:t>
            </w:r>
          </w:p>
        </w:tc>
        <w:tc>
          <w:tcPr>
            <w:tcW w:w="709" w:type="dxa"/>
            <w:shd w:val="clear" w:color="auto" w:fill="D9D9D9"/>
            <w:vAlign w:val="center"/>
          </w:tcPr>
          <w:p w14:paraId="432B994E" w14:textId="77777777" w:rsidR="0004702D" w:rsidRDefault="0004702D" w:rsidP="0004702D">
            <w:pPr>
              <w:jc w:val="center"/>
              <w:rPr>
                <w:rFonts w:ascii="Arial Narrow" w:hAnsi="Arial Narrow"/>
                <w:sz w:val="18"/>
                <w:szCs w:val="18"/>
              </w:rPr>
            </w:pPr>
          </w:p>
        </w:tc>
        <w:tc>
          <w:tcPr>
            <w:tcW w:w="1130" w:type="dxa"/>
            <w:gridSpan w:val="2"/>
            <w:shd w:val="clear" w:color="auto" w:fill="D9D9D9"/>
            <w:noWrap/>
            <w:vAlign w:val="center"/>
          </w:tcPr>
          <w:p w14:paraId="7AA52EE8" w14:textId="77777777" w:rsidR="0004702D" w:rsidRDefault="0004702D" w:rsidP="0004702D">
            <w:pPr>
              <w:jc w:val="center"/>
              <w:rPr>
                <w:sz w:val="20"/>
                <w:szCs w:val="20"/>
              </w:rPr>
            </w:pPr>
          </w:p>
        </w:tc>
        <w:tc>
          <w:tcPr>
            <w:tcW w:w="1732" w:type="dxa"/>
            <w:gridSpan w:val="2"/>
            <w:vAlign w:val="center"/>
          </w:tcPr>
          <w:p w14:paraId="22D41D3F" w14:textId="1B5AFCC9" w:rsidR="0004702D" w:rsidRDefault="0004702D" w:rsidP="0004702D">
            <w:pPr>
              <w:jc w:val="center"/>
              <w:rPr>
                <w:rFonts w:ascii="Arial Narrow" w:hAnsi="Arial Narrow"/>
                <w:i/>
                <w:iCs/>
                <w:sz w:val="18"/>
                <w:szCs w:val="18"/>
              </w:rPr>
            </w:pPr>
            <w:r>
              <w:rPr>
                <w:rFonts w:ascii="Arial Narrow" w:hAnsi="Arial Narrow"/>
                <w:i/>
                <w:iCs/>
                <w:sz w:val="18"/>
                <w:szCs w:val="18"/>
              </w:rPr>
              <w:t>+5,3</w:t>
            </w:r>
          </w:p>
        </w:tc>
        <w:tc>
          <w:tcPr>
            <w:tcW w:w="665" w:type="dxa"/>
            <w:shd w:val="clear" w:color="auto" w:fill="D9D9D9"/>
            <w:noWrap/>
            <w:vAlign w:val="center"/>
          </w:tcPr>
          <w:p w14:paraId="3E72CA0F" w14:textId="77777777" w:rsidR="0004702D" w:rsidRDefault="0004702D" w:rsidP="0004702D">
            <w:pPr>
              <w:jc w:val="center"/>
              <w:rPr>
                <w:rFonts w:ascii="Arial Narrow" w:hAnsi="Arial Narrow"/>
                <w:i/>
                <w:iCs/>
                <w:sz w:val="18"/>
                <w:szCs w:val="18"/>
              </w:rPr>
            </w:pPr>
          </w:p>
        </w:tc>
        <w:tc>
          <w:tcPr>
            <w:tcW w:w="1226" w:type="dxa"/>
            <w:gridSpan w:val="2"/>
            <w:shd w:val="clear" w:color="auto" w:fill="D9D9D9"/>
            <w:vAlign w:val="center"/>
          </w:tcPr>
          <w:p w14:paraId="54BE88ED" w14:textId="77777777" w:rsidR="0004702D" w:rsidRDefault="0004702D" w:rsidP="0004702D">
            <w:pPr>
              <w:jc w:val="center"/>
              <w:rPr>
                <w:sz w:val="20"/>
                <w:szCs w:val="20"/>
              </w:rPr>
            </w:pPr>
          </w:p>
        </w:tc>
        <w:tc>
          <w:tcPr>
            <w:tcW w:w="1828" w:type="dxa"/>
            <w:gridSpan w:val="3"/>
            <w:shd w:val="clear" w:color="auto" w:fill="auto"/>
            <w:noWrap/>
            <w:vAlign w:val="center"/>
          </w:tcPr>
          <w:p w14:paraId="54AE4413" w14:textId="5E91A02E" w:rsidR="0004702D" w:rsidRDefault="0004702D" w:rsidP="0004702D">
            <w:pPr>
              <w:jc w:val="center"/>
              <w:rPr>
                <w:rFonts w:ascii="Arial Narrow" w:hAnsi="Arial Narrow"/>
                <w:i/>
                <w:iCs/>
                <w:sz w:val="18"/>
                <w:szCs w:val="18"/>
              </w:rPr>
            </w:pPr>
            <w:r>
              <w:rPr>
                <w:rFonts w:ascii="Arial Narrow" w:hAnsi="Arial Narrow"/>
                <w:i/>
                <w:iCs/>
                <w:sz w:val="18"/>
                <w:szCs w:val="18"/>
              </w:rPr>
              <w:t>+4,5</w:t>
            </w:r>
          </w:p>
        </w:tc>
        <w:tc>
          <w:tcPr>
            <w:tcW w:w="665" w:type="dxa"/>
            <w:shd w:val="clear" w:color="auto" w:fill="D9D9D9"/>
            <w:noWrap/>
            <w:vAlign w:val="center"/>
          </w:tcPr>
          <w:p w14:paraId="3C7678F3" w14:textId="77777777" w:rsidR="0004702D" w:rsidRDefault="0004702D" w:rsidP="0004702D">
            <w:pPr>
              <w:jc w:val="center"/>
              <w:rPr>
                <w:rFonts w:ascii="Arial Narrow" w:hAnsi="Arial Narrow"/>
                <w:i/>
                <w:iCs/>
                <w:sz w:val="18"/>
                <w:szCs w:val="18"/>
              </w:rPr>
            </w:pPr>
          </w:p>
        </w:tc>
        <w:tc>
          <w:tcPr>
            <w:tcW w:w="997" w:type="dxa"/>
            <w:gridSpan w:val="2"/>
            <w:shd w:val="clear" w:color="auto" w:fill="D9D9D9"/>
            <w:vAlign w:val="center"/>
          </w:tcPr>
          <w:p w14:paraId="280AD945" w14:textId="77777777" w:rsidR="0004702D" w:rsidRDefault="0004702D" w:rsidP="0004702D">
            <w:pPr>
              <w:jc w:val="center"/>
              <w:rPr>
                <w:sz w:val="20"/>
                <w:szCs w:val="20"/>
              </w:rPr>
            </w:pPr>
          </w:p>
        </w:tc>
      </w:tr>
      <w:tr w:rsidR="0004702D" w:rsidRPr="008C0651" w14:paraId="09AE4962" w14:textId="77777777" w:rsidTr="0004702D">
        <w:trPr>
          <w:trHeight w:val="255"/>
        </w:trPr>
        <w:tc>
          <w:tcPr>
            <w:tcW w:w="1348" w:type="dxa"/>
            <w:shd w:val="clear" w:color="auto" w:fill="auto"/>
            <w:noWrap/>
            <w:vAlign w:val="center"/>
          </w:tcPr>
          <w:p w14:paraId="3CCBCE95" w14:textId="77777777" w:rsidR="0004702D" w:rsidRPr="00674C87" w:rsidRDefault="0004702D" w:rsidP="0004702D">
            <w:pPr>
              <w:spacing w:before="40" w:after="20"/>
              <w:rPr>
                <w:rFonts w:ascii="Arial Narrow" w:hAnsi="Arial Narrow"/>
                <w:sz w:val="18"/>
                <w:szCs w:val="18"/>
              </w:rPr>
            </w:pPr>
            <w:r w:rsidRPr="00674C87">
              <w:rPr>
                <w:rFonts w:ascii="Arial Narrow" w:hAnsi="Arial Narrow"/>
                <w:sz w:val="18"/>
                <w:szCs w:val="18"/>
              </w:rPr>
              <w:t>Volumi</w:t>
            </w:r>
          </w:p>
        </w:tc>
        <w:tc>
          <w:tcPr>
            <w:tcW w:w="709" w:type="dxa"/>
            <w:shd w:val="clear" w:color="auto" w:fill="D9D9D9"/>
            <w:vAlign w:val="center"/>
          </w:tcPr>
          <w:p w14:paraId="71C1107A" w14:textId="28579714" w:rsidR="0004702D" w:rsidRDefault="0004702D" w:rsidP="0004702D">
            <w:pPr>
              <w:jc w:val="center"/>
              <w:rPr>
                <w:rFonts w:ascii="Arial Narrow" w:hAnsi="Arial Narrow"/>
                <w:i/>
                <w:iCs/>
                <w:sz w:val="18"/>
                <w:szCs w:val="18"/>
              </w:rPr>
            </w:pPr>
          </w:p>
        </w:tc>
        <w:tc>
          <w:tcPr>
            <w:tcW w:w="1130" w:type="dxa"/>
            <w:gridSpan w:val="2"/>
            <w:shd w:val="clear" w:color="auto" w:fill="D9D9D9"/>
            <w:noWrap/>
            <w:vAlign w:val="center"/>
          </w:tcPr>
          <w:p w14:paraId="16A21D2C" w14:textId="434BA186" w:rsidR="0004702D" w:rsidRDefault="0004702D" w:rsidP="0004702D">
            <w:pPr>
              <w:jc w:val="center"/>
              <w:rPr>
                <w:rFonts w:ascii="Arial Narrow" w:hAnsi="Arial Narrow"/>
                <w:i/>
                <w:iCs/>
                <w:sz w:val="18"/>
                <w:szCs w:val="18"/>
              </w:rPr>
            </w:pPr>
          </w:p>
        </w:tc>
        <w:tc>
          <w:tcPr>
            <w:tcW w:w="1732" w:type="dxa"/>
            <w:gridSpan w:val="2"/>
            <w:vAlign w:val="center"/>
          </w:tcPr>
          <w:p w14:paraId="663F412D" w14:textId="2C34220E" w:rsidR="0004702D" w:rsidRDefault="0004702D" w:rsidP="0004702D">
            <w:pPr>
              <w:jc w:val="center"/>
              <w:rPr>
                <w:rFonts w:ascii="Arial Narrow" w:hAnsi="Arial Narrow"/>
                <w:i/>
                <w:iCs/>
                <w:sz w:val="18"/>
                <w:szCs w:val="18"/>
              </w:rPr>
            </w:pPr>
            <w:r>
              <w:rPr>
                <w:rFonts w:ascii="Arial Narrow" w:hAnsi="Arial Narrow"/>
                <w:i/>
                <w:iCs/>
                <w:sz w:val="18"/>
                <w:szCs w:val="18"/>
              </w:rPr>
              <w:t>-2,6</w:t>
            </w:r>
          </w:p>
        </w:tc>
        <w:tc>
          <w:tcPr>
            <w:tcW w:w="665" w:type="dxa"/>
            <w:shd w:val="clear" w:color="auto" w:fill="D9D9D9"/>
            <w:noWrap/>
            <w:vAlign w:val="center"/>
          </w:tcPr>
          <w:p w14:paraId="23B43CAE" w14:textId="4780618E" w:rsidR="0004702D" w:rsidRDefault="0004702D" w:rsidP="0004702D">
            <w:pPr>
              <w:jc w:val="center"/>
              <w:rPr>
                <w:rFonts w:ascii="Arial Narrow" w:hAnsi="Arial Narrow"/>
                <w:sz w:val="18"/>
                <w:szCs w:val="18"/>
              </w:rPr>
            </w:pPr>
          </w:p>
        </w:tc>
        <w:tc>
          <w:tcPr>
            <w:tcW w:w="1226" w:type="dxa"/>
            <w:gridSpan w:val="2"/>
            <w:shd w:val="clear" w:color="auto" w:fill="D9D9D9"/>
            <w:vAlign w:val="center"/>
          </w:tcPr>
          <w:p w14:paraId="5488B72D" w14:textId="232B5031" w:rsidR="0004702D" w:rsidRDefault="0004702D" w:rsidP="0004702D">
            <w:pPr>
              <w:jc w:val="center"/>
              <w:rPr>
                <w:rFonts w:ascii="Arial Narrow" w:hAnsi="Arial Narrow"/>
                <w:sz w:val="18"/>
                <w:szCs w:val="18"/>
              </w:rPr>
            </w:pPr>
          </w:p>
        </w:tc>
        <w:tc>
          <w:tcPr>
            <w:tcW w:w="1828" w:type="dxa"/>
            <w:gridSpan w:val="3"/>
            <w:shd w:val="clear" w:color="auto" w:fill="auto"/>
            <w:noWrap/>
            <w:vAlign w:val="center"/>
          </w:tcPr>
          <w:p w14:paraId="329F19D1" w14:textId="342C7ACA" w:rsidR="0004702D" w:rsidRDefault="0004702D" w:rsidP="0004702D">
            <w:pPr>
              <w:jc w:val="center"/>
              <w:rPr>
                <w:rFonts w:ascii="Arial Narrow" w:hAnsi="Arial Narrow"/>
                <w:i/>
                <w:iCs/>
                <w:sz w:val="18"/>
                <w:szCs w:val="18"/>
              </w:rPr>
            </w:pPr>
            <w:r>
              <w:rPr>
                <w:rFonts w:ascii="Arial Narrow" w:hAnsi="Arial Narrow"/>
                <w:i/>
                <w:iCs/>
                <w:sz w:val="18"/>
                <w:szCs w:val="18"/>
              </w:rPr>
              <w:t>+4,1</w:t>
            </w:r>
          </w:p>
        </w:tc>
        <w:tc>
          <w:tcPr>
            <w:tcW w:w="665" w:type="dxa"/>
            <w:shd w:val="clear" w:color="auto" w:fill="D9D9D9"/>
            <w:noWrap/>
            <w:vAlign w:val="center"/>
          </w:tcPr>
          <w:p w14:paraId="1CAE2BCA" w14:textId="1EFF67F5" w:rsidR="0004702D" w:rsidRDefault="0004702D" w:rsidP="0004702D">
            <w:pPr>
              <w:jc w:val="center"/>
              <w:rPr>
                <w:rFonts w:ascii="Arial Narrow" w:hAnsi="Arial Narrow"/>
                <w:sz w:val="18"/>
                <w:szCs w:val="18"/>
              </w:rPr>
            </w:pPr>
          </w:p>
        </w:tc>
        <w:tc>
          <w:tcPr>
            <w:tcW w:w="997" w:type="dxa"/>
            <w:gridSpan w:val="2"/>
            <w:shd w:val="clear" w:color="auto" w:fill="D9D9D9"/>
            <w:vAlign w:val="center"/>
          </w:tcPr>
          <w:p w14:paraId="60D29516" w14:textId="4743F600" w:rsidR="0004702D" w:rsidRDefault="0004702D" w:rsidP="0004702D">
            <w:pPr>
              <w:jc w:val="center"/>
              <w:rPr>
                <w:rFonts w:ascii="Arial Narrow" w:hAnsi="Arial Narrow"/>
                <w:sz w:val="18"/>
                <w:szCs w:val="18"/>
              </w:rPr>
            </w:pPr>
          </w:p>
        </w:tc>
      </w:tr>
    </w:tbl>
    <w:p w14:paraId="69FB4C8F" w14:textId="77777777" w:rsidR="00B77B33" w:rsidRDefault="00B77B33" w:rsidP="00AF23DD">
      <w:pPr>
        <w:pStyle w:val="Corpodeltesto1"/>
        <w:rPr>
          <w:rFonts w:ascii="Arial Narrow" w:hAnsi="Arial Narrow" w:cs="Arial"/>
          <w:bCs/>
          <w:color w:val="E42618"/>
          <w:kern w:val="28"/>
          <w:sz w:val="22"/>
          <w:szCs w:val="22"/>
        </w:rPr>
      </w:pPr>
    </w:p>
    <w:p w14:paraId="68B4F086" w14:textId="77777777" w:rsidR="0067206D" w:rsidRDefault="0067206D" w:rsidP="00AF23DD">
      <w:pPr>
        <w:pStyle w:val="Corpodeltesto1"/>
        <w:rPr>
          <w:rFonts w:ascii="Arial Narrow" w:hAnsi="Arial Narrow" w:cs="Arial"/>
          <w:bCs/>
          <w:color w:val="E42618"/>
          <w:kern w:val="28"/>
          <w:sz w:val="22"/>
          <w:szCs w:val="22"/>
        </w:rPr>
      </w:pPr>
    </w:p>
    <w:p w14:paraId="007C3813" w14:textId="77777777" w:rsidR="00AF23DD" w:rsidRDefault="003C7722" w:rsidP="00AF23DD">
      <w:pPr>
        <w:pStyle w:val="Corpodeltesto1"/>
        <w:rPr>
          <w:rFonts w:ascii="Arial" w:hAnsi="Arial" w:cs="Arial"/>
          <w:sz w:val="17"/>
          <w:szCs w:val="17"/>
        </w:rPr>
      </w:pPr>
      <w:r w:rsidRPr="00831F78">
        <w:rPr>
          <w:rFonts w:ascii="Arial Narrow" w:hAnsi="Arial Narrow" w:cs="Arial"/>
          <w:bCs/>
          <w:color w:val="E42618"/>
          <w:kern w:val="28"/>
          <w:sz w:val="22"/>
          <w:szCs w:val="22"/>
        </w:rPr>
        <w:t xml:space="preserve">PROSPETTO </w:t>
      </w:r>
      <w:r w:rsidR="00831F78">
        <w:rPr>
          <w:rFonts w:ascii="Arial Narrow" w:hAnsi="Arial Narrow" w:cs="Arial"/>
          <w:bCs/>
          <w:color w:val="E42618"/>
          <w:kern w:val="28"/>
          <w:sz w:val="22"/>
          <w:szCs w:val="22"/>
        </w:rPr>
        <w:t>2</w:t>
      </w:r>
      <w:r w:rsidRPr="00831F78">
        <w:rPr>
          <w:rFonts w:ascii="Arial Narrow" w:hAnsi="Arial Narrow" w:cs="Arial"/>
          <w:bCs/>
          <w:color w:val="E42618"/>
          <w:kern w:val="28"/>
          <w:sz w:val="22"/>
          <w:szCs w:val="22"/>
        </w:rPr>
        <w:t xml:space="preserve">. </w:t>
      </w:r>
      <w:r w:rsidRPr="00831F78">
        <w:rPr>
          <w:rFonts w:ascii="Arial Narrow" w:hAnsi="Arial Narrow" w:cs="Arial"/>
          <w:bCs/>
          <w:color w:val="5F5F5F"/>
          <w:kern w:val="28"/>
          <w:sz w:val="22"/>
          <w:szCs w:val="22"/>
        </w:rPr>
        <w:t>ESPORTAZIONI, IMPORTAZIONI E SALDI DELLA BILANCIA COMMERCIALE SECONDO I RAGGRUPPAMENTI PRINCIPALI DI INDUSTRIE</w:t>
      </w:r>
      <w:r w:rsidRPr="00B37F7D">
        <w:rPr>
          <w:rFonts w:ascii="Arial" w:hAnsi="Arial" w:cs="Arial"/>
          <w:sz w:val="17"/>
          <w:szCs w:val="17"/>
        </w:rPr>
        <w:t xml:space="preserve"> </w:t>
      </w:r>
    </w:p>
    <w:p w14:paraId="387FD9E4" w14:textId="00A4F567" w:rsidR="00AF23DD" w:rsidRPr="00EE5993" w:rsidRDefault="00FE4793" w:rsidP="00AF23DD">
      <w:pPr>
        <w:spacing w:after="120"/>
        <w:rPr>
          <w:rFonts w:ascii="Arial Narrow" w:hAnsi="Arial Narrow" w:cs="Arial"/>
          <w:b/>
          <w:bCs/>
          <w:i/>
          <w:sz w:val="16"/>
          <w:szCs w:val="19"/>
        </w:rPr>
      </w:pPr>
      <w:r>
        <w:rPr>
          <w:rFonts w:ascii="Arial Narrow" w:hAnsi="Arial Narrow" w:cs="Arial"/>
          <w:color w:val="5F5F5F"/>
          <w:sz w:val="20"/>
        </w:rPr>
        <w:t>Gennaio 2025</w:t>
      </w:r>
      <w:r w:rsidR="003C7722" w:rsidRPr="00EE5993">
        <w:rPr>
          <w:rFonts w:ascii="Arial Narrow" w:hAnsi="Arial Narrow" w:cs="Arial"/>
          <w:color w:val="5F5F5F"/>
          <w:sz w:val="20"/>
        </w:rPr>
        <w:t xml:space="preserve">, variazioni percentuali </w:t>
      </w:r>
      <w:r w:rsidR="00516EEC" w:rsidRPr="00EE5993">
        <w:rPr>
          <w:rFonts w:ascii="Arial Narrow" w:hAnsi="Arial Narrow" w:cs="Arial"/>
          <w:color w:val="5F5F5F"/>
          <w:sz w:val="20"/>
        </w:rPr>
        <w:t xml:space="preserve">congiunturali e tendenziali </w:t>
      </w:r>
      <w:r w:rsidR="003C7722" w:rsidRPr="00EE5993">
        <w:rPr>
          <w:rFonts w:ascii="Arial Narrow" w:hAnsi="Arial Narrow" w:cs="Arial"/>
          <w:color w:val="5F5F5F"/>
          <w:sz w:val="20"/>
        </w:rPr>
        <w:t>e</w:t>
      </w:r>
      <w:r w:rsidR="003C7722" w:rsidRPr="00EE5993">
        <w:rPr>
          <w:rFonts w:ascii="Arial Narrow" w:hAnsi="Arial Narrow" w:cs="Arial"/>
          <w:b/>
          <w:color w:val="5F5F5F"/>
          <w:sz w:val="20"/>
        </w:rPr>
        <w:t xml:space="preserve"> </w:t>
      </w:r>
      <w:r w:rsidR="00AF23DD" w:rsidRPr="00EE5993">
        <w:rPr>
          <w:rFonts w:ascii="Arial Narrow" w:hAnsi="Arial Narrow" w:cs="Arial"/>
          <w:color w:val="5F5F5F"/>
          <w:sz w:val="20"/>
        </w:rPr>
        <w:t>saldi in milioni di euro</w:t>
      </w:r>
    </w:p>
    <w:tbl>
      <w:tblPr>
        <w:tblW w:w="10235" w:type="dxa"/>
        <w:tblInd w:w="70" w:type="dxa"/>
        <w:tblLayout w:type="fixed"/>
        <w:tblCellMar>
          <w:left w:w="70" w:type="dxa"/>
          <w:right w:w="70" w:type="dxa"/>
        </w:tblCellMar>
        <w:tblLook w:val="04A0" w:firstRow="1" w:lastRow="0" w:firstColumn="1" w:lastColumn="0" w:noHBand="0" w:noVBand="1"/>
      </w:tblPr>
      <w:tblGrid>
        <w:gridCol w:w="1587"/>
        <w:gridCol w:w="665"/>
        <w:gridCol w:w="1108"/>
        <w:gridCol w:w="1702"/>
        <w:gridCol w:w="708"/>
        <w:gridCol w:w="1134"/>
        <w:gridCol w:w="1638"/>
        <w:gridCol w:w="1693"/>
      </w:tblGrid>
      <w:tr w:rsidR="00B0617A" w:rsidRPr="00831F78" w14:paraId="70FFA76B" w14:textId="77777777" w:rsidTr="003C4572">
        <w:trPr>
          <w:trHeight w:val="255"/>
        </w:trPr>
        <w:tc>
          <w:tcPr>
            <w:tcW w:w="1587" w:type="dxa"/>
            <w:vMerge w:val="restart"/>
            <w:tcBorders>
              <w:top w:val="single" w:sz="4" w:space="0" w:color="auto"/>
              <w:left w:val="nil"/>
              <w:bottom w:val="single" w:sz="4" w:space="0" w:color="000000"/>
              <w:right w:val="nil"/>
            </w:tcBorders>
            <w:shd w:val="clear" w:color="auto" w:fill="auto"/>
            <w:vAlign w:val="center"/>
          </w:tcPr>
          <w:p w14:paraId="02954AA3" w14:textId="77777777" w:rsidR="00B0617A" w:rsidRPr="00831F78" w:rsidRDefault="00B0617A" w:rsidP="003C4572">
            <w:pPr>
              <w:spacing w:before="40" w:after="20"/>
              <w:rPr>
                <w:rFonts w:ascii="Arial Narrow" w:hAnsi="Arial Narrow"/>
                <w:b/>
                <w:sz w:val="18"/>
                <w:szCs w:val="18"/>
              </w:rPr>
            </w:pPr>
            <w:r w:rsidRPr="000A4139">
              <w:rPr>
                <w:rFonts w:ascii="Arial Narrow" w:hAnsi="Arial Narrow"/>
                <w:b/>
                <w:sz w:val="18"/>
                <w:szCs w:val="18"/>
              </w:rPr>
              <w:t xml:space="preserve">RAGGRUPPAMENTI PRINCIPALI </w:t>
            </w:r>
            <w:r w:rsidRPr="000A4139">
              <w:rPr>
                <w:rFonts w:ascii="Arial Narrow" w:hAnsi="Arial Narrow"/>
                <w:b/>
                <w:sz w:val="18"/>
                <w:szCs w:val="18"/>
              </w:rPr>
              <w:br/>
              <w:t>DI INDUSTRIE</w:t>
            </w:r>
          </w:p>
        </w:tc>
        <w:tc>
          <w:tcPr>
            <w:tcW w:w="3475" w:type="dxa"/>
            <w:gridSpan w:val="3"/>
            <w:tcBorders>
              <w:top w:val="single" w:sz="4" w:space="0" w:color="auto"/>
              <w:left w:val="nil"/>
              <w:bottom w:val="single" w:sz="4" w:space="0" w:color="auto"/>
              <w:right w:val="nil"/>
            </w:tcBorders>
            <w:shd w:val="clear" w:color="auto" w:fill="D9D9D9"/>
            <w:vAlign w:val="center"/>
          </w:tcPr>
          <w:p w14:paraId="345D07DD" w14:textId="77777777" w:rsidR="00B0617A" w:rsidRPr="00831F78" w:rsidRDefault="00B0617A" w:rsidP="003C4572">
            <w:pPr>
              <w:spacing w:before="40" w:after="20"/>
              <w:jc w:val="center"/>
              <w:rPr>
                <w:rFonts w:ascii="Arial Narrow" w:hAnsi="Arial Narrow"/>
                <w:sz w:val="18"/>
                <w:szCs w:val="18"/>
              </w:rPr>
            </w:pPr>
            <w:r w:rsidRPr="00831F78">
              <w:rPr>
                <w:rFonts w:ascii="Arial Narrow" w:hAnsi="Arial Narrow" w:cs="Arial"/>
                <w:b/>
                <w:sz w:val="18"/>
                <w:szCs w:val="18"/>
              </w:rPr>
              <w:t>ESPORTAZIONI</w:t>
            </w:r>
          </w:p>
        </w:tc>
        <w:tc>
          <w:tcPr>
            <w:tcW w:w="3480" w:type="dxa"/>
            <w:gridSpan w:val="3"/>
            <w:tcBorders>
              <w:top w:val="single" w:sz="4" w:space="0" w:color="auto"/>
              <w:left w:val="nil"/>
              <w:bottom w:val="single" w:sz="4" w:space="0" w:color="auto"/>
              <w:right w:val="nil"/>
            </w:tcBorders>
            <w:shd w:val="clear" w:color="auto" w:fill="auto"/>
            <w:vAlign w:val="center"/>
          </w:tcPr>
          <w:p w14:paraId="7003690D" w14:textId="77777777" w:rsidR="00B0617A" w:rsidRPr="00831F78" w:rsidRDefault="00B0617A" w:rsidP="003C4572">
            <w:pPr>
              <w:spacing w:before="40" w:after="20"/>
              <w:jc w:val="center"/>
              <w:rPr>
                <w:rFonts w:ascii="Arial Narrow" w:hAnsi="Arial Narrow" w:cs="Arial"/>
                <w:sz w:val="18"/>
                <w:szCs w:val="18"/>
              </w:rPr>
            </w:pPr>
            <w:r w:rsidRPr="00831F78">
              <w:rPr>
                <w:rFonts w:ascii="Arial Narrow" w:hAnsi="Arial Narrow" w:cs="Arial"/>
                <w:b/>
                <w:sz w:val="18"/>
                <w:szCs w:val="18"/>
              </w:rPr>
              <w:t>IMPORTAZIONI</w:t>
            </w:r>
          </w:p>
        </w:tc>
        <w:tc>
          <w:tcPr>
            <w:tcW w:w="1693" w:type="dxa"/>
            <w:vMerge w:val="restart"/>
            <w:tcBorders>
              <w:top w:val="single" w:sz="4" w:space="0" w:color="auto"/>
              <w:left w:val="nil"/>
              <w:right w:val="nil"/>
            </w:tcBorders>
            <w:shd w:val="clear" w:color="auto" w:fill="D9D9D9"/>
            <w:vAlign w:val="center"/>
          </w:tcPr>
          <w:p w14:paraId="4DE1F84E" w14:textId="77777777" w:rsidR="00B0617A" w:rsidRPr="00831F78" w:rsidRDefault="00B0617A" w:rsidP="003C4572">
            <w:pPr>
              <w:spacing w:before="40" w:after="20"/>
              <w:jc w:val="center"/>
              <w:rPr>
                <w:rFonts w:ascii="Arial Narrow" w:hAnsi="Arial Narrow" w:cs="Arial"/>
                <w:b/>
                <w:sz w:val="18"/>
                <w:szCs w:val="18"/>
              </w:rPr>
            </w:pPr>
            <w:r w:rsidRPr="00831F78">
              <w:rPr>
                <w:rFonts w:ascii="Arial Narrow" w:hAnsi="Arial Narrow" w:cs="Arial"/>
                <w:b/>
                <w:sz w:val="18"/>
                <w:szCs w:val="18"/>
              </w:rPr>
              <w:t>SALDI</w:t>
            </w:r>
          </w:p>
        </w:tc>
      </w:tr>
      <w:tr w:rsidR="00B0617A" w:rsidRPr="00831F78" w14:paraId="16A4FD4D" w14:textId="77777777" w:rsidTr="003C4572">
        <w:trPr>
          <w:trHeight w:val="255"/>
        </w:trPr>
        <w:tc>
          <w:tcPr>
            <w:tcW w:w="1587" w:type="dxa"/>
            <w:vMerge/>
            <w:tcBorders>
              <w:top w:val="single" w:sz="4" w:space="0" w:color="auto"/>
              <w:left w:val="nil"/>
              <w:bottom w:val="single" w:sz="4" w:space="0" w:color="000000"/>
              <w:right w:val="nil"/>
            </w:tcBorders>
            <w:vAlign w:val="center"/>
          </w:tcPr>
          <w:p w14:paraId="1AC6A0F8" w14:textId="77777777" w:rsidR="00B0617A" w:rsidRPr="00831F78" w:rsidRDefault="00B0617A" w:rsidP="003C4572">
            <w:pPr>
              <w:spacing w:before="40" w:after="20"/>
              <w:rPr>
                <w:rFonts w:ascii="Arial Narrow" w:hAnsi="Arial Narrow"/>
                <w:sz w:val="18"/>
                <w:szCs w:val="18"/>
              </w:rPr>
            </w:pPr>
          </w:p>
        </w:tc>
        <w:tc>
          <w:tcPr>
            <w:tcW w:w="1773" w:type="dxa"/>
            <w:gridSpan w:val="2"/>
            <w:tcBorders>
              <w:top w:val="single" w:sz="4" w:space="0" w:color="auto"/>
              <w:left w:val="nil"/>
              <w:bottom w:val="single" w:sz="4" w:space="0" w:color="auto"/>
              <w:right w:val="nil"/>
            </w:tcBorders>
            <w:shd w:val="clear" w:color="auto" w:fill="auto"/>
            <w:vAlign w:val="center"/>
          </w:tcPr>
          <w:p w14:paraId="511A0F8D" w14:textId="77777777" w:rsidR="00B0617A" w:rsidRPr="003C7722" w:rsidRDefault="00B0617A"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Variazioni congiunturali</w:t>
            </w:r>
          </w:p>
        </w:tc>
        <w:tc>
          <w:tcPr>
            <w:tcW w:w="1702" w:type="dxa"/>
            <w:tcBorders>
              <w:top w:val="single" w:sz="4" w:space="0" w:color="auto"/>
              <w:left w:val="nil"/>
              <w:bottom w:val="single" w:sz="4" w:space="0" w:color="auto"/>
              <w:right w:val="nil"/>
            </w:tcBorders>
            <w:shd w:val="clear" w:color="auto" w:fill="auto"/>
            <w:vAlign w:val="center"/>
          </w:tcPr>
          <w:p w14:paraId="6FD37CAC" w14:textId="77777777" w:rsidR="00B0617A" w:rsidRDefault="00B0617A" w:rsidP="003C4572">
            <w:pPr>
              <w:tabs>
                <w:tab w:val="left" w:pos="1316"/>
              </w:tabs>
              <w:spacing w:before="40"/>
              <w:ind w:right="-68"/>
              <w:jc w:val="center"/>
              <w:rPr>
                <w:rFonts w:ascii="Arial Narrow" w:hAnsi="Arial Narrow" w:cs="Arial"/>
                <w:b/>
                <w:sz w:val="18"/>
                <w:szCs w:val="18"/>
              </w:rPr>
            </w:pPr>
            <w:r w:rsidRPr="00AF23DD">
              <w:rPr>
                <w:rFonts w:ascii="Arial Narrow" w:hAnsi="Arial Narrow" w:cs="Arial"/>
                <w:b/>
                <w:sz w:val="18"/>
                <w:szCs w:val="18"/>
              </w:rPr>
              <w:t>Variazioni</w:t>
            </w:r>
          </w:p>
          <w:p w14:paraId="1F62B445" w14:textId="77777777" w:rsidR="00B0617A" w:rsidRPr="003C7722" w:rsidRDefault="00B0617A" w:rsidP="003C4572">
            <w:pPr>
              <w:tabs>
                <w:tab w:val="left" w:pos="1316"/>
              </w:tabs>
              <w:spacing w:before="40"/>
              <w:ind w:right="-68"/>
              <w:jc w:val="center"/>
              <w:rPr>
                <w:rFonts w:ascii="Arial Narrow" w:hAnsi="Arial Narrow" w:cs="Arial"/>
                <w:b/>
                <w:sz w:val="18"/>
                <w:szCs w:val="18"/>
              </w:rPr>
            </w:pPr>
            <w:r>
              <w:rPr>
                <w:rFonts w:ascii="Arial Narrow" w:hAnsi="Arial Narrow" w:cs="Arial"/>
                <w:b/>
                <w:sz w:val="18"/>
                <w:szCs w:val="18"/>
              </w:rPr>
              <w:t>tendenziali</w:t>
            </w:r>
          </w:p>
        </w:tc>
        <w:tc>
          <w:tcPr>
            <w:tcW w:w="1842" w:type="dxa"/>
            <w:gridSpan w:val="2"/>
            <w:tcBorders>
              <w:top w:val="single" w:sz="4" w:space="0" w:color="auto"/>
              <w:left w:val="nil"/>
              <w:bottom w:val="single" w:sz="4" w:space="0" w:color="auto"/>
              <w:right w:val="nil"/>
            </w:tcBorders>
            <w:shd w:val="clear" w:color="auto" w:fill="auto"/>
            <w:vAlign w:val="center"/>
          </w:tcPr>
          <w:p w14:paraId="28AA7031" w14:textId="77777777" w:rsidR="00B0617A" w:rsidRPr="003C7722" w:rsidRDefault="00B0617A" w:rsidP="003C4572">
            <w:pPr>
              <w:tabs>
                <w:tab w:val="left" w:pos="1316"/>
              </w:tabs>
              <w:spacing w:before="40" w:after="20"/>
              <w:ind w:right="-70"/>
              <w:jc w:val="center"/>
              <w:rPr>
                <w:rFonts w:ascii="Arial Narrow" w:hAnsi="Arial Narrow" w:cs="Arial"/>
                <w:b/>
                <w:sz w:val="18"/>
                <w:szCs w:val="18"/>
              </w:rPr>
            </w:pPr>
            <w:r w:rsidRPr="00AF23DD">
              <w:rPr>
                <w:rFonts w:ascii="Arial Narrow" w:hAnsi="Arial Narrow" w:cs="Arial"/>
                <w:b/>
                <w:sz w:val="18"/>
                <w:szCs w:val="18"/>
              </w:rPr>
              <w:t>Variazioni congiunturali</w:t>
            </w:r>
          </w:p>
        </w:tc>
        <w:tc>
          <w:tcPr>
            <w:tcW w:w="1638" w:type="dxa"/>
            <w:tcBorders>
              <w:top w:val="single" w:sz="4" w:space="0" w:color="auto"/>
              <w:left w:val="nil"/>
              <w:bottom w:val="single" w:sz="4" w:space="0" w:color="auto"/>
              <w:right w:val="nil"/>
            </w:tcBorders>
            <w:shd w:val="clear" w:color="auto" w:fill="auto"/>
            <w:vAlign w:val="center"/>
          </w:tcPr>
          <w:p w14:paraId="2D9ED953" w14:textId="77777777" w:rsidR="00B0617A" w:rsidRDefault="00B0617A" w:rsidP="003C4572">
            <w:pPr>
              <w:tabs>
                <w:tab w:val="left" w:pos="1316"/>
              </w:tabs>
              <w:spacing w:before="40"/>
              <w:ind w:right="-68"/>
              <w:jc w:val="center"/>
              <w:rPr>
                <w:rFonts w:ascii="Arial Narrow" w:hAnsi="Arial Narrow" w:cs="Arial"/>
                <w:b/>
                <w:sz w:val="18"/>
                <w:szCs w:val="18"/>
              </w:rPr>
            </w:pPr>
            <w:r w:rsidRPr="00AF23DD">
              <w:rPr>
                <w:rFonts w:ascii="Arial Narrow" w:hAnsi="Arial Narrow" w:cs="Arial"/>
                <w:b/>
                <w:sz w:val="18"/>
                <w:szCs w:val="18"/>
              </w:rPr>
              <w:t>Variazioni</w:t>
            </w:r>
          </w:p>
          <w:p w14:paraId="4204109B" w14:textId="77777777" w:rsidR="00B0617A" w:rsidRPr="003C7722" w:rsidRDefault="00B0617A" w:rsidP="003C4572">
            <w:pPr>
              <w:tabs>
                <w:tab w:val="left" w:pos="1316"/>
              </w:tabs>
              <w:spacing w:before="40"/>
              <w:ind w:right="-68"/>
              <w:jc w:val="center"/>
              <w:rPr>
                <w:rFonts w:ascii="Arial Narrow" w:hAnsi="Arial Narrow" w:cs="Arial"/>
                <w:b/>
                <w:sz w:val="18"/>
                <w:szCs w:val="18"/>
              </w:rPr>
            </w:pPr>
            <w:r>
              <w:rPr>
                <w:rFonts w:ascii="Arial Narrow" w:hAnsi="Arial Narrow" w:cs="Arial"/>
                <w:b/>
                <w:sz w:val="18"/>
                <w:szCs w:val="18"/>
              </w:rPr>
              <w:t>tendenziali</w:t>
            </w:r>
          </w:p>
        </w:tc>
        <w:tc>
          <w:tcPr>
            <w:tcW w:w="1693" w:type="dxa"/>
            <w:vMerge/>
            <w:tcBorders>
              <w:left w:val="nil"/>
              <w:bottom w:val="single" w:sz="4" w:space="0" w:color="auto"/>
              <w:right w:val="nil"/>
            </w:tcBorders>
            <w:shd w:val="clear" w:color="auto" w:fill="D9D9D9"/>
            <w:vAlign w:val="center"/>
          </w:tcPr>
          <w:p w14:paraId="30FDE0C7" w14:textId="77777777" w:rsidR="00B0617A" w:rsidRPr="00831F78" w:rsidRDefault="00B0617A" w:rsidP="003C4572">
            <w:pPr>
              <w:spacing w:before="40" w:after="20"/>
              <w:jc w:val="center"/>
              <w:rPr>
                <w:rFonts w:ascii="Arial Narrow" w:hAnsi="Arial Narrow"/>
                <w:b/>
                <w:sz w:val="18"/>
                <w:szCs w:val="18"/>
              </w:rPr>
            </w:pPr>
          </w:p>
        </w:tc>
      </w:tr>
      <w:tr w:rsidR="00B0617A" w:rsidRPr="00831F78" w14:paraId="6C0F39B5" w14:textId="77777777" w:rsidTr="003C4572">
        <w:trPr>
          <w:trHeight w:val="255"/>
        </w:trPr>
        <w:tc>
          <w:tcPr>
            <w:tcW w:w="1587" w:type="dxa"/>
            <w:vMerge/>
            <w:tcBorders>
              <w:top w:val="single" w:sz="4" w:space="0" w:color="auto"/>
              <w:left w:val="nil"/>
              <w:bottom w:val="single" w:sz="4" w:space="0" w:color="000000"/>
              <w:right w:val="nil"/>
            </w:tcBorders>
            <w:vAlign w:val="center"/>
          </w:tcPr>
          <w:p w14:paraId="52961FA1" w14:textId="77777777" w:rsidR="00B0617A" w:rsidRPr="00831F78" w:rsidRDefault="00B0617A" w:rsidP="003C4572">
            <w:pPr>
              <w:spacing w:before="40" w:after="20"/>
              <w:rPr>
                <w:rFonts w:ascii="Arial Narrow" w:hAnsi="Arial Narrow"/>
                <w:sz w:val="18"/>
                <w:szCs w:val="18"/>
              </w:rPr>
            </w:pPr>
          </w:p>
        </w:tc>
        <w:tc>
          <w:tcPr>
            <w:tcW w:w="1773" w:type="dxa"/>
            <w:gridSpan w:val="2"/>
            <w:tcBorders>
              <w:top w:val="single" w:sz="4" w:space="0" w:color="auto"/>
              <w:left w:val="nil"/>
              <w:bottom w:val="single" w:sz="4" w:space="0" w:color="auto"/>
              <w:right w:val="nil"/>
            </w:tcBorders>
            <w:shd w:val="clear" w:color="auto" w:fill="D9D9D9"/>
            <w:vAlign w:val="center"/>
          </w:tcPr>
          <w:p w14:paraId="64484737"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Dati destagionalizzati</w:t>
            </w:r>
          </w:p>
        </w:tc>
        <w:tc>
          <w:tcPr>
            <w:tcW w:w="1702" w:type="dxa"/>
            <w:tcBorders>
              <w:top w:val="single" w:sz="4" w:space="0" w:color="auto"/>
              <w:left w:val="nil"/>
              <w:bottom w:val="single" w:sz="4" w:space="0" w:color="auto"/>
              <w:right w:val="nil"/>
            </w:tcBorders>
            <w:shd w:val="clear" w:color="auto" w:fill="auto"/>
            <w:vAlign w:val="center"/>
          </w:tcPr>
          <w:p w14:paraId="43E1001E"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Dati grezzi</w:t>
            </w:r>
          </w:p>
        </w:tc>
        <w:tc>
          <w:tcPr>
            <w:tcW w:w="1842" w:type="dxa"/>
            <w:gridSpan w:val="2"/>
            <w:tcBorders>
              <w:top w:val="single" w:sz="4" w:space="0" w:color="auto"/>
              <w:left w:val="nil"/>
              <w:bottom w:val="single" w:sz="4" w:space="0" w:color="auto"/>
              <w:right w:val="nil"/>
            </w:tcBorders>
            <w:shd w:val="clear" w:color="auto" w:fill="D9D9D9"/>
            <w:vAlign w:val="center"/>
          </w:tcPr>
          <w:p w14:paraId="29CE5165"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Dati destagionalizzati</w:t>
            </w:r>
          </w:p>
        </w:tc>
        <w:tc>
          <w:tcPr>
            <w:tcW w:w="1638" w:type="dxa"/>
            <w:tcBorders>
              <w:top w:val="single" w:sz="4" w:space="0" w:color="auto"/>
              <w:left w:val="nil"/>
              <w:bottom w:val="single" w:sz="4" w:space="0" w:color="auto"/>
              <w:right w:val="nil"/>
            </w:tcBorders>
            <w:shd w:val="clear" w:color="auto" w:fill="auto"/>
            <w:vAlign w:val="center"/>
          </w:tcPr>
          <w:p w14:paraId="6B156901"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Dati grezzi</w:t>
            </w:r>
          </w:p>
        </w:tc>
        <w:tc>
          <w:tcPr>
            <w:tcW w:w="1693" w:type="dxa"/>
            <w:tcBorders>
              <w:top w:val="single" w:sz="4" w:space="0" w:color="auto"/>
              <w:left w:val="nil"/>
              <w:bottom w:val="single" w:sz="4" w:space="0" w:color="auto"/>
              <w:right w:val="nil"/>
            </w:tcBorders>
            <w:shd w:val="clear" w:color="auto" w:fill="D9D9D9"/>
            <w:vAlign w:val="center"/>
          </w:tcPr>
          <w:p w14:paraId="2F6A38FC"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Dati grezzi</w:t>
            </w:r>
          </w:p>
          <w:p w14:paraId="1918EB80" w14:textId="77777777" w:rsidR="00B0617A" w:rsidRPr="00626CC5" w:rsidRDefault="00B0617A" w:rsidP="003C4572">
            <w:pPr>
              <w:spacing w:before="40" w:after="20"/>
              <w:jc w:val="center"/>
              <w:rPr>
                <w:rFonts w:ascii="Arial Narrow" w:hAnsi="Arial Narrow"/>
                <w:sz w:val="18"/>
                <w:szCs w:val="18"/>
              </w:rPr>
            </w:pPr>
            <w:r w:rsidRPr="00626CC5">
              <w:rPr>
                <w:rFonts w:ascii="Arial Narrow" w:hAnsi="Arial Narrow"/>
                <w:sz w:val="18"/>
                <w:szCs w:val="18"/>
              </w:rPr>
              <w:t>Milioni di euro</w:t>
            </w:r>
          </w:p>
        </w:tc>
      </w:tr>
      <w:tr w:rsidR="00FE4793" w:rsidRPr="00831F78" w14:paraId="3C160D1A" w14:textId="77777777" w:rsidTr="00FE4793">
        <w:trPr>
          <w:trHeight w:val="255"/>
        </w:trPr>
        <w:tc>
          <w:tcPr>
            <w:tcW w:w="1587" w:type="dxa"/>
            <w:vMerge/>
            <w:tcBorders>
              <w:top w:val="single" w:sz="4" w:space="0" w:color="auto"/>
              <w:left w:val="nil"/>
              <w:bottom w:val="single" w:sz="4" w:space="0" w:color="000000"/>
              <w:right w:val="nil"/>
            </w:tcBorders>
            <w:vAlign w:val="center"/>
          </w:tcPr>
          <w:p w14:paraId="1F25B50A" w14:textId="77777777" w:rsidR="00FE4793" w:rsidRPr="00831F78" w:rsidRDefault="00FE4793" w:rsidP="00FE4793">
            <w:pPr>
              <w:spacing w:before="40" w:after="20"/>
              <w:rPr>
                <w:rFonts w:ascii="Arial Narrow" w:hAnsi="Arial Narrow"/>
                <w:sz w:val="18"/>
                <w:szCs w:val="18"/>
              </w:rPr>
            </w:pPr>
          </w:p>
        </w:tc>
        <w:tc>
          <w:tcPr>
            <w:tcW w:w="665" w:type="dxa"/>
            <w:tcBorders>
              <w:top w:val="nil"/>
              <w:left w:val="nil"/>
              <w:right w:val="nil"/>
            </w:tcBorders>
            <w:shd w:val="clear" w:color="auto" w:fill="auto"/>
            <w:vAlign w:val="center"/>
          </w:tcPr>
          <w:p w14:paraId="77BD5A47"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63634CAF" w14:textId="363D4B22"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dic 24</w:t>
            </w:r>
          </w:p>
        </w:tc>
        <w:tc>
          <w:tcPr>
            <w:tcW w:w="1108" w:type="dxa"/>
            <w:tcBorders>
              <w:top w:val="nil"/>
              <w:left w:val="nil"/>
              <w:right w:val="nil"/>
            </w:tcBorders>
            <w:shd w:val="clear" w:color="auto" w:fill="auto"/>
            <w:vAlign w:val="center"/>
          </w:tcPr>
          <w:p w14:paraId="62DF1AAF"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nov 24-gen 25</w:t>
            </w:r>
          </w:p>
          <w:p w14:paraId="53ABAABA" w14:textId="240F87F6"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ago-ott 24</w:t>
            </w:r>
          </w:p>
        </w:tc>
        <w:tc>
          <w:tcPr>
            <w:tcW w:w="1702" w:type="dxa"/>
            <w:tcBorders>
              <w:top w:val="nil"/>
              <w:left w:val="nil"/>
              <w:right w:val="nil"/>
            </w:tcBorders>
            <w:shd w:val="clear" w:color="auto" w:fill="auto"/>
            <w:noWrap/>
            <w:vAlign w:val="center"/>
          </w:tcPr>
          <w:p w14:paraId="08AE8626"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6BC911B3" w14:textId="2A5D1E39"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708" w:type="dxa"/>
            <w:tcBorders>
              <w:top w:val="nil"/>
              <w:left w:val="nil"/>
              <w:right w:val="nil"/>
            </w:tcBorders>
            <w:shd w:val="clear" w:color="auto" w:fill="auto"/>
            <w:vAlign w:val="center"/>
          </w:tcPr>
          <w:p w14:paraId="7EE15FEB"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2093087B" w14:textId="2729BB54"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dic 24</w:t>
            </w:r>
          </w:p>
        </w:tc>
        <w:tc>
          <w:tcPr>
            <w:tcW w:w="1134" w:type="dxa"/>
            <w:tcBorders>
              <w:top w:val="nil"/>
              <w:left w:val="nil"/>
              <w:right w:val="nil"/>
            </w:tcBorders>
            <w:shd w:val="clear" w:color="auto" w:fill="auto"/>
            <w:vAlign w:val="center"/>
          </w:tcPr>
          <w:p w14:paraId="49362C7F"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nov 24-gen 25</w:t>
            </w:r>
          </w:p>
          <w:p w14:paraId="2DBBED93" w14:textId="3E55D6EF"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ago-ott 24</w:t>
            </w:r>
          </w:p>
        </w:tc>
        <w:tc>
          <w:tcPr>
            <w:tcW w:w="1638" w:type="dxa"/>
            <w:tcBorders>
              <w:top w:val="nil"/>
              <w:left w:val="nil"/>
              <w:right w:val="nil"/>
            </w:tcBorders>
            <w:shd w:val="clear" w:color="auto" w:fill="auto"/>
            <w:noWrap/>
            <w:vAlign w:val="center"/>
          </w:tcPr>
          <w:p w14:paraId="1BDBDE2D" w14:textId="77777777" w:rsidR="00FE4793" w:rsidRPr="0069402A" w:rsidRDefault="00FE4793" w:rsidP="00FE4793">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DF2B002" w14:textId="5CE7333F"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1693" w:type="dxa"/>
            <w:tcBorders>
              <w:top w:val="single" w:sz="4" w:space="0" w:color="auto"/>
              <w:left w:val="nil"/>
              <w:right w:val="nil"/>
            </w:tcBorders>
            <w:shd w:val="clear" w:color="auto" w:fill="auto"/>
            <w:vAlign w:val="center"/>
          </w:tcPr>
          <w:p w14:paraId="13F5143C" w14:textId="6E406ABF" w:rsidR="00FE4793" w:rsidRPr="003C7722" w:rsidRDefault="00FE4793" w:rsidP="00FE4793">
            <w:pPr>
              <w:spacing w:before="40" w:after="20"/>
              <w:jc w:val="center"/>
              <w:rPr>
                <w:rFonts w:ascii="Arial Narrow" w:hAnsi="Arial Narrow"/>
                <w:sz w:val="18"/>
                <w:szCs w:val="18"/>
                <w:lang w:val="en-US"/>
              </w:rPr>
            </w:pPr>
            <w:r>
              <w:rPr>
                <w:rFonts w:ascii="Arial Narrow" w:hAnsi="Arial Narrow"/>
                <w:sz w:val="18"/>
                <w:szCs w:val="18"/>
                <w:lang w:val="en-US"/>
              </w:rPr>
              <w:t>gen 25</w:t>
            </w:r>
          </w:p>
        </w:tc>
      </w:tr>
      <w:tr w:rsidR="00F3594F" w:rsidRPr="008C0651" w14:paraId="272F9F5A"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350166FA" w14:textId="77777777" w:rsidR="00F3594F" w:rsidRPr="00831F78" w:rsidRDefault="00F3594F" w:rsidP="00F3594F">
            <w:pPr>
              <w:spacing w:before="40" w:after="20"/>
              <w:rPr>
                <w:rFonts w:ascii="Arial Narrow" w:hAnsi="Arial Narrow"/>
                <w:sz w:val="18"/>
                <w:szCs w:val="18"/>
              </w:rPr>
            </w:pPr>
            <w:r w:rsidRPr="00831F78">
              <w:rPr>
                <w:rFonts w:ascii="Arial Narrow" w:hAnsi="Arial Narrow"/>
                <w:sz w:val="18"/>
                <w:szCs w:val="18"/>
              </w:rPr>
              <w:t>Beni di consumo</w:t>
            </w:r>
          </w:p>
        </w:tc>
        <w:tc>
          <w:tcPr>
            <w:tcW w:w="665" w:type="dxa"/>
            <w:tcBorders>
              <w:top w:val="single" w:sz="4" w:space="0" w:color="auto"/>
              <w:left w:val="nil"/>
              <w:bottom w:val="single" w:sz="4" w:space="0" w:color="auto"/>
              <w:right w:val="nil"/>
            </w:tcBorders>
            <w:shd w:val="clear" w:color="auto" w:fill="D9D9D9"/>
            <w:noWrap/>
            <w:vAlign w:val="center"/>
          </w:tcPr>
          <w:p w14:paraId="11D85812" w14:textId="61D155D7" w:rsidR="00F3594F" w:rsidRDefault="00F3594F" w:rsidP="00F3594F">
            <w:pPr>
              <w:jc w:val="center"/>
              <w:rPr>
                <w:rFonts w:ascii="Arial Narrow" w:hAnsi="Arial Narrow"/>
                <w:sz w:val="18"/>
                <w:szCs w:val="18"/>
              </w:rPr>
            </w:pPr>
            <w:r>
              <w:rPr>
                <w:rFonts w:ascii="Arial Narrow" w:hAnsi="Arial Narrow"/>
                <w:sz w:val="18"/>
                <w:szCs w:val="18"/>
              </w:rPr>
              <w:t>+0,7</w:t>
            </w:r>
          </w:p>
        </w:tc>
        <w:tc>
          <w:tcPr>
            <w:tcW w:w="1108" w:type="dxa"/>
            <w:tcBorders>
              <w:top w:val="single" w:sz="4" w:space="0" w:color="auto"/>
              <w:left w:val="nil"/>
              <w:bottom w:val="single" w:sz="4" w:space="0" w:color="auto"/>
              <w:right w:val="nil"/>
            </w:tcBorders>
            <w:shd w:val="clear" w:color="auto" w:fill="D9D9D9"/>
            <w:noWrap/>
            <w:vAlign w:val="center"/>
          </w:tcPr>
          <w:p w14:paraId="33B75673" w14:textId="71E200AD" w:rsidR="00F3594F" w:rsidRDefault="00F3594F" w:rsidP="00F3594F">
            <w:pPr>
              <w:jc w:val="center"/>
              <w:rPr>
                <w:rFonts w:ascii="Arial Narrow" w:hAnsi="Arial Narrow"/>
                <w:sz w:val="18"/>
                <w:szCs w:val="18"/>
              </w:rPr>
            </w:pPr>
            <w:r>
              <w:rPr>
                <w:rFonts w:ascii="Arial Narrow" w:hAnsi="Arial Narrow"/>
                <w:sz w:val="18"/>
                <w:szCs w:val="18"/>
              </w:rPr>
              <w:t>+2,5</w:t>
            </w:r>
          </w:p>
        </w:tc>
        <w:tc>
          <w:tcPr>
            <w:tcW w:w="1702" w:type="dxa"/>
            <w:tcBorders>
              <w:top w:val="single" w:sz="4" w:space="0" w:color="auto"/>
              <w:left w:val="nil"/>
              <w:bottom w:val="single" w:sz="4" w:space="0" w:color="auto"/>
              <w:right w:val="nil"/>
            </w:tcBorders>
            <w:shd w:val="clear" w:color="auto" w:fill="auto"/>
            <w:noWrap/>
            <w:vAlign w:val="center"/>
          </w:tcPr>
          <w:p w14:paraId="086A8B10" w14:textId="7FE1EAC9" w:rsidR="00F3594F" w:rsidRDefault="00F3594F" w:rsidP="00F3594F">
            <w:pPr>
              <w:jc w:val="center"/>
              <w:rPr>
                <w:rFonts w:ascii="Arial Narrow" w:hAnsi="Arial Narrow"/>
                <w:sz w:val="18"/>
                <w:szCs w:val="18"/>
              </w:rPr>
            </w:pPr>
            <w:r>
              <w:rPr>
                <w:rFonts w:ascii="Arial Narrow" w:hAnsi="Arial Narrow"/>
                <w:sz w:val="18"/>
                <w:szCs w:val="18"/>
              </w:rPr>
              <w:t>+7,5</w:t>
            </w:r>
          </w:p>
        </w:tc>
        <w:tc>
          <w:tcPr>
            <w:tcW w:w="708" w:type="dxa"/>
            <w:tcBorders>
              <w:top w:val="single" w:sz="4" w:space="0" w:color="auto"/>
              <w:left w:val="nil"/>
              <w:bottom w:val="single" w:sz="4" w:space="0" w:color="auto"/>
              <w:right w:val="nil"/>
            </w:tcBorders>
            <w:shd w:val="clear" w:color="auto" w:fill="D9D9D9"/>
            <w:noWrap/>
            <w:vAlign w:val="center"/>
          </w:tcPr>
          <w:p w14:paraId="7A658D32" w14:textId="669C9BBF" w:rsidR="00F3594F" w:rsidRDefault="00F3594F" w:rsidP="00F3594F">
            <w:pPr>
              <w:jc w:val="center"/>
              <w:rPr>
                <w:rFonts w:ascii="Arial Narrow" w:hAnsi="Arial Narrow"/>
                <w:sz w:val="18"/>
                <w:szCs w:val="18"/>
              </w:rPr>
            </w:pPr>
            <w:r>
              <w:rPr>
                <w:rFonts w:ascii="Arial Narrow" w:hAnsi="Arial Narrow"/>
                <w:sz w:val="18"/>
                <w:szCs w:val="18"/>
              </w:rPr>
              <w:t>+8,7</w:t>
            </w:r>
          </w:p>
        </w:tc>
        <w:tc>
          <w:tcPr>
            <w:tcW w:w="1134" w:type="dxa"/>
            <w:tcBorders>
              <w:top w:val="single" w:sz="4" w:space="0" w:color="auto"/>
              <w:left w:val="nil"/>
              <w:bottom w:val="single" w:sz="4" w:space="0" w:color="auto"/>
              <w:right w:val="nil"/>
            </w:tcBorders>
            <w:shd w:val="clear" w:color="auto" w:fill="D9D9D9"/>
            <w:noWrap/>
            <w:vAlign w:val="center"/>
          </w:tcPr>
          <w:p w14:paraId="24E6B3B2" w14:textId="789A870C" w:rsidR="00F3594F" w:rsidRDefault="00F3594F" w:rsidP="00F3594F">
            <w:pPr>
              <w:jc w:val="center"/>
              <w:rPr>
                <w:rFonts w:ascii="Arial Narrow" w:hAnsi="Arial Narrow"/>
                <w:sz w:val="18"/>
                <w:szCs w:val="18"/>
              </w:rPr>
            </w:pPr>
            <w:r>
              <w:rPr>
                <w:rFonts w:ascii="Arial Narrow" w:hAnsi="Arial Narrow"/>
                <w:sz w:val="18"/>
                <w:szCs w:val="18"/>
              </w:rPr>
              <w:t>+3,6</w:t>
            </w:r>
          </w:p>
        </w:tc>
        <w:tc>
          <w:tcPr>
            <w:tcW w:w="1638" w:type="dxa"/>
            <w:tcBorders>
              <w:top w:val="single" w:sz="4" w:space="0" w:color="auto"/>
              <w:left w:val="nil"/>
              <w:bottom w:val="single" w:sz="4" w:space="0" w:color="auto"/>
              <w:right w:val="nil"/>
            </w:tcBorders>
            <w:shd w:val="clear" w:color="auto" w:fill="auto"/>
            <w:noWrap/>
            <w:vAlign w:val="center"/>
          </w:tcPr>
          <w:p w14:paraId="2E0866C7" w14:textId="1DFDECC6" w:rsidR="00F3594F" w:rsidRDefault="00F3594F" w:rsidP="00F3594F">
            <w:pPr>
              <w:jc w:val="center"/>
              <w:rPr>
                <w:rFonts w:ascii="Arial Narrow" w:hAnsi="Arial Narrow"/>
                <w:sz w:val="18"/>
                <w:szCs w:val="18"/>
              </w:rPr>
            </w:pPr>
            <w:r>
              <w:rPr>
                <w:rFonts w:ascii="Arial Narrow" w:hAnsi="Arial Narrow"/>
                <w:sz w:val="18"/>
                <w:szCs w:val="18"/>
              </w:rPr>
              <w:t>+16,8</w:t>
            </w:r>
          </w:p>
        </w:tc>
        <w:tc>
          <w:tcPr>
            <w:tcW w:w="1693" w:type="dxa"/>
            <w:tcBorders>
              <w:top w:val="single" w:sz="4" w:space="0" w:color="auto"/>
              <w:left w:val="nil"/>
              <w:bottom w:val="single" w:sz="4" w:space="0" w:color="auto"/>
              <w:right w:val="nil"/>
            </w:tcBorders>
            <w:shd w:val="clear" w:color="auto" w:fill="D9D9D9"/>
            <w:noWrap/>
            <w:vAlign w:val="center"/>
          </w:tcPr>
          <w:p w14:paraId="41063BC4" w14:textId="0BB993C7" w:rsidR="00F3594F" w:rsidRDefault="00F3594F" w:rsidP="00F3594F">
            <w:pPr>
              <w:jc w:val="center"/>
              <w:rPr>
                <w:rFonts w:ascii="Arial Narrow" w:hAnsi="Arial Narrow"/>
                <w:sz w:val="18"/>
                <w:szCs w:val="18"/>
              </w:rPr>
            </w:pPr>
            <w:r>
              <w:rPr>
                <w:rFonts w:ascii="Arial Narrow" w:hAnsi="Arial Narrow"/>
                <w:sz w:val="18"/>
                <w:szCs w:val="18"/>
              </w:rPr>
              <w:t>+3.762</w:t>
            </w:r>
          </w:p>
        </w:tc>
      </w:tr>
      <w:tr w:rsidR="00F3594F" w:rsidRPr="008C0651" w14:paraId="4A3FA3EE"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69010EAB" w14:textId="77777777" w:rsidR="00F3594F" w:rsidRPr="00AB0DE6" w:rsidRDefault="00F3594F" w:rsidP="00F3594F">
            <w:pPr>
              <w:spacing w:before="40" w:after="20"/>
              <w:rPr>
                <w:rFonts w:ascii="Arial Narrow" w:hAnsi="Arial Narrow"/>
                <w:sz w:val="18"/>
                <w:szCs w:val="18"/>
              </w:rPr>
            </w:pPr>
            <w:r w:rsidRPr="00AB0DE6">
              <w:rPr>
                <w:rFonts w:ascii="Arial Narrow" w:hAnsi="Arial Narrow"/>
                <w:sz w:val="18"/>
                <w:szCs w:val="18"/>
              </w:rPr>
              <w:t xml:space="preserve">  </w:t>
            </w:r>
            <w:r>
              <w:rPr>
                <w:rFonts w:ascii="Arial Narrow" w:hAnsi="Arial Narrow"/>
                <w:sz w:val="18"/>
                <w:szCs w:val="18"/>
              </w:rPr>
              <w:t>d</w:t>
            </w:r>
            <w:r w:rsidRPr="00AB0DE6">
              <w:rPr>
                <w:rFonts w:ascii="Arial Narrow" w:hAnsi="Arial Narrow"/>
                <w:sz w:val="18"/>
                <w:szCs w:val="18"/>
              </w:rPr>
              <w:t>urevoli</w:t>
            </w:r>
          </w:p>
        </w:tc>
        <w:tc>
          <w:tcPr>
            <w:tcW w:w="665" w:type="dxa"/>
            <w:tcBorders>
              <w:top w:val="single" w:sz="4" w:space="0" w:color="auto"/>
              <w:left w:val="nil"/>
              <w:bottom w:val="single" w:sz="4" w:space="0" w:color="auto"/>
              <w:right w:val="nil"/>
            </w:tcBorders>
            <w:shd w:val="clear" w:color="auto" w:fill="D9D9D9"/>
            <w:noWrap/>
            <w:vAlign w:val="center"/>
          </w:tcPr>
          <w:p w14:paraId="689CA131" w14:textId="26B90DD6" w:rsidR="00F3594F" w:rsidRDefault="00F3594F" w:rsidP="00F3594F">
            <w:pPr>
              <w:jc w:val="center"/>
              <w:rPr>
                <w:rFonts w:ascii="Arial Narrow" w:hAnsi="Arial Narrow"/>
                <w:sz w:val="18"/>
                <w:szCs w:val="18"/>
              </w:rPr>
            </w:pPr>
            <w:r>
              <w:rPr>
                <w:rFonts w:ascii="Arial Narrow" w:hAnsi="Arial Narrow"/>
                <w:sz w:val="18"/>
                <w:szCs w:val="18"/>
              </w:rPr>
              <w:t>-2,0</w:t>
            </w:r>
          </w:p>
        </w:tc>
        <w:tc>
          <w:tcPr>
            <w:tcW w:w="1108" w:type="dxa"/>
            <w:tcBorders>
              <w:top w:val="single" w:sz="4" w:space="0" w:color="auto"/>
              <w:left w:val="nil"/>
              <w:bottom w:val="single" w:sz="4" w:space="0" w:color="auto"/>
              <w:right w:val="nil"/>
            </w:tcBorders>
            <w:shd w:val="clear" w:color="auto" w:fill="D9D9D9"/>
            <w:noWrap/>
            <w:vAlign w:val="center"/>
          </w:tcPr>
          <w:p w14:paraId="5BE0C44B" w14:textId="59BA0DA9" w:rsidR="00F3594F" w:rsidRDefault="00F3594F" w:rsidP="00F3594F">
            <w:pPr>
              <w:jc w:val="center"/>
              <w:rPr>
                <w:rFonts w:ascii="Arial Narrow" w:hAnsi="Arial Narrow"/>
                <w:sz w:val="18"/>
                <w:szCs w:val="18"/>
              </w:rPr>
            </w:pPr>
            <w:r>
              <w:rPr>
                <w:rFonts w:ascii="Arial Narrow" w:hAnsi="Arial Narrow"/>
                <w:sz w:val="18"/>
                <w:szCs w:val="18"/>
              </w:rPr>
              <w:t>-2,7</w:t>
            </w:r>
          </w:p>
        </w:tc>
        <w:tc>
          <w:tcPr>
            <w:tcW w:w="1702" w:type="dxa"/>
            <w:tcBorders>
              <w:top w:val="single" w:sz="4" w:space="0" w:color="auto"/>
              <w:left w:val="nil"/>
              <w:bottom w:val="single" w:sz="4" w:space="0" w:color="auto"/>
              <w:right w:val="nil"/>
            </w:tcBorders>
            <w:shd w:val="clear" w:color="auto" w:fill="auto"/>
            <w:noWrap/>
            <w:vAlign w:val="center"/>
          </w:tcPr>
          <w:p w14:paraId="58064A0A" w14:textId="24AE3934" w:rsidR="00F3594F" w:rsidRDefault="00F3594F" w:rsidP="00F3594F">
            <w:pPr>
              <w:jc w:val="center"/>
              <w:rPr>
                <w:rFonts w:ascii="Arial Narrow" w:hAnsi="Arial Narrow"/>
                <w:sz w:val="18"/>
                <w:szCs w:val="18"/>
              </w:rPr>
            </w:pPr>
            <w:r>
              <w:rPr>
                <w:rFonts w:ascii="Arial Narrow" w:hAnsi="Arial Narrow"/>
                <w:sz w:val="18"/>
                <w:szCs w:val="18"/>
              </w:rPr>
              <w:t>+0,5</w:t>
            </w:r>
          </w:p>
        </w:tc>
        <w:tc>
          <w:tcPr>
            <w:tcW w:w="708" w:type="dxa"/>
            <w:tcBorders>
              <w:top w:val="single" w:sz="4" w:space="0" w:color="auto"/>
              <w:left w:val="nil"/>
              <w:bottom w:val="single" w:sz="4" w:space="0" w:color="auto"/>
              <w:right w:val="nil"/>
            </w:tcBorders>
            <w:shd w:val="clear" w:color="auto" w:fill="D9D9D9"/>
            <w:noWrap/>
            <w:vAlign w:val="center"/>
          </w:tcPr>
          <w:p w14:paraId="04534F68" w14:textId="5DF576C4" w:rsidR="00F3594F" w:rsidRDefault="00F3594F" w:rsidP="00F3594F">
            <w:pPr>
              <w:jc w:val="center"/>
              <w:rPr>
                <w:rFonts w:ascii="Arial Narrow" w:hAnsi="Arial Narrow"/>
                <w:sz w:val="18"/>
                <w:szCs w:val="18"/>
              </w:rPr>
            </w:pPr>
            <w:r>
              <w:rPr>
                <w:rFonts w:ascii="Arial Narrow" w:hAnsi="Arial Narrow"/>
                <w:sz w:val="18"/>
                <w:szCs w:val="18"/>
              </w:rPr>
              <w:t>+5,4</w:t>
            </w:r>
          </w:p>
        </w:tc>
        <w:tc>
          <w:tcPr>
            <w:tcW w:w="1134" w:type="dxa"/>
            <w:tcBorders>
              <w:top w:val="single" w:sz="4" w:space="0" w:color="auto"/>
              <w:left w:val="nil"/>
              <w:bottom w:val="single" w:sz="4" w:space="0" w:color="auto"/>
              <w:right w:val="nil"/>
            </w:tcBorders>
            <w:shd w:val="clear" w:color="auto" w:fill="D9D9D9"/>
            <w:noWrap/>
            <w:vAlign w:val="center"/>
          </w:tcPr>
          <w:p w14:paraId="0B1A003B" w14:textId="498CC64F" w:rsidR="00F3594F" w:rsidRDefault="00F3594F" w:rsidP="00F3594F">
            <w:pPr>
              <w:jc w:val="center"/>
              <w:rPr>
                <w:rFonts w:ascii="Arial Narrow" w:hAnsi="Arial Narrow"/>
                <w:sz w:val="18"/>
                <w:szCs w:val="18"/>
              </w:rPr>
            </w:pPr>
            <w:r>
              <w:rPr>
                <w:rFonts w:ascii="Arial Narrow" w:hAnsi="Arial Narrow"/>
                <w:sz w:val="18"/>
                <w:szCs w:val="18"/>
              </w:rPr>
              <w:t>+1,4</w:t>
            </w:r>
          </w:p>
        </w:tc>
        <w:tc>
          <w:tcPr>
            <w:tcW w:w="1638" w:type="dxa"/>
            <w:tcBorders>
              <w:top w:val="single" w:sz="4" w:space="0" w:color="auto"/>
              <w:left w:val="nil"/>
              <w:bottom w:val="single" w:sz="4" w:space="0" w:color="auto"/>
              <w:right w:val="nil"/>
            </w:tcBorders>
            <w:shd w:val="clear" w:color="auto" w:fill="auto"/>
            <w:noWrap/>
            <w:vAlign w:val="center"/>
          </w:tcPr>
          <w:p w14:paraId="104A42E7" w14:textId="05C0BC5E" w:rsidR="00F3594F" w:rsidRDefault="00F3594F" w:rsidP="00F3594F">
            <w:pPr>
              <w:jc w:val="center"/>
              <w:rPr>
                <w:rFonts w:ascii="Arial Narrow" w:hAnsi="Arial Narrow"/>
                <w:sz w:val="18"/>
                <w:szCs w:val="18"/>
              </w:rPr>
            </w:pPr>
            <w:r>
              <w:rPr>
                <w:rFonts w:ascii="Arial Narrow" w:hAnsi="Arial Narrow"/>
                <w:sz w:val="18"/>
                <w:szCs w:val="18"/>
              </w:rPr>
              <w:t>+25,1</w:t>
            </w:r>
          </w:p>
        </w:tc>
        <w:tc>
          <w:tcPr>
            <w:tcW w:w="1693" w:type="dxa"/>
            <w:tcBorders>
              <w:top w:val="single" w:sz="4" w:space="0" w:color="auto"/>
              <w:left w:val="nil"/>
              <w:bottom w:val="single" w:sz="4" w:space="0" w:color="auto"/>
              <w:right w:val="nil"/>
            </w:tcBorders>
            <w:shd w:val="clear" w:color="auto" w:fill="D9D9D9"/>
            <w:noWrap/>
            <w:vAlign w:val="center"/>
          </w:tcPr>
          <w:p w14:paraId="5D9C24E1" w14:textId="2EDAB91E" w:rsidR="00F3594F" w:rsidRDefault="00F3594F" w:rsidP="00F3594F">
            <w:pPr>
              <w:jc w:val="center"/>
              <w:rPr>
                <w:rFonts w:ascii="Arial Narrow" w:hAnsi="Arial Narrow"/>
                <w:sz w:val="18"/>
                <w:szCs w:val="18"/>
              </w:rPr>
            </w:pPr>
            <w:r>
              <w:rPr>
                <w:rFonts w:ascii="Arial Narrow" w:hAnsi="Arial Narrow"/>
                <w:sz w:val="18"/>
                <w:szCs w:val="18"/>
              </w:rPr>
              <w:t>+1.015</w:t>
            </w:r>
          </w:p>
        </w:tc>
      </w:tr>
      <w:tr w:rsidR="00F3594F" w:rsidRPr="008C0651" w14:paraId="0B360FAF"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0680B349" w14:textId="77777777" w:rsidR="00F3594F" w:rsidRPr="00AB0DE6" w:rsidRDefault="00F3594F" w:rsidP="00F3594F">
            <w:pPr>
              <w:spacing w:before="40" w:after="20"/>
              <w:rPr>
                <w:rFonts w:ascii="Arial Narrow" w:hAnsi="Arial Narrow"/>
                <w:sz w:val="18"/>
                <w:szCs w:val="18"/>
              </w:rPr>
            </w:pPr>
            <w:r w:rsidRPr="00AB0DE6">
              <w:rPr>
                <w:rFonts w:ascii="Arial Narrow" w:hAnsi="Arial Narrow"/>
                <w:sz w:val="18"/>
                <w:szCs w:val="18"/>
              </w:rPr>
              <w:t xml:space="preserve">  non durevoli</w:t>
            </w:r>
          </w:p>
        </w:tc>
        <w:tc>
          <w:tcPr>
            <w:tcW w:w="665" w:type="dxa"/>
            <w:tcBorders>
              <w:top w:val="single" w:sz="4" w:space="0" w:color="auto"/>
              <w:left w:val="nil"/>
              <w:bottom w:val="single" w:sz="4" w:space="0" w:color="auto"/>
              <w:right w:val="nil"/>
            </w:tcBorders>
            <w:shd w:val="clear" w:color="auto" w:fill="D9D9D9"/>
            <w:noWrap/>
            <w:vAlign w:val="center"/>
          </w:tcPr>
          <w:p w14:paraId="126AB87C" w14:textId="72ACF176" w:rsidR="00F3594F" w:rsidRDefault="00F3594F" w:rsidP="00F3594F">
            <w:pPr>
              <w:jc w:val="center"/>
              <w:rPr>
                <w:rFonts w:ascii="Arial Narrow" w:hAnsi="Arial Narrow"/>
                <w:sz w:val="18"/>
                <w:szCs w:val="18"/>
              </w:rPr>
            </w:pPr>
            <w:r>
              <w:rPr>
                <w:rFonts w:ascii="Arial Narrow" w:hAnsi="Arial Narrow"/>
                <w:sz w:val="18"/>
                <w:szCs w:val="18"/>
              </w:rPr>
              <w:t>+1,3</w:t>
            </w:r>
          </w:p>
        </w:tc>
        <w:tc>
          <w:tcPr>
            <w:tcW w:w="1108" w:type="dxa"/>
            <w:tcBorders>
              <w:top w:val="single" w:sz="4" w:space="0" w:color="auto"/>
              <w:left w:val="nil"/>
              <w:bottom w:val="single" w:sz="4" w:space="0" w:color="auto"/>
              <w:right w:val="nil"/>
            </w:tcBorders>
            <w:shd w:val="clear" w:color="auto" w:fill="D9D9D9"/>
            <w:noWrap/>
            <w:vAlign w:val="center"/>
          </w:tcPr>
          <w:p w14:paraId="23343308" w14:textId="079DCA78" w:rsidR="00F3594F" w:rsidRDefault="00F3594F" w:rsidP="00F3594F">
            <w:pPr>
              <w:jc w:val="center"/>
              <w:rPr>
                <w:rFonts w:ascii="Arial Narrow" w:hAnsi="Arial Narrow"/>
                <w:sz w:val="18"/>
                <w:szCs w:val="18"/>
              </w:rPr>
            </w:pPr>
            <w:r>
              <w:rPr>
                <w:rFonts w:ascii="Arial Narrow" w:hAnsi="Arial Narrow"/>
                <w:sz w:val="18"/>
                <w:szCs w:val="18"/>
              </w:rPr>
              <w:t>+3,6</w:t>
            </w:r>
          </w:p>
        </w:tc>
        <w:tc>
          <w:tcPr>
            <w:tcW w:w="1702" w:type="dxa"/>
            <w:tcBorders>
              <w:top w:val="single" w:sz="4" w:space="0" w:color="auto"/>
              <w:left w:val="nil"/>
              <w:bottom w:val="single" w:sz="4" w:space="0" w:color="auto"/>
              <w:right w:val="nil"/>
            </w:tcBorders>
            <w:shd w:val="clear" w:color="auto" w:fill="auto"/>
            <w:noWrap/>
            <w:vAlign w:val="center"/>
          </w:tcPr>
          <w:p w14:paraId="3DAF2F14" w14:textId="3109BEA9" w:rsidR="00F3594F" w:rsidRDefault="00F3594F" w:rsidP="00F3594F">
            <w:pPr>
              <w:jc w:val="center"/>
              <w:rPr>
                <w:rFonts w:ascii="Arial Narrow" w:hAnsi="Arial Narrow"/>
                <w:sz w:val="18"/>
                <w:szCs w:val="18"/>
              </w:rPr>
            </w:pPr>
            <w:r>
              <w:rPr>
                <w:rFonts w:ascii="Arial Narrow" w:hAnsi="Arial Narrow"/>
                <w:sz w:val="18"/>
                <w:szCs w:val="18"/>
              </w:rPr>
              <w:t>+8,7</w:t>
            </w:r>
          </w:p>
        </w:tc>
        <w:tc>
          <w:tcPr>
            <w:tcW w:w="708" w:type="dxa"/>
            <w:tcBorders>
              <w:top w:val="single" w:sz="4" w:space="0" w:color="auto"/>
              <w:left w:val="nil"/>
              <w:bottom w:val="single" w:sz="4" w:space="0" w:color="auto"/>
              <w:right w:val="nil"/>
            </w:tcBorders>
            <w:shd w:val="clear" w:color="auto" w:fill="D9D9D9"/>
            <w:noWrap/>
            <w:vAlign w:val="center"/>
          </w:tcPr>
          <w:p w14:paraId="04ADF04E" w14:textId="01AD031A" w:rsidR="00F3594F" w:rsidRDefault="00F3594F" w:rsidP="00F3594F">
            <w:pPr>
              <w:jc w:val="center"/>
              <w:rPr>
                <w:rFonts w:ascii="Arial Narrow" w:hAnsi="Arial Narrow"/>
                <w:sz w:val="18"/>
                <w:szCs w:val="18"/>
              </w:rPr>
            </w:pPr>
            <w:r>
              <w:rPr>
                <w:rFonts w:ascii="Arial Narrow" w:hAnsi="Arial Narrow"/>
                <w:sz w:val="18"/>
                <w:szCs w:val="18"/>
              </w:rPr>
              <w:t>+9,1</w:t>
            </w:r>
          </w:p>
        </w:tc>
        <w:tc>
          <w:tcPr>
            <w:tcW w:w="1134" w:type="dxa"/>
            <w:tcBorders>
              <w:top w:val="single" w:sz="4" w:space="0" w:color="auto"/>
              <w:left w:val="nil"/>
              <w:bottom w:val="single" w:sz="4" w:space="0" w:color="auto"/>
              <w:right w:val="nil"/>
            </w:tcBorders>
            <w:shd w:val="clear" w:color="auto" w:fill="D9D9D9"/>
            <w:noWrap/>
            <w:vAlign w:val="center"/>
          </w:tcPr>
          <w:p w14:paraId="1FE8923E" w14:textId="2F7126F0" w:rsidR="00F3594F" w:rsidRDefault="00F3594F" w:rsidP="00F3594F">
            <w:pPr>
              <w:jc w:val="center"/>
              <w:rPr>
                <w:rFonts w:ascii="Arial Narrow" w:hAnsi="Arial Narrow"/>
                <w:sz w:val="18"/>
                <w:szCs w:val="18"/>
              </w:rPr>
            </w:pPr>
            <w:r>
              <w:rPr>
                <w:rFonts w:ascii="Arial Narrow" w:hAnsi="Arial Narrow"/>
                <w:sz w:val="18"/>
                <w:szCs w:val="18"/>
              </w:rPr>
              <w:t>+3,9</w:t>
            </w:r>
          </w:p>
        </w:tc>
        <w:tc>
          <w:tcPr>
            <w:tcW w:w="1638" w:type="dxa"/>
            <w:tcBorders>
              <w:top w:val="single" w:sz="4" w:space="0" w:color="auto"/>
              <w:left w:val="nil"/>
              <w:bottom w:val="single" w:sz="4" w:space="0" w:color="auto"/>
              <w:right w:val="nil"/>
            </w:tcBorders>
            <w:shd w:val="clear" w:color="auto" w:fill="auto"/>
            <w:noWrap/>
            <w:vAlign w:val="center"/>
          </w:tcPr>
          <w:p w14:paraId="64FA7B7B" w14:textId="59F48C69" w:rsidR="00F3594F" w:rsidRDefault="00F3594F" w:rsidP="00F3594F">
            <w:pPr>
              <w:jc w:val="center"/>
              <w:rPr>
                <w:rFonts w:ascii="Arial Narrow" w:hAnsi="Arial Narrow"/>
                <w:sz w:val="18"/>
                <w:szCs w:val="18"/>
              </w:rPr>
            </w:pPr>
            <w:r>
              <w:rPr>
                <w:rFonts w:ascii="Arial Narrow" w:hAnsi="Arial Narrow"/>
                <w:sz w:val="18"/>
                <w:szCs w:val="18"/>
              </w:rPr>
              <w:t>+16,0</w:t>
            </w:r>
          </w:p>
        </w:tc>
        <w:tc>
          <w:tcPr>
            <w:tcW w:w="1693" w:type="dxa"/>
            <w:tcBorders>
              <w:top w:val="single" w:sz="4" w:space="0" w:color="auto"/>
              <w:left w:val="nil"/>
              <w:bottom w:val="single" w:sz="4" w:space="0" w:color="auto"/>
              <w:right w:val="nil"/>
            </w:tcBorders>
            <w:shd w:val="clear" w:color="auto" w:fill="D9D9D9"/>
            <w:noWrap/>
            <w:vAlign w:val="center"/>
          </w:tcPr>
          <w:p w14:paraId="177C00C4" w14:textId="4AC00C68" w:rsidR="00F3594F" w:rsidRDefault="00F3594F" w:rsidP="00F3594F">
            <w:pPr>
              <w:jc w:val="center"/>
              <w:rPr>
                <w:rFonts w:ascii="Arial Narrow" w:hAnsi="Arial Narrow"/>
                <w:sz w:val="18"/>
                <w:szCs w:val="18"/>
              </w:rPr>
            </w:pPr>
            <w:r>
              <w:rPr>
                <w:rFonts w:ascii="Arial Narrow" w:hAnsi="Arial Narrow"/>
                <w:sz w:val="18"/>
                <w:szCs w:val="18"/>
              </w:rPr>
              <w:t>+2.746</w:t>
            </w:r>
          </w:p>
        </w:tc>
      </w:tr>
      <w:tr w:rsidR="00F3594F" w:rsidRPr="008C0651" w14:paraId="5CD33C73"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3404740F" w14:textId="77777777" w:rsidR="00F3594F" w:rsidRPr="00831F78" w:rsidRDefault="00F3594F" w:rsidP="00F3594F">
            <w:pPr>
              <w:spacing w:before="40" w:after="20"/>
              <w:rPr>
                <w:rFonts w:ascii="Arial Narrow" w:hAnsi="Arial Narrow"/>
                <w:sz w:val="18"/>
                <w:szCs w:val="18"/>
              </w:rPr>
            </w:pPr>
            <w:r w:rsidRPr="00831F78">
              <w:rPr>
                <w:rFonts w:ascii="Arial Narrow" w:hAnsi="Arial Narrow"/>
                <w:sz w:val="18"/>
                <w:szCs w:val="18"/>
              </w:rPr>
              <w:t>Beni strumentali</w:t>
            </w:r>
          </w:p>
        </w:tc>
        <w:tc>
          <w:tcPr>
            <w:tcW w:w="665" w:type="dxa"/>
            <w:tcBorders>
              <w:top w:val="single" w:sz="4" w:space="0" w:color="auto"/>
              <w:left w:val="nil"/>
              <w:bottom w:val="single" w:sz="4" w:space="0" w:color="auto"/>
              <w:right w:val="nil"/>
            </w:tcBorders>
            <w:shd w:val="clear" w:color="auto" w:fill="D9D9D9"/>
            <w:noWrap/>
            <w:vAlign w:val="center"/>
          </w:tcPr>
          <w:p w14:paraId="29E521DE" w14:textId="177A0BDE" w:rsidR="00F3594F" w:rsidRDefault="00F3594F" w:rsidP="00F3594F">
            <w:pPr>
              <w:jc w:val="center"/>
              <w:rPr>
                <w:rFonts w:ascii="Arial Narrow" w:hAnsi="Arial Narrow"/>
                <w:sz w:val="18"/>
                <w:szCs w:val="18"/>
              </w:rPr>
            </w:pPr>
            <w:r>
              <w:rPr>
                <w:rFonts w:ascii="Arial Narrow" w:hAnsi="Arial Narrow"/>
                <w:sz w:val="18"/>
                <w:szCs w:val="18"/>
              </w:rPr>
              <w:t>+0,1</w:t>
            </w:r>
          </w:p>
        </w:tc>
        <w:tc>
          <w:tcPr>
            <w:tcW w:w="1108" w:type="dxa"/>
            <w:tcBorders>
              <w:top w:val="single" w:sz="4" w:space="0" w:color="auto"/>
              <w:left w:val="nil"/>
              <w:bottom w:val="single" w:sz="4" w:space="0" w:color="auto"/>
              <w:right w:val="nil"/>
            </w:tcBorders>
            <w:shd w:val="clear" w:color="auto" w:fill="D9D9D9"/>
            <w:noWrap/>
            <w:vAlign w:val="center"/>
          </w:tcPr>
          <w:p w14:paraId="565100E3" w14:textId="0C8ECC67" w:rsidR="00F3594F" w:rsidRDefault="00F3594F" w:rsidP="00F3594F">
            <w:pPr>
              <w:jc w:val="center"/>
              <w:rPr>
                <w:rFonts w:ascii="Arial Narrow" w:hAnsi="Arial Narrow"/>
                <w:sz w:val="18"/>
                <w:szCs w:val="18"/>
              </w:rPr>
            </w:pPr>
            <w:r>
              <w:rPr>
                <w:rFonts w:ascii="Arial Narrow" w:hAnsi="Arial Narrow"/>
                <w:sz w:val="18"/>
                <w:szCs w:val="18"/>
              </w:rPr>
              <w:t>+1,3</w:t>
            </w:r>
          </w:p>
        </w:tc>
        <w:tc>
          <w:tcPr>
            <w:tcW w:w="1702" w:type="dxa"/>
            <w:tcBorders>
              <w:top w:val="single" w:sz="4" w:space="0" w:color="auto"/>
              <w:left w:val="nil"/>
              <w:bottom w:val="single" w:sz="4" w:space="0" w:color="auto"/>
              <w:right w:val="nil"/>
            </w:tcBorders>
            <w:shd w:val="clear" w:color="auto" w:fill="auto"/>
            <w:noWrap/>
            <w:vAlign w:val="center"/>
          </w:tcPr>
          <w:p w14:paraId="046C93D6" w14:textId="1EC8E1E2" w:rsidR="00F3594F" w:rsidRDefault="00F3594F" w:rsidP="00F3594F">
            <w:pPr>
              <w:jc w:val="center"/>
              <w:rPr>
                <w:rFonts w:ascii="Arial Narrow" w:hAnsi="Arial Narrow"/>
                <w:sz w:val="18"/>
                <w:szCs w:val="18"/>
              </w:rPr>
            </w:pPr>
            <w:r>
              <w:rPr>
                <w:rFonts w:ascii="Arial Narrow" w:hAnsi="Arial Narrow"/>
                <w:sz w:val="18"/>
                <w:szCs w:val="18"/>
              </w:rPr>
              <w:t>-3,4</w:t>
            </w:r>
          </w:p>
        </w:tc>
        <w:tc>
          <w:tcPr>
            <w:tcW w:w="708" w:type="dxa"/>
            <w:tcBorders>
              <w:top w:val="single" w:sz="4" w:space="0" w:color="auto"/>
              <w:left w:val="nil"/>
              <w:bottom w:val="single" w:sz="4" w:space="0" w:color="auto"/>
              <w:right w:val="nil"/>
            </w:tcBorders>
            <w:shd w:val="clear" w:color="auto" w:fill="D9D9D9"/>
            <w:noWrap/>
            <w:vAlign w:val="center"/>
          </w:tcPr>
          <w:p w14:paraId="54703535" w14:textId="524D2B03" w:rsidR="00F3594F" w:rsidRDefault="00F3594F" w:rsidP="00F3594F">
            <w:pPr>
              <w:jc w:val="center"/>
              <w:rPr>
                <w:rFonts w:ascii="Arial Narrow" w:hAnsi="Arial Narrow"/>
                <w:sz w:val="18"/>
                <w:szCs w:val="18"/>
              </w:rPr>
            </w:pPr>
            <w:r>
              <w:rPr>
                <w:rFonts w:ascii="Arial Narrow" w:hAnsi="Arial Narrow"/>
                <w:sz w:val="18"/>
                <w:szCs w:val="18"/>
              </w:rPr>
              <w:t>-1,3</w:t>
            </w:r>
          </w:p>
        </w:tc>
        <w:tc>
          <w:tcPr>
            <w:tcW w:w="1134" w:type="dxa"/>
            <w:tcBorders>
              <w:top w:val="single" w:sz="4" w:space="0" w:color="auto"/>
              <w:left w:val="nil"/>
              <w:bottom w:val="single" w:sz="4" w:space="0" w:color="auto"/>
              <w:right w:val="nil"/>
            </w:tcBorders>
            <w:shd w:val="clear" w:color="auto" w:fill="D9D9D9"/>
            <w:noWrap/>
            <w:vAlign w:val="center"/>
          </w:tcPr>
          <w:p w14:paraId="6FB6227E" w14:textId="165207BD" w:rsidR="00F3594F" w:rsidRDefault="00F3594F" w:rsidP="00F3594F">
            <w:pPr>
              <w:jc w:val="center"/>
              <w:rPr>
                <w:rFonts w:ascii="Arial Narrow" w:hAnsi="Arial Narrow"/>
                <w:sz w:val="18"/>
                <w:szCs w:val="18"/>
              </w:rPr>
            </w:pPr>
            <w:r>
              <w:rPr>
                <w:rFonts w:ascii="Arial Narrow" w:hAnsi="Arial Narrow"/>
                <w:sz w:val="18"/>
                <w:szCs w:val="18"/>
              </w:rPr>
              <w:t>+0,6</w:t>
            </w:r>
          </w:p>
        </w:tc>
        <w:tc>
          <w:tcPr>
            <w:tcW w:w="1638" w:type="dxa"/>
            <w:tcBorders>
              <w:top w:val="single" w:sz="4" w:space="0" w:color="auto"/>
              <w:left w:val="nil"/>
              <w:bottom w:val="single" w:sz="4" w:space="0" w:color="auto"/>
              <w:right w:val="nil"/>
            </w:tcBorders>
            <w:shd w:val="clear" w:color="auto" w:fill="auto"/>
            <w:noWrap/>
            <w:vAlign w:val="center"/>
          </w:tcPr>
          <w:p w14:paraId="3CD7711A" w14:textId="5DB7C5A9" w:rsidR="00F3594F" w:rsidRDefault="00F3594F" w:rsidP="00F3594F">
            <w:pPr>
              <w:jc w:val="center"/>
              <w:rPr>
                <w:rFonts w:ascii="Arial Narrow" w:hAnsi="Arial Narrow"/>
                <w:sz w:val="18"/>
                <w:szCs w:val="18"/>
              </w:rPr>
            </w:pPr>
            <w:r>
              <w:rPr>
                <w:rFonts w:ascii="Arial Narrow" w:hAnsi="Arial Narrow"/>
                <w:sz w:val="18"/>
                <w:szCs w:val="18"/>
              </w:rPr>
              <w:t>+0,7</w:t>
            </w:r>
          </w:p>
        </w:tc>
        <w:tc>
          <w:tcPr>
            <w:tcW w:w="1693" w:type="dxa"/>
            <w:tcBorders>
              <w:top w:val="single" w:sz="4" w:space="0" w:color="auto"/>
              <w:left w:val="nil"/>
              <w:bottom w:val="single" w:sz="4" w:space="0" w:color="auto"/>
              <w:right w:val="nil"/>
            </w:tcBorders>
            <w:shd w:val="clear" w:color="auto" w:fill="D9D9D9"/>
            <w:noWrap/>
            <w:vAlign w:val="center"/>
          </w:tcPr>
          <w:p w14:paraId="0DF3CB84" w14:textId="1B1C9E7D" w:rsidR="00F3594F" w:rsidRDefault="00F3594F" w:rsidP="00F3594F">
            <w:pPr>
              <w:jc w:val="center"/>
              <w:rPr>
                <w:rFonts w:ascii="Arial Narrow" w:hAnsi="Arial Narrow"/>
                <w:sz w:val="18"/>
                <w:szCs w:val="18"/>
              </w:rPr>
            </w:pPr>
            <w:r>
              <w:rPr>
                <w:rFonts w:ascii="Arial Narrow" w:hAnsi="Arial Narrow"/>
                <w:sz w:val="18"/>
                <w:szCs w:val="18"/>
              </w:rPr>
              <w:t>+2.321</w:t>
            </w:r>
          </w:p>
        </w:tc>
      </w:tr>
      <w:tr w:rsidR="00F3594F" w:rsidRPr="008C0651" w14:paraId="439DFBA7"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2EC2FC24" w14:textId="77777777" w:rsidR="00F3594F" w:rsidRPr="00831F78" w:rsidRDefault="00F3594F" w:rsidP="00F3594F">
            <w:pPr>
              <w:spacing w:before="40" w:after="20"/>
              <w:rPr>
                <w:rFonts w:ascii="Arial Narrow" w:hAnsi="Arial Narrow"/>
                <w:sz w:val="18"/>
                <w:szCs w:val="18"/>
              </w:rPr>
            </w:pPr>
            <w:r w:rsidRPr="00831F78">
              <w:rPr>
                <w:rFonts w:ascii="Arial Narrow" w:hAnsi="Arial Narrow"/>
                <w:sz w:val="18"/>
                <w:szCs w:val="18"/>
              </w:rPr>
              <w:t>Beni intermedi</w:t>
            </w:r>
          </w:p>
        </w:tc>
        <w:tc>
          <w:tcPr>
            <w:tcW w:w="665" w:type="dxa"/>
            <w:tcBorders>
              <w:top w:val="single" w:sz="4" w:space="0" w:color="auto"/>
              <w:left w:val="nil"/>
              <w:bottom w:val="single" w:sz="4" w:space="0" w:color="auto"/>
              <w:right w:val="nil"/>
            </w:tcBorders>
            <w:shd w:val="clear" w:color="auto" w:fill="D9D9D9"/>
            <w:noWrap/>
            <w:vAlign w:val="center"/>
          </w:tcPr>
          <w:p w14:paraId="094FCE4B" w14:textId="3E7D4906" w:rsidR="00F3594F" w:rsidRDefault="00F3594F" w:rsidP="00F3594F">
            <w:pPr>
              <w:jc w:val="center"/>
              <w:rPr>
                <w:rFonts w:ascii="Arial Narrow" w:hAnsi="Arial Narrow"/>
                <w:sz w:val="18"/>
                <w:szCs w:val="18"/>
              </w:rPr>
            </w:pPr>
            <w:r>
              <w:rPr>
                <w:rFonts w:ascii="Arial Narrow" w:hAnsi="Arial Narrow"/>
                <w:sz w:val="18"/>
                <w:szCs w:val="18"/>
              </w:rPr>
              <w:t>+0,7</w:t>
            </w:r>
          </w:p>
        </w:tc>
        <w:tc>
          <w:tcPr>
            <w:tcW w:w="1108" w:type="dxa"/>
            <w:tcBorders>
              <w:top w:val="single" w:sz="4" w:space="0" w:color="auto"/>
              <w:left w:val="nil"/>
              <w:bottom w:val="single" w:sz="4" w:space="0" w:color="auto"/>
              <w:right w:val="nil"/>
            </w:tcBorders>
            <w:shd w:val="clear" w:color="auto" w:fill="D9D9D9"/>
            <w:noWrap/>
            <w:vAlign w:val="center"/>
          </w:tcPr>
          <w:p w14:paraId="55A9C539" w14:textId="7DF277F4" w:rsidR="00F3594F" w:rsidRDefault="00F3594F" w:rsidP="00F3594F">
            <w:pPr>
              <w:jc w:val="center"/>
              <w:rPr>
                <w:rFonts w:ascii="Arial Narrow" w:hAnsi="Arial Narrow"/>
                <w:sz w:val="18"/>
                <w:szCs w:val="18"/>
              </w:rPr>
            </w:pPr>
            <w:r>
              <w:rPr>
                <w:rFonts w:ascii="Arial Narrow" w:hAnsi="Arial Narrow"/>
                <w:sz w:val="18"/>
                <w:szCs w:val="18"/>
              </w:rPr>
              <w:t>+0,8</w:t>
            </w:r>
          </w:p>
        </w:tc>
        <w:tc>
          <w:tcPr>
            <w:tcW w:w="1702" w:type="dxa"/>
            <w:tcBorders>
              <w:top w:val="single" w:sz="4" w:space="0" w:color="auto"/>
              <w:left w:val="nil"/>
              <w:bottom w:val="single" w:sz="4" w:space="0" w:color="auto"/>
              <w:right w:val="nil"/>
            </w:tcBorders>
            <w:shd w:val="clear" w:color="auto" w:fill="auto"/>
            <w:noWrap/>
            <w:vAlign w:val="center"/>
          </w:tcPr>
          <w:p w14:paraId="335EE351" w14:textId="04C07B1E" w:rsidR="00F3594F" w:rsidRDefault="00F3594F" w:rsidP="00F3594F">
            <w:pPr>
              <w:jc w:val="center"/>
              <w:rPr>
                <w:rFonts w:ascii="Arial Narrow" w:hAnsi="Arial Narrow"/>
                <w:sz w:val="18"/>
                <w:szCs w:val="18"/>
              </w:rPr>
            </w:pPr>
            <w:r>
              <w:rPr>
                <w:rFonts w:ascii="Arial Narrow" w:hAnsi="Arial Narrow"/>
                <w:sz w:val="18"/>
                <w:szCs w:val="18"/>
              </w:rPr>
              <w:t>+3,7</w:t>
            </w:r>
          </w:p>
        </w:tc>
        <w:tc>
          <w:tcPr>
            <w:tcW w:w="708" w:type="dxa"/>
            <w:tcBorders>
              <w:top w:val="single" w:sz="4" w:space="0" w:color="auto"/>
              <w:left w:val="nil"/>
              <w:bottom w:val="single" w:sz="4" w:space="0" w:color="auto"/>
              <w:right w:val="nil"/>
            </w:tcBorders>
            <w:shd w:val="clear" w:color="auto" w:fill="D9D9D9"/>
            <w:noWrap/>
            <w:vAlign w:val="center"/>
          </w:tcPr>
          <w:p w14:paraId="5A43613B" w14:textId="64535C4E" w:rsidR="00F3594F" w:rsidRDefault="00F3594F" w:rsidP="00F3594F">
            <w:pPr>
              <w:jc w:val="center"/>
              <w:rPr>
                <w:rFonts w:ascii="Arial Narrow" w:hAnsi="Arial Narrow"/>
                <w:sz w:val="18"/>
                <w:szCs w:val="18"/>
              </w:rPr>
            </w:pPr>
            <w:r>
              <w:rPr>
                <w:rFonts w:ascii="Arial Narrow" w:hAnsi="Arial Narrow"/>
                <w:sz w:val="18"/>
                <w:szCs w:val="18"/>
              </w:rPr>
              <w:t>+3,7</w:t>
            </w:r>
          </w:p>
        </w:tc>
        <w:tc>
          <w:tcPr>
            <w:tcW w:w="1134" w:type="dxa"/>
            <w:tcBorders>
              <w:top w:val="single" w:sz="4" w:space="0" w:color="auto"/>
              <w:left w:val="nil"/>
              <w:bottom w:val="single" w:sz="4" w:space="0" w:color="auto"/>
              <w:right w:val="nil"/>
            </w:tcBorders>
            <w:shd w:val="clear" w:color="auto" w:fill="D9D9D9"/>
            <w:noWrap/>
            <w:vAlign w:val="center"/>
          </w:tcPr>
          <w:p w14:paraId="65F60739" w14:textId="0EC44C66" w:rsidR="00F3594F" w:rsidRDefault="00F3594F" w:rsidP="00F3594F">
            <w:pPr>
              <w:jc w:val="center"/>
              <w:rPr>
                <w:rFonts w:ascii="Arial Narrow" w:hAnsi="Arial Narrow"/>
                <w:sz w:val="18"/>
                <w:szCs w:val="18"/>
              </w:rPr>
            </w:pPr>
            <w:r>
              <w:rPr>
                <w:rFonts w:ascii="Arial Narrow" w:hAnsi="Arial Narrow"/>
                <w:sz w:val="18"/>
                <w:szCs w:val="18"/>
              </w:rPr>
              <w:t>+0,1</w:t>
            </w:r>
          </w:p>
        </w:tc>
        <w:tc>
          <w:tcPr>
            <w:tcW w:w="1638" w:type="dxa"/>
            <w:tcBorders>
              <w:top w:val="single" w:sz="4" w:space="0" w:color="auto"/>
              <w:left w:val="nil"/>
              <w:bottom w:val="single" w:sz="4" w:space="0" w:color="auto"/>
              <w:right w:val="nil"/>
            </w:tcBorders>
            <w:shd w:val="clear" w:color="auto" w:fill="auto"/>
            <w:noWrap/>
            <w:vAlign w:val="center"/>
          </w:tcPr>
          <w:p w14:paraId="0AA80D6E" w14:textId="544B66F0" w:rsidR="00F3594F" w:rsidRDefault="00F3594F" w:rsidP="00F3594F">
            <w:pPr>
              <w:jc w:val="center"/>
              <w:rPr>
                <w:rFonts w:ascii="Arial Narrow" w:hAnsi="Arial Narrow"/>
                <w:sz w:val="18"/>
                <w:szCs w:val="18"/>
              </w:rPr>
            </w:pPr>
            <w:r>
              <w:rPr>
                <w:rFonts w:ascii="Arial Narrow" w:hAnsi="Arial Narrow"/>
                <w:sz w:val="18"/>
                <w:szCs w:val="18"/>
              </w:rPr>
              <w:t>+9,3</w:t>
            </w:r>
          </w:p>
        </w:tc>
        <w:tc>
          <w:tcPr>
            <w:tcW w:w="1693" w:type="dxa"/>
            <w:tcBorders>
              <w:top w:val="single" w:sz="4" w:space="0" w:color="auto"/>
              <w:left w:val="nil"/>
              <w:bottom w:val="single" w:sz="4" w:space="0" w:color="auto"/>
              <w:right w:val="nil"/>
            </w:tcBorders>
            <w:shd w:val="clear" w:color="auto" w:fill="D9D9D9"/>
            <w:noWrap/>
            <w:vAlign w:val="center"/>
          </w:tcPr>
          <w:p w14:paraId="6BF225B8" w14:textId="6C50D708" w:rsidR="00F3594F" w:rsidRDefault="00F3594F" w:rsidP="00F3594F">
            <w:pPr>
              <w:jc w:val="center"/>
              <w:rPr>
                <w:rFonts w:ascii="Arial Narrow" w:hAnsi="Arial Narrow"/>
                <w:sz w:val="18"/>
                <w:szCs w:val="18"/>
              </w:rPr>
            </w:pPr>
            <w:r>
              <w:rPr>
                <w:rFonts w:ascii="Arial Narrow" w:hAnsi="Arial Narrow"/>
                <w:sz w:val="18"/>
                <w:szCs w:val="18"/>
              </w:rPr>
              <w:t>-1.655</w:t>
            </w:r>
          </w:p>
        </w:tc>
      </w:tr>
      <w:tr w:rsidR="00F3594F" w:rsidRPr="008C0651" w14:paraId="20E1037B"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1ECC2098" w14:textId="77777777" w:rsidR="00F3594F" w:rsidRPr="00831F78" w:rsidRDefault="00F3594F" w:rsidP="00F3594F">
            <w:pPr>
              <w:spacing w:before="40" w:after="20"/>
              <w:rPr>
                <w:rFonts w:ascii="Arial Narrow" w:hAnsi="Arial Narrow"/>
                <w:sz w:val="18"/>
                <w:szCs w:val="18"/>
              </w:rPr>
            </w:pPr>
            <w:r w:rsidRPr="00831F78">
              <w:rPr>
                <w:rFonts w:ascii="Arial Narrow" w:hAnsi="Arial Narrow"/>
                <w:sz w:val="18"/>
                <w:szCs w:val="18"/>
              </w:rPr>
              <w:t>Energia</w:t>
            </w:r>
          </w:p>
        </w:tc>
        <w:tc>
          <w:tcPr>
            <w:tcW w:w="665" w:type="dxa"/>
            <w:tcBorders>
              <w:top w:val="single" w:sz="4" w:space="0" w:color="auto"/>
              <w:left w:val="nil"/>
              <w:bottom w:val="single" w:sz="4" w:space="0" w:color="auto"/>
              <w:right w:val="nil"/>
            </w:tcBorders>
            <w:shd w:val="clear" w:color="auto" w:fill="D9D9D9"/>
            <w:noWrap/>
            <w:vAlign w:val="center"/>
          </w:tcPr>
          <w:p w14:paraId="180B226A" w14:textId="19038E0F" w:rsidR="00F3594F" w:rsidRDefault="00F3594F" w:rsidP="00F3594F">
            <w:pPr>
              <w:jc w:val="center"/>
              <w:rPr>
                <w:rFonts w:ascii="Arial Narrow" w:hAnsi="Arial Narrow"/>
                <w:sz w:val="18"/>
                <w:szCs w:val="18"/>
              </w:rPr>
            </w:pPr>
            <w:r>
              <w:rPr>
                <w:rFonts w:ascii="Arial Narrow" w:hAnsi="Arial Narrow"/>
                <w:sz w:val="18"/>
                <w:szCs w:val="18"/>
              </w:rPr>
              <w:t>+3,7</w:t>
            </w:r>
          </w:p>
        </w:tc>
        <w:tc>
          <w:tcPr>
            <w:tcW w:w="1108" w:type="dxa"/>
            <w:tcBorders>
              <w:top w:val="single" w:sz="4" w:space="0" w:color="auto"/>
              <w:left w:val="nil"/>
              <w:bottom w:val="single" w:sz="4" w:space="0" w:color="auto"/>
              <w:right w:val="nil"/>
            </w:tcBorders>
            <w:shd w:val="clear" w:color="auto" w:fill="D9D9D9"/>
            <w:noWrap/>
            <w:vAlign w:val="center"/>
          </w:tcPr>
          <w:p w14:paraId="7E340303" w14:textId="5DAC17F3" w:rsidR="00F3594F" w:rsidRDefault="00F3594F" w:rsidP="00F3594F">
            <w:pPr>
              <w:jc w:val="center"/>
              <w:rPr>
                <w:rFonts w:ascii="Arial Narrow" w:hAnsi="Arial Narrow"/>
                <w:sz w:val="18"/>
                <w:szCs w:val="18"/>
              </w:rPr>
            </w:pPr>
            <w:r>
              <w:rPr>
                <w:rFonts w:ascii="Arial Narrow" w:hAnsi="Arial Narrow"/>
                <w:sz w:val="18"/>
                <w:szCs w:val="18"/>
              </w:rPr>
              <w:t>+27,1</w:t>
            </w:r>
          </w:p>
        </w:tc>
        <w:tc>
          <w:tcPr>
            <w:tcW w:w="1702" w:type="dxa"/>
            <w:tcBorders>
              <w:top w:val="single" w:sz="4" w:space="0" w:color="auto"/>
              <w:left w:val="nil"/>
              <w:bottom w:val="single" w:sz="4" w:space="0" w:color="auto"/>
              <w:right w:val="nil"/>
            </w:tcBorders>
            <w:shd w:val="clear" w:color="auto" w:fill="auto"/>
            <w:noWrap/>
            <w:vAlign w:val="center"/>
          </w:tcPr>
          <w:p w14:paraId="27AA15F7" w14:textId="0F0B295B" w:rsidR="00F3594F" w:rsidRDefault="00F3594F" w:rsidP="00F3594F">
            <w:pPr>
              <w:jc w:val="center"/>
              <w:rPr>
                <w:rFonts w:ascii="Arial Narrow" w:hAnsi="Arial Narrow"/>
                <w:sz w:val="18"/>
                <w:szCs w:val="18"/>
              </w:rPr>
            </w:pPr>
            <w:r>
              <w:rPr>
                <w:rFonts w:ascii="Arial Narrow" w:hAnsi="Arial Narrow"/>
                <w:sz w:val="18"/>
                <w:szCs w:val="18"/>
              </w:rPr>
              <w:t>-10,8</w:t>
            </w:r>
          </w:p>
        </w:tc>
        <w:tc>
          <w:tcPr>
            <w:tcW w:w="708" w:type="dxa"/>
            <w:tcBorders>
              <w:top w:val="single" w:sz="4" w:space="0" w:color="auto"/>
              <w:left w:val="nil"/>
              <w:bottom w:val="single" w:sz="4" w:space="0" w:color="auto"/>
              <w:right w:val="nil"/>
            </w:tcBorders>
            <w:shd w:val="clear" w:color="auto" w:fill="D9D9D9"/>
            <w:noWrap/>
            <w:vAlign w:val="center"/>
          </w:tcPr>
          <w:p w14:paraId="43195F06" w14:textId="317B7CBF" w:rsidR="00F3594F" w:rsidRDefault="00F3594F" w:rsidP="00F3594F">
            <w:pPr>
              <w:jc w:val="center"/>
              <w:rPr>
                <w:rFonts w:ascii="Arial Narrow" w:hAnsi="Arial Narrow"/>
                <w:sz w:val="18"/>
                <w:szCs w:val="18"/>
              </w:rPr>
            </w:pPr>
            <w:r>
              <w:rPr>
                <w:rFonts w:ascii="Arial Narrow" w:hAnsi="Arial Narrow"/>
                <w:sz w:val="18"/>
                <w:szCs w:val="18"/>
              </w:rPr>
              <w:t>-2,3</w:t>
            </w:r>
          </w:p>
        </w:tc>
        <w:tc>
          <w:tcPr>
            <w:tcW w:w="1134" w:type="dxa"/>
            <w:tcBorders>
              <w:top w:val="single" w:sz="4" w:space="0" w:color="auto"/>
              <w:left w:val="nil"/>
              <w:bottom w:val="single" w:sz="4" w:space="0" w:color="auto"/>
              <w:right w:val="nil"/>
            </w:tcBorders>
            <w:shd w:val="clear" w:color="auto" w:fill="D9D9D9"/>
            <w:noWrap/>
            <w:vAlign w:val="center"/>
          </w:tcPr>
          <w:p w14:paraId="3F5F4F28" w14:textId="27DC67EB" w:rsidR="00F3594F" w:rsidRDefault="00F3594F" w:rsidP="00F3594F">
            <w:pPr>
              <w:jc w:val="center"/>
              <w:rPr>
                <w:rFonts w:ascii="Arial Narrow" w:hAnsi="Arial Narrow"/>
                <w:sz w:val="18"/>
                <w:szCs w:val="18"/>
              </w:rPr>
            </w:pPr>
            <w:r>
              <w:rPr>
                <w:rFonts w:ascii="Arial Narrow" w:hAnsi="Arial Narrow"/>
                <w:sz w:val="18"/>
                <w:szCs w:val="18"/>
              </w:rPr>
              <w:t>+8,0</w:t>
            </w:r>
          </w:p>
        </w:tc>
        <w:tc>
          <w:tcPr>
            <w:tcW w:w="1638" w:type="dxa"/>
            <w:tcBorders>
              <w:top w:val="single" w:sz="4" w:space="0" w:color="auto"/>
              <w:left w:val="nil"/>
              <w:bottom w:val="single" w:sz="4" w:space="0" w:color="auto"/>
              <w:right w:val="nil"/>
            </w:tcBorders>
            <w:shd w:val="clear" w:color="auto" w:fill="auto"/>
            <w:noWrap/>
            <w:vAlign w:val="center"/>
          </w:tcPr>
          <w:p w14:paraId="4E64DF16" w14:textId="79B34619" w:rsidR="00F3594F" w:rsidRDefault="00F3594F" w:rsidP="00F3594F">
            <w:pPr>
              <w:jc w:val="center"/>
              <w:rPr>
                <w:rFonts w:ascii="Arial Narrow" w:hAnsi="Arial Narrow"/>
                <w:sz w:val="18"/>
                <w:szCs w:val="18"/>
              </w:rPr>
            </w:pPr>
            <w:r>
              <w:rPr>
                <w:rFonts w:ascii="Arial Narrow" w:hAnsi="Arial Narrow"/>
                <w:sz w:val="18"/>
                <w:szCs w:val="18"/>
              </w:rPr>
              <w:t>+4,5</w:t>
            </w:r>
          </w:p>
        </w:tc>
        <w:tc>
          <w:tcPr>
            <w:tcW w:w="1693" w:type="dxa"/>
            <w:tcBorders>
              <w:top w:val="single" w:sz="4" w:space="0" w:color="auto"/>
              <w:left w:val="nil"/>
              <w:bottom w:val="single" w:sz="4" w:space="0" w:color="auto"/>
              <w:right w:val="nil"/>
            </w:tcBorders>
            <w:shd w:val="clear" w:color="auto" w:fill="D9D9D9"/>
            <w:noWrap/>
            <w:vAlign w:val="center"/>
          </w:tcPr>
          <w:p w14:paraId="3DF9528F" w14:textId="2A9B40FA" w:rsidR="00F3594F" w:rsidRDefault="00F3594F" w:rsidP="00F3594F">
            <w:pPr>
              <w:jc w:val="center"/>
              <w:rPr>
                <w:rFonts w:ascii="Arial Narrow" w:hAnsi="Arial Narrow"/>
                <w:sz w:val="18"/>
                <w:szCs w:val="18"/>
              </w:rPr>
            </w:pPr>
            <w:r>
              <w:rPr>
                <w:rFonts w:ascii="Arial Narrow" w:hAnsi="Arial Narrow"/>
                <w:sz w:val="18"/>
                <w:szCs w:val="18"/>
              </w:rPr>
              <w:t>-4.693</w:t>
            </w:r>
          </w:p>
        </w:tc>
      </w:tr>
      <w:tr w:rsidR="00F3594F" w:rsidRPr="008C0651" w14:paraId="737DC34D" w14:textId="77777777" w:rsidTr="00F3594F">
        <w:trPr>
          <w:trHeight w:val="255"/>
        </w:trPr>
        <w:tc>
          <w:tcPr>
            <w:tcW w:w="1587" w:type="dxa"/>
            <w:tcBorders>
              <w:top w:val="single" w:sz="4" w:space="0" w:color="auto"/>
              <w:left w:val="nil"/>
              <w:bottom w:val="single" w:sz="4" w:space="0" w:color="auto"/>
              <w:right w:val="nil"/>
            </w:tcBorders>
            <w:shd w:val="clear" w:color="auto" w:fill="auto"/>
            <w:vAlign w:val="bottom"/>
          </w:tcPr>
          <w:p w14:paraId="734F3CC1" w14:textId="77777777" w:rsidR="00F3594F" w:rsidRPr="00831F78" w:rsidRDefault="00F3594F" w:rsidP="00F3594F">
            <w:pPr>
              <w:spacing w:before="40" w:after="20"/>
              <w:rPr>
                <w:rFonts w:ascii="Arial Narrow" w:hAnsi="Arial Narrow"/>
                <w:sz w:val="18"/>
                <w:szCs w:val="18"/>
              </w:rPr>
            </w:pPr>
            <w:r w:rsidRPr="00831F78">
              <w:rPr>
                <w:rFonts w:ascii="Arial Narrow" w:hAnsi="Arial Narrow"/>
                <w:sz w:val="18"/>
                <w:szCs w:val="18"/>
              </w:rPr>
              <w:t>Totale al netto dell’energia</w:t>
            </w:r>
          </w:p>
        </w:tc>
        <w:tc>
          <w:tcPr>
            <w:tcW w:w="665" w:type="dxa"/>
            <w:tcBorders>
              <w:top w:val="single" w:sz="4" w:space="0" w:color="auto"/>
              <w:left w:val="nil"/>
              <w:bottom w:val="single" w:sz="4" w:space="0" w:color="auto"/>
              <w:right w:val="nil"/>
            </w:tcBorders>
            <w:shd w:val="clear" w:color="auto" w:fill="D9D9D9"/>
            <w:noWrap/>
            <w:vAlign w:val="center"/>
          </w:tcPr>
          <w:p w14:paraId="41DAA55C" w14:textId="03618735" w:rsidR="00F3594F" w:rsidRDefault="00F3594F" w:rsidP="00F3594F">
            <w:pPr>
              <w:jc w:val="center"/>
              <w:rPr>
                <w:rFonts w:ascii="Arial Narrow" w:hAnsi="Arial Narrow"/>
                <w:sz w:val="18"/>
                <w:szCs w:val="18"/>
              </w:rPr>
            </w:pPr>
            <w:r>
              <w:rPr>
                <w:rFonts w:ascii="Arial Narrow" w:hAnsi="Arial Narrow"/>
                <w:sz w:val="18"/>
                <w:szCs w:val="18"/>
              </w:rPr>
              <w:t>+0,5</w:t>
            </w:r>
          </w:p>
        </w:tc>
        <w:tc>
          <w:tcPr>
            <w:tcW w:w="1108" w:type="dxa"/>
            <w:tcBorders>
              <w:top w:val="single" w:sz="4" w:space="0" w:color="auto"/>
              <w:left w:val="nil"/>
              <w:bottom w:val="single" w:sz="4" w:space="0" w:color="auto"/>
              <w:right w:val="nil"/>
            </w:tcBorders>
            <w:shd w:val="clear" w:color="auto" w:fill="D9D9D9"/>
            <w:noWrap/>
            <w:vAlign w:val="center"/>
          </w:tcPr>
          <w:p w14:paraId="7C068DF7" w14:textId="656EF163" w:rsidR="00F3594F" w:rsidRDefault="00F3594F" w:rsidP="00F3594F">
            <w:pPr>
              <w:jc w:val="center"/>
              <w:rPr>
                <w:rFonts w:ascii="Arial Narrow" w:hAnsi="Arial Narrow"/>
                <w:sz w:val="18"/>
                <w:szCs w:val="18"/>
              </w:rPr>
            </w:pPr>
            <w:r>
              <w:rPr>
                <w:rFonts w:ascii="Arial Narrow" w:hAnsi="Arial Narrow"/>
                <w:sz w:val="18"/>
                <w:szCs w:val="18"/>
              </w:rPr>
              <w:t>+1,6</w:t>
            </w:r>
          </w:p>
        </w:tc>
        <w:tc>
          <w:tcPr>
            <w:tcW w:w="1702" w:type="dxa"/>
            <w:tcBorders>
              <w:top w:val="single" w:sz="4" w:space="0" w:color="auto"/>
              <w:left w:val="nil"/>
              <w:bottom w:val="single" w:sz="4" w:space="0" w:color="auto"/>
              <w:right w:val="nil"/>
            </w:tcBorders>
            <w:shd w:val="clear" w:color="auto" w:fill="auto"/>
            <w:noWrap/>
            <w:vAlign w:val="center"/>
          </w:tcPr>
          <w:p w14:paraId="5056ADD0" w14:textId="6B78D9CA" w:rsidR="00F3594F" w:rsidRDefault="00F3594F" w:rsidP="00F3594F">
            <w:pPr>
              <w:jc w:val="center"/>
              <w:rPr>
                <w:rFonts w:ascii="Arial Narrow" w:hAnsi="Arial Narrow"/>
                <w:sz w:val="18"/>
                <w:szCs w:val="18"/>
              </w:rPr>
            </w:pPr>
            <w:r>
              <w:rPr>
                <w:rFonts w:ascii="Arial Narrow" w:hAnsi="Arial Narrow"/>
                <w:sz w:val="18"/>
                <w:szCs w:val="18"/>
              </w:rPr>
              <w:t>+3,0</w:t>
            </w:r>
          </w:p>
        </w:tc>
        <w:tc>
          <w:tcPr>
            <w:tcW w:w="708" w:type="dxa"/>
            <w:tcBorders>
              <w:top w:val="single" w:sz="4" w:space="0" w:color="auto"/>
              <w:left w:val="nil"/>
              <w:bottom w:val="single" w:sz="4" w:space="0" w:color="auto"/>
              <w:right w:val="nil"/>
            </w:tcBorders>
            <w:shd w:val="clear" w:color="auto" w:fill="D9D9D9"/>
            <w:noWrap/>
            <w:vAlign w:val="center"/>
          </w:tcPr>
          <w:p w14:paraId="2856E79F" w14:textId="0EB21E60" w:rsidR="00F3594F" w:rsidRPr="00AC29C9" w:rsidRDefault="00F3594F" w:rsidP="00F3594F">
            <w:pPr>
              <w:jc w:val="center"/>
              <w:rPr>
                <w:rFonts w:ascii="Arial Narrow" w:hAnsi="Arial Narrow"/>
                <w:i/>
                <w:iCs/>
                <w:sz w:val="18"/>
                <w:szCs w:val="18"/>
              </w:rPr>
            </w:pPr>
            <w:r>
              <w:rPr>
                <w:rFonts w:ascii="Arial Narrow" w:hAnsi="Arial Narrow"/>
                <w:sz w:val="18"/>
                <w:szCs w:val="18"/>
              </w:rPr>
              <w:t>+3,9</w:t>
            </w:r>
          </w:p>
        </w:tc>
        <w:tc>
          <w:tcPr>
            <w:tcW w:w="1134" w:type="dxa"/>
            <w:tcBorders>
              <w:top w:val="single" w:sz="4" w:space="0" w:color="auto"/>
              <w:left w:val="nil"/>
              <w:bottom w:val="single" w:sz="4" w:space="0" w:color="auto"/>
              <w:right w:val="nil"/>
            </w:tcBorders>
            <w:shd w:val="clear" w:color="auto" w:fill="D9D9D9"/>
            <w:noWrap/>
            <w:vAlign w:val="center"/>
          </w:tcPr>
          <w:p w14:paraId="2900772F" w14:textId="63C4EAEB" w:rsidR="00F3594F" w:rsidRDefault="00F3594F" w:rsidP="00F3594F">
            <w:pPr>
              <w:jc w:val="center"/>
              <w:rPr>
                <w:rFonts w:ascii="Arial Narrow" w:hAnsi="Arial Narrow"/>
                <w:sz w:val="18"/>
                <w:szCs w:val="18"/>
              </w:rPr>
            </w:pPr>
            <w:r>
              <w:rPr>
                <w:rFonts w:ascii="Arial Narrow" w:hAnsi="Arial Narrow"/>
                <w:sz w:val="18"/>
                <w:szCs w:val="18"/>
              </w:rPr>
              <w:t>+1,4</w:t>
            </w:r>
          </w:p>
        </w:tc>
        <w:tc>
          <w:tcPr>
            <w:tcW w:w="1638" w:type="dxa"/>
            <w:tcBorders>
              <w:top w:val="single" w:sz="4" w:space="0" w:color="auto"/>
              <w:left w:val="nil"/>
              <w:bottom w:val="single" w:sz="4" w:space="0" w:color="auto"/>
              <w:right w:val="nil"/>
            </w:tcBorders>
            <w:shd w:val="clear" w:color="auto" w:fill="auto"/>
            <w:noWrap/>
            <w:vAlign w:val="center"/>
          </w:tcPr>
          <w:p w14:paraId="362F948E" w14:textId="6EAD5F67" w:rsidR="00F3594F" w:rsidRDefault="00F3594F" w:rsidP="00F3594F">
            <w:pPr>
              <w:jc w:val="center"/>
              <w:rPr>
                <w:rFonts w:ascii="Arial Narrow" w:hAnsi="Arial Narrow"/>
                <w:sz w:val="18"/>
                <w:szCs w:val="18"/>
              </w:rPr>
            </w:pPr>
            <w:r>
              <w:rPr>
                <w:rFonts w:ascii="Arial Narrow" w:hAnsi="Arial Narrow"/>
                <w:sz w:val="18"/>
                <w:szCs w:val="18"/>
              </w:rPr>
              <w:t>+9,5</w:t>
            </w:r>
          </w:p>
        </w:tc>
        <w:tc>
          <w:tcPr>
            <w:tcW w:w="1693" w:type="dxa"/>
            <w:tcBorders>
              <w:top w:val="single" w:sz="4" w:space="0" w:color="auto"/>
              <w:left w:val="nil"/>
              <w:bottom w:val="single" w:sz="4" w:space="0" w:color="auto"/>
              <w:right w:val="nil"/>
            </w:tcBorders>
            <w:shd w:val="clear" w:color="auto" w:fill="D9D9D9"/>
            <w:noWrap/>
            <w:vAlign w:val="center"/>
          </w:tcPr>
          <w:p w14:paraId="1B3FA3DB" w14:textId="44394EAC" w:rsidR="00F3594F" w:rsidRDefault="00F3594F" w:rsidP="00F3594F">
            <w:pPr>
              <w:jc w:val="center"/>
              <w:rPr>
                <w:rFonts w:ascii="Arial Narrow" w:hAnsi="Arial Narrow"/>
                <w:sz w:val="18"/>
                <w:szCs w:val="18"/>
              </w:rPr>
            </w:pPr>
            <w:r>
              <w:rPr>
                <w:rFonts w:ascii="Arial Narrow" w:hAnsi="Arial Narrow"/>
                <w:sz w:val="18"/>
                <w:szCs w:val="18"/>
              </w:rPr>
              <w:t>+4.428</w:t>
            </w:r>
          </w:p>
        </w:tc>
      </w:tr>
      <w:tr w:rsidR="00F3594F" w:rsidRPr="008C0651" w14:paraId="55FEDB55" w14:textId="77777777" w:rsidTr="00F3594F">
        <w:trPr>
          <w:trHeight w:val="255"/>
        </w:trPr>
        <w:tc>
          <w:tcPr>
            <w:tcW w:w="1587" w:type="dxa"/>
            <w:tcBorders>
              <w:top w:val="single" w:sz="4" w:space="0" w:color="auto"/>
              <w:left w:val="nil"/>
              <w:bottom w:val="single" w:sz="4" w:space="0" w:color="auto"/>
              <w:right w:val="nil"/>
            </w:tcBorders>
            <w:shd w:val="clear" w:color="000000" w:fill="FF0000"/>
            <w:vAlign w:val="bottom"/>
          </w:tcPr>
          <w:p w14:paraId="3ABA4A66" w14:textId="77777777" w:rsidR="00F3594F" w:rsidRPr="008C0651" w:rsidRDefault="00F3594F" w:rsidP="00F3594F">
            <w:pPr>
              <w:spacing w:before="40" w:after="20"/>
              <w:rPr>
                <w:rFonts w:ascii="Arial Narrow" w:hAnsi="Arial Narrow"/>
                <w:b/>
                <w:color w:val="FFFFFF" w:themeColor="background1"/>
                <w:sz w:val="18"/>
                <w:szCs w:val="18"/>
              </w:rPr>
            </w:pPr>
            <w:r w:rsidRPr="008C0651">
              <w:rPr>
                <w:rFonts w:ascii="Arial Narrow" w:hAnsi="Arial Narrow"/>
                <w:b/>
                <w:color w:val="FFFFFF" w:themeColor="background1"/>
                <w:sz w:val="18"/>
                <w:szCs w:val="18"/>
              </w:rPr>
              <w:t>Totale</w:t>
            </w:r>
          </w:p>
        </w:tc>
        <w:tc>
          <w:tcPr>
            <w:tcW w:w="665" w:type="dxa"/>
            <w:tcBorders>
              <w:top w:val="single" w:sz="4" w:space="0" w:color="auto"/>
              <w:left w:val="nil"/>
              <w:bottom w:val="single" w:sz="4" w:space="0" w:color="auto"/>
              <w:right w:val="nil"/>
            </w:tcBorders>
            <w:shd w:val="clear" w:color="000000" w:fill="FF0000"/>
            <w:noWrap/>
            <w:vAlign w:val="center"/>
          </w:tcPr>
          <w:p w14:paraId="17C4F46A" w14:textId="65A9CFD3"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+0,6</w:t>
            </w:r>
          </w:p>
        </w:tc>
        <w:tc>
          <w:tcPr>
            <w:tcW w:w="1108" w:type="dxa"/>
            <w:tcBorders>
              <w:top w:val="single" w:sz="4" w:space="0" w:color="auto"/>
              <w:left w:val="nil"/>
              <w:bottom w:val="single" w:sz="4" w:space="0" w:color="auto"/>
              <w:right w:val="nil"/>
            </w:tcBorders>
            <w:shd w:val="clear" w:color="000000" w:fill="FF0000"/>
            <w:noWrap/>
            <w:vAlign w:val="center"/>
          </w:tcPr>
          <w:p w14:paraId="79E13350" w14:textId="39B8BED8"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+2,2</w:t>
            </w:r>
          </w:p>
        </w:tc>
        <w:tc>
          <w:tcPr>
            <w:tcW w:w="1702" w:type="dxa"/>
            <w:tcBorders>
              <w:top w:val="single" w:sz="4" w:space="0" w:color="auto"/>
              <w:left w:val="nil"/>
              <w:bottom w:val="single" w:sz="4" w:space="0" w:color="auto"/>
              <w:right w:val="nil"/>
            </w:tcBorders>
            <w:shd w:val="clear" w:color="000000" w:fill="FF0000"/>
            <w:noWrap/>
            <w:vAlign w:val="center"/>
          </w:tcPr>
          <w:p w14:paraId="28034F8A" w14:textId="29E405F7"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+2,5</w:t>
            </w:r>
          </w:p>
        </w:tc>
        <w:tc>
          <w:tcPr>
            <w:tcW w:w="708" w:type="dxa"/>
            <w:tcBorders>
              <w:top w:val="single" w:sz="4" w:space="0" w:color="auto"/>
              <w:left w:val="nil"/>
              <w:bottom w:val="single" w:sz="4" w:space="0" w:color="auto"/>
              <w:right w:val="nil"/>
            </w:tcBorders>
            <w:shd w:val="clear" w:color="000000" w:fill="FF0000"/>
            <w:noWrap/>
            <w:vAlign w:val="center"/>
          </w:tcPr>
          <w:p w14:paraId="220F3B59" w14:textId="6FA9385F" w:rsidR="00F3594F" w:rsidRPr="00AC29C9" w:rsidRDefault="00F3594F" w:rsidP="00F3594F">
            <w:pPr>
              <w:jc w:val="center"/>
              <w:rPr>
                <w:rFonts w:ascii="Arial Narrow" w:hAnsi="Arial Narrow"/>
                <w:b/>
                <w:bCs/>
                <w:i/>
                <w:iCs/>
                <w:color w:val="FFFFFF"/>
                <w:sz w:val="18"/>
                <w:szCs w:val="18"/>
              </w:rPr>
            </w:pPr>
            <w:r>
              <w:rPr>
                <w:rFonts w:ascii="Arial Narrow" w:hAnsi="Arial Narrow"/>
                <w:b/>
                <w:bCs/>
                <w:color w:val="FFFFFF"/>
                <w:sz w:val="18"/>
                <w:szCs w:val="18"/>
              </w:rPr>
              <w:t>+3,2</w:t>
            </w:r>
          </w:p>
        </w:tc>
        <w:tc>
          <w:tcPr>
            <w:tcW w:w="1134" w:type="dxa"/>
            <w:tcBorders>
              <w:top w:val="single" w:sz="4" w:space="0" w:color="auto"/>
              <w:left w:val="nil"/>
              <w:bottom w:val="single" w:sz="4" w:space="0" w:color="auto"/>
              <w:right w:val="nil"/>
            </w:tcBorders>
            <w:shd w:val="clear" w:color="000000" w:fill="FF0000"/>
            <w:noWrap/>
            <w:vAlign w:val="center"/>
          </w:tcPr>
          <w:p w14:paraId="3D64937C" w14:textId="61D39AAC"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+2,2</w:t>
            </w:r>
          </w:p>
        </w:tc>
        <w:tc>
          <w:tcPr>
            <w:tcW w:w="1638" w:type="dxa"/>
            <w:tcBorders>
              <w:top w:val="single" w:sz="4" w:space="0" w:color="auto"/>
              <w:left w:val="nil"/>
              <w:bottom w:val="single" w:sz="4" w:space="0" w:color="auto"/>
              <w:right w:val="nil"/>
            </w:tcBorders>
            <w:shd w:val="clear" w:color="000000" w:fill="FF0000"/>
            <w:noWrap/>
            <w:vAlign w:val="center"/>
          </w:tcPr>
          <w:p w14:paraId="3E447B7A" w14:textId="21CB6AEC"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+8,8</w:t>
            </w:r>
          </w:p>
        </w:tc>
        <w:tc>
          <w:tcPr>
            <w:tcW w:w="1693" w:type="dxa"/>
            <w:tcBorders>
              <w:top w:val="single" w:sz="4" w:space="0" w:color="auto"/>
              <w:left w:val="nil"/>
              <w:bottom w:val="single" w:sz="4" w:space="0" w:color="auto"/>
              <w:right w:val="nil"/>
            </w:tcBorders>
            <w:shd w:val="clear" w:color="000000" w:fill="FF0000"/>
            <w:noWrap/>
            <w:vAlign w:val="center"/>
          </w:tcPr>
          <w:p w14:paraId="4D01B80E" w14:textId="46F10EC1" w:rsidR="00F3594F" w:rsidRDefault="00F3594F" w:rsidP="00F3594F">
            <w:pPr>
              <w:jc w:val="center"/>
              <w:rPr>
                <w:rFonts w:ascii="Arial Narrow" w:hAnsi="Arial Narrow"/>
                <w:b/>
                <w:bCs/>
                <w:color w:val="FFFFFF"/>
                <w:sz w:val="18"/>
                <w:szCs w:val="18"/>
              </w:rPr>
            </w:pPr>
            <w:r>
              <w:rPr>
                <w:rFonts w:ascii="Arial Narrow" w:hAnsi="Arial Narrow"/>
                <w:b/>
                <w:bCs/>
                <w:color w:val="FFFFFF"/>
                <w:sz w:val="18"/>
                <w:szCs w:val="18"/>
              </w:rPr>
              <w:t>-264</w:t>
            </w:r>
          </w:p>
        </w:tc>
      </w:tr>
    </w:tbl>
    <w:p w14:paraId="71F72C23" w14:textId="77777777" w:rsidR="00E35D07" w:rsidRPr="00F515CD" w:rsidRDefault="00E35D07" w:rsidP="00C32401">
      <w:pPr>
        <w:pStyle w:val="Corpodeltesto1"/>
        <w:spacing w:after="120"/>
        <w:rPr>
          <w:rFonts w:ascii="Arial" w:hAnsi="Arial" w:cs="Arial"/>
          <w:b w:val="0"/>
          <w:color w:val="000000"/>
          <w:kern w:val="28"/>
          <w:sz w:val="21"/>
          <w:szCs w:val="21"/>
        </w:rPr>
      </w:pPr>
    </w:p>
    <w:p w14:paraId="28F6506F" w14:textId="3710B366" w:rsidR="00CC0182" w:rsidRPr="00D35476" w:rsidRDefault="00AE7F9D" w:rsidP="006073FC">
      <w:pPr>
        <w:pStyle w:val="Corpodeltesto1"/>
        <w:rPr>
          <w:rFonts w:ascii="Arial" w:hAnsi="Arial" w:cs="Arial"/>
          <w:b w:val="0"/>
          <w:kern w:val="28"/>
          <w:sz w:val="21"/>
          <w:szCs w:val="21"/>
        </w:rPr>
      </w:pPr>
      <w:r w:rsidRPr="00D35476">
        <w:rPr>
          <w:rFonts w:ascii="Arial" w:hAnsi="Arial" w:cs="Arial"/>
          <w:b w:val="0"/>
          <w:kern w:val="28"/>
          <w:sz w:val="21"/>
          <w:szCs w:val="21"/>
        </w:rPr>
        <w:t>A</w:t>
      </w:r>
      <w:r w:rsidR="0003282C" w:rsidRPr="00D35476">
        <w:rPr>
          <w:rFonts w:ascii="Arial" w:hAnsi="Arial" w:cs="Arial"/>
          <w:b w:val="0"/>
          <w:kern w:val="28"/>
          <w:sz w:val="21"/>
          <w:szCs w:val="21"/>
        </w:rPr>
        <w:t xml:space="preserve"> </w:t>
      </w:r>
      <w:r w:rsidR="00011087" w:rsidRPr="00D35476">
        <w:rPr>
          <w:rFonts w:ascii="Arial" w:hAnsi="Arial" w:cs="Arial"/>
          <w:b w:val="0"/>
          <w:kern w:val="28"/>
          <w:sz w:val="21"/>
          <w:szCs w:val="21"/>
        </w:rPr>
        <w:t>gennaio 2025</w:t>
      </w:r>
      <w:r w:rsidRPr="00D35476">
        <w:rPr>
          <w:rFonts w:ascii="Arial" w:hAnsi="Arial" w:cs="Arial"/>
          <w:b w:val="0"/>
          <w:kern w:val="28"/>
          <w:sz w:val="21"/>
          <w:szCs w:val="21"/>
        </w:rPr>
        <w:t>, la</w:t>
      </w:r>
      <w:r w:rsidR="004A51D8" w:rsidRPr="00D35476">
        <w:rPr>
          <w:rFonts w:ascii="Arial" w:hAnsi="Arial" w:cs="Arial"/>
          <w:b w:val="0"/>
          <w:kern w:val="28"/>
          <w:sz w:val="21"/>
          <w:szCs w:val="21"/>
        </w:rPr>
        <w:t xml:space="preserve"> </w:t>
      </w:r>
      <w:r w:rsidR="00826F17" w:rsidRPr="00D35476">
        <w:rPr>
          <w:rFonts w:ascii="Arial" w:hAnsi="Arial" w:cs="Arial"/>
          <w:b w:val="0"/>
          <w:kern w:val="28"/>
          <w:sz w:val="21"/>
          <w:szCs w:val="21"/>
        </w:rPr>
        <w:t>crescita</w:t>
      </w:r>
      <w:r w:rsidR="00D8524F" w:rsidRPr="00D35476">
        <w:rPr>
          <w:rFonts w:ascii="Arial" w:hAnsi="Arial" w:cs="Arial"/>
          <w:b w:val="0"/>
          <w:kern w:val="28"/>
          <w:sz w:val="21"/>
          <w:szCs w:val="21"/>
        </w:rPr>
        <w:t xml:space="preserve"> </w:t>
      </w:r>
      <w:r w:rsidR="009C76D3" w:rsidRPr="00D35476">
        <w:rPr>
          <w:rFonts w:ascii="Arial" w:hAnsi="Arial" w:cs="Arial"/>
          <w:b w:val="0"/>
          <w:kern w:val="28"/>
          <w:sz w:val="21"/>
          <w:szCs w:val="21"/>
        </w:rPr>
        <w:t xml:space="preserve">congiunturale </w:t>
      </w:r>
      <w:r w:rsidRPr="00D35476">
        <w:rPr>
          <w:rFonts w:ascii="Arial" w:hAnsi="Arial" w:cs="Arial"/>
          <w:b w:val="0"/>
          <w:kern w:val="28"/>
          <w:sz w:val="21"/>
          <w:szCs w:val="21"/>
        </w:rPr>
        <w:t>dell’export (</w:t>
      </w:r>
      <w:r w:rsidR="00826F17" w:rsidRPr="00D35476">
        <w:rPr>
          <w:rFonts w:ascii="Arial" w:hAnsi="Arial" w:cs="Arial"/>
          <w:b w:val="0"/>
          <w:kern w:val="28"/>
          <w:sz w:val="21"/>
          <w:szCs w:val="21"/>
        </w:rPr>
        <w:t>+</w:t>
      </w:r>
      <w:r w:rsidR="00011087" w:rsidRPr="00D35476">
        <w:rPr>
          <w:rFonts w:ascii="Arial" w:hAnsi="Arial" w:cs="Arial"/>
          <w:b w:val="0"/>
          <w:kern w:val="28"/>
          <w:sz w:val="21"/>
          <w:szCs w:val="21"/>
        </w:rPr>
        <w:t>0,6</w:t>
      </w:r>
      <w:r w:rsidR="00574DE9" w:rsidRPr="00D35476">
        <w:rPr>
          <w:rFonts w:ascii="Arial" w:hAnsi="Arial" w:cs="Arial"/>
          <w:b w:val="0"/>
          <w:kern w:val="28"/>
          <w:sz w:val="21"/>
          <w:szCs w:val="21"/>
        </w:rPr>
        <w:t xml:space="preserve">%) </w:t>
      </w:r>
      <w:r w:rsidR="006D6609" w:rsidRPr="00D35476">
        <w:rPr>
          <w:rFonts w:ascii="Arial" w:hAnsi="Arial" w:cs="Arial"/>
          <w:b w:val="0"/>
          <w:kern w:val="28"/>
          <w:sz w:val="21"/>
          <w:szCs w:val="21"/>
        </w:rPr>
        <w:t>è</w:t>
      </w:r>
      <w:r w:rsidR="002E3189" w:rsidRPr="00D35476">
        <w:rPr>
          <w:rFonts w:ascii="Arial" w:hAnsi="Arial" w:cs="Arial"/>
          <w:b w:val="0"/>
          <w:kern w:val="28"/>
          <w:sz w:val="21"/>
          <w:szCs w:val="21"/>
        </w:rPr>
        <w:t xml:space="preserve"> </w:t>
      </w:r>
      <w:r w:rsidR="00A00A4E" w:rsidRPr="00D35476">
        <w:rPr>
          <w:rFonts w:ascii="Arial" w:hAnsi="Arial" w:cs="Arial"/>
          <w:b w:val="0"/>
          <w:kern w:val="28"/>
          <w:sz w:val="21"/>
          <w:szCs w:val="21"/>
        </w:rPr>
        <w:t>estesa a</w:t>
      </w:r>
      <w:r w:rsidR="002E3189" w:rsidRPr="00D35476">
        <w:rPr>
          <w:rFonts w:ascii="Arial" w:hAnsi="Arial" w:cs="Arial"/>
          <w:b w:val="0"/>
          <w:kern w:val="28"/>
          <w:sz w:val="21"/>
          <w:szCs w:val="21"/>
        </w:rPr>
        <w:t xml:space="preserve"> </w:t>
      </w:r>
      <w:r w:rsidR="00A00A4E" w:rsidRPr="00D35476">
        <w:rPr>
          <w:rFonts w:ascii="Arial" w:hAnsi="Arial" w:cs="Arial"/>
          <w:b w:val="0"/>
          <w:kern w:val="28"/>
          <w:sz w:val="21"/>
          <w:szCs w:val="21"/>
        </w:rPr>
        <w:t>tutti i raggruppamenti</w:t>
      </w:r>
      <w:r w:rsidR="00BA4C46" w:rsidRPr="00D35476">
        <w:rPr>
          <w:rFonts w:ascii="Arial" w:hAnsi="Arial" w:cs="Arial"/>
          <w:b w:val="0"/>
          <w:kern w:val="28"/>
          <w:sz w:val="21"/>
          <w:szCs w:val="21"/>
        </w:rPr>
        <w:t xml:space="preserve"> principali di industrie</w:t>
      </w:r>
      <w:r w:rsidR="00A00A4E" w:rsidRPr="00D35476">
        <w:rPr>
          <w:rFonts w:ascii="Arial" w:hAnsi="Arial" w:cs="Arial"/>
          <w:b w:val="0"/>
          <w:kern w:val="28"/>
          <w:sz w:val="21"/>
          <w:szCs w:val="21"/>
        </w:rPr>
        <w:t>, a esclus</w:t>
      </w:r>
      <w:r w:rsidR="00011087" w:rsidRPr="00D35476">
        <w:rPr>
          <w:rFonts w:ascii="Arial" w:hAnsi="Arial" w:cs="Arial"/>
          <w:b w:val="0"/>
          <w:kern w:val="28"/>
          <w:sz w:val="21"/>
          <w:szCs w:val="21"/>
        </w:rPr>
        <w:t>ione di beni di consumo durevoli</w:t>
      </w:r>
      <w:r w:rsidR="00A00A4E" w:rsidRPr="00D35476">
        <w:rPr>
          <w:rFonts w:ascii="Arial" w:hAnsi="Arial" w:cs="Arial"/>
          <w:b w:val="0"/>
          <w:kern w:val="28"/>
          <w:sz w:val="21"/>
          <w:szCs w:val="21"/>
        </w:rPr>
        <w:t xml:space="preserve"> </w:t>
      </w:r>
      <w:r w:rsidRPr="00D35476">
        <w:rPr>
          <w:rFonts w:ascii="Arial" w:hAnsi="Arial" w:cs="Arial"/>
          <w:b w:val="0"/>
          <w:kern w:val="28"/>
          <w:sz w:val="21"/>
          <w:szCs w:val="21"/>
        </w:rPr>
        <w:t>(</w:t>
      </w:r>
      <w:r w:rsidR="00011087" w:rsidRPr="00D35476">
        <w:rPr>
          <w:rFonts w:ascii="Arial" w:hAnsi="Arial" w:cs="Arial"/>
          <w:b w:val="0"/>
          <w:kern w:val="28"/>
          <w:sz w:val="21"/>
          <w:szCs w:val="21"/>
        </w:rPr>
        <w:t>-2,0</w:t>
      </w:r>
      <w:r w:rsidRPr="00D35476">
        <w:rPr>
          <w:rFonts w:ascii="Arial" w:hAnsi="Arial" w:cs="Arial"/>
          <w:b w:val="0"/>
          <w:kern w:val="28"/>
          <w:sz w:val="21"/>
          <w:szCs w:val="21"/>
        </w:rPr>
        <w:t>%)</w:t>
      </w:r>
      <w:r w:rsidR="00D067A5" w:rsidRPr="00D35476">
        <w:rPr>
          <w:rFonts w:ascii="Arial" w:hAnsi="Arial" w:cs="Arial"/>
          <w:b w:val="0"/>
          <w:kern w:val="28"/>
          <w:sz w:val="21"/>
          <w:szCs w:val="21"/>
        </w:rPr>
        <w:t>.</w:t>
      </w:r>
      <w:r w:rsidR="0003282C" w:rsidRPr="00D35476">
        <w:rPr>
          <w:rFonts w:ascii="Arial" w:hAnsi="Arial" w:cs="Arial"/>
          <w:b w:val="0"/>
          <w:kern w:val="28"/>
          <w:sz w:val="21"/>
          <w:szCs w:val="21"/>
        </w:rPr>
        <w:t xml:space="preserve"> </w:t>
      </w:r>
    </w:p>
    <w:p w14:paraId="76457FF4" w14:textId="3C43B7C3" w:rsidR="001F47E8" w:rsidRPr="00D35476" w:rsidRDefault="00011087" w:rsidP="006073FC">
      <w:pPr>
        <w:pStyle w:val="Corpodeltesto1"/>
        <w:rPr>
          <w:rFonts w:ascii="Arial" w:hAnsi="Arial" w:cs="Arial"/>
          <w:b w:val="0"/>
          <w:kern w:val="28"/>
          <w:sz w:val="21"/>
          <w:szCs w:val="21"/>
        </w:rPr>
      </w:pPr>
      <w:r w:rsidRPr="00D35476">
        <w:rPr>
          <w:rFonts w:ascii="Arial" w:hAnsi="Arial" w:cs="Arial"/>
          <w:b w:val="0"/>
          <w:kern w:val="28"/>
          <w:sz w:val="21"/>
          <w:szCs w:val="21"/>
        </w:rPr>
        <w:t>L’aumento</w:t>
      </w:r>
      <w:r w:rsidR="00ED6006" w:rsidRPr="00D35476">
        <w:rPr>
          <w:rFonts w:ascii="Arial" w:hAnsi="Arial" w:cs="Arial"/>
          <w:b w:val="0"/>
          <w:kern w:val="28"/>
          <w:sz w:val="21"/>
          <w:szCs w:val="21"/>
        </w:rPr>
        <w:t xml:space="preserve"> su base mensile dell’</w:t>
      </w:r>
      <w:r w:rsidR="00826F17" w:rsidRPr="00D35476">
        <w:rPr>
          <w:rFonts w:ascii="Arial" w:hAnsi="Arial" w:cs="Arial"/>
          <w:b w:val="0"/>
          <w:kern w:val="28"/>
          <w:sz w:val="21"/>
          <w:szCs w:val="21"/>
        </w:rPr>
        <w:t>import</w:t>
      </w:r>
      <w:r w:rsidR="00ED6006" w:rsidRPr="00D35476">
        <w:rPr>
          <w:rFonts w:ascii="Arial" w:hAnsi="Arial" w:cs="Arial"/>
          <w:b w:val="0"/>
          <w:kern w:val="28"/>
          <w:sz w:val="21"/>
          <w:szCs w:val="21"/>
        </w:rPr>
        <w:t xml:space="preserve"> </w:t>
      </w:r>
      <w:r w:rsidR="00AE7F9D" w:rsidRPr="00D35476">
        <w:rPr>
          <w:rFonts w:ascii="Arial" w:hAnsi="Arial" w:cs="Arial"/>
          <w:b w:val="0"/>
          <w:kern w:val="28"/>
          <w:sz w:val="21"/>
          <w:szCs w:val="21"/>
        </w:rPr>
        <w:t>(</w:t>
      </w:r>
      <w:r w:rsidRPr="00D35476">
        <w:rPr>
          <w:rFonts w:ascii="Arial" w:hAnsi="Arial" w:cs="Arial"/>
          <w:b w:val="0"/>
          <w:kern w:val="28"/>
          <w:sz w:val="21"/>
          <w:szCs w:val="21"/>
        </w:rPr>
        <w:t>+3,2</w:t>
      </w:r>
      <w:r w:rsidR="004A51D8" w:rsidRPr="00D35476">
        <w:rPr>
          <w:rFonts w:ascii="Arial" w:hAnsi="Arial" w:cs="Arial"/>
          <w:b w:val="0"/>
          <w:kern w:val="28"/>
          <w:sz w:val="21"/>
          <w:szCs w:val="21"/>
        </w:rPr>
        <w:t>%)</w:t>
      </w:r>
      <w:r w:rsidR="00ED6006" w:rsidRPr="00D35476">
        <w:rPr>
          <w:rFonts w:ascii="Arial" w:hAnsi="Arial" w:cs="Arial"/>
          <w:b w:val="0"/>
          <w:kern w:val="28"/>
          <w:sz w:val="21"/>
          <w:szCs w:val="21"/>
        </w:rPr>
        <w:t xml:space="preserve"> è dovuto ai maggiori acquisti di </w:t>
      </w:r>
      <w:r w:rsidRPr="00D35476">
        <w:rPr>
          <w:rFonts w:ascii="Arial" w:hAnsi="Arial" w:cs="Arial"/>
          <w:b w:val="0"/>
          <w:kern w:val="28"/>
          <w:sz w:val="21"/>
          <w:szCs w:val="21"/>
        </w:rPr>
        <w:t>beni di consumo (+8</w:t>
      </w:r>
      <w:r w:rsidR="00222C36" w:rsidRPr="00D35476">
        <w:rPr>
          <w:rFonts w:ascii="Arial" w:hAnsi="Arial" w:cs="Arial"/>
          <w:b w:val="0"/>
          <w:kern w:val="28"/>
          <w:sz w:val="21"/>
          <w:szCs w:val="21"/>
        </w:rPr>
        <w:t>,7%)</w:t>
      </w:r>
      <w:r w:rsidR="00DC4238" w:rsidRPr="00D35476">
        <w:rPr>
          <w:rFonts w:ascii="Arial" w:hAnsi="Arial" w:cs="Arial"/>
          <w:b w:val="0"/>
          <w:kern w:val="28"/>
          <w:sz w:val="21"/>
          <w:szCs w:val="21"/>
        </w:rPr>
        <w:t xml:space="preserve"> </w:t>
      </w:r>
      <w:r w:rsidRPr="00D35476">
        <w:rPr>
          <w:rFonts w:ascii="Arial" w:hAnsi="Arial" w:cs="Arial"/>
          <w:b w:val="0"/>
          <w:kern w:val="28"/>
          <w:sz w:val="21"/>
          <w:szCs w:val="21"/>
        </w:rPr>
        <w:t>e beni intermedi (</w:t>
      </w:r>
      <w:r w:rsidR="00A80630">
        <w:rPr>
          <w:rFonts w:ascii="Arial" w:hAnsi="Arial" w:cs="Arial"/>
          <w:b w:val="0"/>
          <w:kern w:val="28"/>
          <w:sz w:val="21"/>
          <w:szCs w:val="21"/>
        </w:rPr>
        <w:t>+</w:t>
      </w:r>
      <w:r w:rsidRPr="00D35476">
        <w:rPr>
          <w:rFonts w:ascii="Arial" w:hAnsi="Arial" w:cs="Arial"/>
          <w:b w:val="0"/>
          <w:kern w:val="28"/>
          <w:sz w:val="21"/>
          <w:szCs w:val="21"/>
        </w:rPr>
        <w:t xml:space="preserve">3,7%), </w:t>
      </w:r>
      <w:r w:rsidR="00D94207" w:rsidRPr="00D35476">
        <w:rPr>
          <w:rFonts w:ascii="Arial" w:hAnsi="Arial" w:cs="Arial"/>
          <w:b w:val="0"/>
          <w:kern w:val="28"/>
          <w:sz w:val="21"/>
          <w:szCs w:val="21"/>
        </w:rPr>
        <w:t>cui si co</w:t>
      </w:r>
      <w:r w:rsidR="00222C36" w:rsidRPr="00D35476">
        <w:rPr>
          <w:rFonts w:ascii="Arial" w:hAnsi="Arial" w:cs="Arial"/>
          <w:b w:val="0"/>
          <w:kern w:val="28"/>
          <w:sz w:val="21"/>
          <w:szCs w:val="21"/>
        </w:rPr>
        <w:t xml:space="preserve">ntrappone la </w:t>
      </w:r>
      <w:r w:rsidR="00D94207" w:rsidRPr="00D35476">
        <w:rPr>
          <w:rFonts w:ascii="Arial" w:hAnsi="Arial" w:cs="Arial"/>
          <w:b w:val="0"/>
          <w:kern w:val="28"/>
          <w:sz w:val="21"/>
          <w:szCs w:val="21"/>
        </w:rPr>
        <w:t xml:space="preserve">riduzione degli acquisti di beni </w:t>
      </w:r>
      <w:r w:rsidR="00FD4AF9" w:rsidRPr="00D35476">
        <w:rPr>
          <w:rFonts w:ascii="Arial" w:hAnsi="Arial" w:cs="Arial"/>
          <w:b w:val="0"/>
          <w:kern w:val="28"/>
          <w:sz w:val="21"/>
          <w:szCs w:val="21"/>
        </w:rPr>
        <w:t>strumentali (-1,3%) ed energia (-2,3</w:t>
      </w:r>
      <w:r w:rsidR="00222C36" w:rsidRPr="00D35476">
        <w:rPr>
          <w:rFonts w:ascii="Arial" w:hAnsi="Arial" w:cs="Arial"/>
          <w:b w:val="0"/>
          <w:kern w:val="28"/>
          <w:sz w:val="21"/>
          <w:szCs w:val="21"/>
        </w:rPr>
        <w:t xml:space="preserve">%). </w:t>
      </w:r>
    </w:p>
    <w:p w14:paraId="6149864A" w14:textId="77777777" w:rsidR="00DC4238" w:rsidRPr="00D35476" w:rsidRDefault="00DC4238" w:rsidP="006073FC">
      <w:pPr>
        <w:pStyle w:val="Corpodeltesto1"/>
        <w:rPr>
          <w:rFonts w:ascii="Arial" w:hAnsi="Arial" w:cs="Arial"/>
          <w:b w:val="0"/>
          <w:color w:val="FF0000"/>
          <w:kern w:val="28"/>
          <w:sz w:val="21"/>
          <w:szCs w:val="21"/>
        </w:rPr>
      </w:pPr>
    </w:p>
    <w:p w14:paraId="634AAB99" w14:textId="77777777" w:rsidR="00B64F0D" w:rsidRPr="00D35476" w:rsidRDefault="00B64F0D" w:rsidP="006073FC">
      <w:pPr>
        <w:pStyle w:val="Corpodeltesto1"/>
        <w:rPr>
          <w:rFonts w:ascii="Arial" w:hAnsi="Arial" w:cs="Arial"/>
          <w:b w:val="0"/>
          <w:color w:val="FF0000"/>
          <w:kern w:val="28"/>
          <w:sz w:val="21"/>
          <w:szCs w:val="21"/>
        </w:rPr>
      </w:pPr>
    </w:p>
    <w:p w14:paraId="42A60571" w14:textId="77777777" w:rsidR="003967AC" w:rsidRPr="00D35476" w:rsidRDefault="003967AC" w:rsidP="006073FC">
      <w:pPr>
        <w:pStyle w:val="Corpodeltesto1"/>
        <w:rPr>
          <w:rFonts w:ascii="Arial" w:hAnsi="Arial" w:cs="Arial"/>
          <w:b w:val="0"/>
          <w:color w:val="FF0000"/>
          <w:kern w:val="28"/>
          <w:sz w:val="21"/>
          <w:szCs w:val="21"/>
        </w:rPr>
      </w:pPr>
    </w:p>
    <w:p w14:paraId="762B995D" w14:textId="16DFEBB1" w:rsidR="007F58F4" w:rsidRDefault="007F58F4" w:rsidP="006073FC">
      <w:pPr>
        <w:pStyle w:val="Corpodeltesto1"/>
        <w:rPr>
          <w:rFonts w:ascii="Arial" w:hAnsi="Arial" w:cs="Arial"/>
          <w:b w:val="0"/>
          <w:color w:val="000000"/>
          <w:kern w:val="28"/>
          <w:sz w:val="21"/>
          <w:szCs w:val="21"/>
        </w:rPr>
      </w:pPr>
    </w:p>
    <w:p w14:paraId="2761A2D2" w14:textId="77777777" w:rsidR="00353744" w:rsidRDefault="00353744" w:rsidP="006073FC">
      <w:pPr>
        <w:pStyle w:val="Corpodeltesto1"/>
        <w:rPr>
          <w:rFonts w:ascii="Arial" w:hAnsi="Arial" w:cs="Arial"/>
          <w:b w:val="0"/>
          <w:color w:val="000000"/>
          <w:kern w:val="28"/>
          <w:sz w:val="21"/>
          <w:szCs w:val="21"/>
        </w:rPr>
      </w:pPr>
    </w:p>
    <w:p w14:paraId="6F34B27A" w14:textId="77777777" w:rsidR="00192F43" w:rsidRDefault="00192F43" w:rsidP="006073FC">
      <w:pPr>
        <w:pStyle w:val="Corpodeltesto1"/>
        <w:rPr>
          <w:rFonts w:ascii="Arial" w:hAnsi="Arial" w:cs="Arial"/>
          <w:b w:val="0"/>
          <w:color w:val="000000"/>
          <w:kern w:val="28"/>
          <w:sz w:val="21"/>
          <w:szCs w:val="21"/>
        </w:rPr>
      </w:pPr>
    </w:p>
    <w:p w14:paraId="01A77269" w14:textId="21940359" w:rsidR="00116AB6" w:rsidRDefault="00116AB6" w:rsidP="006073FC">
      <w:pPr>
        <w:pStyle w:val="Corpodeltesto1"/>
        <w:rPr>
          <w:rFonts w:ascii="Arial" w:hAnsi="Arial" w:cs="Arial"/>
          <w:b w:val="0"/>
          <w:color w:val="000000"/>
          <w:kern w:val="28"/>
          <w:sz w:val="21"/>
          <w:szCs w:val="21"/>
        </w:rPr>
      </w:pPr>
    </w:p>
    <w:p w14:paraId="46511FFC" w14:textId="0F30449F" w:rsidR="00B660B0" w:rsidRDefault="00B660B0" w:rsidP="006073FC">
      <w:pPr>
        <w:pStyle w:val="Corpodeltesto1"/>
        <w:rPr>
          <w:rFonts w:ascii="Arial" w:hAnsi="Arial" w:cs="Arial"/>
          <w:b w:val="0"/>
          <w:color w:val="000000"/>
          <w:kern w:val="28"/>
          <w:sz w:val="21"/>
          <w:szCs w:val="21"/>
        </w:rPr>
      </w:pPr>
    </w:p>
    <w:p w14:paraId="49C53937" w14:textId="77777777" w:rsidR="00DB04BA" w:rsidRDefault="00DB04BA" w:rsidP="006073FC">
      <w:pPr>
        <w:pStyle w:val="Corpodeltesto1"/>
        <w:rPr>
          <w:rFonts w:ascii="Arial" w:hAnsi="Arial" w:cs="Arial"/>
          <w:b w:val="0"/>
          <w:color w:val="000000"/>
          <w:kern w:val="28"/>
          <w:sz w:val="21"/>
          <w:szCs w:val="21"/>
        </w:rPr>
      </w:pPr>
    </w:p>
    <w:p w14:paraId="616D1EFB" w14:textId="77777777" w:rsidR="0048181F" w:rsidRDefault="0048181F" w:rsidP="006073FC">
      <w:pPr>
        <w:pStyle w:val="Corpodeltesto1"/>
        <w:rPr>
          <w:rFonts w:ascii="Arial" w:hAnsi="Arial" w:cs="Arial"/>
          <w:b w:val="0"/>
          <w:color w:val="000000"/>
          <w:kern w:val="28"/>
          <w:sz w:val="21"/>
          <w:szCs w:val="21"/>
        </w:rPr>
      </w:pPr>
    </w:p>
    <w:p w14:paraId="0FDCCFBC" w14:textId="0BE9DFA3" w:rsidR="002865B7" w:rsidRDefault="002865B7" w:rsidP="006073FC">
      <w:pPr>
        <w:pStyle w:val="Corpodeltesto1"/>
        <w:rPr>
          <w:rFonts w:ascii="Arial" w:hAnsi="Arial" w:cs="Arial"/>
          <w:b w:val="0"/>
          <w:color w:val="000000"/>
          <w:kern w:val="28"/>
          <w:sz w:val="21"/>
          <w:szCs w:val="21"/>
        </w:rPr>
      </w:pPr>
    </w:p>
    <w:p w14:paraId="73383FA5" w14:textId="67E9551C" w:rsidR="006D02F3" w:rsidRDefault="00831F78" w:rsidP="00636140">
      <w:pPr>
        <w:pStyle w:val="Corpodeltesto1"/>
        <w:jc w:val="left"/>
        <w:rPr>
          <w:rFonts w:ascii="Arial Narrow" w:hAnsi="Arial Narrow" w:cs="Arial"/>
          <w:bCs/>
          <w:color w:val="5F5F5F"/>
          <w:kern w:val="28"/>
          <w:sz w:val="22"/>
          <w:szCs w:val="22"/>
        </w:rPr>
      </w:pPr>
      <w:r w:rsidRPr="002A153A">
        <w:rPr>
          <w:rFonts w:ascii="Arial Narrow" w:hAnsi="Arial Narrow" w:cs="Arial"/>
          <w:bCs/>
          <w:color w:val="E42618"/>
          <w:kern w:val="28"/>
          <w:sz w:val="22"/>
          <w:szCs w:val="22"/>
        </w:rPr>
        <w:t xml:space="preserve">FIGURA </w:t>
      </w:r>
      <w:r w:rsidR="006D02F3">
        <w:rPr>
          <w:rFonts w:ascii="Arial Narrow" w:hAnsi="Arial Narrow" w:cs="Arial"/>
          <w:bCs/>
          <w:color w:val="E42618"/>
          <w:kern w:val="28"/>
          <w:sz w:val="22"/>
          <w:szCs w:val="22"/>
        </w:rPr>
        <w:t>6</w:t>
      </w:r>
      <w:r w:rsidRPr="00F527AD">
        <w:rPr>
          <w:rFonts w:ascii="Arial Narrow" w:hAnsi="Arial Narrow" w:cs="Arial"/>
          <w:bCs/>
          <w:color w:val="E42618"/>
          <w:kern w:val="28"/>
          <w:sz w:val="22"/>
          <w:szCs w:val="22"/>
        </w:rPr>
        <w:t>.</w:t>
      </w:r>
      <w:r w:rsidRPr="002A153A">
        <w:rPr>
          <w:rFonts w:ascii="Arial Narrow" w:hAnsi="Arial Narrow" w:cs="Arial"/>
          <w:bCs/>
          <w:color w:val="5F5F5F"/>
          <w:kern w:val="28"/>
          <w:sz w:val="22"/>
          <w:szCs w:val="22"/>
        </w:rPr>
        <w:t xml:space="preserve"> </w:t>
      </w:r>
      <w:r w:rsidR="00D40C17">
        <w:rPr>
          <w:rFonts w:ascii="Arial Narrow" w:hAnsi="Arial Narrow" w:cs="Arial"/>
          <w:bCs/>
          <w:color w:val="5F5F5F"/>
          <w:kern w:val="28"/>
          <w:sz w:val="22"/>
          <w:szCs w:val="22"/>
        </w:rPr>
        <w:t>GRADUATORIA DEI SETTORI DI ATTIVIT</w:t>
      </w:r>
      <w:r w:rsidR="00AB6CA8" w:rsidRPr="00AB6CA8">
        <w:rPr>
          <w:rFonts w:ascii="Arial Narrow" w:hAnsi="Arial Narrow" w:cs="Arial"/>
          <w:bCs/>
          <w:color w:val="5F5F5F"/>
          <w:kern w:val="28"/>
          <w:sz w:val="22"/>
          <w:szCs w:val="22"/>
        </w:rPr>
        <w:t>À</w:t>
      </w:r>
      <w:r w:rsidR="00D40C17">
        <w:rPr>
          <w:rFonts w:ascii="Arial Narrow" w:hAnsi="Arial Narrow" w:cs="Arial"/>
          <w:bCs/>
          <w:color w:val="5F5F5F"/>
          <w:kern w:val="28"/>
          <w:sz w:val="22"/>
          <w:szCs w:val="22"/>
        </w:rPr>
        <w:t xml:space="preserve"> ECONOMICA</w:t>
      </w:r>
      <w:r w:rsidR="00D40C17" w:rsidRPr="00516EEC">
        <w:rPr>
          <w:rFonts w:ascii="Arial Narrow" w:hAnsi="Arial Narrow" w:cs="Arial"/>
          <w:bCs/>
          <w:color w:val="5F5F5F"/>
          <w:kern w:val="28"/>
          <w:sz w:val="22"/>
          <w:szCs w:val="22"/>
        </w:rPr>
        <w:t xml:space="preserve"> </w:t>
      </w:r>
      <w:r w:rsidR="00D40C17">
        <w:rPr>
          <w:rFonts w:ascii="Arial Narrow" w:hAnsi="Arial Narrow" w:cs="Arial"/>
          <w:bCs/>
          <w:color w:val="5F5F5F"/>
          <w:kern w:val="28"/>
          <w:sz w:val="22"/>
          <w:szCs w:val="22"/>
        </w:rPr>
        <w:t>SECONDO I</w:t>
      </w:r>
      <w:r w:rsidR="00D40C17" w:rsidRPr="00516EEC">
        <w:rPr>
          <w:rFonts w:ascii="Arial Narrow" w:hAnsi="Arial Narrow" w:cs="Arial"/>
          <w:bCs/>
          <w:color w:val="5F5F5F"/>
          <w:kern w:val="28"/>
          <w:sz w:val="22"/>
          <w:szCs w:val="22"/>
        </w:rPr>
        <w:t xml:space="preserve"> CONTRIBUT</w:t>
      </w:r>
      <w:r w:rsidR="00D40C17">
        <w:rPr>
          <w:rFonts w:ascii="Arial Narrow" w:hAnsi="Arial Narrow" w:cs="Arial"/>
          <w:bCs/>
          <w:color w:val="5F5F5F"/>
          <w:kern w:val="28"/>
          <w:sz w:val="22"/>
          <w:szCs w:val="22"/>
        </w:rPr>
        <w:t>I ALL’EXPORT</w:t>
      </w:r>
    </w:p>
    <w:p w14:paraId="4FEE9517" w14:textId="58A78C11" w:rsidR="00282F5A" w:rsidRDefault="00E232B2" w:rsidP="00A11C87">
      <w:pPr>
        <w:pStyle w:val="Corpodeltesto1"/>
        <w:tabs>
          <w:tab w:val="left" w:pos="4962"/>
        </w:tabs>
        <w:spacing w:after="120"/>
        <w:jc w:val="left"/>
        <w:rPr>
          <w:rFonts w:ascii="Arial Narrow" w:hAnsi="Arial Narrow" w:cs="Arial"/>
          <w:b w:val="0"/>
          <w:bCs/>
          <w:color w:val="5F5F5F"/>
          <w:kern w:val="28"/>
          <w:sz w:val="20"/>
          <w:szCs w:val="22"/>
        </w:rPr>
      </w:pPr>
      <w:r w:rsidRPr="00E232B2">
        <w:rPr>
          <w:rFonts w:ascii="Arial Narrow" w:hAnsi="Arial Narrow" w:cs="Arial"/>
          <w:b w:val="0"/>
          <w:color w:val="5F5F5F"/>
          <w:kern w:val="28"/>
          <w:sz w:val="20"/>
          <w:szCs w:val="20"/>
        </w:rPr>
        <w:t>Gennaio 2025</w:t>
      </w:r>
      <w:r w:rsidR="005C343A" w:rsidRPr="005C343A">
        <w:rPr>
          <w:rFonts w:ascii="Arial Narrow" w:hAnsi="Arial Narrow" w:cs="Arial"/>
          <w:b w:val="0"/>
          <w:color w:val="5F5F5F"/>
          <w:kern w:val="28"/>
          <w:sz w:val="20"/>
          <w:szCs w:val="20"/>
        </w:rPr>
        <w:t>, contributi alla variazione in punti percentuali e vari</w:t>
      </w:r>
      <w:r w:rsidR="00041D56">
        <w:rPr>
          <w:rFonts w:ascii="Arial Narrow" w:hAnsi="Arial Narrow" w:cs="Arial"/>
          <w:b w:val="0"/>
          <w:color w:val="5F5F5F"/>
          <w:kern w:val="28"/>
          <w:sz w:val="20"/>
          <w:szCs w:val="20"/>
        </w:rPr>
        <w:t>azioni</w:t>
      </w:r>
      <w:r w:rsidR="005C343A" w:rsidRPr="005C343A">
        <w:rPr>
          <w:rFonts w:ascii="Arial Narrow" w:hAnsi="Arial Narrow" w:cs="Arial"/>
          <w:b w:val="0"/>
          <w:color w:val="5F5F5F"/>
          <w:kern w:val="28"/>
          <w:sz w:val="20"/>
          <w:szCs w:val="20"/>
        </w:rPr>
        <w:t xml:space="preserve"> percentuali tendenziali</w:t>
      </w:r>
      <w:r w:rsidR="00282F5A">
        <w:rPr>
          <w:rFonts w:ascii="Arial Narrow" w:hAnsi="Arial Narrow" w:cs="Arial"/>
          <w:b w:val="0"/>
          <w:color w:val="5F5F5F"/>
          <w:kern w:val="28"/>
          <w:sz w:val="20"/>
          <w:szCs w:val="20"/>
        </w:rPr>
        <w:t xml:space="preserve"> </w:t>
      </w:r>
      <w:r w:rsidR="00282F5A" w:rsidRPr="00E35121">
        <w:rPr>
          <w:rFonts w:ascii="Arial Narrow" w:hAnsi="Arial Narrow" w:cs="Arial"/>
          <w:b w:val="0"/>
          <w:bCs/>
          <w:color w:val="5F5F5F"/>
          <w:kern w:val="28"/>
          <w:sz w:val="20"/>
          <w:szCs w:val="22"/>
        </w:rPr>
        <w:t>(a)</w:t>
      </w:r>
    </w:p>
    <w:p w14:paraId="0CFEF7FE" w14:textId="256EEDB7" w:rsidR="006D3DAC" w:rsidRDefault="00D20998" w:rsidP="00681C48">
      <w:pPr>
        <w:pStyle w:val="Corpodeltesto1"/>
        <w:tabs>
          <w:tab w:val="left" w:pos="284"/>
          <w:tab w:val="left" w:pos="9923"/>
        </w:tabs>
        <w:spacing w:after="120"/>
        <w:ind w:left="-284"/>
        <w:jc w:val="left"/>
        <w:rPr>
          <w:rFonts w:ascii="Arial Narrow" w:hAnsi="Arial Narrow" w:cs="Arial"/>
          <w:b w:val="0"/>
          <w:bCs/>
          <w:color w:val="5F5F5F"/>
          <w:kern w:val="28"/>
          <w:sz w:val="20"/>
          <w:szCs w:val="22"/>
        </w:rPr>
      </w:pPr>
      <w:r>
        <w:rPr>
          <w:noProof/>
        </w:rPr>
        <w:drawing>
          <wp:inline distT="0" distB="0" distL="0" distR="0" wp14:anchorId="2BA25D86" wp14:editId="2BD128A6">
            <wp:extent cx="6660000" cy="2160000"/>
            <wp:effectExtent l="0" t="0" r="7620" b="0"/>
            <wp:docPr id="30" name="Grafico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6B3D389D" w14:textId="77777777" w:rsidR="0025622B" w:rsidRDefault="0025622B" w:rsidP="006D02F3">
      <w:pPr>
        <w:pStyle w:val="Corpodeltesto1"/>
        <w:jc w:val="left"/>
        <w:rPr>
          <w:rFonts w:ascii="Arial Narrow" w:hAnsi="Arial Narrow" w:cs="Arial"/>
          <w:bCs/>
          <w:color w:val="E42618"/>
          <w:kern w:val="28"/>
          <w:sz w:val="22"/>
          <w:szCs w:val="22"/>
        </w:rPr>
      </w:pPr>
    </w:p>
    <w:p w14:paraId="26B1BC79" w14:textId="77777777" w:rsidR="006D02F3" w:rsidRDefault="006D02F3" w:rsidP="006D02F3">
      <w:pPr>
        <w:pStyle w:val="Corpodeltesto1"/>
        <w:jc w:val="left"/>
        <w:rPr>
          <w:rFonts w:ascii="Arial Narrow" w:hAnsi="Arial Narrow" w:cs="Arial"/>
          <w:bCs/>
          <w:color w:val="5F5F5F"/>
          <w:kern w:val="28"/>
          <w:sz w:val="22"/>
          <w:szCs w:val="22"/>
        </w:rPr>
      </w:pPr>
      <w:r w:rsidRPr="002A153A">
        <w:rPr>
          <w:rFonts w:ascii="Arial Narrow" w:hAnsi="Arial Narrow" w:cs="Arial"/>
          <w:bCs/>
          <w:color w:val="E42618"/>
          <w:kern w:val="28"/>
          <w:sz w:val="22"/>
          <w:szCs w:val="22"/>
        </w:rPr>
        <w:t xml:space="preserve">FIGURA </w:t>
      </w:r>
      <w:r>
        <w:rPr>
          <w:rFonts w:ascii="Arial Narrow" w:hAnsi="Arial Narrow" w:cs="Arial"/>
          <w:bCs/>
          <w:color w:val="E42618"/>
          <w:kern w:val="28"/>
          <w:sz w:val="22"/>
          <w:szCs w:val="22"/>
        </w:rPr>
        <w:t>7</w:t>
      </w:r>
      <w:r w:rsidRPr="00F527AD">
        <w:rPr>
          <w:rFonts w:ascii="Arial Narrow" w:hAnsi="Arial Narrow" w:cs="Arial"/>
          <w:bCs/>
          <w:color w:val="E42618"/>
          <w:kern w:val="28"/>
          <w:sz w:val="22"/>
          <w:szCs w:val="22"/>
        </w:rPr>
        <w:t>.</w:t>
      </w:r>
      <w:r w:rsidRPr="002A153A">
        <w:rPr>
          <w:rFonts w:ascii="Arial Narrow" w:hAnsi="Arial Narrow" w:cs="Arial"/>
          <w:bCs/>
          <w:color w:val="5F5F5F"/>
          <w:kern w:val="28"/>
          <w:sz w:val="22"/>
          <w:szCs w:val="22"/>
        </w:rPr>
        <w:t xml:space="preserve"> </w:t>
      </w:r>
      <w:r w:rsidR="00D40C17">
        <w:rPr>
          <w:rFonts w:ascii="Arial Narrow" w:hAnsi="Arial Narrow" w:cs="Arial"/>
          <w:bCs/>
          <w:color w:val="5F5F5F"/>
          <w:kern w:val="28"/>
          <w:sz w:val="22"/>
          <w:szCs w:val="22"/>
        </w:rPr>
        <w:t>GRADUATORIA DEI SETTORI DI ATTIVIT</w:t>
      </w:r>
      <w:r w:rsidR="00C25C1A" w:rsidRPr="00AB6CA8">
        <w:rPr>
          <w:rFonts w:ascii="Arial Narrow" w:hAnsi="Arial Narrow" w:cs="Arial"/>
          <w:bCs/>
          <w:color w:val="5F5F5F"/>
          <w:kern w:val="28"/>
          <w:sz w:val="22"/>
          <w:szCs w:val="22"/>
        </w:rPr>
        <w:t>À</w:t>
      </w:r>
      <w:r w:rsidR="00D40C17">
        <w:rPr>
          <w:rFonts w:ascii="Arial Narrow" w:hAnsi="Arial Narrow" w:cs="Arial"/>
          <w:bCs/>
          <w:color w:val="5F5F5F"/>
          <w:kern w:val="28"/>
          <w:sz w:val="22"/>
          <w:szCs w:val="22"/>
        </w:rPr>
        <w:t xml:space="preserve"> ECONOMICA</w:t>
      </w:r>
      <w:r w:rsidR="00D40C17" w:rsidRPr="00516EEC">
        <w:rPr>
          <w:rFonts w:ascii="Arial Narrow" w:hAnsi="Arial Narrow" w:cs="Arial"/>
          <w:bCs/>
          <w:color w:val="5F5F5F"/>
          <w:kern w:val="28"/>
          <w:sz w:val="22"/>
          <w:szCs w:val="22"/>
        </w:rPr>
        <w:t xml:space="preserve"> </w:t>
      </w:r>
      <w:r w:rsidR="00D40C17">
        <w:rPr>
          <w:rFonts w:ascii="Arial Narrow" w:hAnsi="Arial Narrow" w:cs="Arial"/>
          <w:bCs/>
          <w:color w:val="5F5F5F"/>
          <w:kern w:val="28"/>
          <w:sz w:val="22"/>
          <w:szCs w:val="22"/>
        </w:rPr>
        <w:t>SECONDO I</w:t>
      </w:r>
      <w:r w:rsidR="00D40C17" w:rsidRPr="00516EEC">
        <w:rPr>
          <w:rFonts w:ascii="Arial Narrow" w:hAnsi="Arial Narrow" w:cs="Arial"/>
          <w:bCs/>
          <w:color w:val="5F5F5F"/>
          <w:kern w:val="28"/>
          <w:sz w:val="22"/>
          <w:szCs w:val="22"/>
        </w:rPr>
        <w:t xml:space="preserve"> CONTRIBUT</w:t>
      </w:r>
      <w:r w:rsidR="00D40C17">
        <w:rPr>
          <w:rFonts w:ascii="Arial Narrow" w:hAnsi="Arial Narrow" w:cs="Arial"/>
          <w:bCs/>
          <w:color w:val="5F5F5F"/>
          <w:kern w:val="28"/>
          <w:sz w:val="22"/>
          <w:szCs w:val="22"/>
        </w:rPr>
        <w:t>I ALL’IMPORT</w:t>
      </w:r>
    </w:p>
    <w:p w14:paraId="0B9834EB" w14:textId="26FC85C1" w:rsidR="00DD774B" w:rsidRDefault="00E232B2" w:rsidP="00DD774B">
      <w:pPr>
        <w:pStyle w:val="Corpodeltesto1"/>
        <w:spacing w:after="120"/>
        <w:jc w:val="left"/>
        <w:rPr>
          <w:rFonts w:ascii="Arial Narrow" w:hAnsi="Arial Narrow" w:cs="Arial"/>
          <w:b w:val="0"/>
          <w:bCs/>
          <w:color w:val="5F5F5F"/>
          <w:kern w:val="28"/>
          <w:sz w:val="20"/>
          <w:szCs w:val="22"/>
        </w:rPr>
      </w:pPr>
      <w:r w:rsidRPr="00E232B2">
        <w:rPr>
          <w:rFonts w:ascii="Arial Narrow" w:hAnsi="Arial Narrow" w:cs="Arial"/>
          <w:b w:val="0"/>
          <w:color w:val="5F5F5F"/>
          <w:kern w:val="28"/>
          <w:sz w:val="20"/>
          <w:szCs w:val="20"/>
        </w:rPr>
        <w:t>Gennaio 2025</w:t>
      </w:r>
      <w:r w:rsidR="00041D56" w:rsidRPr="005C343A">
        <w:rPr>
          <w:rFonts w:ascii="Arial Narrow" w:hAnsi="Arial Narrow" w:cs="Arial"/>
          <w:b w:val="0"/>
          <w:color w:val="5F5F5F"/>
          <w:kern w:val="28"/>
          <w:sz w:val="20"/>
          <w:szCs w:val="20"/>
        </w:rPr>
        <w:t>, contributi alla variazione in punti perc</w:t>
      </w:r>
      <w:r w:rsidR="00592CBA" w:rsidRPr="005C343A">
        <w:rPr>
          <w:rFonts w:ascii="Arial Narrow" w:hAnsi="Arial Narrow" w:cs="Arial"/>
          <w:b w:val="0"/>
          <w:color w:val="5F5F5F"/>
          <w:kern w:val="28"/>
          <w:sz w:val="20"/>
          <w:szCs w:val="20"/>
        </w:rPr>
        <w:t>entuali e vari</w:t>
      </w:r>
      <w:r w:rsidR="00592CBA">
        <w:rPr>
          <w:rFonts w:ascii="Arial Narrow" w:hAnsi="Arial Narrow" w:cs="Arial"/>
          <w:b w:val="0"/>
          <w:color w:val="5F5F5F"/>
          <w:kern w:val="28"/>
          <w:sz w:val="20"/>
          <w:szCs w:val="20"/>
        </w:rPr>
        <w:t>azioni</w:t>
      </w:r>
      <w:r w:rsidR="00592CBA" w:rsidRPr="005C343A">
        <w:rPr>
          <w:rFonts w:ascii="Arial Narrow" w:hAnsi="Arial Narrow" w:cs="Arial"/>
          <w:b w:val="0"/>
          <w:color w:val="5F5F5F"/>
          <w:kern w:val="28"/>
          <w:sz w:val="20"/>
          <w:szCs w:val="20"/>
        </w:rPr>
        <w:t xml:space="preserve"> percentuali tendenziali</w:t>
      </w:r>
      <w:r w:rsidR="00592CBA">
        <w:rPr>
          <w:rFonts w:ascii="Arial Narrow" w:hAnsi="Arial Narrow" w:cs="Arial"/>
          <w:b w:val="0"/>
          <w:color w:val="5F5F5F"/>
          <w:kern w:val="28"/>
          <w:sz w:val="20"/>
          <w:szCs w:val="20"/>
        </w:rPr>
        <w:t xml:space="preserve"> </w:t>
      </w:r>
      <w:r w:rsidR="00DD774B">
        <w:rPr>
          <w:rFonts w:ascii="Arial Narrow" w:hAnsi="Arial Narrow" w:cs="Arial"/>
          <w:b w:val="0"/>
          <w:bCs/>
          <w:color w:val="5F5F5F"/>
          <w:kern w:val="28"/>
          <w:sz w:val="20"/>
          <w:szCs w:val="22"/>
        </w:rPr>
        <w:t>(a)</w:t>
      </w:r>
    </w:p>
    <w:p w14:paraId="6932CF5F" w14:textId="51DE4C8B" w:rsidR="001049FC" w:rsidRDefault="00D82A22" w:rsidP="00C933EF">
      <w:pPr>
        <w:pStyle w:val="Corpodeltesto1"/>
        <w:spacing w:after="120"/>
        <w:jc w:val="center"/>
        <w:rPr>
          <w:rFonts w:ascii="Arial Narrow" w:hAnsi="Arial Narrow" w:cs="Arial"/>
          <w:b w:val="0"/>
          <w:bCs/>
          <w:color w:val="5F5F5F"/>
          <w:kern w:val="28"/>
          <w:sz w:val="20"/>
          <w:szCs w:val="22"/>
        </w:rPr>
      </w:pPr>
      <w:r>
        <w:rPr>
          <w:noProof/>
        </w:rPr>
        <w:drawing>
          <wp:inline distT="0" distB="0" distL="0" distR="0" wp14:anchorId="582B5F2A" wp14:editId="4387969D">
            <wp:extent cx="6480175" cy="2104390"/>
            <wp:effectExtent l="0" t="0" r="0" b="0"/>
            <wp:docPr id="14" name="Grafico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5D4A4B99" w14:textId="1F99E3A8" w:rsidR="00282F5A" w:rsidRDefault="00282F5A" w:rsidP="00282F5A">
      <w:pPr>
        <w:spacing w:after="120"/>
        <w:jc w:val="both"/>
        <w:rPr>
          <w:rFonts w:ascii="Arial Narrow" w:hAnsi="Arial Narrow" w:cs="Calibri"/>
          <w:sz w:val="15"/>
          <w:szCs w:val="15"/>
        </w:rPr>
      </w:pPr>
      <w:r w:rsidRPr="009F2C56">
        <w:rPr>
          <w:rFonts w:ascii="Arial Narrow" w:hAnsi="Arial Narrow" w:cs="Calibri"/>
          <w:sz w:val="15"/>
          <w:szCs w:val="15"/>
        </w:rPr>
        <w:t xml:space="preserve">(a) </w:t>
      </w:r>
      <w:r w:rsidRPr="00AC09DF">
        <w:rPr>
          <w:rFonts w:ascii="Arial Narrow" w:hAnsi="Arial Narrow" w:cs="Calibri"/>
          <w:sz w:val="15"/>
          <w:szCs w:val="15"/>
        </w:rPr>
        <w:t>Limitatamente ai settori la cui quota sull’export (import) per l’anno 20</w:t>
      </w:r>
      <w:r w:rsidR="001E77DD">
        <w:rPr>
          <w:rFonts w:ascii="Arial Narrow" w:hAnsi="Arial Narrow" w:cs="Calibri"/>
          <w:sz w:val="15"/>
          <w:szCs w:val="15"/>
        </w:rPr>
        <w:t>2</w:t>
      </w:r>
      <w:r w:rsidR="007F1DD5">
        <w:rPr>
          <w:rFonts w:ascii="Arial Narrow" w:hAnsi="Arial Narrow" w:cs="Calibri"/>
          <w:sz w:val="15"/>
          <w:szCs w:val="15"/>
        </w:rPr>
        <w:t>4</w:t>
      </w:r>
      <w:r w:rsidRPr="00AC09DF">
        <w:rPr>
          <w:rFonts w:ascii="Arial Narrow" w:hAnsi="Arial Narrow" w:cs="Calibri"/>
          <w:sz w:val="15"/>
          <w:szCs w:val="15"/>
        </w:rPr>
        <w:t xml:space="preserve"> è superiore all’1,5%.</w:t>
      </w:r>
    </w:p>
    <w:p w14:paraId="06430F7E" w14:textId="570FCAA5" w:rsidR="001049FC" w:rsidRPr="001049FC" w:rsidRDefault="00971A17" w:rsidP="001049FC">
      <w:pPr>
        <w:jc w:val="both"/>
        <w:rPr>
          <w:rFonts w:ascii="Arial Narrow" w:hAnsi="Arial Narrow" w:cs="Calibri"/>
          <w:sz w:val="15"/>
          <w:szCs w:val="15"/>
        </w:rPr>
      </w:pPr>
      <w:r w:rsidRPr="009F2C56">
        <w:rPr>
          <w:rFonts w:ascii="Arial Narrow" w:hAnsi="Arial Narrow" w:cs="Calibri"/>
          <w:sz w:val="15"/>
          <w:szCs w:val="15"/>
        </w:rPr>
        <w:t>Abbreviazioni</w:t>
      </w:r>
      <w:r>
        <w:rPr>
          <w:rFonts w:ascii="Arial Narrow" w:hAnsi="Arial Narrow"/>
          <w:sz w:val="15"/>
          <w:szCs w:val="15"/>
        </w:rPr>
        <w:t xml:space="preserve"> dei settori di attività economica</w:t>
      </w:r>
      <w:r w:rsidRPr="004D645B">
        <w:rPr>
          <w:rFonts w:ascii="Arial Narrow" w:hAnsi="Arial Narrow"/>
          <w:sz w:val="15"/>
          <w:szCs w:val="15"/>
        </w:rPr>
        <w:t>:</w:t>
      </w:r>
      <w:r w:rsidRPr="004D645B">
        <w:rPr>
          <w:rFonts w:ascii="Arial Narrow" w:hAnsi="Arial Narrow" w:cs="Calibri"/>
          <w:sz w:val="15"/>
          <w:szCs w:val="15"/>
        </w:rPr>
        <w:t xml:space="preserve"> </w:t>
      </w:r>
      <w:r w:rsidRPr="00456679">
        <w:rPr>
          <w:rFonts w:ascii="Arial Narrow" w:hAnsi="Arial Narrow" w:cs="Calibri"/>
          <w:sz w:val="15"/>
          <w:szCs w:val="15"/>
        </w:rPr>
        <w:t>Metalli</w:t>
      </w:r>
      <w:r w:rsidRPr="004D645B">
        <w:rPr>
          <w:rFonts w:ascii="Arial Narrow" w:hAnsi="Arial Narrow" w:cs="Calibri"/>
          <w:sz w:val="15"/>
          <w:szCs w:val="15"/>
        </w:rPr>
        <w:t>=</w:t>
      </w:r>
      <w:r w:rsidRPr="00456679">
        <w:rPr>
          <w:rFonts w:ascii="Arial Narrow" w:hAnsi="Arial Narrow" w:cs="Calibri"/>
          <w:sz w:val="15"/>
          <w:szCs w:val="15"/>
        </w:rPr>
        <w:t>Metalli di base e prodotti in metallo, esclusi macchine e impianti</w:t>
      </w:r>
      <w:r w:rsidRPr="004D645B">
        <w:rPr>
          <w:rFonts w:ascii="Arial Narrow" w:hAnsi="Arial Narrow" w:cs="Calibri"/>
          <w:sz w:val="15"/>
          <w:szCs w:val="15"/>
        </w:rPr>
        <w:t xml:space="preserve">; </w:t>
      </w:r>
      <w:r w:rsidRPr="00456679">
        <w:rPr>
          <w:rFonts w:ascii="Arial Narrow" w:hAnsi="Arial Narrow" w:cs="Calibri"/>
          <w:sz w:val="15"/>
          <w:szCs w:val="15"/>
        </w:rPr>
        <w:t>Altri m</w:t>
      </w:r>
      <w:r w:rsidR="00A61899">
        <w:rPr>
          <w:rFonts w:ascii="Arial Narrow" w:hAnsi="Arial Narrow" w:cs="Calibri"/>
          <w:sz w:val="15"/>
          <w:szCs w:val="15"/>
        </w:rPr>
        <w:t>ezzi</w:t>
      </w:r>
      <w:r w:rsidRPr="00456679">
        <w:rPr>
          <w:rFonts w:ascii="Arial Narrow" w:hAnsi="Arial Narrow" w:cs="Calibri"/>
          <w:sz w:val="15"/>
          <w:szCs w:val="15"/>
        </w:rPr>
        <w:t xml:space="preserve"> trasp</w:t>
      </w:r>
      <w:r w:rsidR="00A61899">
        <w:rPr>
          <w:rFonts w:ascii="Arial Narrow" w:hAnsi="Arial Narrow" w:cs="Calibri"/>
          <w:sz w:val="15"/>
          <w:szCs w:val="15"/>
        </w:rPr>
        <w:t>orto</w:t>
      </w:r>
      <w:r w:rsidRPr="004D645B">
        <w:rPr>
          <w:rFonts w:ascii="Arial Narrow" w:hAnsi="Arial Narrow" w:cs="Calibri"/>
          <w:sz w:val="15"/>
          <w:szCs w:val="15"/>
        </w:rPr>
        <w:t>=</w:t>
      </w:r>
      <w:r w:rsidRPr="00456679">
        <w:rPr>
          <w:rFonts w:ascii="Arial Narrow" w:hAnsi="Arial Narrow" w:cs="Calibri"/>
          <w:sz w:val="15"/>
          <w:szCs w:val="15"/>
        </w:rPr>
        <w:t>Mezzi di trasporto (escl. autoveicoli)</w:t>
      </w:r>
      <w:r w:rsidRPr="004D645B">
        <w:rPr>
          <w:rFonts w:ascii="Arial Narrow" w:hAnsi="Arial Narrow" w:cs="Calibri"/>
          <w:sz w:val="15"/>
          <w:szCs w:val="15"/>
        </w:rPr>
        <w:t xml:space="preserve">; </w:t>
      </w:r>
      <w:r w:rsidRPr="00456679">
        <w:rPr>
          <w:rFonts w:ascii="Arial Narrow" w:hAnsi="Arial Narrow" w:cs="Calibri"/>
          <w:sz w:val="15"/>
          <w:szCs w:val="15"/>
        </w:rPr>
        <w:t>Macchinari</w:t>
      </w:r>
      <w:r w:rsidRPr="004D645B">
        <w:rPr>
          <w:rFonts w:ascii="Arial Narrow" w:hAnsi="Arial Narrow" w:cs="Calibri"/>
          <w:sz w:val="15"/>
          <w:szCs w:val="15"/>
        </w:rPr>
        <w:t>=</w:t>
      </w:r>
      <w:r w:rsidR="008D0F0F">
        <w:rPr>
          <w:rFonts w:ascii="Arial Narrow" w:hAnsi="Arial Narrow" w:cs="Calibri"/>
          <w:sz w:val="15"/>
          <w:szCs w:val="15"/>
        </w:rPr>
        <w:t>Macchinari</w:t>
      </w:r>
      <w:r w:rsidRPr="00456679">
        <w:rPr>
          <w:rFonts w:ascii="Arial Narrow" w:hAnsi="Arial Narrow" w:cs="Calibri"/>
          <w:sz w:val="15"/>
          <w:szCs w:val="15"/>
        </w:rPr>
        <w:t xml:space="preserve"> e apparecchi n.c.a.</w:t>
      </w:r>
      <w:r w:rsidRPr="004D645B">
        <w:rPr>
          <w:rFonts w:ascii="Arial Narrow" w:hAnsi="Arial Narrow" w:cs="Calibri"/>
          <w:sz w:val="15"/>
          <w:szCs w:val="15"/>
        </w:rPr>
        <w:t xml:space="preserve">; </w:t>
      </w:r>
      <w:r w:rsidRPr="00456679">
        <w:rPr>
          <w:rFonts w:ascii="Arial Narrow" w:hAnsi="Arial Narrow" w:cs="Calibri"/>
          <w:sz w:val="15"/>
          <w:szCs w:val="15"/>
        </w:rPr>
        <w:t>Carta-stampa</w:t>
      </w:r>
      <w:r w:rsidRPr="004D645B">
        <w:rPr>
          <w:rFonts w:ascii="Arial Narrow" w:hAnsi="Arial Narrow" w:cs="Calibri"/>
          <w:sz w:val="15"/>
          <w:szCs w:val="15"/>
        </w:rPr>
        <w:t>=</w:t>
      </w:r>
      <w:r w:rsidRPr="00456679">
        <w:rPr>
          <w:rFonts w:ascii="Arial Narrow" w:hAnsi="Arial Narrow" w:cs="Calibri"/>
          <w:sz w:val="15"/>
          <w:szCs w:val="15"/>
        </w:rPr>
        <w:t>Carta e prodotti di carta; prodotti della stampa e della riproduzione di supporti registrati</w:t>
      </w:r>
      <w:r w:rsidRPr="004D645B">
        <w:rPr>
          <w:rFonts w:ascii="Arial Narrow" w:hAnsi="Arial Narrow" w:cs="Calibri"/>
          <w:sz w:val="15"/>
          <w:szCs w:val="15"/>
        </w:rPr>
        <w:t xml:space="preserve">; </w:t>
      </w:r>
      <w:r w:rsidRPr="00456679">
        <w:rPr>
          <w:rFonts w:ascii="Arial Narrow" w:hAnsi="Arial Narrow" w:cs="Calibri"/>
          <w:sz w:val="15"/>
          <w:szCs w:val="15"/>
        </w:rPr>
        <w:t>Chimica</w:t>
      </w:r>
      <w:r w:rsidRPr="004D645B">
        <w:rPr>
          <w:rFonts w:ascii="Arial Narrow" w:hAnsi="Arial Narrow" w:cs="Calibri"/>
          <w:sz w:val="15"/>
          <w:szCs w:val="15"/>
        </w:rPr>
        <w:t>=</w:t>
      </w:r>
      <w:r w:rsidRPr="00456679">
        <w:rPr>
          <w:rFonts w:ascii="Arial Narrow" w:hAnsi="Arial Narrow" w:cs="Calibri"/>
          <w:sz w:val="15"/>
          <w:szCs w:val="15"/>
        </w:rPr>
        <w:t>Sostanze e prodotti chimici</w:t>
      </w:r>
      <w:r w:rsidRPr="004D645B">
        <w:rPr>
          <w:rFonts w:ascii="Arial Narrow" w:hAnsi="Arial Narrow" w:cs="Calibri"/>
          <w:sz w:val="15"/>
          <w:szCs w:val="15"/>
        </w:rPr>
        <w:t xml:space="preserve">; </w:t>
      </w:r>
      <w:r w:rsidR="00052EEF">
        <w:rPr>
          <w:rFonts w:ascii="Arial Narrow" w:hAnsi="Arial Narrow" w:cs="Calibri"/>
          <w:sz w:val="15"/>
          <w:szCs w:val="15"/>
        </w:rPr>
        <w:t>Prodotti m</w:t>
      </w:r>
      <w:r w:rsidR="00A61899">
        <w:rPr>
          <w:rFonts w:ascii="Arial Narrow" w:hAnsi="Arial Narrow" w:cs="Calibri"/>
          <w:sz w:val="15"/>
          <w:szCs w:val="15"/>
        </w:rPr>
        <w:t>inerali non metall</w:t>
      </w:r>
      <w:r w:rsidR="00052EEF">
        <w:rPr>
          <w:rFonts w:ascii="Arial Narrow" w:hAnsi="Arial Narrow" w:cs="Calibri"/>
          <w:sz w:val="15"/>
          <w:szCs w:val="15"/>
        </w:rPr>
        <w:t>.</w:t>
      </w:r>
      <w:r w:rsidRPr="004D645B">
        <w:rPr>
          <w:rFonts w:ascii="Arial Narrow" w:hAnsi="Arial Narrow" w:cs="Calibri"/>
          <w:sz w:val="15"/>
          <w:szCs w:val="15"/>
        </w:rPr>
        <w:t>=</w:t>
      </w:r>
      <w:r w:rsidRPr="00456679">
        <w:rPr>
          <w:rFonts w:ascii="Arial Narrow" w:hAnsi="Arial Narrow" w:cs="Calibri"/>
          <w:sz w:val="15"/>
          <w:szCs w:val="15"/>
        </w:rPr>
        <w:t>Altri prodotti della lavorazione di minerali non metalliferi</w:t>
      </w:r>
      <w:r w:rsidRPr="004D645B">
        <w:rPr>
          <w:rFonts w:ascii="Arial Narrow" w:hAnsi="Arial Narrow" w:cs="Calibri"/>
          <w:sz w:val="15"/>
          <w:szCs w:val="15"/>
        </w:rPr>
        <w:t xml:space="preserve">; </w:t>
      </w:r>
      <w:r w:rsidR="00A61899">
        <w:rPr>
          <w:rFonts w:ascii="Arial Narrow" w:hAnsi="Arial Narrow" w:cs="Calibri"/>
          <w:sz w:val="15"/>
          <w:szCs w:val="15"/>
        </w:rPr>
        <w:t>Altra</w:t>
      </w:r>
      <w:r w:rsidRPr="00456679">
        <w:rPr>
          <w:rFonts w:ascii="Arial Narrow" w:hAnsi="Arial Narrow" w:cs="Calibri"/>
          <w:sz w:val="15"/>
          <w:szCs w:val="15"/>
        </w:rPr>
        <w:t xml:space="preserve"> manif</w:t>
      </w:r>
      <w:r w:rsidR="00A61899">
        <w:rPr>
          <w:rFonts w:ascii="Arial Narrow" w:hAnsi="Arial Narrow" w:cs="Calibri"/>
          <w:sz w:val="15"/>
          <w:szCs w:val="15"/>
        </w:rPr>
        <w:t>attura</w:t>
      </w:r>
      <w:r w:rsidRPr="004D645B">
        <w:rPr>
          <w:rFonts w:ascii="Arial Narrow" w:hAnsi="Arial Narrow" w:cs="Calibri"/>
          <w:sz w:val="15"/>
          <w:szCs w:val="15"/>
        </w:rPr>
        <w:t>=</w:t>
      </w:r>
      <w:r w:rsidR="00A61899" w:rsidRPr="00A61899">
        <w:rPr>
          <w:rFonts w:ascii="Arial Narrow" w:hAnsi="Arial Narrow" w:cs="Calibri"/>
          <w:sz w:val="15"/>
          <w:szCs w:val="15"/>
        </w:rPr>
        <w:t>Articoli sportivi, giochi, strum. musicali, preziosi, strum. medici e altri prodotti n.c.a.</w:t>
      </w:r>
      <w:r w:rsidRPr="004D645B">
        <w:rPr>
          <w:rFonts w:ascii="Arial Narrow" w:hAnsi="Arial Narrow" w:cs="Calibri"/>
          <w:sz w:val="15"/>
          <w:szCs w:val="15"/>
        </w:rPr>
        <w:t xml:space="preserve">; </w:t>
      </w:r>
      <w:r w:rsidRPr="00456679">
        <w:rPr>
          <w:rFonts w:ascii="Arial Narrow" w:hAnsi="Arial Narrow" w:cs="Calibri"/>
          <w:sz w:val="15"/>
          <w:szCs w:val="15"/>
        </w:rPr>
        <w:t>Gomma-plastica</w:t>
      </w:r>
      <w:r w:rsidRPr="004D645B">
        <w:rPr>
          <w:rFonts w:ascii="Arial Narrow" w:hAnsi="Arial Narrow" w:cs="Calibri"/>
          <w:sz w:val="15"/>
          <w:szCs w:val="15"/>
        </w:rPr>
        <w:t>=</w:t>
      </w:r>
      <w:r w:rsidRPr="00456679">
        <w:rPr>
          <w:rFonts w:ascii="Arial Narrow" w:hAnsi="Arial Narrow" w:cs="Calibri"/>
          <w:sz w:val="15"/>
          <w:szCs w:val="15"/>
        </w:rPr>
        <w:t>Articoli in gomma e materie plastiche</w:t>
      </w:r>
      <w:r w:rsidRPr="004D645B">
        <w:rPr>
          <w:rFonts w:ascii="Arial Narrow" w:hAnsi="Arial Narrow" w:cs="Calibri"/>
          <w:sz w:val="15"/>
          <w:szCs w:val="15"/>
        </w:rPr>
        <w:t xml:space="preserve">; </w:t>
      </w:r>
      <w:r w:rsidRPr="00456679">
        <w:rPr>
          <w:rFonts w:ascii="Arial Narrow" w:hAnsi="Arial Narrow" w:cs="Calibri"/>
          <w:sz w:val="15"/>
          <w:szCs w:val="15"/>
        </w:rPr>
        <w:t>Pelletteria</w:t>
      </w:r>
      <w:r w:rsidRPr="004D645B">
        <w:rPr>
          <w:rFonts w:ascii="Arial Narrow" w:hAnsi="Arial Narrow" w:cs="Calibri"/>
          <w:sz w:val="15"/>
          <w:szCs w:val="15"/>
        </w:rPr>
        <w:t>=A</w:t>
      </w:r>
      <w:r w:rsidRPr="00456679">
        <w:rPr>
          <w:rFonts w:ascii="Arial Narrow" w:hAnsi="Arial Narrow" w:cs="Calibri"/>
          <w:sz w:val="15"/>
          <w:szCs w:val="15"/>
        </w:rPr>
        <w:t>rticoli in pelle (escluso abbigliamento) e simili</w:t>
      </w:r>
      <w:r w:rsidRPr="004D645B">
        <w:rPr>
          <w:rFonts w:ascii="Arial Narrow" w:hAnsi="Arial Narrow" w:cs="Calibri"/>
          <w:sz w:val="15"/>
          <w:szCs w:val="15"/>
        </w:rPr>
        <w:t xml:space="preserve">; </w:t>
      </w:r>
      <w:r w:rsidRPr="00456679">
        <w:rPr>
          <w:rFonts w:ascii="Arial Narrow" w:hAnsi="Arial Narrow" w:cs="Calibri"/>
          <w:sz w:val="15"/>
          <w:szCs w:val="15"/>
        </w:rPr>
        <w:t>Abbigliamento</w:t>
      </w:r>
      <w:r w:rsidRPr="004D645B">
        <w:rPr>
          <w:rFonts w:ascii="Arial Narrow" w:hAnsi="Arial Narrow" w:cs="Calibri"/>
          <w:sz w:val="15"/>
          <w:szCs w:val="15"/>
        </w:rPr>
        <w:t>=</w:t>
      </w:r>
      <w:r w:rsidRPr="00456679">
        <w:rPr>
          <w:rFonts w:ascii="Arial Narrow" w:hAnsi="Arial Narrow" w:cs="Calibri"/>
          <w:sz w:val="15"/>
          <w:szCs w:val="15"/>
        </w:rPr>
        <w:t>Articoli di abbigliamento (anche in pelle e in pelliccia)</w:t>
      </w:r>
      <w:r w:rsidRPr="004D645B">
        <w:rPr>
          <w:rFonts w:ascii="Arial Narrow" w:hAnsi="Arial Narrow" w:cs="Calibri"/>
          <w:sz w:val="15"/>
          <w:szCs w:val="15"/>
        </w:rPr>
        <w:t xml:space="preserve">; </w:t>
      </w:r>
      <w:r w:rsidRPr="00456679">
        <w:rPr>
          <w:rFonts w:ascii="Arial Narrow" w:hAnsi="Arial Narrow" w:cs="Calibri"/>
          <w:sz w:val="15"/>
          <w:szCs w:val="15"/>
        </w:rPr>
        <w:t>Tessili</w:t>
      </w:r>
      <w:r w:rsidRPr="004D645B">
        <w:rPr>
          <w:rFonts w:ascii="Arial Narrow" w:hAnsi="Arial Narrow" w:cs="Calibri"/>
          <w:sz w:val="15"/>
          <w:szCs w:val="15"/>
        </w:rPr>
        <w:t>=</w:t>
      </w:r>
      <w:r w:rsidRPr="00456679">
        <w:rPr>
          <w:rFonts w:ascii="Arial Narrow" w:hAnsi="Arial Narrow" w:cs="Calibri"/>
          <w:sz w:val="15"/>
          <w:szCs w:val="15"/>
        </w:rPr>
        <w:t>Prodotti tessili</w:t>
      </w:r>
      <w:r w:rsidRPr="004D645B">
        <w:rPr>
          <w:rFonts w:ascii="Arial Narrow" w:hAnsi="Arial Narrow" w:cs="Calibri"/>
          <w:sz w:val="15"/>
          <w:szCs w:val="15"/>
        </w:rPr>
        <w:t xml:space="preserve">; </w:t>
      </w:r>
      <w:r w:rsidRPr="00456679">
        <w:rPr>
          <w:rFonts w:ascii="Arial Narrow" w:hAnsi="Arial Narrow" w:cs="Calibri"/>
          <w:sz w:val="15"/>
          <w:szCs w:val="15"/>
        </w:rPr>
        <w:t>Agricoltura</w:t>
      </w:r>
      <w:r w:rsidRPr="004D645B">
        <w:rPr>
          <w:rFonts w:ascii="Arial Narrow" w:hAnsi="Arial Narrow" w:cs="Calibri"/>
          <w:sz w:val="15"/>
          <w:szCs w:val="15"/>
        </w:rPr>
        <w:t>=</w:t>
      </w:r>
      <w:r w:rsidRPr="00456679">
        <w:rPr>
          <w:rFonts w:ascii="Arial Narrow" w:hAnsi="Arial Narrow" w:cs="Calibri"/>
          <w:sz w:val="15"/>
          <w:szCs w:val="15"/>
        </w:rPr>
        <w:t>Prodotti dell'agricoltura, della silvicoltura e della pesca</w:t>
      </w:r>
      <w:r w:rsidRPr="004D645B">
        <w:rPr>
          <w:rFonts w:ascii="Arial Narrow" w:hAnsi="Arial Narrow" w:cs="Calibri"/>
          <w:sz w:val="15"/>
          <w:szCs w:val="15"/>
        </w:rPr>
        <w:t xml:space="preserve">; </w:t>
      </w:r>
      <w:r w:rsidRPr="00456679">
        <w:rPr>
          <w:rFonts w:ascii="Arial Narrow" w:hAnsi="Arial Narrow" w:cs="Calibri"/>
          <w:sz w:val="15"/>
          <w:szCs w:val="15"/>
        </w:rPr>
        <w:t>Elettronica</w:t>
      </w:r>
      <w:r w:rsidRPr="004D645B">
        <w:rPr>
          <w:rFonts w:ascii="Arial Narrow" w:hAnsi="Arial Narrow" w:cs="Calibri"/>
          <w:sz w:val="15"/>
          <w:szCs w:val="15"/>
        </w:rPr>
        <w:t>=</w:t>
      </w:r>
      <w:r w:rsidRPr="00456679">
        <w:rPr>
          <w:rFonts w:ascii="Arial Narrow" w:hAnsi="Arial Narrow" w:cs="Calibri"/>
          <w:sz w:val="15"/>
          <w:szCs w:val="15"/>
        </w:rPr>
        <w:t>Computer, apparecchi elettronici e ottici</w:t>
      </w:r>
      <w:r w:rsidRPr="004D645B">
        <w:rPr>
          <w:rFonts w:ascii="Arial Narrow" w:hAnsi="Arial Narrow" w:cs="Calibri"/>
          <w:sz w:val="15"/>
          <w:szCs w:val="15"/>
        </w:rPr>
        <w:t xml:space="preserve">; </w:t>
      </w:r>
      <w:r w:rsidRPr="00456679">
        <w:rPr>
          <w:rFonts w:ascii="Arial Narrow" w:hAnsi="Arial Narrow" w:cs="Calibri"/>
          <w:sz w:val="15"/>
          <w:szCs w:val="15"/>
        </w:rPr>
        <w:t>Raffinazione</w:t>
      </w:r>
      <w:r w:rsidRPr="004D645B">
        <w:rPr>
          <w:rFonts w:ascii="Arial Narrow" w:hAnsi="Arial Narrow" w:cs="Calibri"/>
          <w:sz w:val="15"/>
          <w:szCs w:val="15"/>
        </w:rPr>
        <w:t>=</w:t>
      </w:r>
      <w:r w:rsidRPr="00456679">
        <w:rPr>
          <w:rFonts w:ascii="Arial Narrow" w:hAnsi="Arial Narrow" w:cs="Calibri"/>
          <w:sz w:val="15"/>
          <w:szCs w:val="15"/>
        </w:rPr>
        <w:t>Coke e prodotti petroliferi raffinati</w:t>
      </w:r>
      <w:r w:rsidRPr="004D645B">
        <w:rPr>
          <w:rFonts w:ascii="Arial Narrow" w:hAnsi="Arial Narrow" w:cs="Calibri"/>
          <w:sz w:val="15"/>
          <w:szCs w:val="15"/>
        </w:rPr>
        <w:t xml:space="preserve">; </w:t>
      </w:r>
      <w:r w:rsidRPr="00456679">
        <w:rPr>
          <w:rFonts w:ascii="Arial Narrow" w:hAnsi="Arial Narrow" w:cs="Calibri"/>
          <w:sz w:val="15"/>
          <w:szCs w:val="15"/>
        </w:rPr>
        <w:t>Alimentari</w:t>
      </w:r>
      <w:r w:rsidRPr="004D645B">
        <w:rPr>
          <w:rFonts w:ascii="Arial Narrow" w:hAnsi="Arial Narrow" w:cs="Calibri"/>
          <w:sz w:val="15"/>
          <w:szCs w:val="15"/>
        </w:rPr>
        <w:t>=</w:t>
      </w:r>
      <w:r w:rsidRPr="00456679">
        <w:rPr>
          <w:rFonts w:ascii="Arial Narrow" w:hAnsi="Arial Narrow" w:cs="Calibri"/>
          <w:sz w:val="15"/>
          <w:szCs w:val="15"/>
        </w:rPr>
        <w:t>Prodotti alimentari, bevande e tabacco</w:t>
      </w:r>
      <w:r w:rsidRPr="004D645B">
        <w:rPr>
          <w:rFonts w:ascii="Arial Narrow" w:hAnsi="Arial Narrow" w:cs="Calibri"/>
          <w:sz w:val="15"/>
          <w:szCs w:val="15"/>
        </w:rPr>
        <w:t xml:space="preserve">; </w:t>
      </w:r>
      <w:r w:rsidRPr="00456679">
        <w:rPr>
          <w:rFonts w:ascii="Arial Narrow" w:hAnsi="Arial Narrow" w:cs="Calibri"/>
          <w:sz w:val="15"/>
          <w:szCs w:val="15"/>
        </w:rPr>
        <w:t>Farmaceutica</w:t>
      </w:r>
      <w:r w:rsidRPr="004D645B">
        <w:rPr>
          <w:rFonts w:ascii="Arial Narrow" w:hAnsi="Arial Narrow" w:cs="Calibri"/>
          <w:sz w:val="15"/>
          <w:szCs w:val="15"/>
        </w:rPr>
        <w:t>=</w:t>
      </w:r>
      <w:r w:rsidRPr="00456679">
        <w:rPr>
          <w:rFonts w:ascii="Arial Narrow" w:hAnsi="Arial Narrow" w:cs="Calibri"/>
          <w:sz w:val="15"/>
          <w:szCs w:val="15"/>
        </w:rPr>
        <w:t>Articoli farmaceutici, chimico-medicinali e botanici</w:t>
      </w:r>
      <w:r w:rsidR="001049FC">
        <w:rPr>
          <w:rFonts w:ascii="Arial Narrow" w:hAnsi="Arial Narrow" w:cs="Calibri"/>
          <w:sz w:val="15"/>
          <w:szCs w:val="15"/>
        </w:rPr>
        <w:t>; Energia elettrica=</w:t>
      </w:r>
      <w:r w:rsidR="001049FC" w:rsidRPr="001049FC">
        <w:rPr>
          <w:rFonts w:ascii="Arial Narrow" w:hAnsi="Arial Narrow" w:cs="Calibri"/>
          <w:sz w:val="15"/>
          <w:szCs w:val="15"/>
        </w:rPr>
        <w:t>Energia elettrica, gas, vapore e aria condizionata</w:t>
      </w:r>
      <w:r w:rsidR="001049FC">
        <w:rPr>
          <w:rFonts w:ascii="Arial Narrow" w:hAnsi="Arial Narrow" w:cs="Calibri"/>
          <w:sz w:val="15"/>
          <w:szCs w:val="15"/>
        </w:rPr>
        <w:t>.</w:t>
      </w:r>
    </w:p>
    <w:p w14:paraId="55B5FF42" w14:textId="77777777" w:rsidR="00971A17" w:rsidRDefault="00971A17" w:rsidP="00E224CF">
      <w:pPr>
        <w:spacing w:after="120"/>
        <w:jc w:val="both"/>
        <w:rPr>
          <w:rFonts w:ascii="Arial" w:hAnsi="Arial"/>
          <w:sz w:val="21"/>
          <w:szCs w:val="21"/>
        </w:rPr>
      </w:pPr>
      <w:r>
        <w:rPr>
          <w:rFonts w:ascii="Arial Narrow" w:hAnsi="Arial Narrow" w:cs="Calibri"/>
          <w:sz w:val="15"/>
          <w:szCs w:val="15"/>
        </w:rPr>
        <w:t>.</w:t>
      </w:r>
    </w:p>
    <w:p w14:paraId="420E6071" w14:textId="77777777" w:rsidR="00C6666F" w:rsidRDefault="00C6666F" w:rsidP="00BC4705">
      <w:pPr>
        <w:spacing w:after="60"/>
        <w:jc w:val="both"/>
        <w:rPr>
          <w:rFonts w:ascii="Arial" w:hAnsi="Arial"/>
          <w:sz w:val="21"/>
          <w:szCs w:val="21"/>
        </w:rPr>
      </w:pPr>
    </w:p>
    <w:p w14:paraId="3C96A43F" w14:textId="77777777" w:rsidR="00660BD3" w:rsidRDefault="00660BD3" w:rsidP="0020174D">
      <w:pPr>
        <w:spacing w:after="120"/>
        <w:jc w:val="both"/>
        <w:rPr>
          <w:rFonts w:ascii="Arial" w:hAnsi="Arial"/>
          <w:sz w:val="21"/>
          <w:szCs w:val="21"/>
        </w:rPr>
      </w:pPr>
    </w:p>
    <w:p w14:paraId="7A27CC84" w14:textId="77777777" w:rsidR="00CC2949" w:rsidRPr="00067430" w:rsidRDefault="0025622B" w:rsidP="00CC2949">
      <w:pPr>
        <w:pStyle w:val="001TitoloBolocco"/>
        <w:spacing w:after="0" w:line="240" w:lineRule="auto"/>
        <w:rPr>
          <w:rFonts w:ascii="Arial Narrow" w:hAnsi="Arial Narrow"/>
          <w:bCs w:val="0"/>
          <w:caps w:val="0"/>
          <w:sz w:val="22"/>
        </w:rPr>
      </w:pPr>
      <w:r>
        <w:rPr>
          <w:bCs w:val="0"/>
          <w:caps w:val="0"/>
        </w:rPr>
        <w:br w:type="page"/>
      </w:r>
    </w:p>
    <w:p w14:paraId="63DDD6AB" w14:textId="77777777" w:rsidR="00ED1109" w:rsidRPr="00ED1109" w:rsidRDefault="00ED1109" w:rsidP="00ED1109">
      <w:pPr>
        <w:pStyle w:val="Corpodeltesto1"/>
        <w:jc w:val="left"/>
        <w:rPr>
          <w:rFonts w:ascii="Arial Narrow" w:hAnsi="Arial Narrow"/>
          <w:bCs/>
          <w:caps/>
          <w:sz w:val="22"/>
        </w:rPr>
      </w:pPr>
    </w:p>
    <w:p w14:paraId="50813B8E" w14:textId="77777777" w:rsidR="00BF702B" w:rsidRDefault="00BF702B" w:rsidP="00BF702B">
      <w:pPr>
        <w:pStyle w:val="001TitoloBolocco"/>
        <w:spacing w:after="120" w:line="240" w:lineRule="auto"/>
      </w:pPr>
      <w:r>
        <w:rPr>
          <w:bCs w:val="0"/>
          <w:caps w:val="0"/>
        </w:rPr>
        <w:t>P</w:t>
      </w:r>
      <w:r w:rsidR="002A153A">
        <w:rPr>
          <w:bCs w:val="0"/>
          <w:caps w:val="0"/>
        </w:rPr>
        <w:t>A</w:t>
      </w:r>
      <w:r>
        <w:rPr>
          <w:bCs w:val="0"/>
          <w:caps w:val="0"/>
        </w:rPr>
        <w:t>E</w:t>
      </w:r>
      <w:r w:rsidR="002A153A">
        <w:rPr>
          <w:bCs w:val="0"/>
          <w:caps w:val="0"/>
        </w:rPr>
        <w:t>SI PARTNER NEL COMMERCIO ESTERO</w:t>
      </w:r>
    </w:p>
    <w:p w14:paraId="08D6A3D6" w14:textId="77777777" w:rsidR="00D40C17" w:rsidRPr="00D40C17" w:rsidRDefault="002A153A" w:rsidP="00D40C17">
      <w:pPr>
        <w:pStyle w:val="Corpodeltesto1"/>
        <w:jc w:val="left"/>
        <w:rPr>
          <w:rFonts w:ascii="Arial Narrow" w:hAnsi="Arial Narrow" w:cs="Arial"/>
          <w:bCs/>
          <w:color w:val="E42618"/>
          <w:kern w:val="28"/>
          <w:sz w:val="22"/>
          <w:szCs w:val="22"/>
        </w:rPr>
      </w:pPr>
      <w:r w:rsidRPr="00D40C17">
        <w:rPr>
          <w:rFonts w:ascii="Arial Narrow" w:hAnsi="Arial Narrow" w:cs="Arial"/>
          <w:bCs/>
          <w:color w:val="E42618"/>
          <w:kern w:val="28"/>
          <w:sz w:val="22"/>
          <w:szCs w:val="22"/>
        </w:rPr>
        <w:t xml:space="preserve">FIGURA </w:t>
      </w:r>
      <w:r w:rsidR="00864908" w:rsidRPr="00D40C17">
        <w:rPr>
          <w:rFonts w:ascii="Arial Narrow" w:hAnsi="Arial Narrow" w:cs="Arial"/>
          <w:bCs/>
          <w:color w:val="E42618"/>
          <w:kern w:val="28"/>
          <w:sz w:val="22"/>
          <w:szCs w:val="22"/>
        </w:rPr>
        <w:t>8</w:t>
      </w:r>
      <w:r w:rsidRPr="00D40C17">
        <w:rPr>
          <w:rFonts w:ascii="Arial Narrow" w:hAnsi="Arial Narrow" w:cs="Arial"/>
          <w:bCs/>
          <w:color w:val="E42618"/>
          <w:kern w:val="28"/>
          <w:sz w:val="22"/>
          <w:szCs w:val="22"/>
        </w:rPr>
        <w:t xml:space="preserve">. </w:t>
      </w:r>
      <w:r w:rsidR="00D40C17" w:rsidRPr="00D40C17">
        <w:rPr>
          <w:rFonts w:ascii="Arial Narrow" w:hAnsi="Arial Narrow" w:cs="Arial"/>
          <w:bCs/>
          <w:color w:val="5F5F5F"/>
          <w:kern w:val="28"/>
          <w:sz w:val="22"/>
          <w:szCs w:val="22"/>
        </w:rPr>
        <w:t>PRINCIPALI PARTNER COMMERCIALI: GRADUATORIA DEI PAESI SECONDO I CONTRIBUTI ALL’</w:t>
      </w:r>
      <w:r w:rsidR="00D40C17" w:rsidRPr="00D40C17">
        <w:rPr>
          <w:rFonts w:ascii="Arial Narrow" w:hAnsi="Arial Narrow" w:cs="Arial"/>
          <w:bCs/>
          <w:color w:val="E42618"/>
          <w:kern w:val="28"/>
          <w:sz w:val="22"/>
          <w:szCs w:val="22"/>
        </w:rPr>
        <w:t xml:space="preserve"> </w:t>
      </w:r>
      <w:r w:rsidR="00D40C17" w:rsidRPr="00D40C17">
        <w:rPr>
          <w:rFonts w:ascii="Arial Narrow" w:hAnsi="Arial Narrow" w:cs="Arial"/>
          <w:bCs/>
          <w:color w:val="5F5F5F"/>
          <w:kern w:val="28"/>
          <w:sz w:val="22"/>
          <w:szCs w:val="22"/>
        </w:rPr>
        <w:t xml:space="preserve">EXPORT  </w:t>
      </w:r>
      <w:r w:rsidR="00D40C17" w:rsidRPr="00D40C17">
        <w:rPr>
          <w:rFonts w:ascii="Arial Narrow" w:hAnsi="Arial Narrow" w:cs="Arial"/>
          <w:bCs/>
          <w:color w:val="E42618"/>
          <w:kern w:val="28"/>
          <w:sz w:val="22"/>
          <w:szCs w:val="22"/>
        </w:rPr>
        <w:t xml:space="preserve">  </w:t>
      </w:r>
    </w:p>
    <w:p w14:paraId="2D57F5C7" w14:textId="595C15C4" w:rsidR="00041D56" w:rsidRDefault="00E232B2" w:rsidP="00041D56">
      <w:pPr>
        <w:pStyle w:val="Corpodeltesto1"/>
        <w:spacing w:after="120"/>
        <w:jc w:val="left"/>
        <w:rPr>
          <w:rFonts w:ascii="Arial Narrow" w:hAnsi="Arial Narrow" w:cs="Arial"/>
          <w:b w:val="0"/>
          <w:bCs/>
          <w:color w:val="5F5F5F"/>
          <w:kern w:val="28"/>
          <w:sz w:val="20"/>
          <w:szCs w:val="22"/>
        </w:rPr>
      </w:pPr>
      <w:r w:rsidRPr="00E232B2">
        <w:rPr>
          <w:rFonts w:ascii="Arial Narrow" w:hAnsi="Arial Narrow" w:cs="Arial"/>
          <w:b w:val="0"/>
          <w:color w:val="5F5F5F"/>
          <w:kern w:val="28"/>
          <w:sz w:val="20"/>
          <w:szCs w:val="20"/>
        </w:rPr>
        <w:t>Gennaio 2025</w:t>
      </w:r>
      <w:r w:rsidR="00041D56" w:rsidRPr="005C343A">
        <w:rPr>
          <w:rFonts w:ascii="Arial Narrow" w:hAnsi="Arial Narrow" w:cs="Arial"/>
          <w:b w:val="0"/>
          <w:color w:val="5F5F5F"/>
          <w:kern w:val="28"/>
          <w:sz w:val="20"/>
          <w:szCs w:val="20"/>
        </w:rPr>
        <w:t>, contributi alla variazione in punti percentuali e vari</w:t>
      </w:r>
      <w:r w:rsidR="00041D56">
        <w:rPr>
          <w:rFonts w:ascii="Arial Narrow" w:hAnsi="Arial Narrow" w:cs="Arial"/>
          <w:b w:val="0"/>
          <w:color w:val="5F5F5F"/>
          <w:kern w:val="28"/>
          <w:sz w:val="20"/>
          <w:szCs w:val="20"/>
        </w:rPr>
        <w:t>azioni</w:t>
      </w:r>
      <w:r w:rsidR="00041D56" w:rsidRPr="005C343A">
        <w:rPr>
          <w:rFonts w:ascii="Arial Narrow" w:hAnsi="Arial Narrow" w:cs="Arial"/>
          <w:b w:val="0"/>
          <w:color w:val="5F5F5F"/>
          <w:kern w:val="28"/>
          <w:sz w:val="20"/>
          <w:szCs w:val="20"/>
        </w:rPr>
        <w:t xml:space="preserve"> percentuali tendenziali</w:t>
      </w:r>
      <w:r w:rsidR="00041D56">
        <w:rPr>
          <w:rFonts w:ascii="Arial Narrow" w:hAnsi="Arial Narrow" w:cs="Arial"/>
          <w:b w:val="0"/>
          <w:color w:val="5F5F5F"/>
          <w:kern w:val="28"/>
          <w:sz w:val="20"/>
          <w:szCs w:val="20"/>
        </w:rPr>
        <w:t xml:space="preserve"> </w:t>
      </w:r>
      <w:r w:rsidR="00041D56" w:rsidRPr="00E35121">
        <w:rPr>
          <w:rFonts w:ascii="Arial Narrow" w:hAnsi="Arial Narrow" w:cs="Arial"/>
          <w:b w:val="0"/>
          <w:bCs/>
          <w:color w:val="5F5F5F"/>
          <w:kern w:val="28"/>
          <w:sz w:val="20"/>
          <w:szCs w:val="22"/>
        </w:rPr>
        <w:t>(a)</w:t>
      </w:r>
    </w:p>
    <w:p w14:paraId="227C8D24" w14:textId="5059F426" w:rsidR="009C775F" w:rsidRDefault="00D20998" w:rsidP="00041D56">
      <w:pPr>
        <w:pStyle w:val="Corpodeltesto1"/>
        <w:spacing w:after="120"/>
        <w:jc w:val="left"/>
        <w:rPr>
          <w:rFonts w:ascii="Arial Narrow" w:hAnsi="Arial Narrow" w:cs="Arial"/>
          <w:b w:val="0"/>
          <w:bCs/>
          <w:color w:val="5F5F5F"/>
          <w:kern w:val="28"/>
          <w:sz w:val="20"/>
          <w:szCs w:val="22"/>
        </w:rPr>
      </w:pPr>
      <w:r>
        <w:rPr>
          <w:noProof/>
        </w:rPr>
        <w:drawing>
          <wp:inline distT="0" distB="0" distL="0" distR="0" wp14:anchorId="25F83F15" wp14:editId="65D46FF0">
            <wp:extent cx="6660000" cy="2160000"/>
            <wp:effectExtent l="0" t="0" r="7620" b="0"/>
            <wp:docPr id="32" name="Grafico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1F3F5A3F" w14:textId="77777777" w:rsidR="009D29C9" w:rsidRDefault="009D29C9" w:rsidP="00763EB2">
      <w:pPr>
        <w:pStyle w:val="Corpodeltesto1"/>
        <w:rPr>
          <w:rFonts w:ascii="Arial Narrow" w:hAnsi="Arial Narrow" w:cs="Arial"/>
          <w:color w:val="E42618"/>
          <w:kern w:val="28"/>
          <w:sz w:val="22"/>
          <w:szCs w:val="22"/>
        </w:rPr>
      </w:pPr>
    </w:p>
    <w:p w14:paraId="5C75F741" w14:textId="77777777" w:rsidR="00B145A1" w:rsidRDefault="00B145A1" w:rsidP="00763EB2">
      <w:pPr>
        <w:pStyle w:val="Corpodeltesto1"/>
        <w:rPr>
          <w:rFonts w:ascii="Arial Narrow" w:hAnsi="Arial Narrow" w:cs="Arial"/>
          <w:bCs/>
          <w:color w:val="5F5F5F"/>
          <w:kern w:val="28"/>
          <w:sz w:val="22"/>
          <w:szCs w:val="22"/>
        </w:rPr>
      </w:pPr>
      <w:r w:rsidRPr="002A153A">
        <w:rPr>
          <w:rFonts w:ascii="Arial Narrow" w:hAnsi="Arial Narrow" w:cs="Arial"/>
          <w:color w:val="E42618"/>
          <w:kern w:val="28"/>
          <w:sz w:val="22"/>
          <w:szCs w:val="22"/>
        </w:rPr>
        <w:t xml:space="preserve">FIGURA </w:t>
      </w:r>
      <w:r>
        <w:rPr>
          <w:rFonts w:ascii="Arial Narrow" w:hAnsi="Arial Narrow" w:cs="Arial"/>
          <w:color w:val="E42618"/>
          <w:kern w:val="28"/>
          <w:sz w:val="22"/>
          <w:szCs w:val="22"/>
        </w:rPr>
        <w:t>9</w:t>
      </w:r>
      <w:r w:rsidRPr="002A153A">
        <w:rPr>
          <w:rFonts w:ascii="Arial Narrow" w:hAnsi="Arial Narrow" w:cs="Arial"/>
          <w:color w:val="E42618"/>
          <w:kern w:val="28"/>
          <w:sz w:val="22"/>
          <w:szCs w:val="22"/>
        </w:rPr>
        <w:t>.</w:t>
      </w:r>
      <w:r w:rsidRPr="00B37F7D">
        <w:rPr>
          <w:rFonts w:ascii="Arial Narrow" w:hAnsi="Arial Narrow" w:cs="Arial"/>
          <w:color w:val="5F5F5F"/>
          <w:spacing w:val="-8"/>
          <w:sz w:val="20"/>
        </w:rPr>
        <w:t xml:space="preserve"> </w:t>
      </w:r>
      <w:r w:rsidR="00D40C17" w:rsidRPr="00D40C17">
        <w:rPr>
          <w:rFonts w:ascii="Arial Narrow" w:hAnsi="Arial Narrow" w:cs="Arial"/>
          <w:bCs/>
          <w:color w:val="5F5F5F"/>
          <w:kern w:val="28"/>
          <w:sz w:val="22"/>
          <w:szCs w:val="22"/>
        </w:rPr>
        <w:t>PRINCIPALI PARTNER COMMERCIALI: GRADUATORIA DEI PAESI SECONDO I CONTRIBUTI ALL’</w:t>
      </w:r>
      <w:r w:rsidR="00D40C17" w:rsidRPr="00D40C17">
        <w:rPr>
          <w:rFonts w:ascii="Arial Narrow" w:hAnsi="Arial Narrow" w:cs="Arial"/>
          <w:bCs/>
          <w:color w:val="E42618"/>
          <w:kern w:val="28"/>
          <w:sz w:val="22"/>
          <w:szCs w:val="22"/>
        </w:rPr>
        <w:t xml:space="preserve"> </w:t>
      </w:r>
      <w:r w:rsidR="00D40C17">
        <w:rPr>
          <w:rFonts w:ascii="Arial Narrow" w:hAnsi="Arial Narrow" w:cs="Arial"/>
          <w:bCs/>
          <w:color w:val="5F5F5F"/>
          <w:kern w:val="28"/>
          <w:sz w:val="22"/>
          <w:szCs w:val="22"/>
        </w:rPr>
        <w:t>IM</w:t>
      </w:r>
      <w:r w:rsidR="00D40C17" w:rsidRPr="00D40C17">
        <w:rPr>
          <w:rFonts w:ascii="Arial Narrow" w:hAnsi="Arial Narrow" w:cs="Arial"/>
          <w:bCs/>
          <w:color w:val="5F5F5F"/>
          <w:kern w:val="28"/>
          <w:sz w:val="22"/>
          <w:szCs w:val="22"/>
        </w:rPr>
        <w:t xml:space="preserve">PORT  </w:t>
      </w:r>
      <w:r w:rsidR="00D40C17" w:rsidRPr="00D40C17">
        <w:rPr>
          <w:rFonts w:ascii="Arial Narrow" w:hAnsi="Arial Narrow" w:cs="Arial"/>
          <w:bCs/>
          <w:color w:val="E42618"/>
          <w:kern w:val="28"/>
          <w:sz w:val="22"/>
          <w:szCs w:val="22"/>
        </w:rPr>
        <w:t xml:space="preserve">  </w:t>
      </w:r>
    </w:p>
    <w:p w14:paraId="349B66AF" w14:textId="64CAC2FD" w:rsidR="00041D56" w:rsidRDefault="00E232B2" w:rsidP="00041D56">
      <w:pPr>
        <w:pStyle w:val="Corpodeltesto1"/>
        <w:spacing w:after="120"/>
        <w:jc w:val="left"/>
        <w:rPr>
          <w:rFonts w:ascii="Arial Narrow" w:hAnsi="Arial Narrow" w:cs="Arial"/>
          <w:b w:val="0"/>
          <w:bCs/>
          <w:color w:val="5F5F5F"/>
          <w:kern w:val="28"/>
          <w:sz w:val="20"/>
          <w:szCs w:val="22"/>
        </w:rPr>
      </w:pPr>
      <w:r w:rsidRPr="00E232B2">
        <w:rPr>
          <w:rFonts w:ascii="Arial Narrow" w:hAnsi="Arial Narrow" w:cs="Arial"/>
          <w:b w:val="0"/>
          <w:color w:val="5F5F5F"/>
          <w:kern w:val="28"/>
          <w:sz w:val="20"/>
          <w:szCs w:val="20"/>
        </w:rPr>
        <w:t>Gennaio 2025</w:t>
      </w:r>
      <w:r w:rsidR="00041D56" w:rsidRPr="005C343A">
        <w:rPr>
          <w:rFonts w:ascii="Arial Narrow" w:hAnsi="Arial Narrow" w:cs="Arial"/>
          <w:b w:val="0"/>
          <w:color w:val="5F5F5F"/>
          <w:kern w:val="28"/>
          <w:sz w:val="20"/>
          <w:szCs w:val="20"/>
        </w:rPr>
        <w:t>, contributi alla variazione in punti percentuali e vari</w:t>
      </w:r>
      <w:r w:rsidR="00041D56">
        <w:rPr>
          <w:rFonts w:ascii="Arial Narrow" w:hAnsi="Arial Narrow" w:cs="Arial"/>
          <w:b w:val="0"/>
          <w:color w:val="5F5F5F"/>
          <w:kern w:val="28"/>
          <w:sz w:val="20"/>
          <w:szCs w:val="20"/>
        </w:rPr>
        <w:t>azioni</w:t>
      </w:r>
      <w:r w:rsidR="00041D56" w:rsidRPr="005C343A">
        <w:rPr>
          <w:rFonts w:ascii="Arial Narrow" w:hAnsi="Arial Narrow" w:cs="Arial"/>
          <w:b w:val="0"/>
          <w:color w:val="5F5F5F"/>
          <w:kern w:val="28"/>
          <w:sz w:val="20"/>
          <w:szCs w:val="20"/>
        </w:rPr>
        <w:t xml:space="preserve"> percentuali tendenziali</w:t>
      </w:r>
      <w:r w:rsidR="00041D56">
        <w:rPr>
          <w:rFonts w:ascii="Arial Narrow" w:hAnsi="Arial Narrow" w:cs="Arial"/>
          <w:b w:val="0"/>
          <w:color w:val="5F5F5F"/>
          <w:kern w:val="28"/>
          <w:sz w:val="20"/>
          <w:szCs w:val="20"/>
        </w:rPr>
        <w:t xml:space="preserve"> </w:t>
      </w:r>
      <w:r w:rsidR="00041D56" w:rsidRPr="00E35121">
        <w:rPr>
          <w:rFonts w:ascii="Arial Narrow" w:hAnsi="Arial Narrow" w:cs="Arial"/>
          <w:b w:val="0"/>
          <w:bCs/>
          <w:color w:val="5F5F5F"/>
          <w:kern w:val="28"/>
          <w:sz w:val="20"/>
          <w:szCs w:val="22"/>
        </w:rPr>
        <w:t>(a)</w:t>
      </w:r>
    </w:p>
    <w:p w14:paraId="48BF1AE5" w14:textId="1488F651" w:rsidR="009C775F" w:rsidRDefault="00D20998" w:rsidP="00041D56">
      <w:pPr>
        <w:pStyle w:val="Corpodeltesto1"/>
        <w:spacing w:after="120"/>
        <w:jc w:val="left"/>
        <w:rPr>
          <w:rFonts w:ascii="Arial Narrow" w:hAnsi="Arial Narrow" w:cs="Arial"/>
          <w:b w:val="0"/>
          <w:bCs/>
          <w:color w:val="5F5F5F"/>
          <w:kern w:val="28"/>
          <w:sz w:val="20"/>
          <w:szCs w:val="22"/>
        </w:rPr>
      </w:pPr>
      <w:r>
        <w:rPr>
          <w:noProof/>
        </w:rPr>
        <w:drawing>
          <wp:inline distT="0" distB="0" distL="0" distR="0" wp14:anchorId="655E4443" wp14:editId="0451F11B">
            <wp:extent cx="6660000" cy="2160000"/>
            <wp:effectExtent l="0" t="0" r="7620" b="0"/>
            <wp:docPr id="1" name="Grafico 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6779C6E" w14:textId="2A684533" w:rsidR="00C22E24" w:rsidRDefault="00C0323B" w:rsidP="00C22E24">
      <w:pPr>
        <w:spacing w:before="60"/>
        <w:jc w:val="both"/>
        <w:rPr>
          <w:rFonts w:ascii="Arial Narrow" w:hAnsi="Arial Narrow" w:cs="Calibri"/>
          <w:sz w:val="15"/>
          <w:szCs w:val="15"/>
        </w:rPr>
      </w:pPr>
      <w:r w:rsidRPr="009F2C56">
        <w:rPr>
          <w:rFonts w:ascii="Arial Narrow" w:hAnsi="Arial Narrow" w:cs="Calibri"/>
          <w:sz w:val="15"/>
          <w:szCs w:val="15"/>
        </w:rPr>
        <w:t xml:space="preserve">(a) </w:t>
      </w:r>
      <w:r w:rsidRPr="00C97A46">
        <w:rPr>
          <w:rFonts w:ascii="Arial Narrow" w:hAnsi="Arial Narrow" w:cs="Calibri"/>
          <w:sz w:val="15"/>
          <w:szCs w:val="15"/>
        </w:rPr>
        <w:t>Limitatamente ai paesi la cui quota sull</w:t>
      </w:r>
      <w:r w:rsidR="00B67619">
        <w:rPr>
          <w:rFonts w:ascii="Arial Narrow" w:hAnsi="Arial Narrow" w:cs="Calibri"/>
          <w:sz w:val="15"/>
          <w:szCs w:val="15"/>
        </w:rPr>
        <w:t>’export (import)</w:t>
      </w:r>
      <w:r w:rsidR="001E77DD">
        <w:rPr>
          <w:rFonts w:ascii="Arial Narrow" w:hAnsi="Arial Narrow" w:cs="Calibri"/>
          <w:sz w:val="15"/>
          <w:szCs w:val="15"/>
        </w:rPr>
        <w:t xml:space="preserve"> per l’anno 202</w:t>
      </w:r>
      <w:r w:rsidR="007F1DD5">
        <w:rPr>
          <w:rFonts w:ascii="Arial Narrow" w:hAnsi="Arial Narrow" w:cs="Calibri"/>
          <w:sz w:val="15"/>
          <w:szCs w:val="15"/>
        </w:rPr>
        <w:t xml:space="preserve">4 </w:t>
      </w:r>
      <w:r w:rsidRPr="00C97A46">
        <w:rPr>
          <w:rFonts w:ascii="Arial Narrow" w:hAnsi="Arial Narrow" w:cs="Calibri"/>
          <w:sz w:val="15"/>
          <w:szCs w:val="15"/>
        </w:rPr>
        <w:t>è superiore all’1%.</w:t>
      </w:r>
    </w:p>
    <w:p w14:paraId="15B90E9E" w14:textId="77777777" w:rsidR="00C0323B" w:rsidRDefault="00C0323B" w:rsidP="00E74CD4">
      <w:pPr>
        <w:spacing w:before="60"/>
        <w:jc w:val="both"/>
        <w:rPr>
          <w:rFonts w:ascii="Arial Narrow" w:hAnsi="Arial Narrow" w:cs="Calibri"/>
          <w:sz w:val="15"/>
          <w:szCs w:val="15"/>
        </w:rPr>
      </w:pPr>
    </w:p>
    <w:p w14:paraId="7C670B22" w14:textId="77777777" w:rsidR="00833A77" w:rsidRPr="00055CB6" w:rsidRDefault="00525F9A" w:rsidP="00E84E4F">
      <w:pPr>
        <w:pStyle w:val="001TitoloBolocco"/>
        <w:spacing w:after="120" w:line="240" w:lineRule="auto"/>
      </w:pPr>
      <w:r w:rsidRPr="00055CB6">
        <w:rPr>
          <w:bCs w:val="0"/>
          <w:caps w:val="0"/>
        </w:rPr>
        <w:t>A</w:t>
      </w:r>
      <w:r w:rsidR="00885870" w:rsidRPr="00055CB6">
        <w:rPr>
          <w:bCs w:val="0"/>
          <w:caps w:val="0"/>
        </w:rPr>
        <w:t>NALISI PER PRODOTTO E PAESE</w:t>
      </w:r>
    </w:p>
    <w:p w14:paraId="3D4E83CD" w14:textId="1EB21BA7" w:rsidR="004A51D8" w:rsidRDefault="00D77A2A" w:rsidP="00F76F78">
      <w:pPr>
        <w:pStyle w:val="Corpotesto1"/>
        <w:spacing w:after="120"/>
        <w:rPr>
          <w:rFonts w:ascii="Arial" w:hAnsi="Arial"/>
          <w:b w:val="0"/>
          <w:sz w:val="21"/>
          <w:szCs w:val="21"/>
          <w:lang w:val="it-IT" w:eastAsia="it-IT"/>
        </w:rPr>
      </w:pPr>
      <w:r>
        <w:rPr>
          <w:rFonts w:ascii="Arial" w:hAnsi="Arial"/>
          <w:b w:val="0"/>
          <w:sz w:val="21"/>
          <w:szCs w:val="21"/>
          <w:lang w:val="it-IT" w:eastAsia="it-IT"/>
        </w:rPr>
        <w:t>In base alle</w:t>
      </w:r>
      <w:r w:rsidR="00F76F78" w:rsidRPr="00CC4A6F">
        <w:rPr>
          <w:rFonts w:ascii="Arial" w:hAnsi="Arial"/>
          <w:b w:val="0"/>
          <w:sz w:val="21"/>
          <w:szCs w:val="21"/>
          <w:lang w:val="it-IT" w:eastAsia="it-IT"/>
        </w:rPr>
        <w:t xml:space="preserve"> elaborazioni allegate a questa statistica flash</w:t>
      </w:r>
      <w:r w:rsidR="00E84CCE">
        <w:rPr>
          <w:rFonts w:ascii="Arial" w:hAnsi="Arial"/>
          <w:b w:val="0"/>
          <w:sz w:val="21"/>
          <w:szCs w:val="21"/>
          <w:lang w:val="it-IT" w:eastAsia="it-IT"/>
        </w:rPr>
        <w:t>,</w:t>
      </w:r>
      <w:r w:rsidR="00F76F78" w:rsidRPr="00CC4A6F">
        <w:rPr>
          <w:rFonts w:ascii="Arial" w:hAnsi="Arial"/>
          <w:b w:val="0"/>
          <w:sz w:val="21"/>
          <w:szCs w:val="21"/>
          <w:lang w:val="it-IT" w:eastAsia="it-IT"/>
        </w:rPr>
        <w:t xml:space="preserve"> nel file “Grafici aggiuntivi commercio estero”, </w:t>
      </w:r>
      <w:r w:rsidR="00AC39A3">
        <w:rPr>
          <w:rFonts w:ascii="Arial" w:hAnsi="Arial"/>
          <w:b w:val="0"/>
          <w:sz w:val="21"/>
          <w:szCs w:val="21"/>
          <w:lang w:val="it-IT" w:eastAsia="it-IT"/>
        </w:rPr>
        <w:t xml:space="preserve">risulta che </w:t>
      </w:r>
      <w:r w:rsidR="00FD2274">
        <w:rPr>
          <w:rFonts w:ascii="Arial" w:hAnsi="Arial"/>
          <w:b w:val="0"/>
          <w:sz w:val="21"/>
          <w:szCs w:val="21"/>
          <w:lang w:val="it-IT" w:eastAsia="it-IT"/>
        </w:rPr>
        <w:t>l</w:t>
      </w:r>
      <w:r w:rsidR="000857C5">
        <w:rPr>
          <w:rFonts w:ascii="Arial" w:hAnsi="Arial"/>
          <w:b w:val="0"/>
          <w:sz w:val="21"/>
          <w:szCs w:val="21"/>
          <w:lang w:val="it-IT" w:eastAsia="it-IT"/>
        </w:rPr>
        <w:t xml:space="preserve">a crescita </w:t>
      </w:r>
      <w:r w:rsidR="00F76F78">
        <w:rPr>
          <w:rFonts w:ascii="Arial" w:hAnsi="Arial"/>
          <w:b w:val="0"/>
          <w:sz w:val="21"/>
          <w:szCs w:val="21"/>
          <w:lang w:val="it-IT" w:eastAsia="it-IT"/>
        </w:rPr>
        <w:t>te</w:t>
      </w:r>
      <w:r w:rsidR="00F6015F">
        <w:rPr>
          <w:rFonts w:ascii="Arial" w:hAnsi="Arial"/>
          <w:b w:val="0"/>
          <w:sz w:val="21"/>
          <w:szCs w:val="21"/>
          <w:lang w:val="it-IT" w:eastAsia="it-IT"/>
        </w:rPr>
        <w:t xml:space="preserve">ndenziale dell’export è </w:t>
      </w:r>
      <w:r w:rsidR="00AC39A3">
        <w:rPr>
          <w:rFonts w:ascii="Arial" w:hAnsi="Arial"/>
          <w:b w:val="0"/>
          <w:sz w:val="21"/>
          <w:szCs w:val="21"/>
          <w:lang w:val="it-IT" w:eastAsia="it-IT"/>
        </w:rPr>
        <w:t>spiegat</w:t>
      </w:r>
      <w:r w:rsidR="000857C5">
        <w:rPr>
          <w:rFonts w:ascii="Arial" w:hAnsi="Arial"/>
          <w:b w:val="0"/>
          <w:sz w:val="21"/>
          <w:szCs w:val="21"/>
          <w:lang w:val="it-IT" w:eastAsia="it-IT"/>
        </w:rPr>
        <w:t>a</w:t>
      </w:r>
      <w:r w:rsidR="00484BF7">
        <w:rPr>
          <w:rFonts w:ascii="Arial" w:hAnsi="Arial"/>
          <w:b w:val="0"/>
          <w:sz w:val="21"/>
          <w:szCs w:val="21"/>
          <w:lang w:val="it-IT" w:eastAsia="it-IT"/>
        </w:rPr>
        <w:t xml:space="preserve"> per 1,</w:t>
      </w:r>
      <w:r w:rsidR="00FD4AF9">
        <w:rPr>
          <w:rFonts w:ascii="Arial" w:hAnsi="Arial"/>
          <w:b w:val="0"/>
          <w:sz w:val="21"/>
          <w:szCs w:val="21"/>
          <w:lang w:val="it-IT" w:eastAsia="it-IT"/>
        </w:rPr>
        <w:t>5</w:t>
      </w:r>
      <w:r w:rsidR="00484BF7">
        <w:rPr>
          <w:rFonts w:ascii="Arial" w:hAnsi="Arial"/>
          <w:b w:val="0"/>
          <w:sz w:val="21"/>
          <w:szCs w:val="21"/>
          <w:lang w:val="it-IT" w:eastAsia="it-IT"/>
        </w:rPr>
        <w:t xml:space="preserve"> </w:t>
      </w:r>
      <w:r w:rsidR="00FD2274">
        <w:rPr>
          <w:rFonts w:ascii="Arial" w:hAnsi="Arial"/>
          <w:b w:val="0"/>
          <w:sz w:val="21"/>
          <w:szCs w:val="21"/>
          <w:lang w:val="it-IT" w:eastAsia="it-IT"/>
        </w:rPr>
        <w:t>punt</w:t>
      </w:r>
      <w:r w:rsidR="00484BF7">
        <w:rPr>
          <w:rFonts w:ascii="Arial" w:hAnsi="Arial"/>
          <w:b w:val="0"/>
          <w:sz w:val="21"/>
          <w:szCs w:val="21"/>
          <w:lang w:val="it-IT" w:eastAsia="it-IT"/>
        </w:rPr>
        <w:t>i</w:t>
      </w:r>
      <w:r w:rsidR="00FD2274">
        <w:rPr>
          <w:rFonts w:ascii="Arial" w:hAnsi="Arial"/>
          <w:b w:val="0"/>
          <w:sz w:val="21"/>
          <w:szCs w:val="21"/>
          <w:lang w:val="it-IT" w:eastAsia="it-IT"/>
        </w:rPr>
        <w:t xml:space="preserve"> percentual</w:t>
      </w:r>
      <w:r w:rsidR="00484BF7">
        <w:rPr>
          <w:rFonts w:ascii="Arial" w:hAnsi="Arial"/>
          <w:b w:val="0"/>
          <w:sz w:val="21"/>
          <w:szCs w:val="21"/>
          <w:lang w:val="it-IT" w:eastAsia="it-IT"/>
        </w:rPr>
        <w:t>i</w:t>
      </w:r>
      <w:r w:rsidR="00FD2274">
        <w:rPr>
          <w:rFonts w:ascii="Arial" w:hAnsi="Arial"/>
          <w:b w:val="0"/>
          <w:sz w:val="21"/>
          <w:szCs w:val="21"/>
          <w:lang w:val="it-IT" w:eastAsia="it-IT"/>
        </w:rPr>
        <w:t xml:space="preserve"> </w:t>
      </w:r>
      <w:r w:rsidR="007A48E2">
        <w:rPr>
          <w:rFonts w:ascii="Arial" w:hAnsi="Arial"/>
          <w:b w:val="0"/>
          <w:sz w:val="21"/>
          <w:szCs w:val="21"/>
          <w:lang w:val="it-IT" w:eastAsia="it-IT"/>
        </w:rPr>
        <w:t>dall</w:t>
      </w:r>
      <w:r w:rsidR="000857C5">
        <w:rPr>
          <w:rFonts w:ascii="Arial" w:hAnsi="Arial"/>
          <w:b w:val="0"/>
          <w:sz w:val="21"/>
          <w:szCs w:val="21"/>
          <w:lang w:val="it-IT" w:eastAsia="it-IT"/>
        </w:rPr>
        <w:t xml:space="preserve">’aumento </w:t>
      </w:r>
      <w:r w:rsidR="00F76F78">
        <w:rPr>
          <w:rFonts w:ascii="Arial" w:hAnsi="Arial"/>
          <w:b w:val="0"/>
          <w:sz w:val="21"/>
          <w:szCs w:val="21"/>
          <w:lang w:val="it-IT" w:eastAsia="it-IT"/>
        </w:rPr>
        <w:t xml:space="preserve">delle vendite </w:t>
      </w:r>
      <w:r w:rsidR="000857C5">
        <w:rPr>
          <w:rFonts w:ascii="Arial" w:hAnsi="Arial"/>
          <w:b w:val="0"/>
          <w:sz w:val="21"/>
          <w:szCs w:val="21"/>
          <w:lang w:val="it-IT" w:eastAsia="it-IT"/>
        </w:rPr>
        <w:t xml:space="preserve">di </w:t>
      </w:r>
      <w:r w:rsidR="00FD4AF9" w:rsidRPr="000857C5">
        <w:rPr>
          <w:rFonts w:ascii="Arial" w:hAnsi="Arial"/>
          <w:b w:val="0"/>
          <w:sz w:val="21"/>
          <w:szCs w:val="21"/>
          <w:lang w:val="it-IT" w:eastAsia="it-IT"/>
        </w:rPr>
        <w:t xml:space="preserve">articoli farmaceutici, chimico-medicinali e botanici </w:t>
      </w:r>
      <w:r w:rsidR="000857C5">
        <w:rPr>
          <w:rFonts w:ascii="Arial" w:hAnsi="Arial"/>
          <w:b w:val="0"/>
          <w:sz w:val="21"/>
          <w:szCs w:val="21"/>
          <w:lang w:val="it-IT" w:eastAsia="it-IT"/>
        </w:rPr>
        <w:t xml:space="preserve">verso </w:t>
      </w:r>
      <w:r w:rsidR="00FD4AF9">
        <w:rPr>
          <w:rFonts w:ascii="Arial" w:hAnsi="Arial"/>
          <w:b w:val="0"/>
          <w:sz w:val="21"/>
          <w:szCs w:val="21"/>
          <w:lang w:val="it-IT" w:eastAsia="it-IT"/>
        </w:rPr>
        <w:t>Stati Uniti, Regno Unito, Francia e Germania</w:t>
      </w:r>
      <w:r w:rsidR="000857C5">
        <w:rPr>
          <w:rFonts w:ascii="Arial" w:hAnsi="Arial"/>
          <w:b w:val="0"/>
          <w:sz w:val="21"/>
          <w:szCs w:val="21"/>
          <w:lang w:val="it-IT" w:eastAsia="it-IT"/>
        </w:rPr>
        <w:t>.</w:t>
      </w:r>
      <w:r w:rsidR="0048181F">
        <w:rPr>
          <w:rFonts w:ascii="Arial" w:hAnsi="Arial"/>
          <w:b w:val="0"/>
          <w:sz w:val="21"/>
          <w:szCs w:val="21"/>
          <w:lang w:val="it-IT" w:eastAsia="it-IT"/>
        </w:rPr>
        <w:t xml:space="preserve"> </w:t>
      </w:r>
      <w:r w:rsidR="007A48E2">
        <w:rPr>
          <w:rFonts w:ascii="Arial" w:hAnsi="Arial"/>
          <w:b w:val="0"/>
          <w:sz w:val="21"/>
          <w:szCs w:val="21"/>
          <w:lang w:val="it-IT" w:eastAsia="it-IT"/>
        </w:rPr>
        <w:t xml:space="preserve">Un ulteriore contributo </w:t>
      </w:r>
      <w:r w:rsidR="00FD5674">
        <w:rPr>
          <w:rFonts w:ascii="Arial" w:hAnsi="Arial"/>
          <w:b w:val="0"/>
          <w:sz w:val="21"/>
          <w:szCs w:val="21"/>
          <w:lang w:val="it-IT" w:eastAsia="it-IT"/>
        </w:rPr>
        <w:t>positivo</w:t>
      </w:r>
      <w:r w:rsidR="00484BF7">
        <w:rPr>
          <w:rFonts w:ascii="Arial" w:hAnsi="Arial"/>
          <w:b w:val="0"/>
          <w:sz w:val="21"/>
          <w:szCs w:val="21"/>
          <w:lang w:val="it-IT" w:eastAsia="it-IT"/>
        </w:rPr>
        <w:t xml:space="preserve"> di </w:t>
      </w:r>
      <w:r w:rsidR="00FD4AF9">
        <w:rPr>
          <w:rFonts w:ascii="Arial" w:hAnsi="Arial"/>
          <w:b w:val="0"/>
          <w:sz w:val="21"/>
          <w:szCs w:val="21"/>
          <w:lang w:val="it-IT" w:eastAsia="it-IT"/>
        </w:rPr>
        <w:t xml:space="preserve">0,5 punti </w:t>
      </w:r>
      <w:r w:rsidR="007A48E2">
        <w:rPr>
          <w:rFonts w:ascii="Arial" w:hAnsi="Arial"/>
          <w:b w:val="0"/>
          <w:sz w:val="21"/>
          <w:szCs w:val="21"/>
          <w:lang w:val="it-IT" w:eastAsia="it-IT"/>
        </w:rPr>
        <w:t xml:space="preserve">deriva dalle </w:t>
      </w:r>
      <w:r w:rsidR="000857C5">
        <w:rPr>
          <w:rFonts w:ascii="Arial" w:hAnsi="Arial"/>
          <w:b w:val="0"/>
          <w:sz w:val="21"/>
          <w:szCs w:val="21"/>
          <w:lang w:val="it-IT" w:eastAsia="it-IT"/>
        </w:rPr>
        <w:t>maggiori</w:t>
      </w:r>
      <w:r w:rsidR="00E84CCE" w:rsidRPr="00E84CCE">
        <w:rPr>
          <w:rFonts w:ascii="Arial" w:hAnsi="Arial"/>
          <w:b w:val="0"/>
          <w:sz w:val="21"/>
          <w:szCs w:val="21"/>
          <w:lang w:val="it-IT" w:eastAsia="it-IT"/>
        </w:rPr>
        <w:t xml:space="preserve"> </w:t>
      </w:r>
      <w:r w:rsidR="00FD4AF9">
        <w:rPr>
          <w:rFonts w:ascii="Arial" w:hAnsi="Arial"/>
          <w:b w:val="0"/>
          <w:sz w:val="21"/>
          <w:szCs w:val="21"/>
          <w:lang w:val="it-IT" w:eastAsia="it-IT"/>
        </w:rPr>
        <w:t>vendite di metalli di base e prodotti in metallo, esclusi macchine e impianti, verso la Svizzera</w:t>
      </w:r>
      <w:r w:rsidR="007A48E2">
        <w:rPr>
          <w:rFonts w:ascii="Arial" w:hAnsi="Arial"/>
          <w:b w:val="0"/>
          <w:sz w:val="21"/>
          <w:szCs w:val="21"/>
          <w:lang w:val="it-IT" w:eastAsia="it-IT"/>
        </w:rPr>
        <w:t xml:space="preserve">. </w:t>
      </w:r>
      <w:r w:rsidR="00E84CCE">
        <w:rPr>
          <w:rFonts w:ascii="Arial" w:hAnsi="Arial"/>
          <w:b w:val="0"/>
          <w:sz w:val="21"/>
          <w:szCs w:val="21"/>
          <w:lang w:val="it-IT" w:eastAsia="it-IT"/>
        </w:rPr>
        <w:t>Al</w:t>
      </w:r>
      <w:r w:rsidR="007A48E2">
        <w:rPr>
          <w:rFonts w:ascii="Arial" w:hAnsi="Arial"/>
          <w:b w:val="0"/>
          <w:sz w:val="21"/>
          <w:szCs w:val="21"/>
          <w:lang w:val="it-IT" w:eastAsia="it-IT"/>
        </w:rPr>
        <w:t>l’opposto</w:t>
      </w:r>
      <w:r w:rsidR="00173C93">
        <w:rPr>
          <w:rFonts w:ascii="Arial" w:hAnsi="Arial"/>
          <w:b w:val="0"/>
          <w:sz w:val="21"/>
          <w:szCs w:val="21"/>
          <w:lang w:val="it-IT" w:eastAsia="it-IT"/>
        </w:rPr>
        <w:t>,</w:t>
      </w:r>
      <w:r w:rsidR="00896333">
        <w:rPr>
          <w:rFonts w:ascii="Arial" w:hAnsi="Arial"/>
          <w:b w:val="0"/>
          <w:sz w:val="21"/>
          <w:szCs w:val="21"/>
          <w:lang w:val="it-IT" w:eastAsia="it-IT"/>
        </w:rPr>
        <w:t xml:space="preserve"> </w:t>
      </w:r>
      <w:r w:rsidR="000857C5">
        <w:rPr>
          <w:rFonts w:ascii="Arial" w:hAnsi="Arial"/>
          <w:b w:val="0"/>
          <w:sz w:val="21"/>
          <w:szCs w:val="21"/>
          <w:lang w:val="it-IT" w:eastAsia="it-IT"/>
        </w:rPr>
        <w:t>l</w:t>
      </w:r>
      <w:r w:rsidR="009F55AB">
        <w:rPr>
          <w:rFonts w:ascii="Arial" w:hAnsi="Arial"/>
          <w:b w:val="0"/>
          <w:sz w:val="21"/>
          <w:szCs w:val="21"/>
          <w:lang w:val="it-IT" w:eastAsia="it-IT"/>
        </w:rPr>
        <w:t xml:space="preserve">e minori </w:t>
      </w:r>
      <w:r w:rsidR="00964BD7">
        <w:rPr>
          <w:rFonts w:ascii="Arial" w:hAnsi="Arial"/>
          <w:b w:val="0"/>
          <w:sz w:val="21"/>
          <w:szCs w:val="21"/>
          <w:lang w:val="it-IT" w:eastAsia="it-IT"/>
        </w:rPr>
        <w:t xml:space="preserve">esportazioni </w:t>
      </w:r>
      <w:r w:rsidR="00FD4AF9">
        <w:rPr>
          <w:rFonts w:ascii="Arial" w:hAnsi="Arial"/>
          <w:b w:val="0"/>
          <w:sz w:val="21"/>
          <w:szCs w:val="21"/>
          <w:lang w:val="it-IT" w:eastAsia="it-IT"/>
        </w:rPr>
        <w:t>di</w:t>
      </w:r>
      <w:r w:rsidR="00B87700">
        <w:rPr>
          <w:rFonts w:ascii="Arial" w:hAnsi="Arial"/>
          <w:b w:val="0"/>
          <w:sz w:val="21"/>
          <w:szCs w:val="21"/>
          <w:lang w:val="it-IT" w:eastAsia="it-IT"/>
        </w:rPr>
        <w:t xml:space="preserve"> macchinari </w:t>
      </w:r>
      <w:r w:rsidR="00322503">
        <w:rPr>
          <w:rFonts w:ascii="Arial" w:hAnsi="Arial"/>
          <w:b w:val="0"/>
          <w:sz w:val="21"/>
          <w:szCs w:val="21"/>
          <w:lang w:val="it-IT" w:eastAsia="it-IT"/>
        </w:rPr>
        <w:t xml:space="preserve">e apparecchi n.c.a. </w:t>
      </w:r>
      <w:r w:rsidR="00B87700">
        <w:rPr>
          <w:rFonts w:ascii="Arial" w:hAnsi="Arial"/>
          <w:b w:val="0"/>
          <w:sz w:val="21"/>
          <w:szCs w:val="21"/>
          <w:lang w:val="it-IT" w:eastAsia="it-IT"/>
        </w:rPr>
        <w:t xml:space="preserve">verso </w:t>
      </w:r>
      <w:r w:rsidR="00FD4AF9">
        <w:rPr>
          <w:rFonts w:ascii="Arial" w:hAnsi="Arial"/>
          <w:b w:val="0"/>
          <w:sz w:val="21"/>
          <w:szCs w:val="21"/>
          <w:lang w:val="it-IT" w:eastAsia="it-IT"/>
        </w:rPr>
        <w:t xml:space="preserve">Stati Uniti e </w:t>
      </w:r>
      <w:r w:rsidR="00964BD7">
        <w:rPr>
          <w:rFonts w:ascii="Arial" w:hAnsi="Arial"/>
          <w:b w:val="0"/>
          <w:sz w:val="21"/>
          <w:szCs w:val="21"/>
          <w:lang w:val="it-IT" w:eastAsia="it-IT"/>
        </w:rPr>
        <w:t>Cina</w:t>
      </w:r>
      <w:r w:rsidR="00FD4AF9">
        <w:rPr>
          <w:rFonts w:ascii="Arial" w:hAnsi="Arial"/>
          <w:b w:val="0"/>
          <w:sz w:val="21"/>
          <w:szCs w:val="21"/>
          <w:lang w:val="it-IT" w:eastAsia="it-IT"/>
        </w:rPr>
        <w:t xml:space="preserve"> e di autoveicoli verso la Germania</w:t>
      </w:r>
      <w:r w:rsidR="0001282E">
        <w:rPr>
          <w:rFonts w:ascii="Arial" w:hAnsi="Arial"/>
          <w:b w:val="0"/>
          <w:sz w:val="21"/>
          <w:szCs w:val="21"/>
          <w:lang w:val="it-IT" w:eastAsia="it-IT"/>
        </w:rPr>
        <w:t xml:space="preserve"> </w:t>
      </w:r>
      <w:r w:rsidR="00964BD7">
        <w:rPr>
          <w:rFonts w:ascii="Arial" w:hAnsi="Arial"/>
          <w:b w:val="0"/>
          <w:sz w:val="21"/>
          <w:szCs w:val="21"/>
          <w:lang w:val="it-IT" w:eastAsia="it-IT"/>
        </w:rPr>
        <w:t>apportano</w:t>
      </w:r>
      <w:r w:rsidR="00A7765A">
        <w:rPr>
          <w:rFonts w:ascii="Arial" w:hAnsi="Arial"/>
          <w:b w:val="0"/>
          <w:sz w:val="21"/>
          <w:szCs w:val="21"/>
          <w:lang w:val="it-IT" w:eastAsia="it-IT"/>
        </w:rPr>
        <w:t xml:space="preserve"> contribut</w:t>
      </w:r>
      <w:r w:rsidR="000857C5">
        <w:rPr>
          <w:rFonts w:ascii="Arial" w:hAnsi="Arial"/>
          <w:b w:val="0"/>
          <w:sz w:val="21"/>
          <w:szCs w:val="21"/>
          <w:lang w:val="it-IT" w:eastAsia="it-IT"/>
        </w:rPr>
        <w:t>i</w:t>
      </w:r>
      <w:r w:rsidR="00A7765A">
        <w:rPr>
          <w:rFonts w:ascii="Arial" w:hAnsi="Arial"/>
          <w:b w:val="0"/>
          <w:sz w:val="21"/>
          <w:szCs w:val="21"/>
          <w:lang w:val="it-IT" w:eastAsia="it-IT"/>
        </w:rPr>
        <w:t xml:space="preserve"> </w:t>
      </w:r>
      <w:r w:rsidR="000857C5">
        <w:rPr>
          <w:rFonts w:ascii="Arial" w:hAnsi="Arial"/>
          <w:b w:val="0"/>
          <w:sz w:val="21"/>
          <w:szCs w:val="21"/>
          <w:lang w:val="it-IT" w:eastAsia="it-IT"/>
        </w:rPr>
        <w:t>negativi</w:t>
      </w:r>
      <w:r w:rsidR="00964BD7">
        <w:rPr>
          <w:rFonts w:ascii="Arial" w:hAnsi="Arial"/>
          <w:b w:val="0"/>
          <w:sz w:val="21"/>
          <w:szCs w:val="21"/>
          <w:lang w:val="it-IT" w:eastAsia="it-IT"/>
        </w:rPr>
        <w:t>,</w:t>
      </w:r>
      <w:r w:rsidR="000857C5">
        <w:rPr>
          <w:rFonts w:ascii="Arial" w:hAnsi="Arial"/>
          <w:b w:val="0"/>
          <w:sz w:val="21"/>
          <w:szCs w:val="21"/>
          <w:lang w:val="it-IT" w:eastAsia="it-IT"/>
        </w:rPr>
        <w:t xml:space="preserve"> </w:t>
      </w:r>
      <w:r w:rsidR="000857C5" w:rsidRPr="000857C5">
        <w:rPr>
          <w:rFonts w:ascii="Arial" w:hAnsi="Arial"/>
          <w:b w:val="0"/>
          <w:sz w:val="21"/>
          <w:szCs w:val="21"/>
          <w:lang w:val="it-IT" w:eastAsia="it-IT"/>
        </w:rPr>
        <w:t xml:space="preserve">rispettivamente </w:t>
      </w:r>
      <w:r w:rsidR="00964BD7">
        <w:rPr>
          <w:rFonts w:ascii="Arial" w:hAnsi="Arial"/>
          <w:b w:val="0"/>
          <w:sz w:val="21"/>
          <w:szCs w:val="21"/>
          <w:lang w:val="it-IT" w:eastAsia="it-IT"/>
        </w:rPr>
        <w:t>di</w:t>
      </w:r>
      <w:r w:rsidR="00A7765A">
        <w:rPr>
          <w:rFonts w:ascii="Arial" w:hAnsi="Arial"/>
          <w:b w:val="0"/>
          <w:sz w:val="21"/>
          <w:szCs w:val="21"/>
          <w:lang w:val="it-IT" w:eastAsia="it-IT"/>
        </w:rPr>
        <w:t xml:space="preserve"> </w:t>
      </w:r>
      <w:r w:rsidR="00FD4AF9">
        <w:rPr>
          <w:rFonts w:ascii="Arial" w:hAnsi="Arial"/>
          <w:b w:val="0"/>
          <w:sz w:val="21"/>
          <w:szCs w:val="21"/>
          <w:lang w:val="it-IT" w:eastAsia="it-IT"/>
        </w:rPr>
        <w:t>0,4</w:t>
      </w:r>
      <w:r w:rsidR="000857C5">
        <w:rPr>
          <w:rFonts w:ascii="Arial" w:hAnsi="Arial"/>
          <w:b w:val="0"/>
          <w:sz w:val="21"/>
          <w:szCs w:val="21"/>
          <w:lang w:val="it-IT" w:eastAsia="it-IT"/>
        </w:rPr>
        <w:t xml:space="preserve"> </w:t>
      </w:r>
      <w:r w:rsidR="003575DD">
        <w:rPr>
          <w:rFonts w:ascii="Arial" w:hAnsi="Arial"/>
          <w:b w:val="0"/>
          <w:sz w:val="21"/>
          <w:szCs w:val="21"/>
          <w:lang w:val="it-IT" w:eastAsia="it-IT"/>
        </w:rPr>
        <w:t xml:space="preserve">e </w:t>
      </w:r>
      <w:r w:rsidR="00FD4AF9">
        <w:rPr>
          <w:rFonts w:ascii="Arial" w:hAnsi="Arial"/>
          <w:b w:val="0"/>
          <w:sz w:val="21"/>
          <w:szCs w:val="21"/>
          <w:lang w:val="it-IT" w:eastAsia="it-IT"/>
        </w:rPr>
        <w:t>0,3</w:t>
      </w:r>
      <w:r w:rsidR="00A7765A">
        <w:rPr>
          <w:rFonts w:ascii="Arial" w:hAnsi="Arial"/>
          <w:b w:val="0"/>
          <w:sz w:val="21"/>
          <w:szCs w:val="21"/>
          <w:lang w:val="it-IT" w:eastAsia="it-IT"/>
        </w:rPr>
        <w:t xml:space="preserve"> punt</w:t>
      </w:r>
      <w:r w:rsidR="000857C5">
        <w:rPr>
          <w:rFonts w:ascii="Arial" w:hAnsi="Arial"/>
          <w:b w:val="0"/>
          <w:sz w:val="21"/>
          <w:szCs w:val="21"/>
          <w:lang w:val="it-IT" w:eastAsia="it-IT"/>
        </w:rPr>
        <w:t>i</w:t>
      </w:r>
      <w:r w:rsidR="00A7765A">
        <w:rPr>
          <w:rFonts w:ascii="Arial" w:hAnsi="Arial"/>
          <w:b w:val="0"/>
          <w:sz w:val="21"/>
          <w:szCs w:val="21"/>
          <w:lang w:val="it-IT" w:eastAsia="it-IT"/>
        </w:rPr>
        <w:t xml:space="preserve"> percentual</w:t>
      </w:r>
      <w:r w:rsidR="000857C5">
        <w:rPr>
          <w:rFonts w:ascii="Arial" w:hAnsi="Arial"/>
          <w:b w:val="0"/>
          <w:sz w:val="21"/>
          <w:szCs w:val="21"/>
          <w:lang w:val="it-IT" w:eastAsia="it-IT"/>
        </w:rPr>
        <w:t>i</w:t>
      </w:r>
      <w:r w:rsidR="00964BD7">
        <w:rPr>
          <w:rFonts w:ascii="Arial" w:hAnsi="Arial"/>
          <w:b w:val="0"/>
          <w:sz w:val="21"/>
          <w:szCs w:val="21"/>
          <w:lang w:val="it-IT" w:eastAsia="it-IT"/>
        </w:rPr>
        <w:t>, alla dinamica dell’export su base annua</w:t>
      </w:r>
      <w:r w:rsidR="00896333">
        <w:rPr>
          <w:rFonts w:ascii="Arial" w:hAnsi="Arial"/>
          <w:b w:val="0"/>
          <w:sz w:val="21"/>
          <w:szCs w:val="21"/>
          <w:lang w:val="it-IT" w:eastAsia="it-IT"/>
        </w:rPr>
        <w:t>.</w:t>
      </w:r>
    </w:p>
    <w:p w14:paraId="0CFE8992" w14:textId="74614388" w:rsidR="00AA206D" w:rsidRDefault="00322503" w:rsidP="00F76F78">
      <w:pPr>
        <w:pStyle w:val="Corpotesto1"/>
        <w:rPr>
          <w:rFonts w:ascii="Arial" w:hAnsi="Arial"/>
          <w:b w:val="0"/>
          <w:sz w:val="21"/>
          <w:szCs w:val="21"/>
          <w:lang w:val="it-IT" w:eastAsia="it-IT"/>
        </w:rPr>
      </w:pPr>
      <w:r>
        <w:rPr>
          <w:rFonts w:ascii="Arial" w:hAnsi="Arial"/>
          <w:b w:val="0"/>
          <w:sz w:val="21"/>
          <w:szCs w:val="21"/>
          <w:lang w:val="it-IT" w:eastAsia="it-IT"/>
        </w:rPr>
        <w:t>L</w:t>
      </w:r>
      <w:r w:rsidR="00D007B8">
        <w:rPr>
          <w:rFonts w:ascii="Arial" w:hAnsi="Arial"/>
          <w:b w:val="0"/>
          <w:sz w:val="21"/>
          <w:szCs w:val="21"/>
          <w:lang w:val="it-IT" w:eastAsia="it-IT"/>
        </w:rPr>
        <w:t xml:space="preserve">’aumento </w:t>
      </w:r>
      <w:r w:rsidR="000E2431">
        <w:rPr>
          <w:rFonts w:ascii="Arial" w:hAnsi="Arial"/>
          <w:b w:val="0"/>
          <w:sz w:val="21"/>
          <w:szCs w:val="21"/>
          <w:lang w:val="it-IT" w:eastAsia="it-IT"/>
        </w:rPr>
        <w:t>degli acquisti</w:t>
      </w:r>
      <w:r>
        <w:rPr>
          <w:rFonts w:ascii="Arial" w:hAnsi="Arial"/>
          <w:b w:val="0"/>
          <w:sz w:val="21"/>
          <w:szCs w:val="21"/>
          <w:lang w:val="it-IT" w:eastAsia="it-IT"/>
        </w:rPr>
        <w:t xml:space="preserve"> di </w:t>
      </w:r>
      <w:r w:rsidR="00FD4AF9">
        <w:rPr>
          <w:rFonts w:ascii="Arial" w:hAnsi="Arial"/>
          <w:b w:val="0"/>
          <w:sz w:val="21"/>
          <w:szCs w:val="21"/>
          <w:lang w:val="it-IT" w:eastAsia="it-IT"/>
        </w:rPr>
        <w:t xml:space="preserve">sostanze e prodotti chimici e di macchinari </w:t>
      </w:r>
      <w:r w:rsidR="00D007B8">
        <w:rPr>
          <w:rFonts w:ascii="Arial" w:hAnsi="Arial"/>
          <w:b w:val="0"/>
          <w:sz w:val="21"/>
          <w:szCs w:val="21"/>
          <w:lang w:val="it-IT" w:eastAsia="it-IT"/>
        </w:rPr>
        <w:t xml:space="preserve">e apparecchi n.c.a. </w:t>
      </w:r>
      <w:r w:rsidR="00FD4AF9">
        <w:rPr>
          <w:rFonts w:ascii="Arial" w:hAnsi="Arial"/>
          <w:b w:val="0"/>
          <w:sz w:val="21"/>
          <w:szCs w:val="21"/>
          <w:lang w:val="it-IT" w:eastAsia="it-IT"/>
        </w:rPr>
        <w:t>dalla</w:t>
      </w:r>
      <w:r w:rsidR="000E2431">
        <w:rPr>
          <w:rFonts w:ascii="Arial" w:hAnsi="Arial"/>
          <w:b w:val="0"/>
          <w:sz w:val="21"/>
          <w:szCs w:val="21"/>
          <w:lang w:val="it-IT" w:eastAsia="it-IT"/>
        </w:rPr>
        <w:t xml:space="preserve"> Cina</w:t>
      </w:r>
      <w:r w:rsidR="00FD4AF9">
        <w:rPr>
          <w:rFonts w:ascii="Arial" w:hAnsi="Arial"/>
          <w:b w:val="0"/>
          <w:sz w:val="21"/>
          <w:szCs w:val="21"/>
          <w:lang w:val="it-IT" w:eastAsia="it-IT"/>
        </w:rPr>
        <w:t xml:space="preserve"> </w:t>
      </w:r>
      <w:r>
        <w:rPr>
          <w:rFonts w:ascii="Arial" w:hAnsi="Arial"/>
          <w:b w:val="0"/>
          <w:sz w:val="21"/>
          <w:szCs w:val="21"/>
          <w:lang w:val="it-IT" w:eastAsia="it-IT"/>
        </w:rPr>
        <w:t xml:space="preserve">spiega per </w:t>
      </w:r>
      <w:r w:rsidR="00FD4AF9">
        <w:rPr>
          <w:rFonts w:ascii="Arial" w:hAnsi="Arial"/>
          <w:b w:val="0"/>
          <w:sz w:val="21"/>
          <w:szCs w:val="21"/>
          <w:lang w:val="it-IT" w:eastAsia="it-IT"/>
        </w:rPr>
        <w:t>1,5 punti percentuali l</w:t>
      </w:r>
      <w:r w:rsidR="00D007B8">
        <w:rPr>
          <w:rFonts w:ascii="Arial" w:hAnsi="Arial"/>
          <w:b w:val="0"/>
          <w:sz w:val="21"/>
          <w:szCs w:val="21"/>
          <w:lang w:val="it-IT" w:eastAsia="it-IT"/>
        </w:rPr>
        <w:t xml:space="preserve">a crescita </w:t>
      </w:r>
      <w:r>
        <w:rPr>
          <w:rFonts w:ascii="Arial" w:hAnsi="Arial"/>
          <w:b w:val="0"/>
          <w:sz w:val="21"/>
          <w:szCs w:val="21"/>
          <w:lang w:val="it-IT" w:eastAsia="it-IT"/>
        </w:rPr>
        <w:t xml:space="preserve">tendenziale dell’import. </w:t>
      </w:r>
      <w:r w:rsidR="00964BD7">
        <w:rPr>
          <w:rFonts w:ascii="Arial" w:hAnsi="Arial"/>
          <w:b w:val="0"/>
          <w:sz w:val="21"/>
          <w:szCs w:val="21"/>
          <w:lang w:val="it-IT" w:eastAsia="it-IT"/>
        </w:rPr>
        <w:t>Per contro, l</w:t>
      </w:r>
      <w:r>
        <w:rPr>
          <w:rFonts w:ascii="Arial" w:hAnsi="Arial"/>
          <w:b w:val="0"/>
          <w:sz w:val="21"/>
          <w:szCs w:val="21"/>
          <w:lang w:val="it-IT" w:eastAsia="it-IT"/>
        </w:rPr>
        <w:t>a riduzione de</w:t>
      </w:r>
      <w:r w:rsidR="00D007B8">
        <w:rPr>
          <w:rFonts w:ascii="Arial" w:hAnsi="Arial"/>
          <w:b w:val="0"/>
          <w:sz w:val="21"/>
          <w:szCs w:val="21"/>
          <w:lang w:val="it-IT" w:eastAsia="it-IT"/>
        </w:rPr>
        <w:t xml:space="preserve">gli acquisti </w:t>
      </w:r>
      <w:r>
        <w:rPr>
          <w:rFonts w:ascii="Arial" w:hAnsi="Arial"/>
          <w:b w:val="0"/>
          <w:sz w:val="21"/>
          <w:szCs w:val="21"/>
          <w:lang w:val="it-IT" w:eastAsia="it-IT"/>
        </w:rPr>
        <w:t xml:space="preserve">di </w:t>
      </w:r>
      <w:r w:rsidR="00BD4BF4">
        <w:rPr>
          <w:rFonts w:ascii="Arial" w:hAnsi="Arial"/>
          <w:b w:val="0"/>
          <w:sz w:val="21"/>
          <w:szCs w:val="21"/>
          <w:lang w:val="it-IT" w:eastAsia="it-IT"/>
        </w:rPr>
        <w:t>petrolio greggio da Stati Uniti e paesi OPEC</w:t>
      </w:r>
      <w:r w:rsidR="00D007B8">
        <w:rPr>
          <w:rFonts w:ascii="Arial" w:hAnsi="Arial"/>
          <w:b w:val="0"/>
          <w:sz w:val="21"/>
          <w:szCs w:val="21"/>
          <w:lang w:val="it-IT" w:eastAsia="it-IT"/>
        </w:rPr>
        <w:t xml:space="preserve"> fornisce un contributo negativo di 1,1 punti percentuali. Un ulteriore contributo negativo di 0,5 punti si deve alle minori importazioni di aut</w:t>
      </w:r>
      <w:r w:rsidR="00BD4BF4">
        <w:rPr>
          <w:rFonts w:ascii="Arial" w:hAnsi="Arial"/>
          <w:b w:val="0"/>
          <w:sz w:val="21"/>
          <w:szCs w:val="21"/>
          <w:lang w:val="it-IT" w:eastAsia="it-IT"/>
        </w:rPr>
        <w:t>oveicoli da Spagna e Francia.</w:t>
      </w:r>
      <w:r>
        <w:rPr>
          <w:rFonts w:ascii="Arial" w:hAnsi="Arial"/>
          <w:b w:val="0"/>
          <w:sz w:val="21"/>
          <w:szCs w:val="21"/>
          <w:lang w:val="it-IT" w:eastAsia="it-IT"/>
        </w:rPr>
        <w:t xml:space="preserve"> </w:t>
      </w:r>
    </w:p>
    <w:p w14:paraId="01C16597" w14:textId="5F5AB845" w:rsidR="001079A0" w:rsidRDefault="001079A0" w:rsidP="001079A0">
      <w:pPr>
        <w:pStyle w:val="Corpotesto1"/>
        <w:rPr>
          <w:rFonts w:ascii="Arial" w:hAnsi="Arial"/>
          <w:b w:val="0"/>
          <w:sz w:val="21"/>
          <w:szCs w:val="21"/>
          <w:lang w:val="it-IT" w:eastAsia="it-IT"/>
        </w:rPr>
      </w:pPr>
    </w:p>
    <w:p w14:paraId="365C0A1B" w14:textId="77777777" w:rsidR="0001282E" w:rsidRDefault="0001282E" w:rsidP="001079A0">
      <w:pPr>
        <w:pStyle w:val="Corpotesto1"/>
        <w:rPr>
          <w:rFonts w:ascii="Arial" w:hAnsi="Arial"/>
          <w:b w:val="0"/>
          <w:sz w:val="21"/>
          <w:szCs w:val="21"/>
          <w:lang w:val="it-IT" w:eastAsia="it-IT"/>
        </w:rPr>
      </w:pPr>
    </w:p>
    <w:p w14:paraId="634A4B63" w14:textId="77777777" w:rsidR="0008674D" w:rsidRDefault="0008674D" w:rsidP="001079A0">
      <w:pPr>
        <w:pStyle w:val="Corpotesto1"/>
        <w:rPr>
          <w:rFonts w:ascii="Arial" w:hAnsi="Arial"/>
          <w:b w:val="0"/>
          <w:sz w:val="21"/>
          <w:szCs w:val="21"/>
          <w:lang w:val="it-IT" w:eastAsia="it-IT"/>
        </w:rPr>
      </w:pPr>
    </w:p>
    <w:p w14:paraId="5444225E" w14:textId="77777777" w:rsidR="0008674D" w:rsidRPr="001079A0" w:rsidRDefault="0008674D" w:rsidP="001079A0">
      <w:pPr>
        <w:pStyle w:val="Corpotesto1"/>
        <w:rPr>
          <w:rFonts w:ascii="Arial" w:hAnsi="Arial"/>
          <w:b w:val="0"/>
          <w:sz w:val="21"/>
          <w:szCs w:val="21"/>
          <w:lang w:val="it-IT" w:eastAsia="it-IT"/>
        </w:rPr>
      </w:pPr>
    </w:p>
    <w:p w14:paraId="1BF0685A" w14:textId="77777777" w:rsidR="00833A77" w:rsidRPr="00D078CE" w:rsidRDefault="002B3BA3" w:rsidP="00D422DA">
      <w:pPr>
        <w:pStyle w:val="001TitoloBolocco"/>
        <w:spacing w:after="100" w:line="240" w:lineRule="auto"/>
      </w:pPr>
      <w:r>
        <w:lastRenderedPageBreak/>
        <w:t>VALORI MEDI UNITA</w:t>
      </w:r>
      <w:r w:rsidR="006F2133">
        <w:t>RI E VOLUMI ALL’EXPORT E ALL’IMPORT</w:t>
      </w:r>
    </w:p>
    <w:p w14:paraId="70E01504" w14:textId="253B282B" w:rsidR="006F2133" w:rsidRDefault="006F2133" w:rsidP="000C07C1">
      <w:pPr>
        <w:pStyle w:val="Corpodeltesto1"/>
        <w:spacing w:after="80"/>
        <w:jc w:val="left"/>
        <w:rPr>
          <w:rFonts w:ascii="Arial Narrow" w:hAnsi="Arial Narrow" w:cs="Arial"/>
          <w:b w:val="0"/>
          <w:color w:val="5F5F5F"/>
          <w:kern w:val="28"/>
          <w:sz w:val="20"/>
          <w:szCs w:val="20"/>
        </w:rPr>
      </w:pPr>
      <w:r w:rsidRPr="006F2133">
        <w:rPr>
          <w:rFonts w:ascii="Arial Narrow" w:hAnsi="Arial Narrow" w:cs="Arial"/>
          <w:color w:val="E42618"/>
          <w:kern w:val="28"/>
          <w:sz w:val="22"/>
          <w:szCs w:val="22"/>
        </w:rPr>
        <w:t xml:space="preserve">FIGURA </w:t>
      </w:r>
      <w:r w:rsidR="00B145A1">
        <w:rPr>
          <w:rFonts w:ascii="Arial Narrow" w:hAnsi="Arial Narrow" w:cs="Arial"/>
          <w:color w:val="E42618"/>
          <w:kern w:val="28"/>
          <w:sz w:val="22"/>
          <w:szCs w:val="22"/>
        </w:rPr>
        <w:t>10</w:t>
      </w:r>
      <w:r w:rsidRPr="006F2133">
        <w:rPr>
          <w:rFonts w:ascii="Arial Narrow" w:hAnsi="Arial Narrow" w:cs="Arial"/>
          <w:color w:val="E42618"/>
          <w:kern w:val="28"/>
          <w:sz w:val="22"/>
          <w:szCs w:val="22"/>
        </w:rPr>
        <w:t xml:space="preserve">. </w:t>
      </w:r>
      <w:r w:rsidRPr="006F2133">
        <w:rPr>
          <w:rFonts w:ascii="Arial Narrow" w:hAnsi="Arial Narrow" w:cs="Arial"/>
          <w:color w:val="5F5F5F"/>
          <w:kern w:val="28"/>
          <w:sz w:val="22"/>
          <w:szCs w:val="22"/>
        </w:rPr>
        <w:t>VALORI MEDI UNITARI E VOLUMI</w:t>
      </w:r>
      <w:r w:rsidR="00147CB5">
        <w:rPr>
          <w:rFonts w:ascii="Arial Narrow" w:hAnsi="Arial Narrow" w:cs="Arial"/>
          <w:color w:val="5F5F5F"/>
          <w:kern w:val="28"/>
          <w:sz w:val="22"/>
          <w:szCs w:val="22"/>
        </w:rPr>
        <w:t xml:space="preserve"> </w:t>
      </w:r>
      <w:r>
        <w:rPr>
          <w:rFonts w:ascii="Arial Narrow" w:hAnsi="Arial Narrow" w:cs="Arial"/>
          <w:b w:val="0"/>
          <w:bCs/>
          <w:sz w:val="19"/>
          <w:szCs w:val="19"/>
        </w:rPr>
        <w:br/>
      </w:r>
      <w:r w:rsidR="00403189" w:rsidRPr="00367843">
        <w:rPr>
          <w:rFonts w:ascii="Arial Narrow" w:hAnsi="Arial Narrow" w:cs="Arial"/>
          <w:b w:val="0"/>
          <w:color w:val="5F5F5F"/>
          <w:kern w:val="28"/>
          <w:sz w:val="20"/>
          <w:szCs w:val="20"/>
        </w:rPr>
        <w:t>Gennaio 20</w:t>
      </w:r>
      <w:r w:rsidR="00BD098F">
        <w:rPr>
          <w:rFonts w:ascii="Arial Narrow" w:hAnsi="Arial Narrow" w:cs="Arial"/>
          <w:b w:val="0"/>
          <w:color w:val="5F5F5F"/>
          <w:kern w:val="28"/>
          <w:sz w:val="20"/>
          <w:szCs w:val="20"/>
        </w:rPr>
        <w:t>2</w:t>
      </w:r>
      <w:r w:rsidR="00E232B2">
        <w:rPr>
          <w:rFonts w:ascii="Arial Narrow" w:hAnsi="Arial Narrow" w:cs="Arial"/>
          <w:b w:val="0"/>
          <w:color w:val="5F5F5F"/>
          <w:kern w:val="28"/>
          <w:sz w:val="20"/>
          <w:szCs w:val="20"/>
        </w:rPr>
        <w:t>1</w:t>
      </w:r>
      <w:r w:rsidR="00784638">
        <w:rPr>
          <w:rFonts w:ascii="Arial Narrow" w:hAnsi="Arial Narrow" w:cs="Arial"/>
          <w:b w:val="0"/>
          <w:color w:val="5F5F5F"/>
          <w:kern w:val="28"/>
          <w:sz w:val="20"/>
          <w:szCs w:val="20"/>
        </w:rPr>
        <w:t xml:space="preserve"> </w:t>
      </w:r>
      <w:r w:rsidR="00024474">
        <w:rPr>
          <w:rFonts w:ascii="Arial Narrow" w:hAnsi="Arial Narrow" w:cs="Arial"/>
          <w:b w:val="0"/>
          <w:color w:val="5F5F5F"/>
          <w:kern w:val="28"/>
          <w:sz w:val="20"/>
          <w:szCs w:val="20"/>
        </w:rPr>
        <w:t>–</w:t>
      </w:r>
      <w:r w:rsidR="00EA029A" w:rsidRPr="00EA029A">
        <w:t xml:space="preserve"> </w:t>
      </w:r>
      <w:r w:rsidR="00E232B2">
        <w:rPr>
          <w:rFonts w:ascii="Arial Narrow" w:hAnsi="Arial Narrow" w:cs="Arial"/>
          <w:b w:val="0"/>
          <w:color w:val="5F5F5F"/>
          <w:kern w:val="28"/>
          <w:sz w:val="20"/>
          <w:szCs w:val="20"/>
        </w:rPr>
        <w:t>gennaio</w:t>
      </w:r>
      <w:r w:rsidR="00B643C2" w:rsidRPr="00B643C2">
        <w:rPr>
          <w:rFonts w:ascii="Arial Narrow" w:hAnsi="Arial Narrow" w:cs="Arial"/>
          <w:b w:val="0"/>
          <w:color w:val="5F5F5F"/>
          <w:kern w:val="28"/>
          <w:sz w:val="20"/>
          <w:szCs w:val="20"/>
        </w:rPr>
        <w:t xml:space="preserve"> </w:t>
      </w:r>
      <w:r w:rsidR="00BD098F">
        <w:rPr>
          <w:rFonts w:ascii="Arial Narrow" w:hAnsi="Arial Narrow" w:cs="Arial"/>
          <w:b w:val="0"/>
          <w:color w:val="5F5F5F"/>
          <w:kern w:val="28"/>
          <w:sz w:val="20"/>
          <w:szCs w:val="20"/>
        </w:rPr>
        <w:t>202</w:t>
      </w:r>
      <w:r w:rsidR="00E232B2">
        <w:rPr>
          <w:rFonts w:ascii="Arial Narrow" w:hAnsi="Arial Narrow" w:cs="Arial"/>
          <w:b w:val="0"/>
          <w:color w:val="5F5F5F"/>
          <w:kern w:val="28"/>
          <w:sz w:val="20"/>
          <w:szCs w:val="20"/>
        </w:rPr>
        <w:t>5</w:t>
      </w:r>
      <w:r w:rsidR="00403189" w:rsidRPr="00367843">
        <w:rPr>
          <w:rFonts w:ascii="Arial Narrow" w:hAnsi="Arial Narrow" w:cs="Arial"/>
          <w:b w:val="0"/>
          <w:color w:val="5F5F5F"/>
          <w:kern w:val="28"/>
          <w:sz w:val="20"/>
          <w:szCs w:val="20"/>
        </w:rPr>
        <w:t xml:space="preserve">, variazioni percentuali </w:t>
      </w:r>
      <w:r w:rsidR="00147CB5" w:rsidRPr="00367843">
        <w:rPr>
          <w:rFonts w:ascii="Arial Narrow" w:hAnsi="Arial Narrow" w:cs="Arial"/>
          <w:b w:val="0"/>
          <w:color w:val="5F5F5F"/>
          <w:kern w:val="28"/>
          <w:sz w:val="20"/>
          <w:szCs w:val="20"/>
        </w:rPr>
        <w:t xml:space="preserve">tendenziali </w:t>
      </w:r>
      <w:r w:rsidR="00403189" w:rsidRPr="00367843">
        <w:rPr>
          <w:rFonts w:ascii="Arial Narrow" w:hAnsi="Arial Narrow" w:cs="Arial"/>
          <w:b w:val="0"/>
          <w:color w:val="5F5F5F"/>
          <w:kern w:val="28"/>
          <w:sz w:val="20"/>
          <w:szCs w:val="20"/>
        </w:rPr>
        <w:t>(</w:t>
      </w:r>
      <w:r w:rsidR="00B145A1" w:rsidRPr="00367843">
        <w:rPr>
          <w:rFonts w:ascii="Arial Narrow" w:hAnsi="Arial Narrow" w:cs="Arial"/>
          <w:b w:val="0"/>
          <w:color w:val="5F5F5F"/>
          <w:kern w:val="28"/>
          <w:sz w:val="20"/>
          <w:szCs w:val="20"/>
        </w:rPr>
        <w:t>base 20</w:t>
      </w:r>
      <w:r w:rsidR="00421DFB">
        <w:rPr>
          <w:rFonts w:ascii="Arial Narrow" w:hAnsi="Arial Narrow" w:cs="Arial"/>
          <w:b w:val="0"/>
          <w:color w:val="5F5F5F"/>
          <w:kern w:val="28"/>
          <w:sz w:val="20"/>
          <w:szCs w:val="20"/>
        </w:rPr>
        <w:t>21</w:t>
      </w:r>
      <w:r w:rsidRPr="00367843">
        <w:rPr>
          <w:rFonts w:ascii="Arial Narrow" w:hAnsi="Arial Narrow" w:cs="Arial"/>
          <w:b w:val="0"/>
          <w:color w:val="5F5F5F"/>
          <w:kern w:val="28"/>
          <w:sz w:val="20"/>
          <w:szCs w:val="20"/>
        </w:rPr>
        <w:t>=100</w:t>
      </w:r>
      <w:r w:rsidR="00403189" w:rsidRPr="00367843">
        <w:rPr>
          <w:rFonts w:ascii="Arial Narrow" w:hAnsi="Arial Narrow" w:cs="Arial"/>
          <w:b w:val="0"/>
          <w:color w:val="5F5F5F"/>
          <w:kern w:val="28"/>
          <w:sz w:val="20"/>
          <w:szCs w:val="20"/>
        </w:rPr>
        <w:t>)</w:t>
      </w:r>
    </w:p>
    <w:p w14:paraId="5F932FDD" w14:textId="563CC09D" w:rsidR="00403189" w:rsidRDefault="00D20998" w:rsidP="00975B97">
      <w:pPr>
        <w:pStyle w:val="Corpodeltesto1"/>
        <w:spacing w:after="160"/>
        <w:jc w:val="left"/>
        <w:rPr>
          <w:rFonts w:ascii="Arial Narrow" w:hAnsi="Arial Narrow" w:cs="Arial"/>
          <w:b w:val="0"/>
          <w:color w:val="5F5F5F"/>
          <w:kern w:val="28"/>
          <w:sz w:val="20"/>
          <w:szCs w:val="20"/>
        </w:rPr>
      </w:pPr>
      <w:r>
        <w:rPr>
          <w:noProof/>
        </w:rPr>
        <w:drawing>
          <wp:inline distT="0" distB="0" distL="0" distR="0" wp14:anchorId="73B636FA" wp14:editId="173CA288">
            <wp:extent cx="3150000" cy="2160000"/>
            <wp:effectExtent l="0" t="0" r="0" b="0"/>
            <wp:docPr id="34" name="Grafico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r>
        <w:rPr>
          <w:noProof/>
        </w:rPr>
        <w:drawing>
          <wp:inline distT="0" distB="0" distL="0" distR="0" wp14:anchorId="23D03ACB" wp14:editId="0C33E9B7">
            <wp:extent cx="3150000" cy="2160000"/>
            <wp:effectExtent l="0" t="0" r="0" b="0"/>
            <wp:docPr id="35" name="Grafico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384A3D14" w14:textId="41F85010" w:rsidR="00B006EB" w:rsidRDefault="00963939" w:rsidP="003C4572">
      <w:pPr>
        <w:pStyle w:val="Corpotesto1"/>
        <w:rPr>
          <w:rFonts w:ascii="Arial" w:hAnsi="Arial"/>
          <w:b w:val="0"/>
          <w:sz w:val="21"/>
          <w:szCs w:val="21"/>
          <w:lang w:val="it-IT" w:eastAsia="it-IT"/>
        </w:rPr>
      </w:pPr>
      <w:r>
        <w:rPr>
          <w:rFonts w:ascii="Arial" w:hAnsi="Arial"/>
          <w:b w:val="0"/>
          <w:sz w:val="21"/>
          <w:szCs w:val="21"/>
          <w:lang w:val="it-IT" w:eastAsia="it-IT"/>
        </w:rPr>
        <w:t xml:space="preserve">A </w:t>
      </w:r>
      <w:r w:rsidR="00517AC4">
        <w:rPr>
          <w:rFonts w:ascii="Arial" w:hAnsi="Arial"/>
          <w:b w:val="0"/>
          <w:sz w:val="21"/>
          <w:szCs w:val="21"/>
          <w:lang w:val="it-IT" w:eastAsia="it-IT"/>
        </w:rPr>
        <w:t>gennaio</w:t>
      </w:r>
      <w:r w:rsidR="00B006EB">
        <w:rPr>
          <w:rFonts w:ascii="Arial" w:hAnsi="Arial"/>
          <w:b w:val="0"/>
          <w:sz w:val="21"/>
          <w:szCs w:val="21"/>
          <w:lang w:val="it-IT" w:eastAsia="it-IT"/>
        </w:rPr>
        <w:t xml:space="preserve"> </w:t>
      </w:r>
      <w:r w:rsidR="00517AC4">
        <w:rPr>
          <w:rFonts w:ascii="Arial" w:hAnsi="Arial"/>
          <w:b w:val="0"/>
          <w:sz w:val="21"/>
          <w:szCs w:val="21"/>
          <w:lang w:val="it-IT" w:eastAsia="it-IT"/>
        </w:rPr>
        <w:t>2025</w:t>
      </w:r>
      <w:r w:rsidR="00B006EB" w:rsidRPr="00CC4A6F">
        <w:rPr>
          <w:rFonts w:ascii="Arial" w:hAnsi="Arial"/>
          <w:b w:val="0"/>
          <w:sz w:val="21"/>
          <w:szCs w:val="21"/>
          <w:lang w:val="it-IT" w:eastAsia="it-IT"/>
        </w:rPr>
        <w:t xml:space="preserve">, </w:t>
      </w:r>
      <w:r w:rsidR="00AA3BCC">
        <w:rPr>
          <w:rFonts w:ascii="Arial" w:hAnsi="Arial"/>
          <w:b w:val="0"/>
          <w:sz w:val="21"/>
          <w:szCs w:val="21"/>
          <w:lang w:val="it-IT" w:eastAsia="it-IT"/>
        </w:rPr>
        <w:t>i</w:t>
      </w:r>
      <w:r w:rsidR="00B006EB" w:rsidRPr="00CC4A6F">
        <w:rPr>
          <w:rFonts w:ascii="Arial" w:hAnsi="Arial"/>
          <w:b w:val="0"/>
          <w:sz w:val="21"/>
          <w:szCs w:val="21"/>
          <w:lang w:val="it-IT" w:eastAsia="it-IT"/>
        </w:rPr>
        <w:t xml:space="preserve"> va</w:t>
      </w:r>
      <w:r w:rsidR="00B006EB">
        <w:rPr>
          <w:rFonts w:ascii="Arial" w:hAnsi="Arial"/>
          <w:b w:val="0"/>
          <w:sz w:val="21"/>
          <w:szCs w:val="21"/>
          <w:lang w:val="it-IT" w:eastAsia="it-IT"/>
        </w:rPr>
        <w:t>lo</w:t>
      </w:r>
      <w:r w:rsidR="00FD07B2">
        <w:rPr>
          <w:rFonts w:ascii="Arial" w:hAnsi="Arial"/>
          <w:b w:val="0"/>
          <w:sz w:val="21"/>
          <w:szCs w:val="21"/>
          <w:lang w:val="it-IT" w:eastAsia="it-IT"/>
        </w:rPr>
        <w:t xml:space="preserve">ri medi unitari </w:t>
      </w:r>
      <w:r w:rsidR="00AA3BCC">
        <w:rPr>
          <w:rFonts w:ascii="Arial" w:hAnsi="Arial"/>
          <w:b w:val="0"/>
          <w:sz w:val="21"/>
          <w:szCs w:val="21"/>
          <w:lang w:val="it-IT" w:eastAsia="it-IT"/>
        </w:rPr>
        <w:t>all’export</w:t>
      </w:r>
      <w:r w:rsidR="00144C8A">
        <w:rPr>
          <w:rFonts w:ascii="Arial" w:hAnsi="Arial"/>
          <w:b w:val="0"/>
          <w:sz w:val="21"/>
          <w:szCs w:val="21"/>
          <w:lang w:val="it-IT" w:eastAsia="it-IT"/>
        </w:rPr>
        <w:t xml:space="preserve"> </w:t>
      </w:r>
      <w:r w:rsidR="003C55A0">
        <w:rPr>
          <w:rFonts w:ascii="Arial" w:hAnsi="Arial"/>
          <w:b w:val="0"/>
          <w:sz w:val="21"/>
          <w:szCs w:val="21"/>
          <w:lang w:val="it-IT" w:eastAsia="it-IT"/>
        </w:rPr>
        <w:t xml:space="preserve">crescono del </w:t>
      </w:r>
      <w:r w:rsidR="00517AC4">
        <w:rPr>
          <w:rFonts w:ascii="Arial" w:hAnsi="Arial"/>
          <w:b w:val="0"/>
          <w:sz w:val="21"/>
          <w:szCs w:val="21"/>
          <w:lang w:val="it-IT" w:eastAsia="it-IT"/>
        </w:rPr>
        <w:t>5,3</w:t>
      </w:r>
      <w:r w:rsidR="002C7672">
        <w:rPr>
          <w:rFonts w:ascii="Arial" w:hAnsi="Arial"/>
          <w:b w:val="0"/>
          <w:sz w:val="21"/>
          <w:szCs w:val="21"/>
          <w:lang w:val="it-IT" w:eastAsia="it-IT"/>
        </w:rPr>
        <w:t>%</w:t>
      </w:r>
      <w:r w:rsidR="00517AC4">
        <w:rPr>
          <w:rFonts w:ascii="Arial" w:hAnsi="Arial"/>
          <w:b w:val="0"/>
          <w:sz w:val="21"/>
          <w:szCs w:val="21"/>
          <w:lang w:val="it-IT" w:eastAsia="it-IT"/>
        </w:rPr>
        <w:t xml:space="preserve">, </w:t>
      </w:r>
      <w:r w:rsidR="003C55A0">
        <w:rPr>
          <w:rFonts w:ascii="Arial" w:hAnsi="Arial"/>
          <w:b w:val="0"/>
          <w:sz w:val="21"/>
          <w:szCs w:val="21"/>
          <w:lang w:val="it-IT" w:eastAsia="it-IT"/>
        </w:rPr>
        <w:t xml:space="preserve">quelli all’import del </w:t>
      </w:r>
      <w:r w:rsidR="00517AC4">
        <w:rPr>
          <w:rFonts w:ascii="Arial" w:hAnsi="Arial"/>
          <w:b w:val="0"/>
          <w:sz w:val="21"/>
          <w:szCs w:val="21"/>
          <w:lang w:val="it-IT" w:eastAsia="it-IT"/>
        </w:rPr>
        <w:t>4,5</w:t>
      </w:r>
      <w:r w:rsidR="00AA3BCC">
        <w:rPr>
          <w:rFonts w:ascii="Arial" w:hAnsi="Arial"/>
          <w:b w:val="0"/>
          <w:sz w:val="21"/>
          <w:szCs w:val="21"/>
          <w:lang w:val="it-IT" w:eastAsia="it-IT"/>
        </w:rPr>
        <w:t>%</w:t>
      </w:r>
      <w:r w:rsidR="00B2671E">
        <w:rPr>
          <w:rFonts w:ascii="Arial" w:hAnsi="Arial"/>
          <w:b w:val="0"/>
          <w:sz w:val="21"/>
          <w:szCs w:val="21"/>
          <w:lang w:val="it-IT" w:eastAsia="it-IT"/>
        </w:rPr>
        <w:t xml:space="preserve">. </w:t>
      </w:r>
      <w:r w:rsidR="00124232">
        <w:rPr>
          <w:rFonts w:ascii="Arial" w:hAnsi="Arial"/>
          <w:b w:val="0"/>
          <w:sz w:val="21"/>
          <w:szCs w:val="21"/>
          <w:lang w:val="it-IT" w:eastAsia="it-IT"/>
        </w:rPr>
        <w:t>I</w:t>
      </w:r>
      <w:r w:rsidR="00B006EB" w:rsidRPr="00CC4A6F">
        <w:rPr>
          <w:rFonts w:ascii="Arial" w:hAnsi="Arial"/>
          <w:b w:val="0"/>
          <w:sz w:val="21"/>
          <w:szCs w:val="21"/>
          <w:lang w:val="it-IT" w:eastAsia="it-IT"/>
        </w:rPr>
        <w:t xml:space="preserve"> volumi scambiat</w:t>
      </w:r>
      <w:r w:rsidR="00B006EB">
        <w:rPr>
          <w:rFonts w:ascii="Arial" w:hAnsi="Arial"/>
          <w:b w:val="0"/>
          <w:sz w:val="21"/>
          <w:szCs w:val="21"/>
          <w:lang w:val="it-IT" w:eastAsia="it-IT"/>
        </w:rPr>
        <w:t xml:space="preserve">i </w:t>
      </w:r>
      <w:r w:rsidR="00144C8A">
        <w:rPr>
          <w:rFonts w:ascii="Arial" w:hAnsi="Arial"/>
          <w:b w:val="0"/>
          <w:sz w:val="21"/>
          <w:szCs w:val="21"/>
          <w:lang w:val="it-IT" w:eastAsia="it-IT"/>
        </w:rPr>
        <w:t xml:space="preserve">diminuiscono </w:t>
      </w:r>
      <w:r w:rsidR="00517AC4">
        <w:rPr>
          <w:rFonts w:ascii="Arial" w:hAnsi="Arial"/>
          <w:b w:val="0"/>
          <w:sz w:val="21"/>
          <w:szCs w:val="21"/>
          <w:lang w:val="it-IT" w:eastAsia="it-IT"/>
        </w:rPr>
        <w:t>p</w:t>
      </w:r>
      <w:r w:rsidR="00F236BE">
        <w:rPr>
          <w:rFonts w:ascii="Arial" w:hAnsi="Arial"/>
          <w:b w:val="0"/>
          <w:sz w:val="21"/>
          <w:szCs w:val="21"/>
          <w:lang w:val="it-IT" w:eastAsia="it-IT"/>
        </w:rPr>
        <w:t>er l’export</w:t>
      </w:r>
      <w:r w:rsidR="00124232" w:rsidRPr="00124232">
        <w:rPr>
          <w:rFonts w:ascii="Arial" w:hAnsi="Arial"/>
          <w:b w:val="0"/>
          <w:sz w:val="21"/>
          <w:szCs w:val="21"/>
          <w:lang w:val="it-IT" w:eastAsia="it-IT"/>
        </w:rPr>
        <w:t xml:space="preserve"> </w:t>
      </w:r>
      <w:r>
        <w:rPr>
          <w:rFonts w:ascii="Arial" w:hAnsi="Arial"/>
          <w:b w:val="0"/>
          <w:sz w:val="21"/>
          <w:szCs w:val="21"/>
          <w:lang w:val="it-IT" w:eastAsia="it-IT"/>
        </w:rPr>
        <w:t>(-</w:t>
      </w:r>
      <w:r w:rsidR="00517AC4">
        <w:rPr>
          <w:rFonts w:ascii="Arial" w:hAnsi="Arial"/>
          <w:b w:val="0"/>
          <w:sz w:val="21"/>
          <w:szCs w:val="21"/>
          <w:lang w:val="it-IT" w:eastAsia="it-IT"/>
        </w:rPr>
        <w:t>2,6</w:t>
      </w:r>
      <w:r w:rsidR="00B006EB" w:rsidRPr="00CC4A6F">
        <w:rPr>
          <w:rFonts w:ascii="Arial" w:hAnsi="Arial"/>
          <w:b w:val="0"/>
          <w:sz w:val="21"/>
          <w:szCs w:val="21"/>
          <w:lang w:val="it-IT" w:eastAsia="it-IT"/>
        </w:rPr>
        <w:t>%)</w:t>
      </w:r>
      <w:r w:rsidR="00144C8A">
        <w:rPr>
          <w:rFonts w:ascii="Arial" w:hAnsi="Arial"/>
          <w:b w:val="0"/>
          <w:sz w:val="21"/>
          <w:szCs w:val="21"/>
          <w:lang w:val="it-IT" w:eastAsia="it-IT"/>
        </w:rPr>
        <w:t>,</w:t>
      </w:r>
      <w:r w:rsidR="00124232">
        <w:rPr>
          <w:rFonts w:ascii="Arial" w:hAnsi="Arial"/>
          <w:b w:val="0"/>
          <w:sz w:val="21"/>
          <w:szCs w:val="21"/>
          <w:lang w:val="it-IT" w:eastAsia="it-IT"/>
        </w:rPr>
        <w:t xml:space="preserve"> </w:t>
      </w:r>
      <w:r w:rsidR="00517AC4">
        <w:rPr>
          <w:rFonts w:ascii="Arial" w:hAnsi="Arial"/>
          <w:b w:val="0"/>
          <w:sz w:val="21"/>
          <w:szCs w:val="21"/>
          <w:lang w:val="it-IT" w:eastAsia="it-IT"/>
        </w:rPr>
        <w:t>mentre aumentano</w:t>
      </w:r>
      <w:r>
        <w:rPr>
          <w:rFonts w:ascii="Arial" w:hAnsi="Arial"/>
          <w:b w:val="0"/>
          <w:sz w:val="21"/>
          <w:szCs w:val="21"/>
          <w:lang w:val="it-IT" w:eastAsia="it-IT"/>
        </w:rPr>
        <w:t xml:space="preserve"> </w:t>
      </w:r>
      <w:r w:rsidR="009F55AB">
        <w:rPr>
          <w:rFonts w:ascii="Arial" w:hAnsi="Arial"/>
          <w:b w:val="0"/>
          <w:sz w:val="21"/>
          <w:szCs w:val="21"/>
          <w:lang w:val="it-IT" w:eastAsia="it-IT"/>
        </w:rPr>
        <w:t xml:space="preserve">per </w:t>
      </w:r>
      <w:r>
        <w:rPr>
          <w:rFonts w:ascii="Arial" w:hAnsi="Arial"/>
          <w:b w:val="0"/>
          <w:sz w:val="21"/>
          <w:szCs w:val="21"/>
          <w:lang w:val="it-IT" w:eastAsia="it-IT"/>
        </w:rPr>
        <w:t>l’import (</w:t>
      </w:r>
      <w:r w:rsidR="00517AC4">
        <w:rPr>
          <w:rFonts w:ascii="Arial" w:hAnsi="Arial"/>
          <w:b w:val="0"/>
          <w:sz w:val="21"/>
          <w:szCs w:val="21"/>
          <w:lang w:val="it-IT" w:eastAsia="it-IT"/>
        </w:rPr>
        <w:t>+</w:t>
      </w:r>
      <w:r w:rsidR="00144C8A">
        <w:rPr>
          <w:rFonts w:ascii="Arial" w:hAnsi="Arial"/>
          <w:b w:val="0"/>
          <w:sz w:val="21"/>
          <w:szCs w:val="21"/>
          <w:lang w:val="it-IT" w:eastAsia="it-IT"/>
        </w:rPr>
        <w:t>4</w:t>
      </w:r>
      <w:r w:rsidR="00517AC4">
        <w:rPr>
          <w:rFonts w:ascii="Arial" w:hAnsi="Arial"/>
          <w:b w:val="0"/>
          <w:sz w:val="21"/>
          <w:szCs w:val="21"/>
          <w:lang w:val="it-IT" w:eastAsia="it-IT"/>
        </w:rPr>
        <w:t>,1</w:t>
      </w:r>
      <w:r w:rsidR="00B006EB" w:rsidRPr="00CC4A6F">
        <w:rPr>
          <w:rFonts w:ascii="Arial" w:hAnsi="Arial"/>
          <w:b w:val="0"/>
          <w:sz w:val="21"/>
          <w:szCs w:val="21"/>
          <w:lang w:val="it-IT" w:eastAsia="it-IT"/>
        </w:rPr>
        <w:t>%).</w:t>
      </w:r>
    </w:p>
    <w:p w14:paraId="5F30A954" w14:textId="77777777" w:rsidR="00B006EB" w:rsidRPr="00560DE1" w:rsidRDefault="00B006EB" w:rsidP="003C4572">
      <w:pPr>
        <w:pStyle w:val="Corpotesto1"/>
        <w:rPr>
          <w:rFonts w:ascii="Arial" w:hAnsi="Arial"/>
          <w:b w:val="0"/>
          <w:color w:val="FFFFFF" w:themeColor="background1"/>
          <w:sz w:val="20"/>
          <w:szCs w:val="20"/>
          <w:lang w:val="it-IT" w:eastAsia="it-IT"/>
        </w:rPr>
      </w:pPr>
    </w:p>
    <w:p w14:paraId="167AF266" w14:textId="42D62C21" w:rsidR="00A03714" w:rsidRPr="00E5259B" w:rsidRDefault="00A03714" w:rsidP="000C07C1">
      <w:pPr>
        <w:pStyle w:val="Corpotesto1"/>
        <w:spacing w:after="80"/>
        <w:rPr>
          <w:rFonts w:ascii="Arial Narrow" w:hAnsi="Arial Narrow" w:cs="Arial"/>
          <w:b w:val="0"/>
          <w:bCs/>
          <w:sz w:val="19"/>
          <w:szCs w:val="19"/>
          <w:lang w:val="it-IT"/>
        </w:rPr>
      </w:pPr>
      <w:r w:rsidRPr="00E5259B">
        <w:rPr>
          <w:rFonts w:ascii="Arial Narrow" w:hAnsi="Arial Narrow" w:cs="Arial"/>
          <w:color w:val="E42618"/>
          <w:kern w:val="28"/>
          <w:sz w:val="22"/>
          <w:szCs w:val="22"/>
          <w:lang w:val="it-IT"/>
        </w:rPr>
        <w:t xml:space="preserve">PROSPETTO 3. </w:t>
      </w:r>
      <w:r w:rsidRPr="00E5259B">
        <w:rPr>
          <w:rFonts w:ascii="Arial Narrow" w:hAnsi="Arial Narrow" w:cs="Arial"/>
          <w:color w:val="5F5F5F"/>
          <w:kern w:val="28"/>
          <w:sz w:val="22"/>
          <w:szCs w:val="22"/>
          <w:lang w:val="it-IT"/>
        </w:rPr>
        <w:t>VALORI MEDI UNITARI E VOLUMI PER AREA UE</w:t>
      </w:r>
      <w:r w:rsidR="00C90F76" w:rsidRPr="00E5259B">
        <w:rPr>
          <w:rFonts w:ascii="Arial Narrow" w:hAnsi="Arial Narrow" w:cs="Arial"/>
          <w:color w:val="5F5F5F"/>
          <w:kern w:val="28"/>
          <w:sz w:val="22"/>
          <w:szCs w:val="22"/>
          <w:lang w:val="it-IT"/>
        </w:rPr>
        <w:t>27</w:t>
      </w:r>
      <w:r w:rsidRPr="00E5259B">
        <w:rPr>
          <w:rFonts w:ascii="Arial Narrow" w:hAnsi="Arial Narrow" w:cs="Arial"/>
          <w:color w:val="5F5F5F"/>
          <w:kern w:val="28"/>
          <w:sz w:val="22"/>
          <w:szCs w:val="22"/>
          <w:lang w:val="it-IT"/>
        </w:rPr>
        <w:t>, EXTRA UE</w:t>
      </w:r>
      <w:r w:rsidR="00C90F76" w:rsidRPr="00E5259B">
        <w:rPr>
          <w:rFonts w:ascii="Arial Narrow" w:hAnsi="Arial Narrow" w:cs="Arial"/>
          <w:color w:val="5F5F5F"/>
          <w:kern w:val="28"/>
          <w:sz w:val="22"/>
          <w:szCs w:val="22"/>
          <w:lang w:val="it-IT"/>
        </w:rPr>
        <w:t>27</w:t>
      </w:r>
      <w:r w:rsidRPr="00E5259B">
        <w:rPr>
          <w:rFonts w:ascii="Arial Narrow" w:hAnsi="Arial Narrow" w:cs="Arial"/>
          <w:color w:val="5F5F5F"/>
          <w:kern w:val="28"/>
          <w:sz w:val="22"/>
          <w:szCs w:val="22"/>
          <w:lang w:val="it-IT"/>
        </w:rPr>
        <w:t xml:space="preserve"> E MONDO</w:t>
      </w:r>
      <w:r w:rsidRPr="00E5259B">
        <w:rPr>
          <w:rFonts w:ascii="Arial Narrow" w:hAnsi="Arial Narrow" w:cs="Arial Narrow"/>
          <w:color w:val="5F5F5F"/>
          <w:sz w:val="20"/>
          <w:lang w:val="it-IT"/>
        </w:rPr>
        <w:br/>
      </w:r>
      <w:r w:rsidR="00E232B2">
        <w:rPr>
          <w:rFonts w:ascii="Arial Narrow" w:hAnsi="Arial Narrow" w:cs="Arial"/>
          <w:b w:val="0"/>
          <w:color w:val="5F5F5F"/>
          <w:kern w:val="28"/>
          <w:sz w:val="20"/>
          <w:szCs w:val="20"/>
          <w:lang w:val="it-IT"/>
        </w:rPr>
        <w:t>Gennaio</w:t>
      </w:r>
      <w:r w:rsidR="005F4922" w:rsidRPr="005F4922">
        <w:rPr>
          <w:rFonts w:ascii="Arial Narrow" w:hAnsi="Arial Narrow" w:cs="Arial"/>
          <w:b w:val="0"/>
          <w:color w:val="5F5F5F"/>
          <w:kern w:val="28"/>
          <w:sz w:val="20"/>
          <w:szCs w:val="20"/>
          <w:lang w:val="it-IT"/>
        </w:rPr>
        <w:t xml:space="preserve"> </w:t>
      </w:r>
      <w:r w:rsidR="00E232B2">
        <w:rPr>
          <w:rFonts w:ascii="Arial Narrow" w:hAnsi="Arial Narrow" w:cs="Arial"/>
          <w:b w:val="0"/>
          <w:color w:val="5F5F5F"/>
          <w:kern w:val="28"/>
          <w:sz w:val="20"/>
          <w:szCs w:val="20"/>
          <w:lang w:val="it-IT"/>
        </w:rPr>
        <w:t>2025</w:t>
      </w:r>
      <w:r w:rsidRPr="00E5259B">
        <w:rPr>
          <w:rFonts w:ascii="Arial Narrow" w:hAnsi="Arial Narrow" w:cs="Arial"/>
          <w:b w:val="0"/>
          <w:color w:val="5F5F5F"/>
          <w:kern w:val="28"/>
          <w:sz w:val="20"/>
          <w:szCs w:val="20"/>
          <w:lang w:val="it-IT"/>
        </w:rPr>
        <w:t xml:space="preserve">, </w:t>
      </w:r>
      <w:r w:rsidR="00C03605" w:rsidRPr="00E5259B">
        <w:rPr>
          <w:rFonts w:ascii="Arial Narrow" w:hAnsi="Arial Narrow" w:cs="Arial"/>
          <w:b w:val="0"/>
          <w:color w:val="5F5F5F"/>
          <w:kern w:val="28"/>
          <w:sz w:val="20"/>
          <w:szCs w:val="20"/>
          <w:lang w:val="it-IT"/>
        </w:rPr>
        <w:t xml:space="preserve">variazioni percentuali </w:t>
      </w:r>
      <w:r w:rsidR="00147CB5" w:rsidRPr="00E5259B">
        <w:rPr>
          <w:rFonts w:ascii="Arial Narrow" w:hAnsi="Arial Narrow" w:cs="Arial"/>
          <w:b w:val="0"/>
          <w:color w:val="5F5F5F"/>
          <w:kern w:val="28"/>
          <w:sz w:val="20"/>
          <w:szCs w:val="20"/>
          <w:lang w:val="it-IT"/>
        </w:rPr>
        <w:t xml:space="preserve">tendenziali </w:t>
      </w:r>
      <w:r w:rsidR="00C03605" w:rsidRPr="00E5259B">
        <w:rPr>
          <w:rFonts w:ascii="Arial Narrow" w:hAnsi="Arial Narrow" w:cs="Arial"/>
          <w:b w:val="0"/>
          <w:color w:val="5F5F5F"/>
          <w:kern w:val="28"/>
          <w:sz w:val="20"/>
          <w:szCs w:val="20"/>
          <w:lang w:val="it-IT"/>
        </w:rPr>
        <w:t>(</w:t>
      </w:r>
      <w:r w:rsidR="00421DFB" w:rsidRPr="00E5259B">
        <w:rPr>
          <w:rFonts w:ascii="Arial Narrow" w:hAnsi="Arial Narrow" w:cs="Arial"/>
          <w:b w:val="0"/>
          <w:color w:val="5F5F5F"/>
          <w:kern w:val="28"/>
          <w:sz w:val="20"/>
          <w:szCs w:val="20"/>
          <w:lang w:val="it-IT"/>
        </w:rPr>
        <w:t>base 2021=</w:t>
      </w:r>
      <w:r w:rsidRPr="00E5259B">
        <w:rPr>
          <w:rFonts w:ascii="Arial Narrow" w:hAnsi="Arial Narrow" w:cs="Arial"/>
          <w:b w:val="0"/>
          <w:color w:val="5F5F5F"/>
          <w:kern w:val="28"/>
          <w:sz w:val="20"/>
          <w:szCs w:val="20"/>
          <w:lang w:val="it-IT"/>
        </w:rPr>
        <w:t>100</w:t>
      </w:r>
      <w:r w:rsidR="00C03605" w:rsidRPr="00E5259B">
        <w:rPr>
          <w:rFonts w:ascii="Arial Narrow" w:hAnsi="Arial Narrow" w:cs="Arial"/>
          <w:b w:val="0"/>
          <w:color w:val="5F5F5F"/>
          <w:kern w:val="28"/>
          <w:sz w:val="20"/>
          <w:szCs w:val="20"/>
          <w:lang w:val="it-IT"/>
        </w:rPr>
        <w:t>)</w:t>
      </w:r>
    </w:p>
    <w:tbl>
      <w:tblPr>
        <w:tblW w:w="10206" w:type="dxa"/>
        <w:tblInd w:w="70" w:type="dxa"/>
        <w:tblLayout w:type="fixed"/>
        <w:tblCellMar>
          <w:left w:w="70" w:type="dxa"/>
          <w:right w:w="70" w:type="dxa"/>
        </w:tblCellMar>
        <w:tblLook w:val="0000" w:firstRow="0" w:lastRow="0" w:firstColumn="0" w:lastColumn="0" w:noHBand="0" w:noVBand="0"/>
      </w:tblPr>
      <w:tblGrid>
        <w:gridCol w:w="1647"/>
        <w:gridCol w:w="2139"/>
        <w:gridCol w:w="2140"/>
        <w:gridCol w:w="2140"/>
        <w:gridCol w:w="2140"/>
      </w:tblGrid>
      <w:tr w:rsidR="00ED0CD1" w:rsidRPr="006304A5" w14:paraId="609C595B" w14:textId="77777777" w:rsidTr="003C4572">
        <w:trPr>
          <w:trHeight w:val="255"/>
        </w:trPr>
        <w:tc>
          <w:tcPr>
            <w:tcW w:w="1647" w:type="dxa"/>
            <w:vMerge w:val="restart"/>
            <w:tcBorders>
              <w:top w:val="single" w:sz="4" w:space="0" w:color="auto"/>
              <w:left w:val="nil"/>
              <w:right w:val="nil"/>
            </w:tcBorders>
            <w:noWrap/>
            <w:vAlign w:val="center"/>
          </w:tcPr>
          <w:p w14:paraId="3391C5FB" w14:textId="77777777" w:rsidR="00ED0CD1" w:rsidRDefault="00ED0CD1" w:rsidP="003C4572">
            <w:pPr>
              <w:spacing w:before="40" w:after="20"/>
              <w:jc w:val="center"/>
              <w:rPr>
                <w:rFonts w:ascii="Arial Narrow" w:hAnsi="Arial Narrow" w:cs="Arial"/>
                <w:b/>
                <w:sz w:val="18"/>
                <w:szCs w:val="18"/>
              </w:rPr>
            </w:pPr>
            <w:r w:rsidRPr="006304A5">
              <w:rPr>
                <w:rFonts w:ascii="Arial Narrow" w:hAnsi="Arial Narrow" w:cs="Arial"/>
                <w:b/>
                <w:sz w:val="18"/>
                <w:szCs w:val="18"/>
              </w:rPr>
              <w:t xml:space="preserve">PRINCIPALI AREE </w:t>
            </w:r>
          </w:p>
          <w:p w14:paraId="7A64FE47" w14:textId="77777777" w:rsidR="00ED0CD1" w:rsidRPr="006304A5" w:rsidRDefault="00ED0CD1" w:rsidP="003C4572">
            <w:pPr>
              <w:spacing w:before="40" w:after="20"/>
              <w:jc w:val="center"/>
              <w:rPr>
                <w:rFonts w:ascii="Arial Narrow" w:hAnsi="Arial Narrow" w:cs="Arial"/>
                <w:b/>
                <w:sz w:val="18"/>
                <w:szCs w:val="18"/>
              </w:rPr>
            </w:pPr>
            <w:r w:rsidRPr="006304A5">
              <w:rPr>
                <w:rFonts w:ascii="Arial Narrow" w:hAnsi="Arial Narrow" w:cs="Arial"/>
                <w:b/>
                <w:sz w:val="18"/>
                <w:szCs w:val="18"/>
              </w:rPr>
              <w:t>DI INTERSCAMBIO</w:t>
            </w:r>
          </w:p>
        </w:tc>
        <w:tc>
          <w:tcPr>
            <w:tcW w:w="4279" w:type="dxa"/>
            <w:gridSpan w:val="2"/>
            <w:tcBorders>
              <w:top w:val="single" w:sz="4" w:space="0" w:color="auto"/>
              <w:left w:val="nil"/>
              <w:bottom w:val="single" w:sz="4" w:space="0" w:color="auto"/>
              <w:right w:val="nil"/>
            </w:tcBorders>
            <w:shd w:val="clear" w:color="auto" w:fill="D9D9D9"/>
            <w:noWrap/>
            <w:vAlign w:val="center"/>
          </w:tcPr>
          <w:p w14:paraId="0F7BF0AB" w14:textId="77777777" w:rsidR="00ED0CD1" w:rsidRPr="006304A5" w:rsidRDefault="00ED0CD1" w:rsidP="003C4572">
            <w:pPr>
              <w:spacing w:before="40" w:after="20"/>
              <w:jc w:val="center"/>
              <w:rPr>
                <w:rFonts w:ascii="Arial Narrow" w:hAnsi="Arial Narrow"/>
                <w:b/>
                <w:bCs/>
                <w:sz w:val="18"/>
                <w:szCs w:val="18"/>
              </w:rPr>
            </w:pPr>
            <w:r w:rsidRPr="006304A5">
              <w:rPr>
                <w:rFonts w:ascii="Arial Narrow" w:hAnsi="Arial Narrow" w:cs="Arial"/>
                <w:b/>
                <w:bCs/>
                <w:sz w:val="18"/>
                <w:szCs w:val="18"/>
              </w:rPr>
              <w:t>VALORI MEDI UNITARI</w:t>
            </w:r>
          </w:p>
        </w:tc>
        <w:tc>
          <w:tcPr>
            <w:tcW w:w="4280" w:type="dxa"/>
            <w:gridSpan w:val="2"/>
            <w:tcBorders>
              <w:top w:val="single" w:sz="4" w:space="0" w:color="auto"/>
              <w:left w:val="nil"/>
              <w:bottom w:val="single" w:sz="4" w:space="0" w:color="auto"/>
              <w:right w:val="nil"/>
            </w:tcBorders>
            <w:shd w:val="clear" w:color="auto" w:fill="auto"/>
            <w:noWrap/>
            <w:vAlign w:val="center"/>
          </w:tcPr>
          <w:p w14:paraId="20CC81CD" w14:textId="77777777" w:rsidR="00ED0CD1" w:rsidRPr="006304A5" w:rsidRDefault="00ED0CD1" w:rsidP="003C4572">
            <w:pPr>
              <w:spacing w:before="40" w:after="20"/>
              <w:jc w:val="center"/>
              <w:rPr>
                <w:rFonts w:ascii="Arial Narrow" w:hAnsi="Arial Narrow"/>
                <w:b/>
                <w:bCs/>
                <w:sz w:val="18"/>
                <w:szCs w:val="18"/>
              </w:rPr>
            </w:pPr>
            <w:r w:rsidRPr="006304A5">
              <w:rPr>
                <w:rFonts w:ascii="Arial Narrow" w:hAnsi="Arial Narrow" w:cs="Arial"/>
                <w:b/>
                <w:bCs/>
                <w:sz w:val="18"/>
                <w:szCs w:val="18"/>
              </w:rPr>
              <w:t>VOLUMI</w:t>
            </w:r>
          </w:p>
        </w:tc>
      </w:tr>
      <w:tr w:rsidR="00ED0CD1" w:rsidRPr="006304A5" w14:paraId="6B5AF9E0" w14:textId="77777777" w:rsidTr="003C4572">
        <w:trPr>
          <w:trHeight w:val="255"/>
        </w:trPr>
        <w:tc>
          <w:tcPr>
            <w:tcW w:w="1647" w:type="dxa"/>
            <w:vMerge/>
            <w:tcBorders>
              <w:left w:val="nil"/>
              <w:right w:val="nil"/>
            </w:tcBorders>
            <w:noWrap/>
            <w:vAlign w:val="bottom"/>
          </w:tcPr>
          <w:p w14:paraId="691CE7A0" w14:textId="77777777" w:rsidR="00ED0CD1" w:rsidRPr="006304A5" w:rsidRDefault="00ED0CD1" w:rsidP="003C4572">
            <w:pPr>
              <w:spacing w:before="40" w:after="20"/>
              <w:rPr>
                <w:rFonts w:ascii="Arial Narrow" w:hAnsi="Arial Narrow" w:cs="Arial"/>
                <w:sz w:val="18"/>
                <w:szCs w:val="18"/>
              </w:rPr>
            </w:pPr>
          </w:p>
        </w:tc>
        <w:tc>
          <w:tcPr>
            <w:tcW w:w="2139" w:type="dxa"/>
            <w:tcBorders>
              <w:top w:val="single" w:sz="4" w:space="0" w:color="auto"/>
              <w:left w:val="nil"/>
              <w:bottom w:val="single" w:sz="4" w:space="0" w:color="auto"/>
              <w:right w:val="nil"/>
            </w:tcBorders>
            <w:shd w:val="clear" w:color="auto" w:fill="D9D9D9"/>
            <w:vAlign w:val="center"/>
          </w:tcPr>
          <w:p w14:paraId="14EED0BA" w14:textId="77777777" w:rsidR="00ED0CD1" w:rsidRPr="0063317A" w:rsidRDefault="00ED0CD1" w:rsidP="003C4572">
            <w:pPr>
              <w:spacing w:before="40" w:after="20"/>
              <w:jc w:val="center"/>
              <w:rPr>
                <w:rFonts w:ascii="Arial Narrow" w:hAnsi="Arial Narrow" w:cs="Arial"/>
                <w:b/>
                <w:bCs/>
                <w:sz w:val="18"/>
                <w:szCs w:val="18"/>
              </w:rPr>
            </w:pPr>
            <w:r w:rsidRPr="0063317A">
              <w:rPr>
                <w:rFonts w:ascii="Arial Narrow" w:hAnsi="Arial Narrow" w:cs="Arial"/>
                <w:b/>
                <w:bCs/>
                <w:sz w:val="18"/>
                <w:szCs w:val="18"/>
              </w:rPr>
              <w:t>Esportazioni</w:t>
            </w:r>
          </w:p>
        </w:tc>
        <w:tc>
          <w:tcPr>
            <w:tcW w:w="2140" w:type="dxa"/>
            <w:tcBorders>
              <w:top w:val="single" w:sz="4" w:space="0" w:color="auto"/>
              <w:left w:val="nil"/>
              <w:bottom w:val="single" w:sz="4" w:space="0" w:color="auto"/>
              <w:right w:val="nil"/>
            </w:tcBorders>
            <w:vAlign w:val="center"/>
          </w:tcPr>
          <w:p w14:paraId="28CA1CC1" w14:textId="77777777" w:rsidR="00ED0CD1" w:rsidRPr="0063317A" w:rsidRDefault="00ED0CD1" w:rsidP="003C4572">
            <w:pPr>
              <w:spacing w:before="40" w:after="20"/>
              <w:jc w:val="center"/>
              <w:rPr>
                <w:rFonts w:ascii="Arial Narrow" w:hAnsi="Arial Narrow" w:cs="Arial"/>
                <w:b/>
                <w:bCs/>
                <w:sz w:val="18"/>
                <w:szCs w:val="18"/>
              </w:rPr>
            </w:pPr>
            <w:r w:rsidRPr="0063317A">
              <w:rPr>
                <w:rFonts w:ascii="Arial Narrow" w:hAnsi="Arial Narrow" w:cs="Arial"/>
                <w:b/>
                <w:bCs/>
                <w:sz w:val="18"/>
                <w:szCs w:val="18"/>
              </w:rPr>
              <w:t>Importazioni</w:t>
            </w:r>
          </w:p>
        </w:tc>
        <w:tc>
          <w:tcPr>
            <w:tcW w:w="2140" w:type="dxa"/>
            <w:tcBorders>
              <w:top w:val="single" w:sz="4" w:space="0" w:color="auto"/>
              <w:left w:val="nil"/>
              <w:bottom w:val="single" w:sz="4" w:space="0" w:color="auto"/>
              <w:right w:val="nil"/>
            </w:tcBorders>
            <w:shd w:val="clear" w:color="auto" w:fill="D9D9D9"/>
            <w:vAlign w:val="center"/>
          </w:tcPr>
          <w:p w14:paraId="6CBDDFE4" w14:textId="77777777" w:rsidR="00ED0CD1" w:rsidRPr="0063317A" w:rsidRDefault="00ED0CD1" w:rsidP="003C4572">
            <w:pPr>
              <w:spacing w:before="40" w:after="20"/>
              <w:jc w:val="center"/>
              <w:rPr>
                <w:rFonts w:ascii="Arial Narrow" w:hAnsi="Arial Narrow" w:cs="Arial"/>
                <w:b/>
                <w:bCs/>
                <w:sz w:val="18"/>
                <w:szCs w:val="18"/>
              </w:rPr>
            </w:pPr>
            <w:r w:rsidRPr="0063317A">
              <w:rPr>
                <w:rFonts w:ascii="Arial Narrow" w:hAnsi="Arial Narrow" w:cs="Arial"/>
                <w:b/>
                <w:bCs/>
                <w:sz w:val="18"/>
                <w:szCs w:val="18"/>
              </w:rPr>
              <w:t>Esportazioni</w:t>
            </w:r>
          </w:p>
        </w:tc>
        <w:tc>
          <w:tcPr>
            <w:tcW w:w="2140" w:type="dxa"/>
            <w:tcBorders>
              <w:top w:val="single" w:sz="4" w:space="0" w:color="auto"/>
              <w:left w:val="nil"/>
              <w:bottom w:val="single" w:sz="4" w:space="0" w:color="auto"/>
              <w:right w:val="nil"/>
            </w:tcBorders>
            <w:vAlign w:val="center"/>
          </w:tcPr>
          <w:p w14:paraId="4B432E7B" w14:textId="77777777" w:rsidR="00ED0CD1" w:rsidRPr="0063317A" w:rsidRDefault="00ED0CD1" w:rsidP="003C4572">
            <w:pPr>
              <w:spacing w:before="40" w:after="20"/>
              <w:jc w:val="center"/>
              <w:rPr>
                <w:rFonts w:ascii="Arial Narrow" w:hAnsi="Arial Narrow" w:cs="Arial"/>
                <w:b/>
                <w:bCs/>
                <w:sz w:val="18"/>
                <w:szCs w:val="18"/>
              </w:rPr>
            </w:pPr>
            <w:r w:rsidRPr="0063317A">
              <w:rPr>
                <w:rFonts w:ascii="Arial Narrow" w:hAnsi="Arial Narrow" w:cs="Arial"/>
                <w:b/>
                <w:bCs/>
                <w:sz w:val="18"/>
                <w:szCs w:val="18"/>
              </w:rPr>
              <w:t>Importazioni</w:t>
            </w:r>
          </w:p>
        </w:tc>
      </w:tr>
      <w:tr w:rsidR="00ED0CD1" w:rsidRPr="006304A5" w14:paraId="4B1A39C1" w14:textId="77777777" w:rsidTr="003C4572">
        <w:trPr>
          <w:trHeight w:val="255"/>
        </w:trPr>
        <w:tc>
          <w:tcPr>
            <w:tcW w:w="1647" w:type="dxa"/>
            <w:vMerge/>
            <w:tcBorders>
              <w:left w:val="nil"/>
              <w:right w:val="nil"/>
            </w:tcBorders>
            <w:noWrap/>
            <w:vAlign w:val="bottom"/>
          </w:tcPr>
          <w:p w14:paraId="1C30F45F" w14:textId="77777777" w:rsidR="00ED0CD1" w:rsidRPr="006304A5" w:rsidRDefault="00ED0CD1" w:rsidP="003C4572">
            <w:pPr>
              <w:spacing w:before="40" w:after="20"/>
              <w:rPr>
                <w:rFonts w:ascii="Arial Narrow" w:hAnsi="Arial Narrow" w:cs="Arial"/>
                <w:sz w:val="18"/>
                <w:szCs w:val="18"/>
              </w:rPr>
            </w:pPr>
          </w:p>
        </w:tc>
        <w:tc>
          <w:tcPr>
            <w:tcW w:w="2139" w:type="dxa"/>
            <w:tcBorders>
              <w:top w:val="single" w:sz="4" w:space="0" w:color="auto"/>
              <w:left w:val="nil"/>
              <w:right w:val="nil"/>
            </w:tcBorders>
            <w:shd w:val="clear" w:color="auto" w:fill="auto"/>
            <w:vAlign w:val="center"/>
          </w:tcPr>
          <w:p w14:paraId="1D1BACDE" w14:textId="77777777" w:rsidR="00ED0CD1" w:rsidRPr="002469A9" w:rsidRDefault="00ED0CD1" w:rsidP="003C4572">
            <w:pPr>
              <w:spacing w:before="40" w:after="20"/>
              <w:jc w:val="center"/>
              <w:rPr>
                <w:rFonts w:ascii="Arial Narrow" w:hAnsi="Arial Narrow"/>
                <w:sz w:val="18"/>
                <w:szCs w:val="18"/>
              </w:rPr>
            </w:pPr>
            <w:r w:rsidRPr="002469A9">
              <w:rPr>
                <w:rFonts w:ascii="Arial Narrow" w:hAnsi="Arial Narrow"/>
                <w:sz w:val="18"/>
                <w:szCs w:val="18"/>
              </w:rPr>
              <w:t>Variazioni tendenziali</w:t>
            </w:r>
          </w:p>
        </w:tc>
        <w:tc>
          <w:tcPr>
            <w:tcW w:w="2140" w:type="dxa"/>
            <w:tcBorders>
              <w:top w:val="single" w:sz="4" w:space="0" w:color="auto"/>
              <w:left w:val="nil"/>
              <w:right w:val="nil"/>
            </w:tcBorders>
            <w:shd w:val="clear" w:color="auto" w:fill="auto"/>
            <w:vAlign w:val="center"/>
          </w:tcPr>
          <w:p w14:paraId="49C377A5" w14:textId="77777777" w:rsidR="00ED0CD1" w:rsidRPr="002469A9" w:rsidRDefault="00ED0CD1" w:rsidP="003C4572">
            <w:pPr>
              <w:spacing w:before="40" w:after="20"/>
              <w:jc w:val="center"/>
              <w:rPr>
                <w:rFonts w:ascii="Arial Narrow" w:hAnsi="Arial Narrow"/>
                <w:sz w:val="18"/>
                <w:szCs w:val="18"/>
                <w:u w:val="single"/>
              </w:rPr>
            </w:pPr>
            <w:r w:rsidRPr="002469A9">
              <w:rPr>
                <w:rFonts w:ascii="Arial Narrow" w:hAnsi="Arial Narrow"/>
                <w:sz w:val="18"/>
                <w:szCs w:val="18"/>
              </w:rPr>
              <w:t>Variazioni tendenziali</w:t>
            </w:r>
          </w:p>
        </w:tc>
        <w:tc>
          <w:tcPr>
            <w:tcW w:w="2140" w:type="dxa"/>
            <w:tcBorders>
              <w:top w:val="single" w:sz="4" w:space="0" w:color="auto"/>
              <w:left w:val="nil"/>
              <w:right w:val="nil"/>
            </w:tcBorders>
            <w:shd w:val="clear" w:color="auto" w:fill="auto"/>
            <w:vAlign w:val="center"/>
          </w:tcPr>
          <w:p w14:paraId="6AD1DB37" w14:textId="77777777" w:rsidR="00ED0CD1" w:rsidRPr="002469A9" w:rsidRDefault="00ED0CD1" w:rsidP="003C4572">
            <w:pPr>
              <w:spacing w:before="40" w:after="20"/>
              <w:jc w:val="center"/>
              <w:rPr>
                <w:rFonts w:ascii="Arial Narrow" w:hAnsi="Arial Narrow"/>
                <w:sz w:val="18"/>
                <w:szCs w:val="18"/>
                <w:u w:val="single"/>
              </w:rPr>
            </w:pPr>
            <w:r w:rsidRPr="002469A9">
              <w:rPr>
                <w:rFonts w:ascii="Arial Narrow" w:hAnsi="Arial Narrow"/>
                <w:sz w:val="18"/>
                <w:szCs w:val="18"/>
              </w:rPr>
              <w:t>Variazioni tendenziali</w:t>
            </w:r>
          </w:p>
        </w:tc>
        <w:tc>
          <w:tcPr>
            <w:tcW w:w="2140" w:type="dxa"/>
            <w:tcBorders>
              <w:top w:val="single" w:sz="4" w:space="0" w:color="auto"/>
              <w:left w:val="nil"/>
              <w:right w:val="nil"/>
            </w:tcBorders>
            <w:shd w:val="clear" w:color="auto" w:fill="auto"/>
            <w:vAlign w:val="center"/>
          </w:tcPr>
          <w:p w14:paraId="0FD3CADD" w14:textId="77777777" w:rsidR="00ED0CD1" w:rsidRPr="002469A9" w:rsidRDefault="00ED0CD1" w:rsidP="003C4572">
            <w:pPr>
              <w:spacing w:before="40" w:after="20"/>
              <w:jc w:val="center"/>
              <w:rPr>
                <w:rFonts w:ascii="Arial Narrow" w:hAnsi="Arial Narrow"/>
                <w:sz w:val="18"/>
                <w:szCs w:val="18"/>
                <w:u w:val="single"/>
              </w:rPr>
            </w:pPr>
            <w:r w:rsidRPr="002469A9">
              <w:rPr>
                <w:rFonts w:ascii="Arial Narrow" w:hAnsi="Arial Narrow"/>
                <w:sz w:val="18"/>
                <w:szCs w:val="18"/>
              </w:rPr>
              <w:t>Variazioni tendenziali</w:t>
            </w:r>
          </w:p>
        </w:tc>
      </w:tr>
      <w:tr w:rsidR="00E232B2" w:rsidRPr="006304A5" w14:paraId="4A50E3E3" w14:textId="77777777" w:rsidTr="00694712">
        <w:trPr>
          <w:trHeight w:val="255"/>
        </w:trPr>
        <w:tc>
          <w:tcPr>
            <w:tcW w:w="1647" w:type="dxa"/>
            <w:vMerge/>
            <w:tcBorders>
              <w:left w:val="nil"/>
              <w:right w:val="nil"/>
            </w:tcBorders>
            <w:noWrap/>
            <w:vAlign w:val="bottom"/>
          </w:tcPr>
          <w:p w14:paraId="4826872A" w14:textId="77777777" w:rsidR="00E232B2" w:rsidRPr="006304A5" w:rsidRDefault="00E232B2" w:rsidP="005F4922">
            <w:pPr>
              <w:spacing w:before="40" w:after="20"/>
              <w:rPr>
                <w:rFonts w:ascii="Arial Narrow" w:hAnsi="Arial Narrow" w:cs="Arial"/>
                <w:sz w:val="18"/>
                <w:szCs w:val="18"/>
              </w:rPr>
            </w:pPr>
          </w:p>
        </w:tc>
        <w:tc>
          <w:tcPr>
            <w:tcW w:w="2139" w:type="dxa"/>
            <w:tcBorders>
              <w:top w:val="single" w:sz="4" w:space="0" w:color="auto"/>
              <w:left w:val="nil"/>
              <w:right w:val="nil"/>
            </w:tcBorders>
            <w:shd w:val="clear" w:color="auto" w:fill="auto"/>
            <w:vAlign w:val="center"/>
          </w:tcPr>
          <w:p w14:paraId="75607280" w14:textId="77777777" w:rsidR="00E232B2" w:rsidRPr="0069402A" w:rsidRDefault="00E232B2" w:rsidP="005F492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741FFD0B" w14:textId="101589A5"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23C6ECFD"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023CB2D1" w14:textId="217E629B"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34EBC886"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552B2493" w14:textId="54788EF3"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1C5730C7"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D5B802C" w14:textId="57F6FBC3"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r>
      <w:tr w:rsidR="00D20998" w:rsidRPr="008C0651" w14:paraId="1FA76871" w14:textId="77777777" w:rsidTr="00694712">
        <w:trPr>
          <w:trHeight w:val="255"/>
        </w:trPr>
        <w:tc>
          <w:tcPr>
            <w:tcW w:w="1647" w:type="dxa"/>
            <w:tcBorders>
              <w:top w:val="single" w:sz="4" w:space="0" w:color="auto"/>
              <w:left w:val="nil"/>
              <w:bottom w:val="single" w:sz="4" w:space="0" w:color="auto"/>
            </w:tcBorders>
            <w:noWrap/>
            <w:vAlign w:val="bottom"/>
          </w:tcPr>
          <w:p w14:paraId="1C435562" w14:textId="77777777" w:rsidR="00D20998" w:rsidRPr="007C052D" w:rsidRDefault="00D20998" w:rsidP="00D20998">
            <w:pPr>
              <w:spacing w:before="40" w:after="20"/>
              <w:rPr>
                <w:rFonts w:ascii="Arial Narrow" w:hAnsi="Arial Narrow" w:cs="Arial"/>
                <w:sz w:val="18"/>
                <w:szCs w:val="18"/>
              </w:rPr>
            </w:pPr>
            <w:r w:rsidRPr="007C052D">
              <w:rPr>
                <w:rFonts w:ascii="Arial Narrow" w:hAnsi="Arial Narrow" w:cs="Arial"/>
                <w:sz w:val="18"/>
                <w:szCs w:val="18"/>
              </w:rPr>
              <w:t>Paesi Ue27</w:t>
            </w:r>
          </w:p>
        </w:tc>
        <w:tc>
          <w:tcPr>
            <w:tcW w:w="2139" w:type="dxa"/>
            <w:tcBorders>
              <w:top w:val="single" w:sz="4" w:space="0" w:color="auto"/>
              <w:bottom w:val="single" w:sz="4" w:space="0" w:color="auto"/>
            </w:tcBorders>
            <w:shd w:val="clear" w:color="auto" w:fill="D9D9D9"/>
            <w:vAlign w:val="bottom"/>
          </w:tcPr>
          <w:p w14:paraId="56258701" w14:textId="542E0D2B" w:rsidR="00D20998" w:rsidRDefault="00D20998" w:rsidP="00D20998">
            <w:pPr>
              <w:jc w:val="center"/>
              <w:rPr>
                <w:rFonts w:ascii="Arial Narrow" w:hAnsi="Arial Narrow"/>
                <w:sz w:val="18"/>
                <w:szCs w:val="18"/>
              </w:rPr>
            </w:pPr>
            <w:r>
              <w:rPr>
                <w:rFonts w:ascii="Arial Narrow" w:hAnsi="Arial Narrow"/>
                <w:sz w:val="18"/>
                <w:szCs w:val="18"/>
              </w:rPr>
              <w:t>+4,7</w:t>
            </w:r>
          </w:p>
        </w:tc>
        <w:tc>
          <w:tcPr>
            <w:tcW w:w="2140" w:type="dxa"/>
            <w:tcBorders>
              <w:top w:val="single" w:sz="4" w:space="0" w:color="auto"/>
              <w:bottom w:val="single" w:sz="4" w:space="0" w:color="auto"/>
            </w:tcBorders>
            <w:vAlign w:val="bottom"/>
          </w:tcPr>
          <w:p w14:paraId="72002CBE" w14:textId="34ACE1AC" w:rsidR="00D20998" w:rsidRDefault="00D20998" w:rsidP="00D20998">
            <w:pPr>
              <w:jc w:val="center"/>
              <w:rPr>
                <w:rFonts w:ascii="Arial Narrow" w:hAnsi="Arial Narrow"/>
                <w:sz w:val="18"/>
                <w:szCs w:val="18"/>
              </w:rPr>
            </w:pPr>
            <w:r>
              <w:rPr>
                <w:rFonts w:ascii="Arial Narrow" w:hAnsi="Arial Narrow"/>
                <w:sz w:val="18"/>
                <w:szCs w:val="18"/>
              </w:rPr>
              <w:t>+3,8</w:t>
            </w:r>
          </w:p>
        </w:tc>
        <w:tc>
          <w:tcPr>
            <w:tcW w:w="2140" w:type="dxa"/>
            <w:tcBorders>
              <w:top w:val="single" w:sz="4" w:space="0" w:color="auto"/>
              <w:bottom w:val="single" w:sz="4" w:space="0" w:color="auto"/>
            </w:tcBorders>
            <w:shd w:val="clear" w:color="auto" w:fill="D9D9D9"/>
            <w:vAlign w:val="bottom"/>
          </w:tcPr>
          <w:p w14:paraId="18507D18" w14:textId="0E7494E7" w:rsidR="00D20998" w:rsidRDefault="00D20998" w:rsidP="00D20998">
            <w:pPr>
              <w:jc w:val="center"/>
              <w:rPr>
                <w:rFonts w:ascii="Arial Narrow" w:hAnsi="Arial Narrow"/>
                <w:sz w:val="18"/>
                <w:szCs w:val="18"/>
              </w:rPr>
            </w:pPr>
            <w:r>
              <w:rPr>
                <w:rFonts w:ascii="Arial Narrow" w:hAnsi="Arial Narrow"/>
                <w:sz w:val="18"/>
                <w:szCs w:val="18"/>
              </w:rPr>
              <w:t>-2,7</w:t>
            </w:r>
          </w:p>
        </w:tc>
        <w:tc>
          <w:tcPr>
            <w:tcW w:w="2140" w:type="dxa"/>
            <w:tcBorders>
              <w:top w:val="single" w:sz="4" w:space="0" w:color="auto"/>
              <w:bottom w:val="single" w:sz="4" w:space="0" w:color="auto"/>
            </w:tcBorders>
            <w:vAlign w:val="bottom"/>
          </w:tcPr>
          <w:p w14:paraId="251E8A2B" w14:textId="14D31030" w:rsidR="00D20998" w:rsidRDefault="00D20998" w:rsidP="00D20998">
            <w:pPr>
              <w:jc w:val="center"/>
              <w:rPr>
                <w:rFonts w:ascii="Arial Narrow" w:hAnsi="Arial Narrow"/>
                <w:sz w:val="18"/>
                <w:szCs w:val="18"/>
              </w:rPr>
            </w:pPr>
            <w:r>
              <w:rPr>
                <w:rFonts w:ascii="Arial Narrow" w:hAnsi="Arial Narrow"/>
                <w:sz w:val="18"/>
                <w:szCs w:val="18"/>
              </w:rPr>
              <w:t>-1,5</w:t>
            </w:r>
          </w:p>
        </w:tc>
      </w:tr>
      <w:tr w:rsidR="00D20998" w:rsidRPr="008C0651" w14:paraId="7467B8F7" w14:textId="77777777" w:rsidTr="00694712">
        <w:trPr>
          <w:trHeight w:val="255"/>
        </w:trPr>
        <w:tc>
          <w:tcPr>
            <w:tcW w:w="1647" w:type="dxa"/>
            <w:tcBorders>
              <w:top w:val="single" w:sz="4" w:space="0" w:color="auto"/>
              <w:left w:val="nil"/>
              <w:bottom w:val="single" w:sz="4" w:space="0" w:color="auto"/>
            </w:tcBorders>
            <w:noWrap/>
            <w:vAlign w:val="bottom"/>
          </w:tcPr>
          <w:p w14:paraId="745E8233" w14:textId="77777777" w:rsidR="00D20998" w:rsidRPr="007C052D" w:rsidRDefault="00D20998" w:rsidP="00D20998">
            <w:pPr>
              <w:spacing w:before="40" w:after="20"/>
              <w:rPr>
                <w:rFonts w:ascii="Arial Narrow" w:hAnsi="Arial Narrow" w:cs="Arial"/>
                <w:sz w:val="18"/>
                <w:szCs w:val="18"/>
              </w:rPr>
            </w:pPr>
            <w:r w:rsidRPr="007C052D">
              <w:rPr>
                <w:rFonts w:ascii="Arial Narrow" w:hAnsi="Arial Narrow" w:cs="Arial"/>
                <w:sz w:val="18"/>
                <w:szCs w:val="18"/>
              </w:rPr>
              <w:t>Paesi extra Ue27</w:t>
            </w:r>
          </w:p>
        </w:tc>
        <w:tc>
          <w:tcPr>
            <w:tcW w:w="2139" w:type="dxa"/>
            <w:tcBorders>
              <w:top w:val="single" w:sz="4" w:space="0" w:color="auto"/>
              <w:bottom w:val="single" w:sz="4" w:space="0" w:color="auto"/>
            </w:tcBorders>
            <w:shd w:val="clear" w:color="auto" w:fill="D9D9D9"/>
            <w:vAlign w:val="bottom"/>
          </w:tcPr>
          <w:p w14:paraId="253F9179" w14:textId="1B1A9C7D" w:rsidR="00D20998" w:rsidRDefault="00D20998" w:rsidP="00D20998">
            <w:pPr>
              <w:jc w:val="center"/>
              <w:rPr>
                <w:rFonts w:ascii="Arial Narrow" w:hAnsi="Arial Narrow"/>
                <w:sz w:val="18"/>
                <w:szCs w:val="18"/>
              </w:rPr>
            </w:pPr>
            <w:r>
              <w:rPr>
                <w:rFonts w:ascii="Arial Narrow" w:hAnsi="Arial Narrow"/>
                <w:sz w:val="18"/>
                <w:szCs w:val="18"/>
              </w:rPr>
              <w:t>+6,0</w:t>
            </w:r>
          </w:p>
        </w:tc>
        <w:tc>
          <w:tcPr>
            <w:tcW w:w="2140" w:type="dxa"/>
            <w:tcBorders>
              <w:top w:val="single" w:sz="4" w:space="0" w:color="auto"/>
              <w:bottom w:val="single" w:sz="4" w:space="0" w:color="auto"/>
            </w:tcBorders>
            <w:vAlign w:val="bottom"/>
          </w:tcPr>
          <w:p w14:paraId="65BC444B" w14:textId="0F25BD10" w:rsidR="00D20998" w:rsidRDefault="00D20998" w:rsidP="00D20998">
            <w:pPr>
              <w:jc w:val="center"/>
              <w:rPr>
                <w:rFonts w:ascii="Arial Narrow" w:hAnsi="Arial Narrow"/>
                <w:sz w:val="18"/>
                <w:szCs w:val="18"/>
              </w:rPr>
            </w:pPr>
            <w:r>
              <w:rPr>
                <w:rFonts w:ascii="Arial Narrow" w:hAnsi="Arial Narrow"/>
                <w:sz w:val="18"/>
                <w:szCs w:val="18"/>
              </w:rPr>
              <w:t>+5,2</w:t>
            </w:r>
          </w:p>
        </w:tc>
        <w:tc>
          <w:tcPr>
            <w:tcW w:w="2140" w:type="dxa"/>
            <w:tcBorders>
              <w:top w:val="single" w:sz="4" w:space="0" w:color="auto"/>
              <w:bottom w:val="single" w:sz="4" w:space="0" w:color="auto"/>
            </w:tcBorders>
            <w:shd w:val="clear" w:color="auto" w:fill="D9D9D9"/>
            <w:vAlign w:val="bottom"/>
          </w:tcPr>
          <w:p w14:paraId="269AFEFA" w14:textId="596086E1" w:rsidR="00D20998" w:rsidRDefault="00D20998" w:rsidP="00D20998">
            <w:pPr>
              <w:jc w:val="center"/>
              <w:rPr>
                <w:rFonts w:ascii="Arial Narrow" w:hAnsi="Arial Narrow"/>
                <w:sz w:val="18"/>
                <w:szCs w:val="18"/>
              </w:rPr>
            </w:pPr>
            <w:r>
              <w:rPr>
                <w:rFonts w:ascii="Arial Narrow" w:hAnsi="Arial Narrow"/>
                <w:sz w:val="18"/>
                <w:szCs w:val="18"/>
              </w:rPr>
              <w:t>-2,5</w:t>
            </w:r>
          </w:p>
        </w:tc>
        <w:tc>
          <w:tcPr>
            <w:tcW w:w="2140" w:type="dxa"/>
            <w:tcBorders>
              <w:top w:val="single" w:sz="4" w:space="0" w:color="auto"/>
              <w:bottom w:val="single" w:sz="4" w:space="0" w:color="auto"/>
            </w:tcBorders>
            <w:vAlign w:val="bottom"/>
          </w:tcPr>
          <w:p w14:paraId="3211EAC1" w14:textId="047567E7" w:rsidR="00D20998" w:rsidRDefault="00D20998" w:rsidP="00D20998">
            <w:pPr>
              <w:jc w:val="center"/>
              <w:rPr>
                <w:rFonts w:ascii="Arial Narrow" w:hAnsi="Arial Narrow"/>
                <w:sz w:val="18"/>
                <w:szCs w:val="18"/>
              </w:rPr>
            </w:pPr>
            <w:r>
              <w:rPr>
                <w:rFonts w:ascii="Arial Narrow" w:hAnsi="Arial Narrow"/>
                <w:sz w:val="18"/>
                <w:szCs w:val="18"/>
              </w:rPr>
              <w:t>+12,1</w:t>
            </w:r>
          </w:p>
        </w:tc>
      </w:tr>
      <w:tr w:rsidR="00D20998" w:rsidRPr="00832A3F" w14:paraId="537D2C48" w14:textId="77777777" w:rsidTr="00694712">
        <w:trPr>
          <w:trHeight w:val="255"/>
        </w:trPr>
        <w:tc>
          <w:tcPr>
            <w:tcW w:w="1647" w:type="dxa"/>
            <w:tcBorders>
              <w:top w:val="single" w:sz="4" w:space="0" w:color="auto"/>
              <w:left w:val="nil"/>
              <w:bottom w:val="single" w:sz="4" w:space="0" w:color="auto"/>
            </w:tcBorders>
            <w:shd w:val="clear" w:color="auto" w:fill="FF0000"/>
            <w:noWrap/>
            <w:vAlign w:val="bottom"/>
          </w:tcPr>
          <w:p w14:paraId="4A2FC72D" w14:textId="77777777" w:rsidR="00D20998" w:rsidRPr="00832A3F" w:rsidRDefault="00D20998" w:rsidP="00D20998">
            <w:pPr>
              <w:spacing w:before="40" w:after="20"/>
              <w:rPr>
                <w:rFonts w:ascii="Arial Narrow" w:hAnsi="Arial Narrow" w:cs="Arial"/>
                <w:b/>
                <w:color w:val="FFFFFF" w:themeColor="background1"/>
                <w:sz w:val="18"/>
                <w:szCs w:val="18"/>
              </w:rPr>
            </w:pPr>
            <w:r w:rsidRPr="00832A3F">
              <w:rPr>
                <w:rFonts w:ascii="Arial Narrow" w:hAnsi="Arial Narrow" w:cs="Arial"/>
                <w:b/>
                <w:color w:val="FFFFFF" w:themeColor="background1"/>
                <w:sz w:val="18"/>
                <w:szCs w:val="18"/>
              </w:rPr>
              <w:t>Mondo</w:t>
            </w:r>
          </w:p>
        </w:tc>
        <w:tc>
          <w:tcPr>
            <w:tcW w:w="2139" w:type="dxa"/>
            <w:tcBorders>
              <w:top w:val="single" w:sz="4" w:space="0" w:color="auto"/>
              <w:bottom w:val="single" w:sz="4" w:space="0" w:color="auto"/>
            </w:tcBorders>
            <w:shd w:val="clear" w:color="auto" w:fill="FF0000"/>
            <w:vAlign w:val="bottom"/>
          </w:tcPr>
          <w:p w14:paraId="5AEDDA8D" w14:textId="7109C79E"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+5,3</w:t>
            </w:r>
          </w:p>
        </w:tc>
        <w:tc>
          <w:tcPr>
            <w:tcW w:w="2140" w:type="dxa"/>
            <w:tcBorders>
              <w:top w:val="single" w:sz="4" w:space="0" w:color="auto"/>
              <w:bottom w:val="single" w:sz="4" w:space="0" w:color="auto"/>
            </w:tcBorders>
            <w:shd w:val="clear" w:color="auto" w:fill="FF0000"/>
            <w:vAlign w:val="bottom"/>
          </w:tcPr>
          <w:p w14:paraId="2AD39D04" w14:textId="723AB9A1"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+4,5</w:t>
            </w:r>
          </w:p>
        </w:tc>
        <w:tc>
          <w:tcPr>
            <w:tcW w:w="2140" w:type="dxa"/>
            <w:tcBorders>
              <w:top w:val="single" w:sz="4" w:space="0" w:color="auto"/>
              <w:bottom w:val="single" w:sz="4" w:space="0" w:color="auto"/>
            </w:tcBorders>
            <w:shd w:val="clear" w:color="auto" w:fill="FF0000"/>
            <w:vAlign w:val="bottom"/>
          </w:tcPr>
          <w:p w14:paraId="67B54D9D" w14:textId="4E0BA548"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-2,6</w:t>
            </w:r>
          </w:p>
        </w:tc>
        <w:tc>
          <w:tcPr>
            <w:tcW w:w="2140" w:type="dxa"/>
            <w:tcBorders>
              <w:top w:val="single" w:sz="4" w:space="0" w:color="auto"/>
              <w:bottom w:val="single" w:sz="4" w:space="0" w:color="auto"/>
            </w:tcBorders>
            <w:shd w:val="clear" w:color="auto" w:fill="FF0000"/>
            <w:vAlign w:val="bottom"/>
          </w:tcPr>
          <w:p w14:paraId="18677195" w14:textId="09F832CE"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+4,1</w:t>
            </w:r>
          </w:p>
        </w:tc>
      </w:tr>
    </w:tbl>
    <w:p w14:paraId="35CAC92D" w14:textId="77777777" w:rsidR="00A03714" w:rsidRPr="00137D7D" w:rsidRDefault="00A03714" w:rsidP="00A03714">
      <w:pPr>
        <w:pStyle w:val="Corpodeltesto1"/>
        <w:spacing w:after="60"/>
        <w:jc w:val="left"/>
        <w:rPr>
          <w:rFonts w:ascii="Arial Narrow" w:hAnsi="Arial Narrow" w:cs="Arial Narrow"/>
          <w:color w:val="FFFFFF" w:themeColor="background1"/>
          <w:sz w:val="2"/>
          <w:szCs w:val="8"/>
        </w:rPr>
      </w:pPr>
    </w:p>
    <w:p w14:paraId="3F949758" w14:textId="77777777" w:rsidR="00147CB5" w:rsidRDefault="00A03714" w:rsidP="00560DE1">
      <w:pPr>
        <w:pStyle w:val="Corpodeltesto1"/>
        <w:spacing w:before="200"/>
        <w:rPr>
          <w:rFonts w:ascii="Arial Narrow" w:hAnsi="Arial Narrow" w:cs="Arial"/>
          <w:b w:val="0"/>
          <w:bCs/>
          <w:sz w:val="19"/>
          <w:szCs w:val="19"/>
        </w:rPr>
      </w:pPr>
      <w:r w:rsidRPr="00A03714">
        <w:rPr>
          <w:rFonts w:ascii="Arial Narrow" w:hAnsi="Arial Narrow" w:cs="Arial"/>
          <w:color w:val="E42618"/>
          <w:kern w:val="28"/>
          <w:sz w:val="22"/>
          <w:szCs w:val="22"/>
        </w:rPr>
        <w:t xml:space="preserve">PROSPETTO </w:t>
      </w:r>
      <w:r>
        <w:rPr>
          <w:rFonts w:ascii="Arial Narrow" w:hAnsi="Arial Narrow" w:cs="Arial"/>
          <w:color w:val="E42618"/>
          <w:kern w:val="28"/>
          <w:sz w:val="22"/>
          <w:szCs w:val="22"/>
        </w:rPr>
        <w:t>4</w:t>
      </w:r>
      <w:r w:rsidRPr="00A03714">
        <w:rPr>
          <w:rFonts w:ascii="Arial Narrow" w:hAnsi="Arial Narrow" w:cs="Arial"/>
          <w:color w:val="E42618"/>
          <w:kern w:val="28"/>
          <w:sz w:val="22"/>
          <w:szCs w:val="22"/>
        </w:rPr>
        <w:t>.</w:t>
      </w:r>
      <w:r w:rsidRPr="006304A5">
        <w:rPr>
          <w:rFonts w:ascii="Arial Narrow" w:hAnsi="Arial Narrow" w:cs="Arial Narrow"/>
          <w:color w:val="5F5F5F"/>
          <w:sz w:val="20"/>
        </w:rPr>
        <w:t xml:space="preserve"> </w:t>
      </w:r>
      <w:r w:rsidRPr="00147CB5">
        <w:rPr>
          <w:rFonts w:ascii="Arial Narrow" w:hAnsi="Arial Narrow" w:cs="Arial"/>
          <w:color w:val="5F5F5F"/>
          <w:kern w:val="28"/>
          <w:sz w:val="22"/>
          <w:szCs w:val="22"/>
        </w:rPr>
        <w:t>VALORI MEDI UNITARI E VOLUMI SECONDO I RAGGRUPPAMENTI PRINCIPALI</w:t>
      </w:r>
      <w:r w:rsidR="00C03605" w:rsidRPr="00147CB5">
        <w:rPr>
          <w:rFonts w:ascii="Arial Narrow" w:hAnsi="Arial Narrow" w:cs="Arial"/>
          <w:color w:val="5F5F5F"/>
          <w:kern w:val="28"/>
          <w:sz w:val="22"/>
          <w:szCs w:val="22"/>
        </w:rPr>
        <w:t xml:space="preserve"> </w:t>
      </w:r>
      <w:r w:rsidRPr="00147CB5">
        <w:rPr>
          <w:rFonts w:ascii="Arial Narrow" w:hAnsi="Arial Narrow" w:cs="Arial"/>
          <w:color w:val="5F5F5F"/>
          <w:kern w:val="28"/>
          <w:sz w:val="22"/>
          <w:szCs w:val="22"/>
        </w:rPr>
        <w:t>DI INDUSTRIE</w:t>
      </w:r>
    </w:p>
    <w:p w14:paraId="427ED632" w14:textId="62E60F8A" w:rsidR="00537BEB" w:rsidRPr="006304A5" w:rsidRDefault="00E232B2" w:rsidP="000C07C1">
      <w:pPr>
        <w:pStyle w:val="Corpodeltesto1"/>
        <w:tabs>
          <w:tab w:val="right" w:pos="10205"/>
        </w:tabs>
        <w:spacing w:after="80"/>
        <w:jc w:val="left"/>
        <w:rPr>
          <w:rFonts w:ascii="Arial Narrow" w:hAnsi="Arial Narrow" w:cs="Arial"/>
          <w:b w:val="0"/>
          <w:bCs/>
          <w:sz w:val="19"/>
          <w:szCs w:val="19"/>
        </w:rPr>
      </w:pPr>
      <w:r>
        <w:rPr>
          <w:rFonts w:ascii="Arial Narrow" w:hAnsi="Arial Narrow" w:cs="Arial"/>
          <w:b w:val="0"/>
          <w:color w:val="5F5F5F"/>
          <w:kern w:val="28"/>
          <w:sz w:val="20"/>
          <w:szCs w:val="20"/>
        </w:rPr>
        <w:t>Gennaio</w:t>
      </w:r>
      <w:r w:rsidR="005F4922" w:rsidRPr="005F4922">
        <w:rPr>
          <w:rFonts w:ascii="Arial Narrow" w:hAnsi="Arial Narrow" w:cs="Arial"/>
          <w:b w:val="0"/>
          <w:color w:val="5F5F5F"/>
          <w:kern w:val="28"/>
          <w:sz w:val="20"/>
          <w:szCs w:val="20"/>
        </w:rPr>
        <w:t xml:space="preserve"> </w:t>
      </w:r>
      <w:r>
        <w:rPr>
          <w:rFonts w:ascii="Arial Narrow" w:hAnsi="Arial Narrow" w:cs="Arial"/>
          <w:b w:val="0"/>
          <w:color w:val="5F5F5F"/>
          <w:kern w:val="28"/>
          <w:sz w:val="20"/>
          <w:szCs w:val="20"/>
        </w:rPr>
        <w:t>2025</w:t>
      </w:r>
      <w:r w:rsidR="00537BEB" w:rsidRPr="003705A2">
        <w:rPr>
          <w:rFonts w:ascii="Arial Narrow" w:hAnsi="Arial Narrow" w:cs="Arial"/>
          <w:b w:val="0"/>
          <w:color w:val="5F5F5F"/>
          <w:kern w:val="28"/>
          <w:sz w:val="20"/>
          <w:szCs w:val="20"/>
        </w:rPr>
        <w:t>, variazioni percentuali tendenziali (base 20</w:t>
      </w:r>
      <w:r w:rsidR="00421DFB">
        <w:rPr>
          <w:rFonts w:ascii="Arial Narrow" w:hAnsi="Arial Narrow" w:cs="Arial"/>
          <w:b w:val="0"/>
          <w:color w:val="5F5F5F"/>
          <w:kern w:val="28"/>
          <w:sz w:val="20"/>
          <w:szCs w:val="20"/>
        </w:rPr>
        <w:t>21</w:t>
      </w:r>
      <w:r w:rsidR="00537BEB" w:rsidRPr="003705A2">
        <w:rPr>
          <w:rFonts w:ascii="Arial Narrow" w:hAnsi="Arial Narrow" w:cs="Arial"/>
          <w:b w:val="0"/>
          <w:color w:val="5F5F5F"/>
          <w:kern w:val="28"/>
          <w:sz w:val="20"/>
          <w:szCs w:val="20"/>
        </w:rPr>
        <w:t>=100)</w:t>
      </w:r>
      <w:r w:rsidR="00514797">
        <w:rPr>
          <w:rFonts w:ascii="Arial Narrow" w:hAnsi="Arial Narrow" w:cs="Arial"/>
          <w:b w:val="0"/>
          <w:color w:val="5F5F5F"/>
          <w:kern w:val="28"/>
          <w:sz w:val="20"/>
          <w:szCs w:val="20"/>
        </w:rPr>
        <w:tab/>
      </w:r>
    </w:p>
    <w:tbl>
      <w:tblPr>
        <w:tblW w:w="10206" w:type="dxa"/>
        <w:tblInd w:w="70" w:type="dxa"/>
        <w:tblLayout w:type="fixed"/>
        <w:tblCellMar>
          <w:left w:w="70" w:type="dxa"/>
          <w:right w:w="70" w:type="dxa"/>
        </w:tblCellMar>
        <w:tblLook w:val="0000" w:firstRow="0" w:lastRow="0" w:firstColumn="0" w:lastColumn="0" w:noHBand="0" w:noVBand="0"/>
      </w:tblPr>
      <w:tblGrid>
        <w:gridCol w:w="1647"/>
        <w:gridCol w:w="2139"/>
        <w:gridCol w:w="2140"/>
        <w:gridCol w:w="2140"/>
        <w:gridCol w:w="2140"/>
      </w:tblGrid>
      <w:tr w:rsidR="00ED0CD1" w:rsidRPr="00B076CD" w14:paraId="4FCEF073" w14:textId="77777777" w:rsidTr="003C4572">
        <w:trPr>
          <w:trHeight w:val="255"/>
        </w:trPr>
        <w:tc>
          <w:tcPr>
            <w:tcW w:w="1647" w:type="dxa"/>
            <w:vMerge w:val="restart"/>
            <w:tcBorders>
              <w:top w:val="single" w:sz="4" w:space="0" w:color="auto"/>
              <w:left w:val="nil"/>
              <w:right w:val="nil"/>
            </w:tcBorders>
            <w:shd w:val="clear" w:color="auto" w:fill="FFFFFF"/>
            <w:vAlign w:val="center"/>
          </w:tcPr>
          <w:p w14:paraId="3CD6DE73" w14:textId="77777777" w:rsidR="00ED0CD1" w:rsidRPr="00B076CD" w:rsidRDefault="00ED0CD1" w:rsidP="003C4572">
            <w:pPr>
              <w:spacing w:before="40" w:after="20"/>
              <w:rPr>
                <w:rFonts w:ascii="Arial Narrow" w:hAnsi="Arial Narrow" w:cs="Arial"/>
                <w:sz w:val="18"/>
                <w:szCs w:val="18"/>
              </w:rPr>
            </w:pPr>
            <w:r w:rsidRPr="00B076CD">
              <w:rPr>
                <w:rFonts w:ascii="Arial Narrow" w:hAnsi="Arial Narrow" w:cs="Arial"/>
                <w:b/>
                <w:sz w:val="18"/>
                <w:szCs w:val="18"/>
              </w:rPr>
              <w:t>RAGGRUPPAMENTI PRINCIPALI DI INDUSTRIE</w:t>
            </w:r>
          </w:p>
        </w:tc>
        <w:tc>
          <w:tcPr>
            <w:tcW w:w="4279" w:type="dxa"/>
            <w:gridSpan w:val="2"/>
            <w:tcBorders>
              <w:top w:val="single" w:sz="4" w:space="0" w:color="auto"/>
              <w:left w:val="nil"/>
              <w:right w:val="nil"/>
            </w:tcBorders>
            <w:shd w:val="clear" w:color="auto" w:fill="D9D9D9"/>
            <w:vAlign w:val="center"/>
          </w:tcPr>
          <w:p w14:paraId="1A20C37D" w14:textId="77777777" w:rsidR="00ED0CD1" w:rsidRPr="00B076CD" w:rsidRDefault="00ED0CD1" w:rsidP="003C4572">
            <w:pPr>
              <w:spacing w:before="40" w:after="20"/>
              <w:jc w:val="center"/>
              <w:rPr>
                <w:rFonts w:ascii="Arial Narrow" w:hAnsi="Arial Narrow" w:cs="Arial"/>
                <w:b/>
                <w:bCs/>
                <w:color w:val="000000"/>
                <w:sz w:val="18"/>
                <w:szCs w:val="18"/>
              </w:rPr>
            </w:pPr>
            <w:r w:rsidRPr="00B076CD">
              <w:rPr>
                <w:rFonts w:ascii="Arial Narrow" w:hAnsi="Arial Narrow" w:cs="Arial"/>
                <w:b/>
                <w:bCs/>
                <w:color w:val="000000"/>
                <w:sz w:val="18"/>
                <w:szCs w:val="18"/>
              </w:rPr>
              <w:t>VALORI MEDI UNITARI</w:t>
            </w:r>
          </w:p>
        </w:tc>
        <w:tc>
          <w:tcPr>
            <w:tcW w:w="4280" w:type="dxa"/>
            <w:gridSpan w:val="2"/>
            <w:tcBorders>
              <w:top w:val="single" w:sz="4" w:space="0" w:color="auto"/>
              <w:left w:val="nil"/>
              <w:right w:val="nil"/>
            </w:tcBorders>
            <w:shd w:val="clear" w:color="auto" w:fill="auto"/>
            <w:vAlign w:val="center"/>
          </w:tcPr>
          <w:p w14:paraId="75F8407D" w14:textId="77777777" w:rsidR="00ED0CD1" w:rsidRPr="00B076CD" w:rsidRDefault="00ED0CD1" w:rsidP="003C4572">
            <w:pPr>
              <w:spacing w:before="40" w:after="20"/>
              <w:jc w:val="center"/>
              <w:rPr>
                <w:rFonts w:ascii="Arial Narrow" w:hAnsi="Arial Narrow" w:cs="Arial"/>
                <w:b/>
                <w:bCs/>
                <w:color w:val="000000"/>
                <w:sz w:val="18"/>
                <w:szCs w:val="18"/>
              </w:rPr>
            </w:pPr>
            <w:r w:rsidRPr="00B076CD">
              <w:rPr>
                <w:rFonts w:ascii="Arial Narrow" w:hAnsi="Arial Narrow" w:cs="Arial"/>
                <w:b/>
                <w:bCs/>
                <w:color w:val="000000"/>
                <w:sz w:val="18"/>
                <w:szCs w:val="18"/>
              </w:rPr>
              <w:t>VOLUMI</w:t>
            </w:r>
          </w:p>
        </w:tc>
      </w:tr>
      <w:tr w:rsidR="00ED0CD1" w:rsidRPr="00B076CD" w14:paraId="54094344" w14:textId="77777777" w:rsidTr="003C4572">
        <w:trPr>
          <w:trHeight w:val="255"/>
        </w:trPr>
        <w:tc>
          <w:tcPr>
            <w:tcW w:w="1647" w:type="dxa"/>
            <w:vMerge/>
            <w:tcBorders>
              <w:left w:val="nil"/>
              <w:right w:val="nil"/>
            </w:tcBorders>
            <w:shd w:val="clear" w:color="auto" w:fill="FFFFFF"/>
            <w:vAlign w:val="center"/>
          </w:tcPr>
          <w:p w14:paraId="50EB3B20" w14:textId="77777777" w:rsidR="00ED0CD1" w:rsidRPr="00B076CD" w:rsidRDefault="00ED0CD1" w:rsidP="003C4572">
            <w:pPr>
              <w:spacing w:before="40" w:after="20"/>
              <w:rPr>
                <w:rFonts w:ascii="Arial Narrow" w:hAnsi="Arial Narrow" w:cs="Arial"/>
                <w:sz w:val="18"/>
                <w:szCs w:val="18"/>
              </w:rPr>
            </w:pPr>
          </w:p>
        </w:tc>
        <w:tc>
          <w:tcPr>
            <w:tcW w:w="2139" w:type="dxa"/>
            <w:tcBorders>
              <w:top w:val="single" w:sz="4" w:space="0" w:color="auto"/>
              <w:left w:val="nil"/>
              <w:bottom w:val="single" w:sz="4" w:space="0" w:color="auto"/>
            </w:tcBorders>
            <w:shd w:val="clear" w:color="auto" w:fill="D9D9D9"/>
            <w:vAlign w:val="center"/>
          </w:tcPr>
          <w:p w14:paraId="6B48222C" w14:textId="77777777" w:rsidR="00ED0CD1" w:rsidRPr="0063317A" w:rsidRDefault="00ED0CD1" w:rsidP="003C4572">
            <w:pPr>
              <w:spacing w:before="40" w:after="20"/>
              <w:jc w:val="center"/>
              <w:rPr>
                <w:rFonts w:ascii="Arial Narrow" w:hAnsi="Arial Narrow" w:cs="Arial"/>
                <w:b/>
                <w:color w:val="000000"/>
                <w:sz w:val="18"/>
                <w:szCs w:val="18"/>
              </w:rPr>
            </w:pPr>
            <w:r w:rsidRPr="0063317A">
              <w:rPr>
                <w:rFonts w:ascii="Arial Narrow" w:hAnsi="Arial Narrow" w:cs="Arial"/>
                <w:b/>
                <w:color w:val="000000"/>
                <w:sz w:val="18"/>
                <w:szCs w:val="18"/>
              </w:rPr>
              <w:t>Esportazioni</w:t>
            </w:r>
          </w:p>
        </w:tc>
        <w:tc>
          <w:tcPr>
            <w:tcW w:w="2140" w:type="dxa"/>
            <w:tcBorders>
              <w:top w:val="single" w:sz="4" w:space="0" w:color="auto"/>
              <w:bottom w:val="single" w:sz="4" w:space="0" w:color="auto"/>
            </w:tcBorders>
            <w:vAlign w:val="center"/>
          </w:tcPr>
          <w:p w14:paraId="4953F33C" w14:textId="77777777" w:rsidR="00ED0CD1" w:rsidRPr="0063317A" w:rsidRDefault="00ED0CD1" w:rsidP="003C4572">
            <w:pPr>
              <w:spacing w:before="40" w:after="20"/>
              <w:jc w:val="center"/>
              <w:rPr>
                <w:rFonts w:ascii="Arial Narrow" w:hAnsi="Arial Narrow" w:cs="Arial"/>
                <w:b/>
                <w:color w:val="000000"/>
                <w:sz w:val="18"/>
                <w:szCs w:val="18"/>
              </w:rPr>
            </w:pPr>
            <w:r w:rsidRPr="0063317A">
              <w:rPr>
                <w:rFonts w:ascii="Arial Narrow" w:hAnsi="Arial Narrow" w:cs="Arial"/>
                <w:b/>
                <w:color w:val="000000"/>
                <w:sz w:val="18"/>
                <w:szCs w:val="18"/>
              </w:rPr>
              <w:t>Importazioni</w:t>
            </w:r>
          </w:p>
        </w:tc>
        <w:tc>
          <w:tcPr>
            <w:tcW w:w="2140" w:type="dxa"/>
            <w:tcBorders>
              <w:top w:val="single" w:sz="4" w:space="0" w:color="auto"/>
              <w:bottom w:val="single" w:sz="4" w:space="0" w:color="auto"/>
            </w:tcBorders>
            <w:shd w:val="clear" w:color="auto" w:fill="D9D9D9"/>
            <w:vAlign w:val="center"/>
          </w:tcPr>
          <w:p w14:paraId="34A72B60" w14:textId="77777777" w:rsidR="00ED0CD1" w:rsidRPr="0063317A" w:rsidRDefault="00ED0CD1" w:rsidP="003C4572">
            <w:pPr>
              <w:spacing w:before="40" w:after="20"/>
              <w:jc w:val="center"/>
              <w:rPr>
                <w:rFonts w:ascii="Arial Narrow" w:hAnsi="Arial Narrow" w:cs="Arial"/>
                <w:b/>
                <w:color w:val="000000"/>
                <w:sz w:val="18"/>
                <w:szCs w:val="18"/>
              </w:rPr>
            </w:pPr>
            <w:r w:rsidRPr="0063317A">
              <w:rPr>
                <w:rFonts w:ascii="Arial Narrow" w:hAnsi="Arial Narrow" w:cs="Arial"/>
                <w:b/>
                <w:color w:val="000000"/>
                <w:sz w:val="18"/>
                <w:szCs w:val="18"/>
              </w:rPr>
              <w:t>Esportazioni</w:t>
            </w:r>
          </w:p>
        </w:tc>
        <w:tc>
          <w:tcPr>
            <w:tcW w:w="2140" w:type="dxa"/>
            <w:tcBorders>
              <w:top w:val="single" w:sz="4" w:space="0" w:color="auto"/>
              <w:left w:val="nil"/>
              <w:bottom w:val="single" w:sz="4" w:space="0" w:color="auto"/>
              <w:right w:val="nil"/>
            </w:tcBorders>
            <w:vAlign w:val="center"/>
          </w:tcPr>
          <w:p w14:paraId="0C37CEE8" w14:textId="77777777" w:rsidR="00ED0CD1" w:rsidRPr="0063317A" w:rsidRDefault="00ED0CD1" w:rsidP="003C4572">
            <w:pPr>
              <w:spacing w:before="40" w:after="20"/>
              <w:jc w:val="center"/>
              <w:rPr>
                <w:rFonts w:ascii="Arial Narrow" w:hAnsi="Arial Narrow" w:cs="Arial"/>
                <w:b/>
                <w:color w:val="000000"/>
                <w:sz w:val="18"/>
                <w:szCs w:val="18"/>
              </w:rPr>
            </w:pPr>
            <w:r w:rsidRPr="0063317A">
              <w:rPr>
                <w:rFonts w:ascii="Arial Narrow" w:hAnsi="Arial Narrow" w:cs="Arial"/>
                <w:b/>
                <w:color w:val="000000"/>
                <w:sz w:val="18"/>
                <w:szCs w:val="18"/>
              </w:rPr>
              <w:t>Importazioni</w:t>
            </w:r>
          </w:p>
        </w:tc>
      </w:tr>
      <w:tr w:rsidR="00ED0CD1" w:rsidRPr="00B076CD" w14:paraId="5CCB2700" w14:textId="77777777" w:rsidTr="003C4572">
        <w:trPr>
          <w:trHeight w:val="255"/>
        </w:trPr>
        <w:tc>
          <w:tcPr>
            <w:tcW w:w="1647" w:type="dxa"/>
            <w:vMerge/>
            <w:tcBorders>
              <w:left w:val="nil"/>
              <w:right w:val="nil"/>
            </w:tcBorders>
            <w:shd w:val="clear" w:color="auto" w:fill="FFFFFF"/>
            <w:vAlign w:val="center"/>
          </w:tcPr>
          <w:p w14:paraId="02666F42" w14:textId="77777777" w:rsidR="00ED0CD1" w:rsidRPr="00B076CD" w:rsidRDefault="00ED0CD1" w:rsidP="003C4572">
            <w:pPr>
              <w:spacing w:before="40" w:after="20"/>
              <w:rPr>
                <w:rFonts w:ascii="Arial Narrow" w:hAnsi="Arial Narrow" w:cs="Arial"/>
                <w:sz w:val="18"/>
                <w:szCs w:val="18"/>
              </w:rPr>
            </w:pPr>
          </w:p>
        </w:tc>
        <w:tc>
          <w:tcPr>
            <w:tcW w:w="2139" w:type="dxa"/>
            <w:tcBorders>
              <w:top w:val="single" w:sz="4" w:space="0" w:color="auto"/>
              <w:left w:val="nil"/>
              <w:bottom w:val="single" w:sz="4" w:space="0" w:color="auto"/>
            </w:tcBorders>
            <w:shd w:val="clear" w:color="auto" w:fill="D9D9D9"/>
            <w:vAlign w:val="center"/>
          </w:tcPr>
          <w:p w14:paraId="2EC6EB81" w14:textId="77777777" w:rsidR="00ED0CD1" w:rsidRPr="00C03605" w:rsidRDefault="00ED0CD1" w:rsidP="003C4572">
            <w:pPr>
              <w:spacing w:before="40" w:after="20"/>
              <w:jc w:val="center"/>
              <w:rPr>
                <w:rFonts w:ascii="Arial Narrow" w:hAnsi="Arial Narrow" w:cs="Arial"/>
                <w:b/>
                <w:color w:val="000000"/>
                <w:sz w:val="18"/>
                <w:szCs w:val="18"/>
              </w:rPr>
            </w:pPr>
            <w:r w:rsidRPr="002469A9">
              <w:rPr>
                <w:rFonts w:ascii="Arial Narrow" w:hAnsi="Arial Narrow"/>
                <w:sz w:val="18"/>
                <w:szCs w:val="18"/>
              </w:rPr>
              <w:t>Variazioni</w:t>
            </w:r>
            <w:r w:rsidRPr="00C03605">
              <w:rPr>
                <w:rFonts w:ascii="Arial Narrow" w:hAnsi="Arial Narrow"/>
                <w:sz w:val="18"/>
                <w:szCs w:val="18"/>
                <w:lang w:val="en-US"/>
              </w:rPr>
              <w:t xml:space="preserve"> </w:t>
            </w:r>
            <w:r w:rsidRPr="002469A9">
              <w:rPr>
                <w:rFonts w:ascii="Arial Narrow" w:hAnsi="Arial Narrow"/>
                <w:sz w:val="18"/>
                <w:szCs w:val="18"/>
              </w:rPr>
              <w:t>tendenziali</w:t>
            </w:r>
          </w:p>
        </w:tc>
        <w:tc>
          <w:tcPr>
            <w:tcW w:w="2140" w:type="dxa"/>
            <w:tcBorders>
              <w:top w:val="single" w:sz="4" w:space="0" w:color="auto"/>
              <w:bottom w:val="single" w:sz="4" w:space="0" w:color="auto"/>
            </w:tcBorders>
            <w:vAlign w:val="center"/>
          </w:tcPr>
          <w:p w14:paraId="20457402" w14:textId="77777777" w:rsidR="00ED0CD1" w:rsidRPr="00C03605" w:rsidRDefault="00ED0CD1" w:rsidP="003C4572">
            <w:pPr>
              <w:spacing w:before="40" w:after="20"/>
              <w:jc w:val="center"/>
              <w:rPr>
                <w:rFonts w:ascii="Arial Narrow" w:hAnsi="Arial Narrow"/>
                <w:sz w:val="18"/>
                <w:szCs w:val="18"/>
                <w:lang w:val="en-US"/>
              </w:rPr>
            </w:pPr>
            <w:r w:rsidRPr="002469A9">
              <w:rPr>
                <w:rFonts w:ascii="Arial Narrow" w:hAnsi="Arial Narrow"/>
                <w:sz w:val="18"/>
                <w:szCs w:val="18"/>
              </w:rPr>
              <w:t>Variazioni</w:t>
            </w:r>
            <w:r w:rsidRPr="00C03605">
              <w:rPr>
                <w:rFonts w:ascii="Arial Narrow" w:hAnsi="Arial Narrow"/>
                <w:sz w:val="18"/>
                <w:szCs w:val="18"/>
                <w:lang w:val="en-US"/>
              </w:rPr>
              <w:t xml:space="preserve"> </w:t>
            </w:r>
            <w:r w:rsidRPr="002469A9">
              <w:rPr>
                <w:rFonts w:ascii="Arial Narrow" w:hAnsi="Arial Narrow"/>
                <w:sz w:val="18"/>
                <w:szCs w:val="18"/>
              </w:rPr>
              <w:t>tendenziali</w:t>
            </w:r>
          </w:p>
        </w:tc>
        <w:tc>
          <w:tcPr>
            <w:tcW w:w="2140" w:type="dxa"/>
            <w:tcBorders>
              <w:top w:val="single" w:sz="4" w:space="0" w:color="auto"/>
              <w:bottom w:val="single" w:sz="4" w:space="0" w:color="auto"/>
            </w:tcBorders>
            <w:shd w:val="clear" w:color="auto" w:fill="D9D9D9"/>
            <w:vAlign w:val="center"/>
          </w:tcPr>
          <w:p w14:paraId="2380276D" w14:textId="77777777" w:rsidR="00ED0CD1" w:rsidRPr="00C03605" w:rsidRDefault="00ED0CD1" w:rsidP="003C4572">
            <w:pPr>
              <w:spacing w:before="40" w:after="20"/>
              <w:jc w:val="center"/>
              <w:rPr>
                <w:rFonts w:ascii="Arial Narrow" w:hAnsi="Arial Narrow"/>
                <w:sz w:val="18"/>
                <w:szCs w:val="18"/>
                <w:lang w:val="en-US"/>
              </w:rPr>
            </w:pPr>
            <w:r w:rsidRPr="002469A9">
              <w:rPr>
                <w:rFonts w:ascii="Arial Narrow" w:hAnsi="Arial Narrow"/>
                <w:sz w:val="18"/>
                <w:szCs w:val="18"/>
              </w:rPr>
              <w:t>Variazioni</w:t>
            </w:r>
            <w:r w:rsidRPr="00C03605">
              <w:rPr>
                <w:rFonts w:ascii="Arial Narrow" w:hAnsi="Arial Narrow"/>
                <w:sz w:val="18"/>
                <w:szCs w:val="18"/>
                <w:lang w:val="en-US"/>
              </w:rPr>
              <w:t xml:space="preserve"> </w:t>
            </w:r>
            <w:r w:rsidRPr="002469A9">
              <w:rPr>
                <w:rFonts w:ascii="Arial Narrow" w:hAnsi="Arial Narrow"/>
                <w:sz w:val="18"/>
                <w:szCs w:val="18"/>
              </w:rPr>
              <w:t>tendenziali</w:t>
            </w:r>
          </w:p>
        </w:tc>
        <w:tc>
          <w:tcPr>
            <w:tcW w:w="2140" w:type="dxa"/>
            <w:tcBorders>
              <w:top w:val="single" w:sz="4" w:space="0" w:color="auto"/>
              <w:left w:val="nil"/>
              <w:bottom w:val="single" w:sz="4" w:space="0" w:color="auto"/>
              <w:right w:val="nil"/>
            </w:tcBorders>
            <w:vAlign w:val="center"/>
          </w:tcPr>
          <w:p w14:paraId="06754B01" w14:textId="77777777" w:rsidR="00ED0CD1" w:rsidRPr="00C03605" w:rsidRDefault="00ED0CD1" w:rsidP="003C4572">
            <w:pPr>
              <w:spacing w:before="40" w:after="20"/>
              <w:jc w:val="center"/>
              <w:rPr>
                <w:rFonts w:ascii="Arial Narrow" w:hAnsi="Arial Narrow"/>
                <w:sz w:val="18"/>
                <w:szCs w:val="18"/>
                <w:lang w:val="en-US"/>
              </w:rPr>
            </w:pPr>
            <w:r w:rsidRPr="002469A9">
              <w:rPr>
                <w:rFonts w:ascii="Arial Narrow" w:hAnsi="Arial Narrow"/>
                <w:sz w:val="18"/>
                <w:szCs w:val="18"/>
              </w:rPr>
              <w:t>Variazioni</w:t>
            </w:r>
            <w:r w:rsidRPr="00C03605">
              <w:rPr>
                <w:rFonts w:ascii="Arial Narrow" w:hAnsi="Arial Narrow"/>
                <w:sz w:val="18"/>
                <w:szCs w:val="18"/>
                <w:lang w:val="en-US"/>
              </w:rPr>
              <w:t xml:space="preserve"> </w:t>
            </w:r>
            <w:r w:rsidRPr="002469A9">
              <w:rPr>
                <w:rFonts w:ascii="Arial Narrow" w:hAnsi="Arial Narrow"/>
                <w:sz w:val="18"/>
                <w:szCs w:val="18"/>
              </w:rPr>
              <w:t>tendenziali</w:t>
            </w:r>
          </w:p>
        </w:tc>
      </w:tr>
      <w:tr w:rsidR="00E232B2" w:rsidRPr="00B076CD" w14:paraId="7FAAA418" w14:textId="77777777" w:rsidTr="00694712">
        <w:trPr>
          <w:trHeight w:val="255"/>
        </w:trPr>
        <w:tc>
          <w:tcPr>
            <w:tcW w:w="1647" w:type="dxa"/>
            <w:vMerge/>
            <w:tcBorders>
              <w:left w:val="nil"/>
              <w:right w:val="nil"/>
            </w:tcBorders>
            <w:shd w:val="clear" w:color="auto" w:fill="FFFFFF"/>
            <w:vAlign w:val="center"/>
          </w:tcPr>
          <w:p w14:paraId="78A40955" w14:textId="77777777" w:rsidR="00E232B2" w:rsidRPr="00B076CD" w:rsidRDefault="00E232B2" w:rsidP="005F4922">
            <w:pPr>
              <w:spacing w:before="40" w:after="20"/>
              <w:rPr>
                <w:rFonts w:ascii="Arial Narrow" w:hAnsi="Arial Narrow" w:cs="Arial"/>
                <w:sz w:val="18"/>
                <w:szCs w:val="18"/>
              </w:rPr>
            </w:pPr>
          </w:p>
        </w:tc>
        <w:tc>
          <w:tcPr>
            <w:tcW w:w="2139" w:type="dxa"/>
            <w:tcBorders>
              <w:top w:val="single" w:sz="4" w:space="0" w:color="auto"/>
              <w:left w:val="nil"/>
              <w:right w:val="nil"/>
            </w:tcBorders>
            <w:shd w:val="clear" w:color="auto" w:fill="auto"/>
            <w:vAlign w:val="center"/>
          </w:tcPr>
          <w:p w14:paraId="75A13F4F"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34CE1126" w14:textId="4606B003"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463EBFB5"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14F593F8" w14:textId="704D4A62"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5BA3318D"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26E5C0E" w14:textId="1EB0E716"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c>
          <w:tcPr>
            <w:tcW w:w="2140" w:type="dxa"/>
            <w:tcBorders>
              <w:top w:val="single" w:sz="4" w:space="0" w:color="auto"/>
              <w:left w:val="nil"/>
              <w:right w:val="nil"/>
            </w:tcBorders>
            <w:shd w:val="clear" w:color="auto" w:fill="auto"/>
            <w:vAlign w:val="center"/>
          </w:tcPr>
          <w:p w14:paraId="7225CA0A" w14:textId="77777777" w:rsidR="00E232B2" w:rsidRPr="0069402A" w:rsidRDefault="00E232B2" w:rsidP="00E232B2">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13675EC0" w14:textId="2EC4CB22" w:rsidR="00E232B2" w:rsidRPr="003C7722" w:rsidRDefault="00E232B2" w:rsidP="005F4922">
            <w:pPr>
              <w:spacing w:before="40" w:after="20"/>
              <w:jc w:val="center"/>
              <w:rPr>
                <w:rFonts w:ascii="Arial Narrow" w:hAnsi="Arial Narrow"/>
                <w:sz w:val="18"/>
                <w:szCs w:val="18"/>
                <w:lang w:val="en-US"/>
              </w:rPr>
            </w:pPr>
            <w:r>
              <w:rPr>
                <w:rFonts w:ascii="Arial Narrow" w:hAnsi="Arial Narrow"/>
                <w:sz w:val="18"/>
                <w:szCs w:val="18"/>
                <w:lang w:val="en-US"/>
              </w:rPr>
              <w:t>gen 24</w:t>
            </w:r>
          </w:p>
        </w:tc>
      </w:tr>
      <w:tr w:rsidR="00D20998" w:rsidRPr="008C0651" w14:paraId="7A28EA09" w14:textId="77777777" w:rsidTr="00D20998">
        <w:trPr>
          <w:trHeight w:val="255"/>
        </w:trPr>
        <w:tc>
          <w:tcPr>
            <w:tcW w:w="1647" w:type="dxa"/>
            <w:tcBorders>
              <w:top w:val="single" w:sz="4" w:space="0" w:color="auto"/>
              <w:left w:val="nil"/>
              <w:bottom w:val="single" w:sz="4" w:space="0" w:color="auto"/>
            </w:tcBorders>
            <w:vAlign w:val="center"/>
          </w:tcPr>
          <w:p w14:paraId="50661D56" w14:textId="77777777" w:rsidR="00D20998" w:rsidRPr="00B076CD" w:rsidRDefault="00D20998" w:rsidP="00D20998">
            <w:pPr>
              <w:spacing w:before="40" w:after="20"/>
              <w:rPr>
                <w:rFonts w:ascii="Arial Narrow" w:hAnsi="Arial Narrow" w:cs="Arial"/>
                <w:sz w:val="18"/>
                <w:szCs w:val="18"/>
              </w:rPr>
            </w:pPr>
            <w:r w:rsidRPr="00B076CD">
              <w:rPr>
                <w:rFonts w:ascii="Arial Narrow" w:hAnsi="Arial Narrow" w:cs="Arial"/>
                <w:sz w:val="18"/>
                <w:szCs w:val="18"/>
              </w:rPr>
              <w:t>Beni di consumo</w:t>
            </w:r>
          </w:p>
        </w:tc>
        <w:tc>
          <w:tcPr>
            <w:tcW w:w="2139" w:type="dxa"/>
            <w:tcBorders>
              <w:top w:val="single" w:sz="4" w:space="0" w:color="auto"/>
              <w:bottom w:val="single" w:sz="4" w:space="0" w:color="auto"/>
            </w:tcBorders>
            <w:shd w:val="clear" w:color="auto" w:fill="D9D9D9"/>
            <w:vAlign w:val="center"/>
          </w:tcPr>
          <w:p w14:paraId="6C18E4C8" w14:textId="1373DDDD" w:rsidR="00D20998" w:rsidRDefault="00D20998" w:rsidP="00D20998">
            <w:pPr>
              <w:jc w:val="center"/>
              <w:rPr>
                <w:rFonts w:ascii="Arial Narrow" w:hAnsi="Arial Narrow"/>
                <w:sz w:val="18"/>
                <w:szCs w:val="18"/>
              </w:rPr>
            </w:pPr>
            <w:r>
              <w:rPr>
                <w:rFonts w:ascii="Arial Narrow" w:hAnsi="Arial Narrow"/>
                <w:sz w:val="18"/>
                <w:szCs w:val="18"/>
              </w:rPr>
              <w:t>+6,5</w:t>
            </w:r>
          </w:p>
        </w:tc>
        <w:tc>
          <w:tcPr>
            <w:tcW w:w="2140" w:type="dxa"/>
            <w:tcBorders>
              <w:top w:val="single" w:sz="4" w:space="0" w:color="auto"/>
              <w:bottom w:val="single" w:sz="4" w:space="0" w:color="auto"/>
            </w:tcBorders>
            <w:vAlign w:val="center"/>
          </w:tcPr>
          <w:p w14:paraId="33F502A4" w14:textId="405C72E6" w:rsidR="00D20998" w:rsidRDefault="00D20998" w:rsidP="00D20998">
            <w:pPr>
              <w:jc w:val="center"/>
              <w:rPr>
                <w:rFonts w:ascii="Arial Narrow" w:hAnsi="Arial Narrow"/>
                <w:sz w:val="18"/>
                <w:szCs w:val="18"/>
              </w:rPr>
            </w:pPr>
            <w:r>
              <w:rPr>
                <w:rFonts w:ascii="Arial Narrow" w:hAnsi="Arial Narrow"/>
                <w:sz w:val="18"/>
                <w:szCs w:val="18"/>
              </w:rPr>
              <w:t>+2,6</w:t>
            </w:r>
          </w:p>
        </w:tc>
        <w:tc>
          <w:tcPr>
            <w:tcW w:w="2140" w:type="dxa"/>
            <w:tcBorders>
              <w:top w:val="single" w:sz="4" w:space="0" w:color="auto"/>
              <w:bottom w:val="single" w:sz="4" w:space="0" w:color="auto"/>
            </w:tcBorders>
            <w:shd w:val="clear" w:color="auto" w:fill="D9D9D9"/>
            <w:vAlign w:val="center"/>
          </w:tcPr>
          <w:p w14:paraId="2D52585F" w14:textId="5636CCB5" w:rsidR="00D20998" w:rsidRDefault="00D20998" w:rsidP="00D20998">
            <w:pPr>
              <w:jc w:val="center"/>
              <w:rPr>
                <w:rFonts w:ascii="Arial Narrow" w:hAnsi="Arial Narrow"/>
                <w:sz w:val="18"/>
                <w:szCs w:val="18"/>
              </w:rPr>
            </w:pPr>
            <w:r>
              <w:rPr>
                <w:rFonts w:ascii="Arial Narrow" w:hAnsi="Arial Narrow"/>
                <w:sz w:val="18"/>
                <w:szCs w:val="18"/>
              </w:rPr>
              <w:t>+1,0</w:t>
            </w:r>
          </w:p>
        </w:tc>
        <w:tc>
          <w:tcPr>
            <w:tcW w:w="2140" w:type="dxa"/>
            <w:tcBorders>
              <w:top w:val="single" w:sz="4" w:space="0" w:color="auto"/>
              <w:bottom w:val="single" w:sz="4" w:space="0" w:color="auto"/>
            </w:tcBorders>
            <w:vAlign w:val="center"/>
          </w:tcPr>
          <w:p w14:paraId="7D427900" w14:textId="1A8C71AA" w:rsidR="00D20998" w:rsidRDefault="00D20998" w:rsidP="00D20998">
            <w:pPr>
              <w:jc w:val="center"/>
              <w:rPr>
                <w:rFonts w:ascii="Arial Narrow" w:hAnsi="Arial Narrow"/>
                <w:sz w:val="18"/>
                <w:szCs w:val="18"/>
              </w:rPr>
            </w:pPr>
            <w:r>
              <w:rPr>
                <w:rFonts w:ascii="Arial Narrow" w:hAnsi="Arial Narrow"/>
                <w:sz w:val="18"/>
                <w:szCs w:val="18"/>
              </w:rPr>
              <w:t>+13,9</w:t>
            </w:r>
          </w:p>
        </w:tc>
      </w:tr>
      <w:tr w:rsidR="00D20998" w:rsidRPr="008C0651" w14:paraId="2A44C9DF" w14:textId="77777777" w:rsidTr="00D20998">
        <w:trPr>
          <w:trHeight w:val="255"/>
        </w:trPr>
        <w:tc>
          <w:tcPr>
            <w:tcW w:w="1647" w:type="dxa"/>
            <w:tcBorders>
              <w:top w:val="single" w:sz="4" w:space="0" w:color="auto"/>
              <w:left w:val="nil"/>
              <w:bottom w:val="single" w:sz="4" w:space="0" w:color="auto"/>
            </w:tcBorders>
            <w:vAlign w:val="center"/>
          </w:tcPr>
          <w:p w14:paraId="0EA750FC" w14:textId="77777777" w:rsidR="00D20998" w:rsidRPr="00353F86" w:rsidRDefault="00D20998" w:rsidP="00D20998">
            <w:pPr>
              <w:spacing w:before="40" w:after="20"/>
              <w:rPr>
                <w:rFonts w:ascii="Arial Narrow" w:hAnsi="Arial Narrow" w:cs="Arial"/>
                <w:sz w:val="18"/>
                <w:szCs w:val="18"/>
              </w:rPr>
            </w:pPr>
            <w:r w:rsidRPr="00353F86">
              <w:rPr>
                <w:rFonts w:ascii="Arial Narrow" w:hAnsi="Arial Narrow" w:cs="Arial"/>
                <w:sz w:val="18"/>
                <w:szCs w:val="18"/>
              </w:rPr>
              <w:t>Durevoli</w:t>
            </w:r>
          </w:p>
        </w:tc>
        <w:tc>
          <w:tcPr>
            <w:tcW w:w="2139" w:type="dxa"/>
            <w:tcBorders>
              <w:top w:val="single" w:sz="4" w:space="0" w:color="auto"/>
              <w:bottom w:val="single" w:sz="4" w:space="0" w:color="auto"/>
            </w:tcBorders>
            <w:shd w:val="clear" w:color="auto" w:fill="D9D9D9"/>
            <w:vAlign w:val="center"/>
          </w:tcPr>
          <w:p w14:paraId="338BAB0F" w14:textId="79D70971" w:rsidR="00D20998" w:rsidRDefault="00D20998" w:rsidP="00D20998">
            <w:pPr>
              <w:jc w:val="center"/>
              <w:rPr>
                <w:rFonts w:ascii="Arial Narrow" w:hAnsi="Arial Narrow"/>
                <w:sz w:val="18"/>
                <w:szCs w:val="18"/>
              </w:rPr>
            </w:pPr>
            <w:r>
              <w:rPr>
                <w:rFonts w:ascii="Arial Narrow" w:hAnsi="Arial Narrow"/>
                <w:sz w:val="18"/>
                <w:szCs w:val="18"/>
              </w:rPr>
              <w:t>+3,7</w:t>
            </w:r>
          </w:p>
        </w:tc>
        <w:tc>
          <w:tcPr>
            <w:tcW w:w="2140" w:type="dxa"/>
            <w:tcBorders>
              <w:top w:val="single" w:sz="4" w:space="0" w:color="auto"/>
              <w:bottom w:val="single" w:sz="4" w:space="0" w:color="auto"/>
            </w:tcBorders>
            <w:vAlign w:val="center"/>
          </w:tcPr>
          <w:p w14:paraId="53BA3407" w14:textId="566E363E" w:rsidR="00D20998" w:rsidRDefault="00D20998" w:rsidP="00D20998">
            <w:pPr>
              <w:jc w:val="center"/>
              <w:rPr>
                <w:rFonts w:ascii="Arial Narrow" w:hAnsi="Arial Narrow"/>
                <w:sz w:val="18"/>
                <w:szCs w:val="18"/>
              </w:rPr>
            </w:pPr>
            <w:r>
              <w:rPr>
                <w:rFonts w:ascii="Arial Narrow" w:hAnsi="Arial Narrow"/>
                <w:sz w:val="18"/>
                <w:szCs w:val="18"/>
              </w:rPr>
              <w:t>+2,7</w:t>
            </w:r>
          </w:p>
        </w:tc>
        <w:tc>
          <w:tcPr>
            <w:tcW w:w="2140" w:type="dxa"/>
            <w:tcBorders>
              <w:top w:val="single" w:sz="4" w:space="0" w:color="auto"/>
              <w:bottom w:val="single" w:sz="4" w:space="0" w:color="auto"/>
            </w:tcBorders>
            <w:shd w:val="clear" w:color="auto" w:fill="D9D9D9"/>
            <w:vAlign w:val="center"/>
          </w:tcPr>
          <w:p w14:paraId="7F677457" w14:textId="42580D59" w:rsidR="00D20998" w:rsidRDefault="00D20998" w:rsidP="00D20998">
            <w:pPr>
              <w:jc w:val="center"/>
              <w:rPr>
                <w:rFonts w:ascii="Arial Narrow" w:hAnsi="Arial Narrow"/>
                <w:sz w:val="18"/>
                <w:szCs w:val="18"/>
              </w:rPr>
            </w:pPr>
            <w:r>
              <w:rPr>
                <w:rFonts w:ascii="Arial Narrow" w:hAnsi="Arial Narrow"/>
                <w:sz w:val="18"/>
                <w:szCs w:val="18"/>
              </w:rPr>
              <w:t>-3,0</w:t>
            </w:r>
          </w:p>
        </w:tc>
        <w:tc>
          <w:tcPr>
            <w:tcW w:w="2140" w:type="dxa"/>
            <w:tcBorders>
              <w:top w:val="single" w:sz="4" w:space="0" w:color="auto"/>
              <w:bottom w:val="single" w:sz="4" w:space="0" w:color="auto"/>
            </w:tcBorders>
            <w:vAlign w:val="center"/>
          </w:tcPr>
          <w:p w14:paraId="46CC64D3" w14:textId="7D44D412" w:rsidR="00D20998" w:rsidRDefault="00D20998" w:rsidP="00D20998">
            <w:pPr>
              <w:jc w:val="center"/>
              <w:rPr>
                <w:rFonts w:ascii="Arial Narrow" w:hAnsi="Arial Narrow"/>
                <w:sz w:val="18"/>
                <w:szCs w:val="18"/>
              </w:rPr>
            </w:pPr>
            <w:r>
              <w:rPr>
                <w:rFonts w:ascii="Arial Narrow" w:hAnsi="Arial Narrow"/>
                <w:sz w:val="18"/>
                <w:szCs w:val="18"/>
              </w:rPr>
              <w:t>+21,9</w:t>
            </w:r>
          </w:p>
        </w:tc>
      </w:tr>
      <w:tr w:rsidR="00D20998" w:rsidRPr="008C0651" w14:paraId="21C1994E" w14:textId="77777777" w:rsidTr="00D20998">
        <w:trPr>
          <w:trHeight w:val="255"/>
        </w:trPr>
        <w:tc>
          <w:tcPr>
            <w:tcW w:w="1647" w:type="dxa"/>
            <w:tcBorders>
              <w:top w:val="single" w:sz="4" w:space="0" w:color="auto"/>
              <w:left w:val="nil"/>
              <w:bottom w:val="single" w:sz="4" w:space="0" w:color="auto"/>
            </w:tcBorders>
            <w:vAlign w:val="center"/>
          </w:tcPr>
          <w:p w14:paraId="2C0133F9" w14:textId="77777777" w:rsidR="00D20998" w:rsidRPr="00353F86" w:rsidRDefault="00D20998" w:rsidP="00D20998">
            <w:pPr>
              <w:spacing w:before="40" w:after="20"/>
              <w:rPr>
                <w:rFonts w:ascii="Arial Narrow" w:hAnsi="Arial Narrow" w:cs="Arial"/>
                <w:sz w:val="18"/>
                <w:szCs w:val="18"/>
              </w:rPr>
            </w:pPr>
            <w:r w:rsidRPr="00353F86">
              <w:rPr>
                <w:rFonts w:ascii="Arial Narrow" w:hAnsi="Arial Narrow" w:cs="Arial"/>
                <w:sz w:val="18"/>
                <w:szCs w:val="18"/>
              </w:rPr>
              <w:t>non durevoli</w:t>
            </w:r>
          </w:p>
        </w:tc>
        <w:tc>
          <w:tcPr>
            <w:tcW w:w="2139" w:type="dxa"/>
            <w:tcBorders>
              <w:top w:val="single" w:sz="4" w:space="0" w:color="auto"/>
              <w:bottom w:val="single" w:sz="4" w:space="0" w:color="auto"/>
            </w:tcBorders>
            <w:shd w:val="clear" w:color="auto" w:fill="D9D9D9"/>
            <w:vAlign w:val="center"/>
          </w:tcPr>
          <w:p w14:paraId="69B2B2F6" w14:textId="075EC536" w:rsidR="00D20998" w:rsidRDefault="00D20998" w:rsidP="00D20998">
            <w:pPr>
              <w:jc w:val="center"/>
              <w:rPr>
                <w:rFonts w:ascii="Arial Narrow" w:hAnsi="Arial Narrow"/>
                <w:sz w:val="18"/>
                <w:szCs w:val="18"/>
              </w:rPr>
            </w:pPr>
            <w:r>
              <w:rPr>
                <w:rFonts w:ascii="Arial Narrow" w:hAnsi="Arial Narrow"/>
                <w:sz w:val="18"/>
                <w:szCs w:val="18"/>
              </w:rPr>
              <w:t>+7,2</w:t>
            </w:r>
          </w:p>
        </w:tc>
        <w:tc>
          <w:tcPr>
            <w:tcW w:w="2140" w:type="dxa"/>
            <w:tcBorders>
              <w:top w:val="single" w:sz="4" w:space="0" w:color="auto"/>
              <w:bottom w:val="single" w:sz="4" w:space="0" w:color="auto"/>
            </w:tcBorders>
            <w:vAlign w:val="center"/>
          </w:tcPr>
          <w:p w14:paraId="1AE2A7EE" w14:textId="43C10EF8" w:rsidR="00D20998" w:rsidRDefault="00D20998" w:rsidP="00D20998">
            <w:pPr>
              <w:jc w:val="center"/>
              <w:rPr>
                <w:rFonts w:ascii="Arial Narrow" w:hAnsi="Arial Narrow"/>
                <w:sz w:val="18"/>
                <w:szCs w:val="18"/>
              </w:rPr>
            </w:pPr>
            <w:r>
              <w:rPr>
                <w:rFonts w:ascii="Arial Narrow" w:hAnsi="Arial Narrow"/>
                <w:sz w:val="18"/>
                <w:szCs w:val="18"/>
              </w:rPr>
              <w:t>+2,6</w:t>
            </w:r>
          </w:p>
        </w:tc>
        <w:tc>
          <w:tcPr>
            <w:tcW w:w="2140" w:type="dxa"/>
            <w:tcBorders>
              <w:top w:val="single" w:sz="4" w:space="0" w:color="auto"/>
              <w:bottom w:val="single" w:sz="4" w:space="0" w:color="auto"/>
            </w:tcBorders>
            <w:shd w:val="clear" w:color="auto" w:fill="D9D9D9"/>
            <w:vAlign w:val="center"/>
          </w:tcPr>
          <w:p w14:paraId="368B316F" w14:textId="1FF6CB3D" w:rsidR="00D20998" w:rsidRDefault="00D20998" w:rsidP="00D20998">
            <w:pPr>
              <w:jc w:val="center"/>
              <w:rPr>
                <w:rFonts w:ascii="Arial Narrow" w:hAnsi="Arial Narrow"/>
                <w:sz w:val="18"/>
                <w:szCs w:val="18"/>
              </w:rPr>
            </w:pPr>
            <w:r>
              <w:rPr>
                <w:rFonts w:ascii="Arial Narrow" w:hAnsi="Arial Narrow"/>
                <w:sz w:val="18"/>
                <w:szCs w:val="18"/>
              </w:rPr>
              <w:t>+1,4</w:t>
            </w:r>
          </w:p>
        </w:tc>
        <w:tc>
          <w:tcPr>
            <w:tcW w:w="2140" w:type="dxa"/>
            <w:tcBorders>
              <w:top w:val="single" w:sz="4" w:space="0" w:color="auto"/>
              <w:bottom w:val="single" w:sz="4" w:space="0" w:color="auto"/>
            </w:tcBorders>
            <w:vAlign w:val="center"/>
          </w:tcPr>
          <w:p w14:paraId="79FE098F" w14:textId="1D7835F2" w:rsidR="00D20998" w:rsidRDefault="00D20998" w:rsidP="00D20998">
            <w:pPr>
              <w:jc w:val="center"/>
              <w:rPr>
                <w:rFonts w:ascii="Arial Narrow" w:hAnsi="Arial Narrow"/>
                <w:sz w:val="18"/>
                <w:szCs w:val="18"/>
              </w:rPr>
            </w:pPr>
            <w:r>
              <w:rPr>
                <w:rFonts w:ascii="Arial Narrow" w:hAnsi="Arial Narrow"/>
                <w:sz w:val="18"/>
                <w:szCs w:val="18"/>
              </w:rPr>
              <w:t>+13,1</w:t>
            </w:r>
          </w:p>
        </w:tc>
      </w:tr>
      <w:tr w:rsidR="00D20998" w:rsidRPr="008C0651" w14:paraId="45D070AA" w14:textId="77777777" w:rsidTr="00D20998">
        <w:trPr>
          <w:trHeight w:val="255"/>
        </w:trPr>
        <w:tc>
          <w:tcPr>
            <w:tcW w:w="1647" w:type="dxa"/>
            <w:tcBorders>
              <w:top w:val="single" w:sz="4" w:space="0" w:color="auto"/>
              <w:left w:val="nil"/>
              <w:bottom w:val="single" w:sz="4" w:space="0" w:color="auto"/>
            </w:tcBorders>
            <w:vAlign w:val="center"/>
          </w:tcPr>
          <w:p w14:paraId="1B22FD9C" w14:textId="77777777" w:rsidR="00D20998" w:rsidRPr="00B076CD" w:rsidRDefault="00D20998" w:rsidP="00D20998">
            <w:pPr>
              <w:spacing w:before="40" w:after="20"/>
              <w:rPr>
                <w:rFonts w:ascii="Arial Narrow" w:hAnsi="Arial Narrow" w:cs="Arial"/>
                <w:sz w:val="18"/>
                <w:szCs w:val="18"/>
              </w:rPr>
            </w:pPr>
            <w:r w:rsidRPr="00B076CD">
              <w:rPr>
                <w:rFonts w:ascii="Arial Narrow" w:hAnsi="Arial Narrow" w:cs="Arial"/>
                <w:sz w:val="18"/>
                <w:szCs w:val="18"/>
              </w:rPr>
              <w:t>Beni strumentali</w:t>
            </w:r>
          </w:p>
        </w:tc>
        <w:tc>
          <w:tcPr>
            <w:tcW w:w="2139" w:type="dxa"/>
            <w:tcBorders>
              <w:top w:val="single" w:sz="4" w:space="0" w:color="auto"/>
              <w:bottom w:val="single" w:sz="4" w:space="0" w:color="auto"/>
            </w:tcBorders>
            <w:shd w:val="clear" w:color="auto" w:fill="D9D9D9"/>
            <w:vAlign w:val="center"/>
          </w:tcPr>
          <w:p w14:paraId="3AC5F130" w14:textId="439136C7" w:rsidR="00D20998" w:rsidRDefault="00D20998" w:rsidP="00D20998">
            <w:pPr>
              <w:jc w:val="center"/>
              <w:rPr>
                <w:rFonts w:ascii="Arial Narrow" w:hAnsi="Arial Narrow"/>
                <w:sz w:val="18"/>
                <w:szCs w:val="18"/>
              </w:rPr>
            </w:pPr>
            <w:r>
              <w:rPr>
                <w:rFonts w:ascii="Arial Narrow" w:hAnsi="Arial Narrow"/>
                <w:sz w:val="18"/>
                <w:szCs w:val="18"/>
              </w:rPr>
              <w:t>+7,2</w:t>
            </w:r>
          </w:p>
        </w:tc>
        <w:tc>
          <w:tcPr>
            <w:tcW w:w="2140" w:type="dxa"/>
            <w:tcBorders>
              <w:top w:val="single" w:sz="4" w:space="0" w:color="auto"/>
              <w:bottom w:val="single" w:sz="4" w:space="0" w:color="auto"/>
            </w:tcBorders>
            <w:vAlign w:val="center"/>
          </w:tcPr>
          <w:p w14:paraId="0432F821" w14:textId="14EB752C" w:rsidR="00D20998" w:rsidRDefault="00D20998" w:rsidP="00D20998">
            <w:pPr>
              <w:jc w:val="center"/>
              <w:rPr>
                <w:rFonts w:ascii="Arial Narrow" w:hAnsi="Arial Narrow"/>
                <w:sz w:val="18"/>
                <w:szCs w:val="18"/>
              </w:rPr>
            </w:pPr>
            <w:r>
              <w:rPr>
                <w:rFonts w:ascii="Arial Narrow" w:hAnsi="Arial Narrow"/>
                <w:sz w:val="18"/>
                <w:szCs w:val="18"/>
              </w:rPr>
              <w:t>+3,2</w:t>
            </w:r>
          </w:p>
        </w:tc>
        <w:tc>
          <w:tcPr>
            <w:tcW w:w="2140" w:type="dxa"/>
            <w:tcBorders>
              <w:top w:val="single" w:sz="4" w:space="0" w:color="auto"/>
              <w:bottom w:val="single" w:sz="4" w:space="0" w:color="auto"/>
            </w:tcBorders>
            <w:shd w:val="clear" w:color="auto" w:fill="D9D9D9"/>
            <w:vAlign w:val="center"/>
          </w:tcPr>
          <w:p w14:paraId="05A65E72" w14:textId="75D2ECA5" w:rsidR="00D20998" w:rsidRDefault="00D20998" w:rsidP="00D20998">
            <w:pPr>
              <w:jc w:val="center"/>
              <w:rPr>
                <w:rFonts w:ascii="Arial Narrow" w:hAnsi="Arial Narrow"/>
                <w:sz w:val="18"/>
                <w:szCs w:val="18"/>
              </w:rPr>
            </w:pPr>
            <w:r>
              <w:rPr>
                <w:rFonts w:ascii="Arial Narrow" w:hAnsi="Arial Narrow"/>
                <w:sz w:val="18"/>
                <w:szCs w:val="18"/>
              </w:rPr>
              <w:t>-9,9</w:t>
            </w:r>
          </w:p>
        </w:tc>
        <w:tc>
          <w:tcPr>
            <w:tcW w:w="2140" w:type="dxa"/>
            <w:tcBorders>
              <w:top w:val="single" w:sz="4" w:space="0" w:color="auto"/>
              <w:bottom w:val="single" w:sz="4" w:space="0" w:color="auto"/>
            </w:tcBorders>
            <w:vAlign w:val="center"/>
          </w:tcPr>
          <w:p w14:paraId="4882324C" w14:textId="3070AAB7" w:rsidR="00D20998" w:rsidRDefault="00D20998" w:rsidP="00D20998">
            <w:pPr>
              <w:jc w:val="center"/>
              <w:rPr>
                <w:rFonts w:ascii="Arial Narrow" w:hAnsi="Arial Narrow"/>
                <w:sz w:val="18"/>
                <w:szCs w:val="18"/>
              </w:rPr>
            </w:pPr>
            <w:r>
              <w:rPr>
                <w:rFonts w:ascii="Arial Narrow" w:hAnsi="Arial Narrow"/>
                <w:sz w:val="18"/>
                <w:szCs w:val="18"/>
              </w:rPr>
              <w:t>-2,4</w:t>
            </w:r>
          </w:p>
        </w:tc>
      </w:tr>
      <w:tr w:rsidR="00D20998" w:rsidRPr="008C0651" w14:paraId="435865EA" w14:textId="77777777" w:rsidTr="00D20998">
        <w:trPr>
          <w:trHeight w:val="255"/>
        </w:trPr>
        <w:tc>
          <w:tcPr>
            <w:tcW w:w="1647" w:type="dxa"/>
            <w:tcBorders>
              <w:top w:val="single" w:sz="4" w:space="0" w:color="auto"/>
              <w:left w:val="nil"/>
              <w:bottom w:val="single" w:sz="4" w:space="0" w:color="auto"/>
            </w:tcBorders>
            <w:vAlign w:val="center"/>
          </w:tcPr>
          <w:p w14:paraId="687F088A" w14:textId="77777777" w:rsidR="00D20998" w:rsidRPr="00B076CD" w:rsidRDefault="00D20998" w:rsidP="00D20998">
            <w:pPr>
              <w:spacing w:before="40" w:after="20"/>
              <w:rPr>
                <w:rFonts w:ascii="Arial Narrow" w:hAnsi="Arial Narrow" w:cs="Arial"/>
                <w:sz w:val="18"/>
                <w:szCs w:val="18"/>
              </w:rPr>
            </w:pPr>
            <w:r w:rsidRPr="00B076CD">
              <w:rPr>
                <w:rFonts w:ascii="Arial Narrow" w:hAnsi="Arial Narrow" w:cs="Arial"/>
                <w:sz w:val="18"/>
                <w:szCs w:val="18"/>
              </w:rPr>
              <w:t>Beni intermedi</w:t>
            </w:r>
          </w:p>
        </w:tc>
        <w:tc>
          <w:tcPr>
            <w:tcW w:w="2139" w:type="dxa"/>
            <w:tcBorders>
              <w:top w:val="single" w:sz="4" w:space="0" w:color="auto"/>
              <w:bottom w:val="single" w:sz="4" w:space="0" w:color="auto"/>
            </w:tcBorders>
            <w:shd w:val="clear" w:color="auto" w:fill="D9D9D9"/>
            <w:vAlign w:val="center"/>
          </w:tcPr>
          <w:p w14:paraId="4184A1C9" w14:textId="5CC4D776" w:rsidR="00D20998" w:rsidRDefault="00D20998" w:rsidP="00D20998">
            <w:pPr>
              <w:jc w:val="center"/>
              <w:rPr>
                <w:rFonts w:ascii="Arial Narrow" w:hAnsi="Arial Narrow"/>
                <w:sz w:val="18"/>
                <w:szCs w:val="18"/>
              </w:rPr>
            </w:pPr>
            <w:r>
              <w:rPr>
                <w:rFonts w:ascii="Arial Narrow" w:hAnsi="Arial Narrow"/>
                <w:sz w:val="18"/>
                <w:szCs w:val="18"/>
              </w:rPr>
              <w:t>+2,3</w:t>
            </w:r>
          </w:p>
        </w:tc>
        <w:tc>
          <w:tcPr>
            <w:tcW w:w="2140" w:type="dxa"/>
            <w:tcBorders>
              <w:top w:val="single" w:sz="4" w:space="0" w:color="auto"/>
              <w:bottom w:val="single" w:sz="4" w:space="0" w:color="auto"/>
            </w:tcBorders>
            <w:vAlign w:val="center"/>
          </w:tcPr>
          <w:p w14:paraId="579333D5" w14:textId="5BD318EB" w:rsidR="00D20998" w:rsidRDefault="00D20998" w:rsidP="00D20998">
            <w:pPr>
              <w:jc w:val="center"/>
              <w:rPr>
                <w:rFonts w:ascii="Arial Narrow" w:hAnsi="Arial Narrow"/>
                <w:sz w:val="18"/>
                <w:szCs w:val="18"/>
              </w:rPr>
            </w:pPr>
            <w:r>
              <w:rPr>
                <w:rFonts w:ascii="Arial Narrow" w:hAnsi="Arial Narrow"/>
                <w:sz w:val="18"/>
                <w:szCs w:val="18"/>
              </w:rPr>
              <w:t>+3,2</w:t>
            </w:r>
          </w:p>
        </w:tc>
        <w:tc>
          <w:tcPr>
            <w:tcW w:w="2140" w:type="dxa"/>
            <w:tcBorders>
              <w:top w:val="single" w:sz="4" w:space="0" w:color="auto"/>
              <w:bottom w:val="single" w:sz="4" w:space="0" w:color="auto"/>
            </w:tcBorders>
            <w:shd w:val="clear" w:color="auto" w:fill="D9D9D9"/>
            <w:vAlign w:val="center"/>
          </w:tcPr>
          <w:p w14:paraId="1C498C96" w14:textId="5FC46090" w:rsidR="00D20998" w:rsidRDefault="00D20998" w:rsidP="00D20998">
            <w:pPr>
              <w:jc w:val="center"/>
              <w:rPr>
                <w:rFonts w:ascii="Arial Narrow" w:hAnsi="Arial Narrow"/>
                <w:sz w:val="18"/>
                <w:szCs w:val="18"/>
              </w:rPr>
            </w:pPr>
            <w:r>
              <w:rPr>
                <w:rFonts w:ascii="Arial Narrow" w:hAnsi="Arial Narrow"/>
                <w:sz w:val="18"/>
                <w:szCs w:val="18"/>
              </w:rPr>
              <w:t>+1,3</w:t>
            </w:r>
          </w:p>
        </w:tc>
        <w:tc>
          <w:tcPr>
            <w:tcW w:w="2140" w:type="dxa"/>
            <w:tcBorders>
              <w:top w:val="single" w:sz="4" w:space="0" w:color="auto"/>
              <w:bottom w:val="single" w:sz="4" w:space="0" w:color="auto"/>
            </w:tcBorders>
            <w:vAlign w:val="center"/>
          </w:tcPr>
          <w:p w14:paraId="287FA136" w14:textId="7B309055" w:rsidR="00D20998" w:rsidRDefault="00D20998" w:rsidP="00D20998">
            <w:pPr>
              <w:jc w:val="center"/>
              <w:rPr>
                <w:rFonts w:ascii="Arial Narrow" w:hAnsi="Arial Narrow"/>
                <w:sz w:val="18"/>
                <w:szCs w:val="18"/>
              </w:rPr>
            </w:pPr>
            <w:r>
              <w:rPr>
                <w:rFonts w:ascii="Arial Narrow" w:hAnsi="Arial Narrow"/>
                <w:sz w:val="18"/>
                <w:szCs w:val="18"/>
              </w:rPr>
              <w:t>+5,9</w:t>
            </w:r>
          </w:p>
        </w:tc>
      </w:tr>
      <w:tr w:rsidR="00D20998" w:rsidRPr="008C0651" w14:paraId="305C0520" w14:textId="77777777" w:rsidTr="00D20998">
        <w:trPr>
          <w:trHeight w:val="255"/>
        </w:trPr>
        <w:tc>
          <w:tcPr>
            <w:tcW w:w="1647" w:type="dxa"/>
            <w:tcBorders>
              <w:top w:val="single" w:sz="4" w:space="0" w:color="auto"/>
              <w:left w:val="nil"/>
              <w:bottom w:val="single" w:sz="4" w:space="0" w:color="auto"/>
            </w:tcBorders>
            <w:vAlign w:val="center"/>
          </w:tcPr>
          <w:p w14:paraId="314A9EEC" w14:textId="77777777" w:rsidR="00D20998" w:rsidRPr="00B076CD" w:rsidRDefault="00D20998" w:rsidP="00D20998">
            <w:pPr>
              <w:spacing w:before="40" w:after="20"/>
              <w:rPr>
                <w:rFonts w:ascii="Arial Narrow" w:hAnsi="Arial Narrow" w:cs="Arial"/>
                <w:sz w:val="18"/>
                <w:szCs w:val="18"/>
              </w:rPr>
            </w:pPr>
            <w:r w:rsidRPr="00B076CD">
              <w:rPr>
                <w:rFonts w:ascii="Arial Narrow" w:hAnsi="Arial Narrow" w:cs="Arial"/>
                <w:sz w:val="18"/>
                <w:szCs w:val="18"/>
              </w:rPr>
              <w:t>Energia</w:t>
            </w:r>
          </w:p>
        </w:tc>
        <w:tc>
          <w:tcPr>
            <w:tcW w:w="2139" w:type="dxa"/>
            <w:tcBorders>
              <w:top w:val="single" w:sz="4" w:space="0" w:color="auto"/>
              <w:bottom w:val="single" w:sz="4" w:space="0" w:color="auto"/>
            </w:tcBorders>
            <w:shd w:val="clear" w:color="auto" w:fill="D9D9D9"/>
            <w:vAlign w:val="center"/>
          </w:tcPr>
          <w:p w14:paraId="4BA614C5" w14:textId="0F300E82" w:rsidR="00D20998" w:rsidRDefault="00D20998" w:rsidP="00D20998">
            <w:pPr>
              <w:jc w:val="center"/>
              <w:rPr>
                <w:rFonts w:ascii="Arial Narrow" w:hAnsi="Arial Narrow"/>
                <w:sz w:val="18"/>
                <w:szCs w:val="18"/>
              </w:rPr>
            </w:pPr>
            <w:r>
              <w:rPr>
                <w:rFonts w:ascii="Arial Narrow" w:hAnsi="Arial Narrow"/>
                <w:sz w:val="18"/>
                <w:szCs w:val="18"/>
              </w:rPr>
              <w:t>+3,0</w:t>
            </w:r>
          </w:p>
        </w:tc>
        <w:tc>
          <w:tcPr>
            <w:tcW w:w="2140" w:type="dxa"/>
            <w:tcBorders>
              <w:top w:val="single" w:sz="4" w:space="0" w:color="auto"/>
              <w:bottom w:val="single" w:sz="4" w:space="0" w:color="auto"/>
            </w:tcBorders>
            <w:vAlign w:val="center"/>
          </w:tcPr>
          <w:p w14:paraId="325457FD" w14:textId="776A2F94" w:rsidR="00D20998" w:rsidRDefault="00D20998" w:rsidP="00D20998">
            <w:pPr>
              <w:jc w:val="center"/>
              <w:rPr>
                <w:rFonts w:ascii="Arial Narrow" w:hAnsi="Arial Narrow"/>
                <w:sz w:val="18"/>
                <w:szCs w:val="18"/>
              </w:rPr>
            </w:pPr>
            <w:r>
              <w:rPr>
                <w:rFonts w:ascii="Arial Narrow" w:hAnsi="Arial Narrow"/>
                <w:sz w:val="18"/>
                <w:szCs w:val="18"/>
              </w:rPr>
              <w:t>+10,9</w:t>
            </w:r>
          </w:p>
        </w:tc>
        <w:tc>
          <w:tcPr>
            <w:tcW w:w="2140" w:type="dxa"/>
            <w:tcBorders>
              <w:top w:val="single" w:sz="4" w:space="0" w:color="auto"/>
              <w:bottom w:val="single" w:sz="4" w:space="0" w:color="auto"/>
            </w:tcBorders>
            <w:shd w:val="clear" w:color="auto" w:fill="D9D9D9"/>
            <w:vAlign w:val="center"/>
          </w:tcPr>
          <w:p w14:paraId="34CC56C5" w14:textId="63506DCA" w:rsidR="00D20998" w:rsidRDefault="00D20998" w:rsidP="00D20998">
            <w:pPr>
              <w:jc w:val="center"/>
              <w:rPr>
                <w:rFonts w:ascii="Arial Narrow" w:hAnsi="Arial Narrow"/>
                <w:sz w:val="18"/>
                <w:szCs w:val="18"/>
              </w:rPr>
            </w:pPr>
            <w:r>
              <w:rPr>
                <w:rFonts w:ascii="Arial Narrow" w:hAnsi="Arial Narrow"/>
                <w:sz w:val="18"/>
                <w:szCs w:val="18"/>
              </w:rPr>
              <w:t>-13,3</w:t>
            </w:r>
          </w:p>
        </w:tc>
        <w:tc>
          <w:tcPr>
            <w:tcW w:w="2140" w:type="dxa"/>
            <w:tcBorders>
              <w:top w:val="single" w:sz="4" w:space="0" w:color="auto"/>
              <w:bottom w:val="single" w:sz="4" w:space="0" w:color="auto"/>
            </w:tcBorders>
            <w:vAlign w:val="center"/>
          </w:tcPr>
          <w:p w14:paraId="3DC7AD9C" w14:textId="4A6F9EC9" w:rsidR="00D20998" w:rsidRDefault="00D20998" w:rsidP="00D20998">
            <w:pPr>
              <w:jc w:val="center"/>
              <w:rPr>
                <w:rFonts w:ascii="Arial Narrow" w:hAnsi="Arial Narrow"/>
                <w:sz w:val="18"/>
                <w:szCs w:val="18"/>
              </w:rPr>
            </w:pPr>
            <w:r>
              <w:rPr>
                <w:rFonts w:ascii="Arial Narrow" w:hAnsi="Arial Narrow"/>
                <w:sz w:val="18"/>
                <w:szCs w:val="18"/>
              </w:rPr>
              <w:t>-5,7</w:t>
            </w:r>
          </w:p>
        </w:tc>
      </w:tr>
      <w:tr w:rsidR="00D20998" w:rsidRPr="008C0651" w14:paraId="2A7730BE" w14:textId="77777777" w:rsidTr="00D20998">
        <w:trPr>
          <w:trHeight w:val="255"/>
        </w:trPr>
        <w:tc>
          <w:tcPr>
            <w:tcW w:w="1647" w:type="dxa"/>
            <w:tcBorders>
              <w:top w:val="single" w:sz="4" w:space="0" w:color="auto"/>
              <w:left w:val="nil"/>
              <w:bottom w:val="single" w:sz="4" w:space="0" w:color="auto"/>
            </w:tcBorders>
            <w:vAlign w:val="center"/>
          </w:tcPr>
          <w:p w14:paraId="553D7317" w14:textId="77777777" w:rsidR="00D20998" w:rsidRPr="00B076CD" w:rsidRDefault="00D20998" w:rsidP="00D20998">
            <w:pPr>
              <w:spacing w:before="40" w:after="20"/>
              <w:rPr>
                <w:rFonts w:ascii="Arial Narrow" w:hAnsi="Arial Narrow" w:cs="Arial"/>
                <w:sz w:val="18"/>
                <w:szCs w:val="18"/>
              </w:rPr>
            </w:pPr>
            <w:r w:rsidRPr="00B076CD">
              <w:rPr>
                <w:rFonts w:ascii="Arial Narrow" w:hAnsi="Arial Narrow" w:cs="Arial"/>
                <w:sz w:val="18"/>
                <w:szCs w:val="18"/>
              </w:rPr>
              <w:t>Totale al netto dell’energia</w:t>
            </w:r>
          </w:p>
        </w:tc>
        <w:tc>
          <w:tcPr>
            <w:tcW w:w="2139" w:type="dxa"/>
            <w:tcBorders>
              <w:top w:val="single" w:sz="4" w:space="0" w:color="auto"/>
              <w:bottom w:val="single" w:sz="4" w:space="0" w:color="auto"/>
            </w:tcBorders>
            <w:shd w:val="clear" w:color="auto" w:fill="D9D9D9"/>
            <w:vAlign w:val="center"/>
          </w:tcPr>
          <w:p w14:paraId="76F4CE39" w14:textId="15F41C9C" w:rsidR="00D20998" w:rsidRDefault="00D20998" w:rsidP="00D20998">
            <w:pPr>
              <w:jc w:val="center"/>
              <w:rPr>
                <w:rFonts w:ascii="Arial Narrow" w:hAnsi="Arial Narrow"/>
                <w:sz w:val="18"/>
                <w:szCs w:val="18"/>
              </w:rPr>
            </w:pPr>
            <w:r>
              <w:rPr>
                <w:rFonts w:ascii="Arial Narrow" w:hAnsi="Arial Narrow"/>
                <w:sz w:val="18"/>
                <w:szCs w:val="18"/>
              </w:rPr>
              <w:t>+5,4</w:t>
            </w:r>
          </w:p>
        </w:tc>
        <w:tc>
          <w:tcPr>
            <w:tcW w:w="2140" w:type="dxa"/>
            <w:tcBorders>
              <w:top w:val="single" w:sz="4" w:space="0" w:color="auto"/>
              <w:bottom w:val="single" w:sz="4" w:space="0" w:color="auto"/>
            </w:tcBorders>
            <w:vAlign w:val="center"/>
          </w:tcPr>
          <w:p w14:paraId="7A460B51" w14:textId="681537B3" w:rsidR="00D20998" w:rsidRDefault="00D20998" w:rsidP="00D20998">
            <w:pPr>
              <w:jc w:val="center"/>
              <w:rPr>
                <w:rFonts w:ascii="Arial Narrow" w:hAnsi="Arial Narrow"/>
                <w:sz w:val="18"/>
                <w:szCs w:val="18"/>
              </w:rPr>
            </w:pPr>
            <w:r>
              <w:rPr>
                <w:rFonts w:ascii="Arial Narrow" w:hAnsi="Arial Narrow"/>
                <w:sz w:val="18"/>
                <w:szCs w:val="18"/>
              </w:rPr>
              <w:t>+3,1</w:t>
            </w:r>
          </w:p>
        </w:tc>
        <w:tc>
          <w:tcPr>
            <w:tcW w:w="2140" w:type="dxa"/>
            <w:tcBorders>
              <w:top w:val="single" w:sz="4" w:space="0" w:color="auto"/>
              <w:bottom w:val="single" w:sz="4" w:space="0" w:color="auto"/>
            </w:tcBorders>
            <w:shd w:val="clear" w:color="auto" w:fill="D9D9D9"/>
            <w:vAlign w:val="center"/>
          </w:tcPr>
          <w:p w14:paraId="1A87ECF6" w14:textId="105C78D6" w:rsidR="00D20998" w:rsidRDefault="00D20998" w:rsidP="00D20998">
            <w:pPr>
              <w:jc w:val="center"/>
              <w:rPr>
                <w:rFonts w:ascii="Arial Narrow" w:hAnsi="Arial Narrow"/>
                <w:sz w:val="18"/>
                <w:szCs w:val="18"/>
              </w:rPr>
            </w:pPr>
            <w:r>
              <w:rPr>
                <w:rFonts w:ascii="Arial Narrow" w:hAnsi="Arial Narrow"/>
                <w:sz w:val="18"/>
                <w:szCs w:val="18"/>
              </w:rPr>
              <w:t>-2,2</w:t>
            </w:r>
          </w:p>
        </w:tc>
        <w:tc>
          <w:tcPr>
            <w:tcW w:w="2140" w:type="dxa"/>
            <w:tcBorders>
              <w:top w:val="single" w:sz="4" w:space="0" w:color="auto"/>
              <w:bottom w:val="single" w:sz="4" w:space="0" w:color="auto"/>
            </w:tcBorders>
            <w:vAlign w:val="center"/>
          </w:tcPr>
          <w:p w14:paraId="18E1D363" w14:textId="191BEA7B" w:rsidR="00D20998" w:rsidRDefault="00D20998" w:rsidP="00D20998">
            <w:pPr>
              <w:jc w:val="center"/>
              <w:rPr>
                <w:rFonts w:ascii="Arial Narrow" w:hAnsi="Arial Narrow"/>
                <w:sz w:val="18"/>
                <w:szCs w:val="18"/>
              </w:rPr>
            </w:pPr>
            <w:r>
              <w:rPr>
                <w:rFonts w:ascii="Arial Narrow" w:hAnsi="Arial Narrow"/>
                <w:sz w:val="18"/>
                <w:szCs w:val="18"/>
              </w:rPr>
              <w:t>+6,3</w:t>
            </w:r>
          </w:p>
        </w:tc>
      </w:tr>
      <w:tr w:rsidR="00D20998" w:rsidRPr="00832A3F" w14:paraId="14B3206A" w14:textId="77777777" w:rsidTr="00D20998">
        <w:trPr>
          <w:trHeight w:val="255"/>
        </w:trPr>
        <w:tc>
          <w:tcPr>
            <w:tcW w:w="1647" w:type="dxa"/>
            <w:tcBorders>
              <w:top w:val="single" w:sz="4" w:space="0" w:color="auto"/>
              <w:left w:val="nil"/>
              <w:bottom w:val="single" w:sz="4" w:space="0" w:color="auto"/>
            </w:tcBorders>
            <w:shd w:val="clear" w:color="auto" w:fill="FF0000"/>
            <w:vAlign w:val="center"/>
          </w:tcPr>
          <w:p w14:paraId="3995B035" w14:textId="77777777" w:rsidR="00D20998" w:rsidRPr="00832A3F" w:rsidRDefault="00D20998" w:rsidP="00D20998">
            <w:pPr>
              <w:spacing w:before="40" w:after="20"/>
              <w:rPr>
                <w:rFonts w:ascii="Arial Narrow" w:hAnsi="Arial Narrow" w:cs="Arial"/>
                <w:b/>
                <w:color w:val="FFFFFF" w:themeColor="background1"/>
                <w:sz w:val="18"/>
                <w:szCs w:val="18"/>
              </w:rPr>
            </w:pPr>
            <w:r w:rsidRPr="00832A3F">
              <w:rPr>
                <w:rFonts w:ascii="Arial Narrow" w:hAnsi="Arial Narrow" w:cs="Arial"/>
                <w:b/>
                <w:color w:val="FFFFFF" w:themeColor="background1"/>
                <w:sz w:val="18"/>
                <w:szCs w:val="18"/>
              </w:rPr>
              <w:t>Totale</w:t>
            </w:r>
          </w:p>
        </w:tc>
        <w:tc>
          <w:tcPr>
            <w:tcW w:w="2139" w:type="dxa"/>
            <w:tcBorders>
              <w:top w:val="single" w:sz="4" w:space="0" w:color="auto"/>
              <w:bottom w:val="single" w:sz="4" w:space="0" w:color="auto"/>
            </w:tcBorders>
            <w:shd w:val="clear" w:color="auto" w:fill="FF0000"/>
            <w:vAlign w:val="center"/>
          </w:tcPr>
          <w:p w14:paraId="0EADB69F" w14:textId="2B2E26F8"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+5,3</w:t>
            </w:r>
          </w:p>
        </w:tc>
        <w:tc>
          <w:tcPr>
            <w:tcW w:w="2140" w:type="dxa"/>
            <w:tcBorders>
              <w:top w:val="single" w:sz="4" w:space="0" w:color="auto"/>
              <w:bottom w:val="single" w:sz="4" w:space="0" w:color="auto"/>
            </w:tcBorders>
            <w:shd w:val="clear" w:color="auto" w:fill="FF0000"/>
            <w:vAlign w:val="center"/>
          </w:tcPr>
          <w:p w14:paraId="74ADD53E" w14:textId="4B98B0D3"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+4,5</w:t>
            </w:r>
          </w:p>
        </w:tc>
        <w:tc>
          <w:tcPr>
            <w:tcW w:w="2140" w:type="dxa"/>
            <w:tcBorders>
              <w:top w:val="single" w:sz="4" w:space="0" w:color="auto"/>
              <w:bottom w:val="single" w:sz="4" w:space="0" w:color="auto"/>
            </w:tcBorders>
            <w:shd w:val="clear" w:color="auto" w:fill="FF0000"/>
            <w:vAlign w:val="center"/>
          </w:tcPr>
          <w:p w14:paraId="1B68B972" w14:textId="456717E7"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-2,6</w:t>
            </w:r>
          </w:p>
        </w:tc>
        <w:tc>
          <w:tcPr>
            <w:tcW w:w="2140" w:type="dxa"/>
            <w:tcBorders>
              <w:top w:val="single" w:sz="4" w:space="0" w:color="auto"/>
              <w:bottom w:val="single" w:sz="4" w:space="0" w:color="auto"/>
            </w:tcBorders>
            <w:shd w:val="clear" w:color="auto" w:fill="FF0000"/>
            <w:vAlign w:val="center"/>
          </w:tcPr>
          <w:p w14:paraId="3F64AFA5" w14:textId="7E03E016" w:rsidR="00D20998" w:rsidRPr="00D20998" w:rsidRDefault="00D20998" w:rsidP="00D20998">
            <w:pPr>
              <w:spacing w:before="40" w:after="20"/>
              <w:jc w:val="center"/>
              <w:rPr>
                <w:rFonts w:ascii="Arial Narrow" w:hAnsi="Arial Narrow" w:cs="Arial"/>
                <w:b/>
                <w:color w:val="FFFFFF" w:themeColor="background1"/>
                <w:sz w:val="18"/>
                <w:szCs w:val="18"/>
              </w:rPr>
            </w:pPr>
            <w:r w:rsidRPr="00D20998">
              <w:rPr>
                <w:rFonts w:ascii="Arial Narrow" w:hAnsi="Arial Narrow"/>
                <w:b/>
                <w:color w:val="FFFFFF" w:themeColor="background1"/>
                <w:sz w:val="18"/>
                <w:szCs w:val="18"/>
              </w:rPr>
              <w:t>+4,1</w:t>
            </w:r>
          </w:p>
        </w:tc>
      </w:tr>
    </w:tbl>
    <w:p w14:paraId="417D56D0" w14:textId="77777777" w:rsidR="003D5940" w:rsidRPr="00560DE1" w:rsidRDefault="003D5940" w:rsidP="00B006EB">
      <w:pPr>
        <w:pStyle w:val="Corpotesto1"/>
        <w:rPr>
          <w:rFonts w:ascii="Arial" w:hAnsi="Arial"/>
          <w:b w:val="0"/>
          <w:sz w:val="20"/>
          <w:szCs w:val="20"/>
          <w:lang w:val="it-IT" w:eastAsia="it-IT"/>
        </w:rPr>
      </w:pPr>
    </w:p>
    <w:p w14:paraId="0903D108" w14:textId="4F53A204" w:rsidR="00612C7E" w:rsidRDefault="00517AC4" w:rsidP="00B006EB">
      <w:pPr>
        <w:pStyle w:val="Corpotesto1"/>
        <w:rPr>
          <w:rFonts w:ascii="Arial" w:hAnsi="Arial"/>
          <w:b w:val="0"/>
          <w:sz w:val="21"/>
          <w:szCs w:val="21"/>
          <w:lang w:val="it-IT" w:eastAsia="it-IT"/>
        </w:rPr>
      </w:pPr>
      <w:r w:rsidRPr="003935AC">
        <w:rPr>
          <w:rFonts w:ascii="Arial" w:hAnsi="Arial"/>
          <w:b w:val="0"/>
          <w:sz w:val="21"/>
          <w:szCs w:val="21"/>
          <w:lang w:val="it-IT" w:eastAsia="it-IT"/>
        </w:rPr>
        <w:t>I</w:t>
      </w:r>
      <w:r w:rsidR="00F47726" w:rsidRPr="003935AC">
        <w:rPr>
          <w:rFonts w:ascii="Arial" w:hAnsi="Arial"/>
          <w:b w:val="0"/>
          <w:sz w:val="21"/>
          <w:szCs w:val="21"/>
          <w:lang w:val="it-IT" w:eastAsia="it-IT"/>
        </w:rPr>
        <w:t xml:space="preserve"> valori medi unitari </w:t>
      </w:r>
      <w:r w:rsidR="00B47481">
        <w:rPr>
          <w:rFonts w:ascii="Arial" w:hAnsi="Arial"/>
          <w:b w:val="0"/>
          <w:sz w:val="21"/>
          <w:szCs w:val="21"/>
          <w:lang w:val="it-IT" w:eastAsia="it-IT"/>
        </w:rPr>
        <w:t xml:space="preserve">all’export </w:t>
      </w:r>
      <w:r w:rsidR="00963DC7">
        <w:rPr>
          <w:rFonts w:ascii="Arial" w:hAnsi="Arial"/>
          <w:b w:val="0"/>
          <w:sz w:val="21"/>
          <w:szCs w:val="21"/>
          <w:lang w:val="it-IT" w:eastAsia="it-IT"/>
        </w:rPr>
        <w:t>mostrano</w:t>
      </w:r>
      <w:r w:rsidR="00717648" w:rsidRPr="003935AC">
        <w:rPr>
          <w:rFonts w:ascii="Arial" w:hAnsi="Arial"/>
          <w:b w:val="0"/>
          <w:sz w:val="21"/>
          <w:szCs w:val="21"/>
          <w:lang w:val="it-IT" w:eastAsia="it-IT"/>
        </w:rPr>
        <w:t xml:space="preserve"> </w:t>
      </w:r>
      <w:r w:rsidR="00F47726" w:rsidRPr="003935AC">
        <w:rPr>
          <w:rFonts w:ascii="Arial" w:hAnsi="Arial"/>
          <w:b w:val="0"/>
          <w:sz w:val="21"/>
          <w:szCs w:val="21"/>
          <w:lang w:val="it-IT" w:eastAsia="it-IT"/>
        </w:rPr>
        <w:t xml:space="preserve">una crescita più </w:t>
      </w:r>
      <w:r w:rsidR="00717648" w:rsidRPr="003935AC">
        <w:rPr>
          <w:rFonts w:ascii="Arial" w:hAnsi="Arial"/>
          <w:b w:val="0"/>
          <w:sz w:val="21"/>
          <w:szCs w:val="21"/>
          <w:lang w:val="it-IT" w:eastAsia="it-IT"/>
        </w:rPr>
        <w:t>sostenuta</w:t>
      </w:r>
      <w:r w:rsidR="00F47726" w:rsidRPr="003935AC">
        <w:rPr>
          <w:rFonts w:ascii="Arial" w:hAnsi="Arial"/>
          <w:b w:val="0"/>
          <w:sz w:val="21"/>
          <w:szCs w:val="21"/>
          <w:lang w:val="it-IT" w:eastAsia="it-IT"/>
        </w:rPr>
        <w:t xml:space="preserve"> sui mercati </w:t>
      </w:r>
      <w:r w:rsidR="00004970" w:rsidRPr="003935AC">
        <w:rPr>
          <w:rFonts w:ascii="Arial" w:hAnsi="Arial"/>
          <w:b w:val="0"/>
          <w:sz w:val="21"/>
          <w:szCs w:val="21"/>
          <w:lang w:val="it-IT" w:eastAsia="it-IT"/>
        </w:rPr>
        <w:t>extra</w:t>
      </w:r>
      <w:r w:rsidR="00A80630">
        <w:rPr>
          <w:rFonts w:ascii="Arial" w:hAnsi="Arial"/>
          <w:b w:val="0"/>
          <w:sz w:val="21"/>
          <w:szCs w:val="21"/>
          <w:lang w:val="it-IT" w:eastAsia="it-IT"/>
        </w:rPr>
        <w:t>-</w:t>
      </w:r>
      <w:r w:rsidRPr="003935AC">
        <w:rPr>
          <w:rFonts w:ascii="Arial" w:hAnsi="Arial"/>
          <w:b w:val="0"/>
          <w:sz w:val="21"/>
          <w:szCs w:val="21"/>
          <w:lang w:val="it-IT" w:eastAsia="it-IT"/>
        </w:rPr>
        <w:t>Ue</w:t>
      </w:r>
      <w:r w:rsidR="00C104D6" w:rsidRPr="003935AC">
        <w:rPr>
          <w:rFonts w:ascii="Arial" w:hAnsi="Arial"/>
          <w:b w:val="0"/>
          <w:sz w:val="21"/>
          <w:szCs w:val="21"/>
          <w:lang w:val="it-IT" w:eastAsia="it-IT"/>
        </w:rPr>
        <w:t xml:space="preserve"> </w:t>
      </w:r>
      <w:r w:rsidRPr="003935AC">
        <w:rPr>
          <w:rFonts w:ascii="Arial" w:hAnsi="Arial"/>
          <w:b w:val="0"/>
          <w:sz w:val="21"/>
          <w:szCs w:val="21"/>
          <w:lang w:val="it-IT" w:eastAsia="it-IT"/>
        </w:rPr>
        <w:t>(+6,0%</w:t>
      </w:r>
      <w:r w:rsidR="00C104D6" w:rsidRPr="003935AC">
        <w:rPr>
          <w:rFonts w:ascii="Arial" w:hAnsi="Arial"/>
          <w:b w:val="0"/>
          <w:sz w:val="21"/>
          <w:szCs w:val="21"/>
          <w:lang w:val="it-IT" w:eastAsia="it-IT"/>
        </w:rPr>
        <w:t>),</w:t>
      </w:r>
      <w:r w:rsidR="00D32DD5">
        <w:rPr>
          <w:rFonts w:ascii="Arial" w:hAnsi="Arial"/>
          <w:b w:val="0"/>
          <w:sz w:val="21"/>
          <w:szCs w:val="21"/>
          <w:lang w:val="it-IT" w:eastAsia="it-IT"/>
        </w:rPr>
        <w:t xml:space="preserve"> rispetto a quelli Ue (+4,7%); anche per l’import, l’</w:t>
      </w:r>
      <w:r w:rsidR="00CA1765">
        <w:rPr>
          <w:rFonts w:ascii="Arial" w:hAnsi="Arial"/>
          <w:b w:val="0"/>
          <w:sz w:val="21"/>
          <w:szCs w:val="21"/>
          <w:lang w:val="it-IT" w:eastAsia="it-IT"/>
        </w:rPr>
        <w:t>aumento</w:t>
      </w:r>
      <w:r w:rsidR="00D32DD5">
        <w:rPr>
          <w:rFonts w:ascii="Arial" w:hAnsi="Arial"/>
          <w:b w:val="0"/>
          <w:sz w:val="21"/>
          <w:szCs w:val="21"/>
          <w:lang w:val="it-IT" w:eastAsia="it-IT"/>
        </w:rPr>
        <w:t xml:space="preserve"> è più </w:t>
      </w:r>
      <w:r w:rsidR="000C07C1">
        <w:rPr>
          <w:rFonts w:ascii="Arial" w:hAnsi="Arial"/>
          <w:b w:val="0"/>
          <w:sz w:val="21"/>
          <w:szCs w:val="21"/>
          <w:lang w:val="it-IT" w:eastAsia="it-IT"/>
        </w:rPr>
        <w:t>ampio</w:t>
      </w:r>
      <w:r w:rsidR="00D32DD5">
        <w:rPr>
          <w:rFonts w:ascii="Arial" w:hAnsi="Arial"/>
          <w:b w:val="0"/>
          <w:sz w:val="21"/>
          <w:szCs w:val="21"/>
          <w:lang w:val="it-IT" w:eastAsia="it-IT"/>
        </w:rPr>
        <w:t xml:space="preserve"> per l’ar</w:t>
      </w:r>
      <w:r w:rsidR="00963DC7">
        <w:rPr>
          <w:rFonts w:ascii="Arial" w:hAnsi="Arial"/>
          <w:b w:val="0"/>
          <w:sz w:val="21"/>
          <w:szCs w:val="21"/>
          <w:lang w:val="it-IT" w:eastAsia="it-IT"/>
        </w:rPr>
        <w:t>ea extra</w:t>
      </w:r>
      <w:r w:rsidR="00A80630">
        <w:rPr>
          <w:rFonts w:ascii="Arial" w:hAnsi="Arial"/>
          <w:b w:val="0"/>
          <w:sz w:val="21"/>
          <w:szCs w:val="21"/>
          <w:lang w:val="it-IT" w:eastAsia="it-IT"/>
        </w:rPr>
        <w:t>-</w:t>
      </w:r>
      <w:r w:rsidR="00963DC7">
        <w:rPr>
          <w:rFonts w:ascii="Arial" w:hAnsi="Arial"/>
          <w:b w:val="0"/>
          <w:sz w:val="21"/>
          <w:szCs w:val="21"/>
          <w:lang w:val="it-IT" w:eastAsia="it-IT"/>
        </w:rPr>
        <w:t>Ue (+5,2%), rispetto all’area</w:t>
      </w:r>
      <w:r w:rsidR="00D32DD5">
        <w:rPr>
          <w:rFonts w:ascii="Arial" w:hAnsi="Arial"/>
          <w:b w:val="0"/>
          <w:sz w:val="21"/>
          <w:szCs w:val="21"/>
          <w:lang w:val="it-IT" w:eastAsia="it-IT"/>
        </w:rPr>
        <w:t xml:space="preserve"> Ue (+3,8%). Sia all’export sia all’import, l’aumento dei valori medi unitari riguarda tutti i raggruppamenti. </w:t>
      </w:r>
      <w:r w:rsidR="00560DE1">
        <w:rPr>
          <w:rFonts w:ascii="Arial" w:hAnsi="Arial"/>
          <w:b w:val="0"/>
          <w:sz w:val="21"/>
          <w:szCs w:val="21"/>
          <w:lang w:val="it-IT" w:eastAsia="it-IT"/>
        </w:rPr>
        <w:t xml:space="preserve">Riguardo ai volumi, si rilevano riduzioni all’export per </w:t>
      </w:r>
      <w:r w:rsidR="00963DC7">
        <w:rPr>
          <w:rFonts w:ascii="Arial" w:hAnsi="Arial"/>
          <w:b w:val="0"/>
          <w:sz w:val="21"/>
          <w:szCs w:val="21"/>
          <w:lang w:val="it-IT" w:eastAsia="it-IT"/>
        </w:rPr>
        <w:t>energia (-13,3%), beni strumentali (-9,9%) e beni di consumo durevoli (-3,0%)</w:t>
      </w:r>
      <w:r w:rsidR="00560DE1">
        <w:rPr>
          <w:rFonts w:ascii="Arial" w:hAnsi="Arial"/>
          <w:b w:val="0"/>
          <w:sz w:val="21"/>
          <w:szCs w:val="21"/>
          <w:lang w:val="it-IT" w:eastAsia="it-IT"/>
        </w:rPr>
        <w:t>;</w:t>
      </w:r>
      <w:r w:rsidR="00963DC7">
        <w:rPr>
          <w:rFonts w:ascii="Arial" w:hAnsi="Arial"/>
          <w:b w:val="0"/>
          <w:sz w:val="21"/>
          <w:szCs w:val="21"/>
          <w:lang w:val="it-IT" w:eastAsia="it-IT"/>
        </w:rPr>
        <w:t xml:space="preserve"> </w:t>
      </w:r>
      <w:r w:rsidR="00560DE1">
        <w:rPr>
          <w:rFonts w:ascii="Arial" w:hAnsi="Arial"/>
          <w:b w:val="0"/>
          <w:sz w:val="21"/>
          <w:szCs w:val="21"/>
          <w:lang w:val="it-IT" w:eastAsia="it-IT"/>
        </w:rPr>
        <w:t>all’import, si registra</w:t>
      </w:r>
      <w:r w:rsidR="00AA17AB">
        <w:rPr>
          <w:rFonts w:ascii="Arial" w:hAnsi="Arial"/>
          <w:b w:val="0"/>
          <w:sz w:val="21"/>
          <w:szCs w:val="21"/>
          <w:lang w:val="it-IT" w:eastAsia="it-IT"/>
        </w:rPr>
        <w:t>no</w:t>
      </w:r>
      <w:r w:rsidR="00560DE1">
        <w:rPr>
          <w:rFonts w:ascii="Arial" w:hAnsi="Arial"/>
          <w:b w:val="0"/>
          <w:sz w:val="21"/>
          <w:szCs w:val="21"/>
          <w:lang w:val="it-IT" w:eastAsia="it-IT"/>
        </w:rPr>
        <w:t xml:space="preserve"> </w:t>
      </w:r>
      <w:r w:rsidR="00AA17AB">
        <w:rPr>
          <w:rFonts w:ascii="Arial" w:hAnsi="Arial"/>
          <w:b w:val="0"/>
          <w:sz w:val="21"/>
          <w:szCs w:val="21"/>
          <w:lang w:val="it-IT" w:eastAsia="it-IT"/>
        </w:rPr>
        <w:t xml:space="preserve">aumenti </w:t>
      </w:r>
      <w:r w:rsidR="00560DE1">
        <w:rPr>
          <w:rFonts w:ascii="Arial" w:hAnsi="Arial"/>
          <w:b w:val="0"/>
          <w:sz w:val="21"/>
          <w:szCs w:val="21"/>
          <w:lang w:val="it-IT" w:eastAsia="it-IT"/>
        </w:rPr>
        <w:t>per</w:t>
      </w:r>
      <w:r w:rsidR="00963DC7">
        <w:rPr>
          <w:rFonts w:ascii="Arial" w:hAnsi="Arial"/>
          <w:b w:val="0"/>
          <w:sz w:val="21"/>
          <w:szCs w:val="21"/>
          <w:lang w:val="it-IT" w:eastAsia="it-IT"/>
        </w:rPr>
        <w:t xml:space="preserve"> beni di consumo (+13,9%) </w:t>
      </w:r>
      <w:r w:rsidR="00AA17AB">
        <w:rPr>
          <w:rFonts w:ascii="Arial" w:hAnsi="Arial"/>
          <w:b w:val="0"/>
          <w:sz w:val="21"/>
          <w:szCs w:val="21"/>
          <w:lang w:val="it-IT" w:eastAsia="it-IT"/>
        </w:rPr>
        <w:t xml:space="preserve">e beni intermedi (+5,9%) </w:t>
      </w:r>
      <w:r w:rsidR="00560DE1">
        <w:rPr>
          <w:rFonts w:ascii="Arial" w:hAnsi="Arial"/>
          <w:b w:val="0"/>
          <w:sz w:val="21"/>
          <w:szCs w:val="21"/>
          <w:lang w:val="it-IT" w:eastAsia="it-IT"/>
        </w:rPr>
        <w:t>e</w:t>
      </w:r>
      <w:r w:rsidR="00EA08C8" w:rsidRPr="003935AC">
        <w:rPr>
          <w:rFonts w:ascii="Arial" w:hAnsi="Arial"/>
          <w:b w:val="0"/>
          <w:sz w:val="21"/>
          <w:szCs w:val="21"/>
          <w:lang w:val="it-IT" w:eastAsia="it-IT"/>
        </w:rPr>
        <w:t xml:space="preserve"> </w:t>
      </w:r>
      <w:r w:rsidR="002F59D5" w:rsidRPr="003935AC">
        <w:rPr>
          <w:rFonts w:ascii="Arial" w:hAnsi="Arial"/>
          <w:b w:val="0"/>
          <w:sz w:val="21"/>
          <w:szCs w:val="21"/>
          <w:lang w:val="it-IT" w:eastAsia="it-IT"/>
        </w:rPr>
        <w:t xml:space="preserve">contrazioni </w:t>
      </w:r>
      <w:r w:rsidR="00C104D6" w:rsidRPr="003935AC">
        <w:rPr>
          <w:rFonts w:ascii="Arial" w:hAnsi="Arial"/>
          <w:b w:val="0"/>
          <w:sz w:val="21"/>
          <w:szCs w:val="21"/>
          <w:lang w:val="it-IT" w:eastAsia="it-IT"/>
        </w:rPr>
        <w:t xml:space="preserve">per </w:t>
      </w:r>
      <w:r w:rsidR="000C07C1">
        <w:rPr>
          <w:rFonts w:ascii="Arial" w:hAnsi="Arial"/>
          <w:b w:val="0"/>
          <w:sz w:val="21"/>
          <w:szCs w:val="21"/>
          <w:lang w:val="it-IT" w:eastAsia="it-IT"/>
        </w:rPr>
        <w:t xml:space="preserve">energia (-5,7%) e </w:t>
      </w:r>
      <w:r w:rsidR="00C104D6" w:rsidRPr="003935AC">
        <w:rPr>
          <w:rFonts w:ascii="Arial" w:hAnsi="Arial"/>
          <w:b w:val="0"/>
          <w:sz w:val="21"/>
          <w:szCs w:val="21"/>
          <w:lang w:val="it-IT" w:eastAsia="it-IT"/>
        </w:rPr>
        <w:t>beni strumentali (-2,4%</w:t>
      </w:r>
      <w:r w:rsidR="00963DC7">
        <w:rPr>
          <w:rFonts w:ascii="Arial" w:hAnsi="Arial"/>
          <w:b w:val="0"/>
          <w:sz w:val="21"/>
          <w:szCs w:val="21"/>
          <w:lang w:val="it-IT" w:eastAsia="it-IT"/>
        </w:rPr>
        <w:t>)</w:t>
      </w:r>
      <w:r w:rsidR="000C07C1">
        <w:rPr>
          <w:rFonts w:ascii="Arial" w:hAnsi="Arial"/>
          <w:b w:val="0"/>
          <w:sz w:val="21"/>
          <w:szCs w:val="21"/>
          <w:lang w:val="it-IT" w:eastAsia="it-IT"/>
        </w:rPr>
        <w:t>.</w:t>
      </w:r>
    </w:p>
    <w:p w14:paraId="0891190F" w14:textId="60504BCF" w:rsidR="002B3BA3" w:rsidRPr="00AD154C" w:rsidRDefault="00B13FB7" w:rsidP="005D50A8">
      <w:pPr>
        <w:pStyle w:val="Corpodeltesto1"/>
        <w:spacing w:after="120"/>
        <w:jc w:val="left"/>
        <w:rPr>
          <w:rFonts w:ascii="Calibri" w:hAnsi="Calibri" w:cs="Calibri"/>
          <w:b w:val="0"/>
          <w:color w:val="E42618"/>
          <w:sz w:val="36"/>
          <w:szCs w:val="36"/>
        </w:rPr>
      </w:pPr>
      <w:r w:rsidRPr="00AD154C">
        <w:rPr>
          <w:rFonts w:ascii="Calibri" w:hAnsi="Calibri" w:cs="Calibri"/>
          <w:b w:val="0"/>
          <w:color w:val="E42618"/>
          <w:sz w:val="36"/>
          <w:szCs w:val="36"/>
        </w:rPr>
        <w:lastRenderedPageBreak/>
        <w:t>Prezzi all’importazione</w:t>
      </w:r>
    </w:p>
    <w:p w14:paraId="417AFDCF" w14:textId="58959AAB" w:rsidR="00EE07EE" w:rsidRPr="00AD154C" w:rsidRDefault="00EE07EE" w:rsidP="00EE07EE">
      <w:pPr>
        <w:jc w:val="both"/>
        <w:rPr>
          <w:rFonts w:ascii="Arial Narrow" w:hAnsi="Arial Narrow" w:cs="Arial"/>
          <w:b/>
          <w:color w:val="5F5F5F"/>
          <w:sz w:val="22"/>
          <w:szCs w:val="22"/>
        </w:rPr>
      </w:pPr>
      <w:r w:rsidRPr="00AD154C">
        <w:rPr>
          <w:rFonts w:ascii="Arial Narrow" w:hAnsi="Arial Narrow" w:cs="Arial"/>
          <w:b/>
          <w:color w:val="E42618"/>
          <w:sz w:val="22"/>
          <w:szCs w:val="22"/>
        </w:rPr>
        <w:t xml:space="preserve">PROSPETTO </w:t>
      </w:r>
      <w:r w:rsidR="00221C0F" w:rsidRPr="00AD154C">
        <w:rPr>
          <w:rFonts w:ascii="Arial Narrow" w:hAnsi="Arial Narrow" w:cs="Arial"/>
          <w:b/>
          <w:color w:val="E42618"/>
          <w:sz w:val="22"/>
          <w:szCs w:val="22"/>
        </w:rPr>
        <w:t>5</w:t>
      </w:r>
      <w:r w:rsidRPr="00AD154C">
        <w:rPr>
          <w:rFonts w:ascii="Arial Narrow" w:hAnsi="Arial Narrow" w:cs="Arial"/>
          <w:b/>
          <w:color w:val="E42618"/>
          <w:sz w:val="22"/>
          <w:szCs w:val="22"/>
        </w:rPr>
        <w:t>.</w:t>
      </w:r>
      <w:r w:rsidRPr="00AD154C">
        <w:rPr>
          <w:rFonts w:ascii="Arial Narrow" w:hAnsi="Arial Narrow" w:cs="Arial"/>
          <w:b/>
          <w:color w:val="5F5F5F"/>
        </w:rPr>
        <w:t xml:space="preserve"> </w:t>
      </w:r>
      <w:r w:rsidRPr="00AD154C">
        <w:rPr>
          <w:rFonts w:ascii="Arial Narrow" w:hAnsi="Arial Narrow" w:cs="Arial"/>
          <w:b/>
          <w:color w:val="5F5F5F"/>
          <w:sz w:val="22"/>
          <w:szCs w:val="22"/>
        </w:rPr>
        <w:t>PREZZI ALL’IMPORTAZIONE PER RAGGRUPPAMENTO PRINCIPALE DI INDUSTRIE</w:t>
      </w:r>
    </w:p>
    <w:p w14:paraId="2667D23B" w14:textId="63D4DD74" w:rsidR="00275637" w:rsidRDefault="00E232B2" w:rsidP="00275637">
      <w:pPr>
        <w:pStyle w:val="Corpodeltesto1"/>
        <w:spacing w:after="120"/>
        <w:jc w:val="left"/>
        <w:rPr>
          <w:rFonts w:ascii="Arial Narrow" w:hAnsi="Arial Narrow" w:cs="Arial"/>
          <w:b w:val="0"/>
          <w:color w:val="5F5F5F"/>
          <w:kern w:val="28"/>
          <w:sz w:val="20"/>
          <w:szCs w:val="20"/>
        </w:rPr>
      </w:pPr>
      <w:r>
        <w:rPr>
          <w:rFonts w:ascii="Arial Narrow" w:hAnsi="Arial Narrow" w:cs="Arial"/>
          <w:b w:val="0"/>
          <w:color w:val="5F5F5F"/>
          <w:kern w:val="28"/>
          <w:sz w:val="20"/>
          <w:szCs w:val="20"/>
        </w:rPr>
        <w:t>Gennaio</w:t>
      </w:r>
      <w:r w:rsidR="008B2438" w:rsidRPr="00AD154C">
        <w:rPr>
          <w:rFonts w:ascii="Arial Narrow" w:hAnsi="Arial Narrow" w:cs="Arial"/>
          <w:b w:val="0"/>
          <w:color w:val="5F5F5F"/>
          <w:kern w:val="28"/>
          <w:sz w:val="20"/>
          <w:szCs w:val="20"/>
        </w:rPr>
        <w:t xml:space="preserve"> </w:t>
      </w:r>
      <w:r>
        <w:rPr>
          <w:rFonts w:ascii="Arial Narrow" w:hAnsi="Arial Narrow" w:cs="Arial"/>
          <w:b w:val="0"/>
          <w:color w:val="5F5F5F"/>
          <w:kern w:val="28"/>
          <w:sz w:val="20"/>
          <w:szCs w:val="20"/>
        </w:rPr>
        <w:t>2025</w:t>
      </w:r>
      <w:r w:rsidR="00000A85" w:rsidRPr="00AD154C">
        <w:rPr>
          <w:rFonts w:ascii="Arial Narrow" w:hAnsi="Arial Narrow" w:cs="Arial"/>
          <w:b w:val="0"/>
          <w:color w:val="5F5F5F"/>
          <w:kern w:val="28"/>
          <w:sz w:val="20"/>
          <w:szCs w:val="20"/>
        </w:rPr>
        <w:t xml:space="preserve"> (a)</w:t>
      </w:r>
      <w:r w:rsidR="00EE07EE" w:rsidRPr="00AD154C">
        <w:rPr>
          <w:rFonts w:ascii="Arial Narrow" w:hAnsi="Arial Narrow" w:cs="Arial"/>
          <w:b w:val="0"/>
          <w:color w:val="5F5F5F"/>
          <w:kern w:val="28"/>
          <w:sz w:val="20"/>
          <w:szCs w:val="20"/>
        </w:rPr>
        <w:t>, variazioni percentuali congiunturali e tendenziali (base 20</w:t>
      </w:r>
      <w:r w:rsidR="00851050" w:rsidRPr="00AD154C">
        <w:rPr>
          <w:rFonts w:ascii="Arial Narrow" w:hAnsi="Arial Narrow" w:cs="Arial"/>
          <w:b w:val="0"/>
          <w:color w:val="5F5F5F"/>
          <w:kern w:val="28"/>
          <w:sz w:val="20"/>
          <w:szCs w:val="20"/>
        </w:rPr>
        <w:t>21</w:t>
      </w:r>
      <w:r w:rsidR="00EE07EE" w:rsidRPr="00AD154C">
        <w:rPr>
          <w:rFonts w:ascii="Arial Narrow" w:hAnsi="Arial Narrow" w:cs="Arial"/>
          <w:b w:val="0"/>
          <w:color w:val="5F5F5F"/>
          <w:kern w:val="28"/>
          <w:sz w:val="20"/>
          <w:szCs w:val="20"/>
        </w:rPr>
        <w:t>=100)</w:t>
      </w:r>
    </w:p>
    <w:tbl>
      <w:tblPr>
        <w:tblW w:w="10206" w:type="dxa"/>
        <w:tblBorders>
          <w:top w:val="single" w:sz="4" w:space="0" w:color="333333"/>
          <w:bottom w:val="single" w:sz="4" w:space="0" w:color="333333"/>
          <w:insideH w:val="single" w:sz="4" w:space="0" w:color="333333"/>
        </w:tblBorders>
        <w:tblLayout w:type="fixed"/>
        <w:tblCellMar>
          <w:left w:w="68" w:type="dxa"/>
          <w:right w:w="68" w:type="dxa"/>
        </w:tblCellMar>
        <w:tblLook w:val="0000" w:firstRow="0" w:lastRow="0" w:firstColumn="0" w:lastColumn="0" w:noHBand="0" w:noVBand="0"/>
      </w:tblPr>
      <w:tblGrid>
        <w:gridCol w:w="2317"/>
        <w:gridCol w:w="1157"/>
        <w:gridCol w:w="1334"/>
        <w:gridCol w:w="1346"/>
        <w:gridCol w:w="1349"/>
        <w:gridCol w:w="1345"/>
        <w:gridCol w:w="1346"/>
        <w:gridCol w:w="12"/>
      </w:tblGrid>
      <w:tr w:rsidR="00AD154C" w:rsidRPr="005E4472" w14:paraId="47F084CA" w14:textId="77777777" w:rsidTr="00866CD7">
        <w:trPr>
          <w:cantSplit/>
          <w:trHeight w:val="255"/>
        </w:trPr>
        <w:tc>
          <w:tcPr>
            <w:tcW w:w="2317" w:type="dxa"/>
            <w:vMerge w:val="restart"/>
            <w:shd w:val="clear" w:color="auto" w:fill="auto"/>
            <w:tcMar>
              <w:left w:w="0" w:type="dxa"/>
              <w:right w:w="0" w:type="dxa"/>
            </w:tcMar>
            <w:vAlign w:val="center"/>
          </w:tcPr>
          <w:p w14:paraId="4C418A2E" w14:textId="77777777" w:rsidR="00AD154C" w:rsidRPr="005E4472" w:rsidRDefault="00AD154C" w:rsidP="00866CD7">
            <w:pPr>
              <w:tabs>
                <w:tab w:val="left" w:pos="-4253"/>
                <w:tab w:val="left" w:pos="565"/>
                <w:tab w:val="left" w:pos="1258"/>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rPr>
                <w:rFonts w:ascii="Arial Narrow" w:hAnsi="Arial Narrow" w:cs="Arial"/>
                <w:b/>
                <w:sz w:val="18"/>
                <w:szCs w:val="18"/>
              </w:rPr>
            </w:pPr>
            <w:r w:rsidRPr="005E4472">
              <w:rPr>
                <w:rFonts w:ascii="Arial Narrow" w:hAnsi="Arial Narrow" w:cs="Arial"/>
                <w:b/>
                <w:sz w:val="18"/>
                <w:szCs w:val="18"/>
              </w:rPr>
              <w:t xml:space="preserve">RAGGRUPPAMENTI </w:t>
            </w:r>
            <w:r>
              <w:rPr>
                <w:rFonts w:ascii="Arial Narrow" w:hAnsi="Arial Narrow" w:cs="Arial"/>
                <w:b/>
                <w:sz w:val="18"/>
                <w:szCs w:val="18"/>
              </w:rPr>
              <w:br/>
            </w:r>
            <w:r w:rsidRPr="005E4472">
              <w:rPr>
                <w:rFonts w:ascii="Arial Narrow" w:hAnsi="Arial Narrow" w:cs="Arial"/>
                <w:b/>
                <w:sz w:val="18"/>
                <w:szCs w:val="18"/>
              </w:rPr>
              <w:t>PRINCIPALI DI INDUSTRIE</w:t>
            </w:r>
          </w:p>
        </w:tc>
        <w:tc>
          <w:tcPr>
            <w:tcW w:w="2491" w:type="dxa"/>
            <w:gridSpan w:val="2"/>
            <w:shd w:val="clear" w:color="auto" w:fill="D9D9D9"/>
            <w:tcMar>
              <w:left w:w="0" w:type="dxa"/>
              <w:right w:w="0" w:type="dxa"/>
            </w:tcMar>
            <w:vAlign w:val="center"/>
          </w:tcPr>
          <w:p w14:paraId="095EF1B6" w14:textId="77777777" w:rsidR="00AD154C" w:rsidRPr="005E4472" w:rsidRDefault="00AD154C" w:rsidP="00866CD7">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sidRPr="005E4472">
              <w:rPr>
                <w:rFonts w:ascii="Arial Narrow" w:hAnsi="Arial Narrow" w:cs="Arial"/>
                <w:b/>
                <w:sz w:val="18"/>
                <w:szCs w:val="18"/>
              </w:rPr>
              <w:t>Totale</w:t>
            </w:r>
          </w:p>
        </w:tc>
        <w:tc>
          <w:tcPr>
            <w:tcW w:w="2695" w:type="dxa"/>
            <w:gridSpan w:val="2"/>
            <w:shd w:val="clear" w:color="auto" w:fill="auto"/>
            <w:vAlign w:val="center"/>
          </w:tcPr>
          <w:p w14:paraId="1A6B9548" w14:textId="77777777" w:rsidR="00AD154C" w:rsidRPr="005E4472" w:rsidRDefault="00AD154C" w:rsidP="00866CD7">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Pr>
                <w:rFonts w:ascii="Arial Narrow" w:hAnsi="Arial Narrow" w:cs="Arial"/>
                <w:b/>
                <w:sz w:val="18"/>
                <w:szCs w:val="18"/>
              </w:rPr>
              <w:t>Area euro</w:t>
            </w:r>
          </w:p>
        </w:tc>
        <w:tc>
          <w:tcPr>
            <w:tcW w:w="2703" w:type="dxa"/>
            <w:gridSpan w:val="3"/>
            <w:shd w:val="clear" w:color="auto" w:fill="D9D9D9"/>
            <w:tcMar>
              <w:left w:w="0" w:type="dxa"/>
              <w:right w:w="0" w:type="dxa"/>
            </w:tcMar>
            <w:vAlign w:val="center"/>
          </w:tcPr>
          <w:p w14:paraId="2C4AAD8B" w14:textId="77777777" w:rsidR="00AD154C" w:rsidRPr="005E4472" w:rsidRDefault="00AD154C" w:rsidP="00866CD7">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Pr>
                <w:rFonts w:ascii="Arial Narrow" w:hAnsi="Arial Narrow" w:cs="Arial"/>
                <w:b/>
                <w:sz w:val="18"/>
                <w:szCs w:val="18"/>
              </w:rPr>
              <w:t>Area non euro</w:t>
            </w:r>
          </w:p>
        </w:tc>
      </w:tr>
      <w:tr w:rsidR="00AD154C" w:rsidRPr="005E4472" w14:paraId="7EDF65AE" w14:textId="77777777" w:rsidTr="00866CD7">
        <w:trPr>
          <w:gridAfter w:val="1"/>
          <w:wAfter w:w="12" w:type="dxa"/>
          <w:cantSplit/>
          <w:trHeight w:val="255"/>
        </w:trPr>
        <w:tc>
          <w:tcPr>
            <w:tcW w:w="2317" w:type="dxa"/>
            <w:vMerge/>
            <w:shd w:val="clear" w:color="auto" w:fill="auto"/>
            <w:vAlign w:val="center"/>
          </w:tcPr>
          <w:p w14:paraId="7123044F" w14:textId="77777777" w:rsidR="00AD154C" w:rsidRPr="005E4472" w:rsidRDefault="00AD154C" w:rsidP="00866CD7">
            <w:pPr>
              <w:tabs>
                <w:tab w:val="left" w:pos="-774"/>
                <w:tab w:val="left" w:pos="-567"/>
                <w:tab w:val="left" w:pos="67"/>
                <w:tab w:val="left" w:pos="565"/>
                <w:tab w:val="left" w:pos="1258"/>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sz w:val="18"/>
                <w:szCs w:val="18"/>
              </w:rPr>
            </w:pPr>
          </w:p>
        </w:tc>
        <w:tc>
          <w:tcPr>
            <w:tcW w:w="1157" w:type="dxa"/>
            <w:shd w:val="clear" w:color="auto" w:fill="FFFFFF"/>
            <w:vAlign w:val="center"/>
          </w:tcPr>
          <w:p w14:paraId="67693D1D"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4B5A6976"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c</w:t>
            </w:r>
            <w:r w:rsidRPr="00BA36DD">
              <w:rPr>
                <w:rFonts w:ascii="Arial Narrow" w:hAnsi="Arial Narrow"/>
                <w:sz w:val="18"/>
                <w:szCs w:val="18"/>
              </w:rPr>
              <w:t>ongiuntu</w:t>
            </w:r>
            <w:r>
              <w:rPr>
                <w:rFonts w:ascii="Arial Narrow" w:hAnsi="Arial Narrow"/>
                <w:sz w:val="18"/>
                <w:szCs w:val="18"/>
              </w:rPr>
              <w:t>r</w:t>
            </w:r>
            <w:r w:rsidRPr="00BA36DD">
              <w:rPr>
                <w:rFonts w:ascii="Arial Narrow" w:hAnsi="Arial Narrow"/>
                <w:sz w:val="18"/>
                <w:szCs w:val="18"/>
              </w:rPr>
              <w:t>ali</w:t>
            </w:r>
          </w:p>
        </w:tc>
        <w:tc>
          <w:tcPr>
            <w:tcW w:w="1334" w:type="dxa"/>
            <w:shd w:val="clear" w:color="auto" w:fill="FFFFFF"/>
            <w:vAlign w:val="center"/>
          </w:tcPr>
          <w:p w14:paraId="668CAB3B"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3D91EEB2"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t</w:t>
            </w:r>
            <w:r w:rsidRPr="00BA36DD">
              <w:rPr>
                <w:rFonts w:ascii="Arial Narrow" w:hAnsi="Arial Narrow"/>
                <w:sz w:val="18"/>
                <w:szCs w:val="18"/>
              </w:rPr>
              <w:t>endenziali</w:t>
            </w:r>
          </w:p>
        </w:tc>
        <w:tc>
          <w:tcPr>
            <w:tcW w:w="1346" w:type="dxa"/>
            <w:shd w:val="clear" w:color="auto" w:fill="FFFFFF"/>
            <w:vAlign w:val="center"/>
          </w:tcPr>
          <w:p w14:paraId="227EEA99"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79FAB171"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c</w:t>
            </w:r>
            <w:r w:rsidRPr="00BA36DD">
              <w:rPr>
                <w:rFonts w:ascii="Arial Narrow" w:hAnsi="Arial Narrow"/>
                <w:sz w:val="18"/>
                <w:szCs w:val="18"/>
              </w:rPr>
              <w:t>ongiuntu</w:t>
            </w:r>
            <w:r>
              <w:rPr>
                <w:rFonts w:ascii="Arial Narrow" w:hAnsi="Arial Narrow"/>
                <w:sz w:val="18"/>
                <w:szCs w:val="18"/>
              </w:rPr>
              <w:t>r</w:t>
            </w:r>
            <w:r w:rsidRPr="00BA36DD">
              <w:rPr>
                <w:rFonts w:ascii="Arial Narrow" w:hAnsi="Arial Narrow"/>
                <w:sz w:val="18"/>
                <w:szCs w:val="18"/>
              </w:rPr>
              <w:t>ali</w:t>
            </w:r>
          </w:p>
        </w:tc>
        <w:tc>
          <w:tcPr>
            <w:tcW w:w="1349" w:type="dxa"/>
            <w:shd w:val="clear" w:color="auto" w:fill="FFFFFF"/>
            <w:vAlign w:val="center"/>
          </w:tcPr>
          <w:p w14:paraId="21762F4B"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4E0111CF"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t</w:t>
            </w:r>
            <w:r w:rsidRPr="00BA36DD">
              <w:rPr>
                <w:rFonts w:ascii="Arial Narrow" w:hAnsi="Arial Narrow"/>
                <w:sz w:val="18"/>
                <w:szCs w:val="18"/>
              </w:rPr>
              <w:t>endenziali</w:t>
            </w:r>
          </w:p>
        </w:tc>
        <w:tc>
          <w:tcPr>
            <w:tcW w:w="1345" w:type="dxa"/>
            <w:shd w:val="clear" w:color="auto" w:fill="FFFFFF"/>
            <w:vAlign w:val="center"/>
          </w:tcPr>
          <w:p w14:paraId="1A150991"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341CD193"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c</w:t>
            </w:r>
            <w:r w:rsidRPr="00BA36DD">
              <w:rPr>
                <w:rFonts w:ascii="Arial Narrow" w:hAnsi="Arial Narrow"/>
                <w:sz w:val="18"/>
                <w:szCs w:val="18"/>
              </w:rPr>
              <w:t>ongiuntu</w:t>
            </w:r>
            <w:r>
              <w:rPr>
                <w:rFonts w:ascii="Arial Narrow" w:hAnsi="Arial Narrow"/>
                <w:sz w:val="18"/>
                <w:szCs w:val="18"/>
              </w:rPr>
              <w:t>r</w:t>
            </w:r>
            <w:r w:rsidRPr="00BA36DD">
              <w:rPr>
                <w:rFonts w:ascii="Arial Narrow" w:hAnsi="Arial Narrow"/>
                <w:sz w:val="18"/>
                <w:szCs w:val="18"/>
              </w:rPr>
              <w:t>ali</w:t>
            </w:r>
          </w:p>
        </w:tc>
        <w:tc>
          <w:tcPr>
            <w:tcW w:w="1346" w:type="dxa"/>
            <w:shd w:val="clear" w:color="auto" w:fill="FFFFFF"/>
            <w:vAlign w:val="center"/>
          </w:tcPr>
          <w:p w14:paraId="50A0BC55" w14:textId="77777777" w:rsidR="00AD154C" w:rsidRDefault="00AD154C" w:rsidP="00866CD7">
            <w:pPr>
              <w:spacing w:before="40" w:after="20"/>
              <w:jc w:val="center"/>
              <w:rPr>
                <w:rFonts w:ascii="Arial Narrow" w:hAnsi="Arial Narrow"/>
                <w:sz w:val="18"/>
                <w:szCs w:val="18"/>
              </w:rPr>
            </w:pPr>
            <w:r>
              <w:rPr>
                <w:rFonts w:ascii="Arial Narrow" w:hAnsi="Arial Narrow"/>
                <w:sz w:val="18"/>
                <w:szCs w:val="18"/>
              </w:rPr>
              <w:t>Variazioni</w:t>
            </w:r>
          </w:p>
          <w:p w14:paraId="4165F11B" w14:textId="77777777" w:rsidR="00AD154C" w:rsidRPr="00BA36DD" w:rsidRDefault="00AD154C" w:rsidP="00866CD7">
            <w:pPr>
              <w:spacing w:before="40" w:after="20"/>
              <w:jc w:val="center"/>
              <w:rPr>
                <w:rFonts w:ascii="Arial Narrow" w:hAnsi="Arial Narrow"/>
                <w:sz w:val="18"/>
                <w:szCs w:val="18"/>
              </w:rPr>
            </w:pPr>
            <w:r>
              <w:rPr>
                <w:rFonts w:ascii="Arial Narrow" w:hAnsi="Arial Narrow"/>
                <w:sz w:val="18"/>
                <w:szCs w:val="18"/>
              </w:rPr>
              <w:t>t</w:t>
            </w:r>
            <w:r w:rsidRPr="00BA36DD">
              <w:rPr>
                <w:rFonts w:ascii="Arial Narrow" w:hAnsi="Arial Narrow"/>
                <w:sz w:val="18"/>
                <w:szCs w:val="18"/>
              </w:rPr>
              <w:t>endenziali</w:t>
            </w:r>
          </w:p>
        </w:tc>
      </w:tr>
      <w:tr w:rsidR="00A0268B" w:rsidRPr="005E4472" w14:paraId="54C59D30" w14:textId="77777777" w:rsidTr="00866CD7">
        <w:trPr>
          <w:gridAfter w:val="1"/>
          <w:wAfter w:w="12" w:type="dxa"/>
          <w:cantSplit/>
          <w:trHeight w:val="255"/>
        </w:trPr>
        <w:tc>
          <w:tcPr>
            <w:tcW w:w="2317" w:type="dxa"/>
            <w:vMerge/>
            <w:shd w:val="clear" w:color="auto" w:fill="auto"/>
            <w:vAlign w:val="center"/>
          </w:tcPr>
          <w:p w14:paraId="5B4CD259" w14:textId="77777777" w:rsidR="00A0268B" w:rsidRPr="005E4472" w:rsidRDefault="00A0268B" w:rsidP="00A0268B">
            <w:pPr>
              <w:tabs>
                <w:tab w:val="left" w:pos="-774"/>
                <w:tab w:val="left" w:pos="-567"/>
                <w:tab w:val="left" w:pos="67"/>
                <w:tab w:val="left" w:pos="565"/>
                <w:tab w:val="left" w:pos="1258"/>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sz w:val="18"/>
                <w:szCs w:val="18"/>
              </w:rPr>
            </w:pPr>
          </w:p>
        </w:tc>
        <w:tc>
          <w:tcPr>
            <w:tcW w:w="1157" w:type="dxa"/>
            <w:shd w:val="clear" w:color="auto" w:fill="D9D9D9"/>
            <w:vAlign w:val="center"/>
          </w:tcPr>
          <w:p w14:paraId="2D2E9034" w14:textId="053E5F3A"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6E5ED5A2" w14:textId="250966D9" w:rsidR="00A0268B" w:rsidRPr="00BA36DD" w:rsidRDefault="00A0268B" w:rsidP="00A0268B">
            <w:pPr>
              <w:spacing w:before="40" w:after="20"/>
              <w:jc w:val="center"/>
              <w:rPr>
                <w:rFonts w:ascii="Arial Narrow" w:hAnsi="Arial Narrow"/>
                <w:sz w:val="18"/>
                <w:szCs w:val="18"/>
              </w:rPr>
            </w:pPr>
            <w:r>
              <w:rPr>
                <w:rFonts w:ascii="Arial Narrow" w:hAnsi="Arial Narrow"/>
                <w:sz w:val="18"/>
                <w:szCs w:val="18"/>
                <w:lang w:val="en-US"/>
              </w:rPr>
              <w:t>dic 24</w:t>
            </w:r>
          </w:p>
        </w:tc>
        <w:tc>
          <w:tcPr>
            <w:tcW w:w="1334" w:type="dxa"/>
            <w:shd w:val="clear" w:color="auto" w:fill="FFFFFF"/>
            <w:vAlign w:val="center"/>
          </w:tcPr>
          <w:p w14:paraId="47369147" w14:textId="71C1C930"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13701A27" w14:textId="59497099" w:rsidR="00A0268B" w:rsidRPr="00BA36DD" w:rsidRDefault="00A0268B" w:rsidP="00A0268B">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Pr>
                <w:rFonts w:ascii="Arial Narrow" w:hAnsi="Arial Narrow"/>
                <w:sz w:val="18"/>
                <w:szCs w:val="18"/>
                <w:lang w:val="en-US"/>
              </w:rPr>
              <w:t>gen 24</w:t>
            </w:r>
          </w:p>
        </w:tc>
        <w:tc>
          <w:tcPr>
            <w:tcW w:w="1346" w:type="dxa"/>
            <w:shd w:val="clear" w:color="auto" w:fill="D9D9D9"/>
            <w:vAlign w:val="center"/>
          </w:tcPr>
          <w:p w14:paraId="73D95CFC" w14:textId="77777777"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1CBAA020" w14:textId="74D1203C" w:rsidR="00A0268B" w:rsidRPr="00BA36DD" w:rsidRDefault="00A0268B" w:rsidP="00A0268B">
            <w:pPr>
              <w:spacing w:before="40" w:after="20"/>
              <w:jc w:val="center"/>
              <w:rPr>
                <w:rFonts w:ascii="Arial Narrow" w:hAnsi="Arial Narrow"/>
                <w:sz w:val="18"/>
                <w:szCs w:val="18"/>
              </w:rPr>
            </w:pPr>
            <w:r>
              <w:rPr>
                <w:rFonts w:ascii="Arial Narrow" w:hAnsi="Arial Narrow"/>
                <w:sz w:val="18"/>
                <w:szCs w:val="18"/>
                <w:lang w:val="en-US"/>
              </w:rPr>
              <w:t>dic 24</w:t>
            </w:r>
          </w:p>
        </w:tc>
        <w:tc>
          <w:tcPr>
            <w:tcW w:w="1349" w:type="dxa"/>
            <w:shd w:val="clear" w:color="auto" w:fill="FFFFFF"/>
            <w:vAlign w:val="center"/>
          </w:tcPr>
          <w:p w14:paraId="33A42B55" w14:textId="77777777"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31535C7" w14:textId="3C1F3040" w:rsidR="00A0268B" w:rsidRPr="00BA36DD" w:rsidRDefault="00A0268B" w:rsidP="00A0268B">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Pr>
                <w:rFonts w:ascii="Arial Narrow" w:hAnsi="Arial Narrow"/>
                <w:sz w:val="18"/>
                <w:szCs w:val="18"/>
                <w:lang w:val="en-US"/>
              </w:rPr>
              <w:t>gen 24</w:t>
            </w:r>
          </w:p>
        </w:tc>
        <w:tc>
          <w:tcPr>
            <w:tcW w:w="1345" w:type="dxa"/>
            <w:shd w:val="clear" w:color="auto" w:fill="D9D9D9"/>
            <w:vAlign w:val="center"/>
          </w:tcPr>
          <w:p w14:paraId="01AE522B" w14:textId="77777777"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2CBFB016" w14:textId="1792F698" w:rsidR="00A0268B" w:rsidRPr="00BA36DD" w:rsidRDefault="00A0268B" w:rsidP="00A0268B">
            <w:pPr>
              <w:spacing w:before="40" w:after="20"/>
              <w:jc w:val="center"/>
              <w:rPr>
                <w:rFonts w:ascii="Arial Narrow" w:hAnsi="Arial Narrow"/>
                <w:sz w:val="18"/>
                <w:szCs w:val="18"/>
              </w:rPr>
            </w:pPr>
            <w:r>
              <w:rPr>
                <w:rFonts w:ascii="Arial Narrow" w:hAnsi="Arial Narrow"/>
                <w:sz w:val="18"/>
                <w:szCs w:val="18"/>
                <w:lang w:val="en-US"/>
              </w:rPr>
              <w:t>dic 24</w:t>
            </w:r>
          </w:p>
        </w:tc>
        <w:tc>
          <w:tcPr>
            <w:tcW w:w="1346" w:type="dxa"/>
            <w:shd w:val="clear" w:color="auto" w:fill="FFFFFF"/>
            <w:vAlign w:val="center"/>
          </w:tcPr>
          <w:p w14:paraId="46E03092" w14:textId="77777777" w:rsidR="00A0268B" w:rsidRPr="0069402A" w:rsidRDefault="00A0268B" w:rsidP="00A0268B">
            <w:pPr>
              <w:spacing w:before="40" w:after="20"/>
              <w:jc w:val="center"/>
              <w:rPr>
                <w:rFonts w:ascii="Arial Narrow" w:hAnsi="Arial Narrow"/>
                <w:sz w:val="18"/>
                <w:szCs w:val="18"/>
                <w:u w:val="single"/>
                <w:lang w:val="en-US"/>
              </w:rPr>
            </w:pPr>
            <w:r>
              <w:rPr>
                <w:rFonts w:ascii="Arial Narrow" w:hAnsi="Arial Narrow"/>
                <w:sz w:val="18"/>
                <w:szCs w:val="18"/>
                <w:u w:val="single"/>
                <w:lang w:val="en-US"/>
              </w:rPr>
              <w:t>gen 25</w:t>
            </w:r>
          </w:p>
          <w:p w14:paraId="4C0AC8C9" w14:textId="21B43BAA" w:rsidR="00A0268B" w:rsidRPr="00BA36DD" w:rsidRDefault="00A0268B" w:rsidP="00A0268B">
            <w:pPr>
              <w:tabs>
                <w:tab w:val="left" w:pos="-774"/>
                <w:tab w:val="left" w:pos="-690"/>
                <w:tab w:val="left" w:pos="1258"/>
                <w:tab w:val="left" w:pos="1350"/>
                <w:tab w:val="left" w:pos="1698"/>
                <w:tab w:val="left" w:pos="2264"/>
                <w:tab w:val="left" w:pos="2830"/>
                <w:tab w:val="left" w:pos="3396"/>
                <w:tab w:val="left" w:pos="3962"/>
                <w:tab w:val="left" w:pos="4528"/>
                <w:tab w:val="left" w:pos="5094"/>
                <w:tab w:val="left" w:pos="5660"/>
                <w:tab w:val="left" w:pos="6226"/>
                <w:tab w:val="left" w:pos="6792"/>
                <w:tab w:val="left" w:pos="7358"/>
                <w:tab w:val="left" w:pos="7924"/>
                <w:tab w:val="left" w:pos="8490"/>
                <w:tab w:val="left" w:pos="9056"/>
                <w:tab w:val="left" w:pos="9622"/>
              </w:tabs>
              <w:spacing w:before="40" w:after="20"/>
              <w:jc w:val="center"/>
              <w:rPr>
                <w:rFonts w:ascii="Arial Narrow" w:hAnsi="Arial Narrow" w:cs="Arial"/>
                <w:b/>
                <w:sz w:val="18"/>
                <w:szCs w:val="18"/>
              </w:rPr>
            </w:pPr>
            <w:r>
              <w:rPr>
                <w:rFonts w:ascii="Arial Narrow" w:hAnsi="Arial Narrow"/>
                <w:sz w:val="18"/>
                <w:szCs w:val="18"/>
                <w:lang w:val="en-US"/>
              </w:rPr>
              <w:t>gen 24</w:t>
            </w:r>
          </w:p>
        </w:tc>
      </w:tr>
      <w:tr w:rsidR="008114A4" w:rsidRPr="00452E5E" w14:paraId="5627DEC2" w14:textId="77777777" w:rsidTr="00866CD7">
        <w:trPr>
          <w:gridAfter w:val="1"/>
          <w:wAfter w:w="12" w:type="dxa"/>
          <w:cantSplit/>
          <w:trHeight w:val="255"/>
        </w:trPr>
        <w:tc>
          <w:tcPr>
            <w:tcW w:w="2317" w:type="dxa"/>
            <w:vAlign w:val="center"/>
          </w:tcPr>
          <w:p w14:paraId="3C2C0FEE" w14:textId="77777777" w:rsidR="008114A4" w:rsidRPr="005E4472" w:rsidRDefault="008114A4" w:rsidP="008114A4">
            <w:pPr>
              <w:spacing w:before="40" w:after="20"/>
              <w:rPr>
                <w:rFonts w:ascii="Arial Narrow" w:hAnsi="Arial Narrow" w:cs="Arial"/>
                <w:sz w:val="18"/>
                <w:szCs w:val="18"/>
              </w:rPr>
            </w:pPr>
            <w:r w:rsidRPr="005E4472">
              <w:rPr>
                <w:rFonts w:ascii="Arial Narrow" w:hAnsi="Arial Narrow" w:cs="Arial"/>
                <w:sz w:val="18"/>
                <w:szCs w:val="18"/>
              </w:rPr>
              <w:t>Beni di consumo</w:t>
            </w:r>
          </w:p>
        </w:tc>
        <w:tc>
          <w:tcPr>
            <w:tcW w:w="1157" w:type="dxa"/>
            <w:shd w:val="clear" w:color="auto" w:fill="D9D9D9"/>
            <w:vAlign w:val="center"/>
          </w:tcPr>
          <w:p w14:paraId="016C00F8" w14:textId="02773CB6"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34" w:type="dxa"/>
            <w:tcMar>
              <w:left w:w="0" w:type="dxa"/>
            </w:tcMar>
            <w:vAlign w:val="center"/>
          </w:tcPr>
          <w:p w14:paraId="276DE5F7" w14:textId="20D43D8D"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-1,7</w:t>
            </w:r>
          </w:p>
        </w:tc>
        <w:tc>
          <w:tcPr>
            <w:tcW w:w="1346" w:type="dxa"/>
            <w:shd w:val="clear" w:color="auto" w:fill="D9D9D9"/>
            <w:vAlign w:val="center"/>
          </w:tcPr>
          <w:p w14:paraId="3E1BED3A" w14:textId="7BDAB10B"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-0,3</w:t>
            </w:r>
          </w:p>
        </w:tc>
        <w:tc>
          <w:tcPr>
            <w:tcW w:w="1349" w:type="dxa"/>
            <w:vAlign w:val="center"/>
          </w:tcPr>
          <w:p w14:paraId="5068ADC3" w14:textId="5C2AF758"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-2,9</w:t>
            </w:r>
          </w:p>
        </w:tc>
        <w:tc>
          <w:tcPr>
            <w:tcW w:w="1345" w:type="dxa"/>
            <w:shd w:val="clear" w:color="auto" w:fill="D9D9D9"/>
            <w:vAlign w:val="center"/>
          </w:tcPr>
          <w:p w14:paraId="5ADEF259" w14:textId="2FBAAE9F"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0,0</w:t>
            </w:r>
          </w:p>
        </w:tc>
        <w:tc>
          <w:tcPr>
            <w:tcW w:w="1346" w:type="dxa"/>
            <w:vAlign w:val="center"/>
          </w:tcPr>
          <w:p w14:paraId="36041860" w14:textId="07C895A3"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-0,4</w:t>
            </w:r>
          </w:p>
        </w:tc>
      </w:tr>
      <w:tr w:rsidR="008114A4" w:rsidRPr="00452E5E" w14:paraId="3492E81F" w14:textId="77777777" w:rsidTr="00866CD7">
        <w:trPr>
          <w:gridAfter w:val="1"/>
          <w:wAfter w:w="12" w:type="dxa"/>
          <w:cantSplit/>
          <w:trHeight w:val="255"/>
        </w:trPr>
        <w:tc>
          <w:tcPr>
            <w:tcW w:w="2317" w:type="dxa"/>
            <w:vAlign w:val="center"/>
          </w:tcPr>
          <w:p w14:paraId="5299A80B" w14:textId="77777777" w:rsidR="008114A4" w:rsidRPr="007F2CF0" w:rsidRDefault="008114A4" w:rsidP="008114A4">
            <w:pPr>
              <w:spacing w:before="40" w:after="20"/>
              <w:rPr>
                <w:rFonts w:ascii="Arial Narrow" w:hAnsi="Arial Narrow" w:cs="Arial"/>
                <w:sz w:val="18"/>
                <w:szCs w:val="18"/>
              </w:rPr>
            </w:pPr>
            <w:r w:rsidRPr="007F2CF0">
              <w:rPr>
                <w:rFonts w:ascii="Arial Narrow" w:hAnsi="Arial Narrow" w:cs="Arial"/>
                <w:sz w:val="18"/>
                <w:szCs w:val="18"/>
              </w:rPr>
              <w:t xml:space="preserve">  </w:t>
            </w:r>
            <w:r>
              <w:rPr>
                <w:rFonts w:ascii="Arial Narrow" w:hAnsi="Arial Narrow" w:cs="Arial"/>
                <w:sz w:val="18"/>
                <w:szCs w:val="18"/>
              </w:rPr>
              <w:t>d</w:t>
            </w:r>
            <w:r w:rsidRPr="007F2CF0">
              <w:rPr>
                <w:rFonts w:ascii="Arial Narrow" w:hAnsi="Arial Narrow" w:cs="Arial"/>
                <w:sz w:val="18"/>
                <w:szCs w:val="18"/>
              </w:rPr>
              <w:t>urevoli</w:t>
            </w:r>
          </w:p>
        </w:tc>
        <w:tc>
          <w:tcPr>
            <w:tcW w:w="1157" w:type="dxa"/>
            <w:shd w:val="clear" w:color="auto" w:fill="D9D9D9"/>
            <w:vAlign w:val="center"/>
          </w:tcPr>
          <w:p w14:paraId="6BD09997" w14:textId="58F5E88E"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34" w:type="dxa"/>
            <w:tcMar>
              <w:left w:w="0" w:type="dxa"/>
            </w:tcMar>
            <w:vAlign w:val="center"/>
          </w:tcPr>
          <w:p w14:paraId="3CA12FC4" w14:textId="08A6DF87"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-1,8</w:t>
            </w:r>
          </w:p>
        </w:tc>
        <w:tc>
          <w:tcPr>
            <w:tcW w:w="1346" w:type="dxa"/>
            <w:shd w:val="clear" w:color="auto" w:fill="D9D9D9"/>
            <w:vAlign w:val="center"/>
          </w:tcPr>
          <w:p w14:paraId="0EB23A10" w14:textId="370AD8E3"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49" w:type="dxa"/>
            <w:vAlign w:val="center"/>
          </w:tcPr>
          <w:p w14:paraId="666A32B4" w14:textId="5051088B"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-1,4</w:t>
            </w:r>
          </w:p>
        </w:tc>
        <w:tc>
          <w:tcPr>
            <w:tcW w:w="1345" w:type="dxa"/>
            <w:shd w:val="clear" w:color="auto" w:fill="D9D9D9"/>
            <w:vAlign w:val="center"/>
          </w:tcPr>
          <w:p w14:paraId="13281AC1" w14:textId="51242DBE"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0,0</w:t>
            </w:r>
          </w:p>
        </w:tc>
        <w:tc>
          <w:tcPr>
            <w:tcW w:w="1346" w:type="dxa"/>
            <w:vAlign w:val="center"/>
          </w:tcPr>
          <w:p w14:paraId="04971F28" w14:textId="1736E365"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-2,0</w:t>
            </w:r>
          </w:p>
        </w:tc>
      </w:tr>
      <w:tr w:rsidR="008114A4" w:rsidRPr="00452E5E" w14:paraId="03F30C26" w14:textId="77777777" w:rsidTr="00866CD7">
        <w:trPr>
          <w:gridAfter w:val="1"/>
          <w:wAfter w:w="12" w:type="dxa"/>
          <w:cantSplit/>
          <w:trHeight w:val="255"/>
        </w:trPr>
        <w:tc>
          <w:tcPr>
            <w:tcW w:w="2317" w:type="dxa"/>
            <w:vAlign w:val="center"/>
          </w:tcPr>
          <w:p w14:paraId="02DFB5A6" w14:textId="77777777" w:rsidR="008114A4" w:rsidRPr="007F2CF0" w:rsidRDefault="008114A4" w:rsidP="008114A4">
            <w:pPr>
              <w:spacing w:before="40" w:after="20"/>
              <w:rPr>
                <w:rFonts w:ascii="Arial Narrow" w:hAnsi="Arial Narrow" w:cs="Arial"/>
                <w:sz w:val="18"/>
                <w:szCs w:val="18"/>
              </w:rPr>
            </w:pPr>
            <w:r w:rsidRPr="007F2CF0">
              <w:rPr>
                <w:rFonts w:ascii="Arial Narrow" w:hAnsi="Arial Narrow" w:cs="Arial"/>
                <w:sz w:val="18"/>
                <w:szCs w:val="18"/>
              </w:rPr>
              <w:t xml:space="preserve">  non durevoli</w:t>
            </w:r>
          </w:p>
        </w:tc>
        <w:tc>
          <w:tcPr>
            <w:tcW w:w="1157" w:type="dxa"/>
            <w:shd w:val="clear" w:color="auto" w:fill="D9D9D9"/>
            <w:vAlign w:val="center"/>
          </w:tcPr>
          <w:p w14:paraId="5B484040" w14:textId="3269BEE1"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34" w:type="dxa"/>
            <w:tcMar>
              <w:left w:w="0" w:type="dxa"/>
            </w:tcMar>
            <w:vAlign w:val="center"/>
          </w:tcPr>
          <w:p w14:paraId="7DD5B1C3" w14:textId="4DA91162"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-1,7</w:t>
            </w:r>
          </w:p>
        </w:tc>
        <w:tc>
          <w:tcPr>
            <w:tcW w:w="1346" w:type="dxa"/>
            <w:shd w:val="clear" w:color="auto" w:fill="D9D9D9"/>
            <w:vAlign w:val="center"/>
          </w:tcPr>
          <w:p w14:paraId="0A1186DF" w14:textId="0771BFB0"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-0,4</w:t>
            </w:r>
          </w:p>
        </w:tc>
        <w:tc>
          <w:tcPr>
            <w:tcW w:w="1349" w:type="dxa"/>
            <w:vAlign w:val="center"/>
          </w:tcPr>
          <w:p w14:paraId="5D6FC465" w14:textId="19A34479"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-3,1</w:t>
            </w:r>
          </w:p>
        </w:tc>
        <w:tc>
          <w:tcPr>
            <w:tcW w:w="1345" w:type="dxa"/>
            <w:shd w:val="clear" w:color="auto" w:fill="D9D9D9"/>
            <w:vAlign w:val="center"/>
          </w:tcPr>
          <w:p w14:paraId="23CE370D" w14:textId="72C89129"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46" w:type="dxa"/>
            <w:vAlign w:val="center"/>
          </w:tcPr>
          <w:p w14:paraId="3922B7D4" w14:textId="297A214C"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+0,2</w:t>
            </w:r>
          </w:p>
        </w:tc>
      </w:tr>
      <w:tr w:rsidR="008114A4" w:rsidRPr="00452E5E" w14:paraId="1F7F49E5" w14:textId="77777777" w:rsidTr="00866CD7">
        <w:trPr>
          <w:gridAfter w:val="1"/>
          <w:wAfter w:w="12" w:type="dxa"/>
          <w:cantSplit/>
          <w:trHeight w:val="255"/>
        </w:trPr>
        <w:tc>
          <w:tcPr>
            <w:tcW w:w="2317" w:type="dxa"/>
            <w:vAlign w:val="center"/>
          </w:tcPr>
          <w:p w14:paraId="1E25AFE6" w14:textId="77777777" w:rsidR="008114A4" w:rsidRPr="001C01EA" w:rsidRDefault="008114A4" w:rsidP="008114A4">
            <w:pPr>
              <w:spacing w:before="40" w:after="20"/>
              <w:rPr>
                <w:rFonts w:ascii="Arial Narrow" w:hAnsi="Arial Narrow" w:cs="Arial"/>
                <w:sz w:val="18"/>
                <w:szCs w:val="18"/>
              </w:rPr>
            </w:pPr>
            <w:r w:rsidRPr="001C01EA">
              <w:rPr>
                <w:rFonts w:ascii="Arial Narrow" w:hAnsi="Arial Narrow" w:cs="Arial"/>
                <w:sz w:val="18"/>
                <w:szCs w:val="18"/>
              </w:rPr>
              <w:t>Beni strumentali</w:t>
            </w:r>
          </w:p>
        </w:tc>
        <w:tc>
          <w:tcPr>
            <w:tcW w:w="1157" w:type="dxa"/>
            <w:shd w:val="clear" w:color="auto" w:fill="D9D9D9"/>
            <w:vAlign w:val="center"/>
          </w:tcPr>
          <w:p w14:paraId="26D9D6D5" w14:textId="63979DD7"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+0,2</w:t>
            </w:r>
          </w:p>
        </w:tc>
        <w:tc>
          <w:tcPr>
            <w:tcW w:w="1334" w:type="dxa"/>
            <w:tcMar>
              <w:left w:w="0" w:type="dxa"/>
            </w:tcMar>
            <w:vAlign w:val="center"/>
          </w:tcPr>
          <w:p w14:paraId="0E137FC6" w14:textId="705F9832"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-0,5</w:t>
            </w:r>
          </w:p>
        </w:tc>
        <w:tc>
          <w:tcPr>
            <w:tcW w:w="1346" w:type="dxa"/>
            <w:shd w:val="clear" w:color="auto" w:fill="D9D9D9"/>
            <w:vAlign w:val="center"/>
          </w:tcPr>
          <w:p w14:paraId="1D1992F8" w14:textId="2DF51A75"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+0,3</w:t>
            </w:r>
          </w:p>
        </w:tc>
        <w:tc>
          <w:tcPr>
            <w:tcW w:w="1349" w:type="dxa"/>
            <w:vAlign w:val="center"/>
          </w:tcPr>
          <w:p w14:paraId="7927E4DE" w14:textId="65A6B8E8"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+0,4</w:t>
            </w:r>
          </w:p>
        </w:tc>
        <w:tc>
          <w:tcPr>
            <w:tcW w:w="1345" w:type="dxa"/>
            <w:shd w:val="clear" w:color="auto" w:fill="D9D9D9"/>
            <w:vAlign w:val="center"/>
          </w:tcPr>
          <w:p w14:paraId="0A84225F" w14:textId="4047731B"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0,0</w:t>
            </w:r>
          </w:p>
        </w:tc>
        <w:tc>
          <w:tcPr>
            <w:tcW w:w="1346" w:type="dxa"/>
            <w:vAlign w:val="center"/>
          </w:tcPr>
          <w:p w14:paraId="0A274499" w14:textId="79103969"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-1,6</w:t>
            </w:r>
          </w:p>
        </w:tc>
      </w:tr>
      <w:tr w:rsidR="008114A4" w:rsidRPr="00452E5E" w14:paraId="62092AFB" w14:textId="77777777" w:rsidTr="00866CD7">
        <w:trPr>
          <w:gridAfter w:val="1"/>
          <w:wAfter w:w="12" w:type="dxa"/>
          <w:cantSplit/>
          <w:trHeight w:val="255"/>
        </w:trPr>
        <w:tc>
          <w:tcPr>
            <w:tcW w:w="2317" w:type="dxa"/>
            <w:vAlign w:val="center"/>
          </w:tcPr>
          <w:p w14:paraId="7142A563" w14:textId="77777777" w:rsidR="008114A4" w:rsidRPr="001C01EA" w:rsidRDefault="008114A4" w:rsidP="008114A4">
            <w:pPr>
              <w:spacing w:before="40" w:after="20"/>
              <w:rPr>
                <w:rFonts w:ascii="Arial Narrow" w:hAnsi="Arial Narrow" w:cs="Arial"/>
                <w:sz w:val="18"/>
                <w:szCs w:val="18"/>
              </w:rPr>
            </w:pPr>
            <w:r w:rsidRPr="001C01EA">
              <w:rPr>
                <w:rFonts w:ascii="Arial Narrow" w:hAnsi="Arial Narrow" w:cs="Arial"/>
                <w:sz w:val="18"/>
                <w:szCs w:val="18"/>
              </w:rPr>
              <w:t>Beni intermedi</w:t>
            </w:r>
          </w:p>
        </w:tc>
        <w:tc>
          <w:tcPr>
            <w:tcW w:w="1157" w:type="dxa"/>
            <w:tcBorders>
              <w:bottom w:val="single" w:sz="4" w:space="0" w:color="333333"/>
            </w:tcBorders>
            <w:shd w:val="clear" w:color="auto" w:fill="D9D9D9"/>
            <w:vAlign w:val="center"/>
          </w:tcPr>
          <w:p w14:paraId="24CFC6F2" w14:textId="46BD1B15"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+0,4</w:t>
            </w:r>
          </w:p>
        </w:tc>
        <w:tc>
          <w:tcPr>
            <w:tcW w:w="1334" w:type="dxa"/>
            <w:tcMar>
              <w:left w:w="0" w:type="dxa"/>
            </w:tcMar>
            <w:vAlign w:val="center"/>
          </w:tcPr>
          <w:p w14:paraId="520FEEAE" w14:textId="1C6B20AE"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+2,7</w:t>
            </w:r>
          </w:p>
        </w:tc>
        <w:tc>
          <w:tcPr>
            <w:tcW w:w="1346" w:type="dxa"/>
            <w:tcBorders>
              <w:bottom w:val="single" w:sz="4" w:space="0" w:color="333333"/>
            </w:tcBorders>
            <w:shd w:val="clear" w:color="auto" w:fill="D9D9D9"/>
            <w:vAlign w:val="center"/>
          </w:tcPr>
          <w:p w14:paraId="48446EF7" w14:textId="05314801"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+0,3</w:t>
            </w:r>
          </w:p>
        </w:tc>
        <w:tc>
          <w:tcPr>
            <w:tcW w:w="1349" w:type="dxa"/>
            <w:vAlign w:val="center"/>
          </w:tcPr>
          <w:p w14:paraId="0461C6D6" w14:textId="03BC743B"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+0,9</w:t>
            </w:r>
          </w:p>
        </w:tc>
        <w:tc>
          <w:tcPr>
            <w:tcW w:w="1345" w:type="dxa"/>
            <w:tcBorders>
              <w:bottom w:val="single" w:sz="4" w:space="0" w:color="333333"/>
            </w:tcBorders>
            <w:shd w:val="clear" w:color="auto" w:fill="D9D9D9"/>
            <w:vAlign w:val="center"/>
          </w:tcPr>
          <w:p w14:paraId="3615AFB2" w14:textId="4205A7B6"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+0,5</w:t>
            </w:r>
          </w:p>
        </w:tc>
        <w:tc>
          <w:tcPr>
            <w:tcW w:w="1346" w:type="dxa"/>
            <w:vAlign w:val="center"/>
          </w:tcPr>
          <w:p w14:paraId="79022317" w14:textId="0A225EC8"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+4,5</w:t>
            </w:r>
          </w:p>
        </w:tc>
      </w:tr>
      <w:tr w:rsidR="008114A4" w:rsidRPr="00452E5E" w14:paraId="7999F76F" w14:textId="77777777" w:rsidTr="00866CD7">
        <w:trPr>
          <w:gridAfter w:val="1"/>
          <w:wAfter w:w="12" w:type="dxa"/>
          <w:cantSplit/>
          <w:trHeight w:val="255"/>
        </w:trPr>
        <w:tc>
          <w:tcPr>
            <w:tcW w:w="2317" w:type="dxa"/>
            <w:tcBorders>
              <w:bottom w:val="single" w:sz="4" w:space="0" w:color="333333"/>
            </w:tcBorders>
            <w:vAlign w:val="center"/>
          </w:tcPr>
          <w:p w14:paraId="14C2C251" w14:textId="77777777" w:rsidR="008114A4" w:rsidRPr="001C01EA" w:rsidRDefault="008114A4" w:rsidP="008114A4">
            <w:pPr>
              <w:spacing w:before="40" w:after="20"/>
              <w:rPr>
                <w:rFonts w:ascii="Arial Narrow" w:hAnsi="Arial Narrow" w:cs="Arial"/>
                <w:sz w:val="18"/>
                <w:szCs w:val="18"/>
              </w:rPr>
            </w:pPr>
            <w:r w:rsidRPr="001C01EA">
              <w:rPr>
                <w:rFonts w:ascii="Arial Narrow" w:hAnsi="Arial Narrow" w:cs="Arial"/>
                <w:sz w:val="18"/>
                <w:szCs w:val="18"/>
              </w:rPr>
              <w:t>Energia</w:t>
            </w:r>
          </w:p>
        </w:tc>
        <w:tc>
          <w:tcPr>
            <w:tcW w:w="1157" w:type="dxa"/>
            <w:tcBorders>
              <w:bottom w:val="single" w:sz="4" w:space="0" w:color="333333"/>
            </w:tcBorders>
            <w:shd w:val="clear" w:color="auto" w:fill="D9D9D9"/>
            <w:vAlign w:val="center"/>
          </w:tcPr>
          <w:p w14:paraId="0EA55CD2" w14:textId="461D2CC8"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+1,4</w:t>
            </w:r>
          </w:p>
        </w:tc>
        <w:tc>
          <w:tcPr>
            <w:tcW w:w="1334" w:type="dxa"/>
            <w:tcBorders>
              <w:bottom w:val="single" w:sz="4" w:space="0" w:color="333333"/>
            </w:tcBorders>
            <w:tcMar>
              <w:left w:w="0" w:type="dxa"/>
            </w:tcMar>
            <w:vAlign w:val="center"/>
          </w:tcPr>
          <w:p w14:paraId="78E68B06" w14:textId="3F15719F"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+7,3</w:t>
            </w:r>
          </w:p>
        </w:tc>
        <w:tc>
          <w:tcPr>
            <w:tcW w:w="1346" w:type="dxa"/>
            <w:tcBorders>
              <w:bottom w:val="single" w:sz="4" w:space="0" w:color="333333"/>
            </w:tcBorders>
            <w:shd w:val="clear" w:color="auto" w:fill="D9D9D9"/>
            <w:vAlign w:val="center"/>
          </w:tcPr>
          <w:p w14:paraId="3F7061DC" w14:textId="117C193F"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+3,2</w:t>
            </w:r>
          </w:p>
        </w:tc>
        <w:tc>
          <w:tcPr>
            <w:tcW w:w="1349" w:type="dxa"/>
            <w:tcBorders>
              <w:bottom w:val="single" w:sz="4" w:space="0" w:color="333333"/>
            </w:tcBorders>
            <w:vAlign w:val="center"/>
          </w:tcPr>
          <w:p w14:paraId="5567185A" w14:textId="3AE9BBE4"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+13,6</w:t>
            </w:r>
          </w:p>
        </w:tc>
        <w:tc>
          <w:tcPr>
            <w:tcW w:w="1345" w:type="dxa"/>
            <w:tcBorders>
              <w:bottom w:val="single" w:sz="4" w:space="0" w:color="333333"/>
            </w:tcBorders>
            <w:shd w:val="clear" w:color="auto" w:fill="D9D9D9"/>
            <w:vAlign w:val="center"/>
          </w:tcPr>
          <w:p w14:paraId="6F1E0FF5" w14:textId="4885D9E6"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+1,2</w:t>
            </w:r>
          </w:p>
        </w:tc>
        <w:tc>
          <w:tcPr>
            <w:tcW w:w="1346" w:type="dxa"/>
            <w:tcBorders>
              <w:bottom w:val="single" w:sz="4" w:space="0" w:color="333333"/>
            </w:tcBorders>
            <w:vAlign w:val="center"/>
          </w:tcPr>
          <w:p w14:paraId="6F570CFB" w14:textId="2D6D6209"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+6,7</w:t>
            </w:r>
          </w:p>
        </w:tc>
      </w:tr>
      <w:tr w:rsidR="008114A4" w:rsidRPr="00452E5E" w14:paraId="4F6C3A05" w14:textId="77777777" w:rsidTr="00866CD7">
        <w:trPr>
          <w:gridAfter w:val="1"/>
          <w:wAfter w:w="12" w:type="dxa"/>
          <w:cantSplit/>
          <w:trHeight w:val="255"/>
        </w:trPr>
        <w:tc>
          <w:tcPr>
            <w:tcW w:w="2317" w:type="dxa"/>
            <w:shd w:val="clear" w:color="auto" w:fill="auto"/>
            <w:vAlign w:val="center"/>
          </w:tcPr>
          <w:p w14:paraId="22B66014" w14:textId="77777777" w:rsidR="008114A4" w:rsidRPr="007F2CF0" w:rsidRDefault="008114A4" w:rsidP="008114A4">
            <w:pPr>
              <w:spacing w:before="40" w:after="20"/>
              <w:rPr>
                <w:rFonts w:ascii="Arial Narrow" w:hAnsi="Arial Narrow" w:cs="Arial"/>
                <w:sz w:val="18"/>
                <w:szCs w:val="18"/>
              </w:rPr>
            </w:pPr>
            <w:r w:rsidRPr="001C01EA">
              <w:rPr>
                <w:rFonts w:ascii="Arial Narrow" w:hAnsi="Arial Narrow" w:cs="Arial"/>
                <w:sz w:val="18"/>
                <w:szCs w:val="18"/>
              </w:rPr>
              <w:t>Totale al netto dell’energia</w:t>
            </w:r>
          </w:p>
        </w:tc>
        <w:tc>
          <w:tcPr>
            <w:tcW w:w="1157" w:type="dxa"/>
            <w:shd w:val="clear" w:color="auto" w:fill="D9D9D9"/>
            <w:vAlign w:val="center"/>
          </w:tcPr>
          <w:p w14:paraId="49909164" w14:textId="100B3645"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+0,2</w:t>
            </w:r>
          </w:p>
        </w:tc>
        <w:tc>
          <w:tcPr>
            <w:tcW w:w="1334" w:type="dxa"/>
            <w:shd w:val="clear" w:color="auto" w:fill="auto"/>
            <w:tcMar>
              <w:left w:w="0" w:type="dxa"/>
            </w:tcMar>
            <w:vAlign w:val="center"/>
          </w:tcPr>
          <w:p w14:paraId="4A269706" w14:textId="05D6031F"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+0,6</w:t>
            </w:r>
          </w:p>
        </w:tc>
        <w:tc>
          <w:tcPr>
            <w:tcW w:w="1346" w:type="dxa"/>
            <w:shd w:val="clear" w:color="auto" w:fill="D9D9D9"/>
            <w:vAlign w:val="center"/>
          </w:tcPr>
          <w:p w14:paraId="457C9806" w14:textId="58045D77"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+0,1</w:t>
            </w:r>
          </w:p>
        </w:tc>
        <w:tc>
          <w:tcPr>
            <w:tcW w:w="1349" w:type="dxa"/>
            <w:shd w:val="clear" w:color="auto" w:fill="auto"/>
            <w:vAlign w:val="center"/>
          </w:tcPr>
          <w:p w14:paraId="57E0E5A9" w14:textId="3D307A96"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-0,5</w:t>
            </w:r>
          </w:p>
        </w:tc>
        <w:tc>
          <w:tcPr>
            <w:tcW w:w="1345" w:type="dxa"/>
            <w:shd w:val="clear" w:color="auto" w:fill="D9D9D9"/>
            <w:vAlign w:val="center"/>
          </w:tcPr>
          <w:p w14:paraId="69D7692C" w14:textId="10DF18AD"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+0,4</w:t>
            </w:r>
          </w:p>
        </w:tc>
        <w:tc>
          <w:tcPr>
            <w:tcW w:w="1346" w:type="dxa"/>
            <w:shd w:val="clear" w:color="auto" w:fill="auto"/>
            <w:vAlign w:val="center"/>
          </w:tcPr>
          <w:p w14:paraId="07EAA297" w14:textId="0E6A4959" w:rsidR="008114A4" w:rsidRPr="005C48E6" w:rsidRDefault="008114A4" w:rsidP="008114A4">
            <w:pPr>
              <w:jc w:val="center"/>
              <w:rPr>
                <w:rFonts w:ascii="Arial Narrow" w:hAnsi="Arial Narrow" w:cs="Arial Narrow"/>
                <w:color w:val="000000"/>
                <w:sz w:val="18"/>
                <w:szCs w:val="18"/>
              </w:rPr>
            </w:pPr>
            <w:r w:rsidRPr="00112957">
              <w:rPr>
                <w:rFonts w:ascii="Arial Narrow" w:hAnsi="Arial Narrow" w:cs="Arial"/>
                <w:color w:val="000000"/>
                <w:sz w:val="18"/>
                <w:szCs w:val="18"/>
              </w:rPr>
              <w:t>+1,6</w:t>
            </w:r>
          </w:p>
        </w:tc>
      </w:tr>
      <w:tr w:rsidR="008114A4" w:rsidRPr="005C48E6" w14:paraId="43E17C20" w14:textId="77777777" w:rsidTr="00866CD7">
        <w:trPr>
          <w:gridAfter w:val="1"/>
          <w:wAfter w:w="12" w:type="dxa"/>
          <w:cantSplit/>
          <w:trHeight w:val="255"/>
        </w:trPr>
        <w:tc>
          <w:tcPr>
            <w:tcW w:w="2317" w:type="dxa"/>
            <w:shd w:val="clear" w:color="auto" w:fill="FF0000"/>
            <w:vAlign w:val="center"/>
          </w:tcPr>
          <w:p w14:paraId="05FAB061" w14:textId="77777777" w:rsidR="008114A4" w:rsidRPr="005C48E6" w:rsidRDefault="008114A4" w:rsidP="008114A4">
            <w:pPr>
              <w:spacing w:before="40" w:after="20"/>
              <w:rPr>
                <w:rFonts w:ascii="Arial Narrow" w:hAnsi="Arial Narrow" w:cs="Arial"/>
                <w:b/>
                <w:color w:val="FFFFFF" w:themeColor="background1"/>
                <w:sz w:val="18"/>
                <w:szCs w:val="18"/>
              </w:rPr>
            </w:pPr>
            <w:r w:rsidRPr="005C48E6">
              <w:rPr>
                <w:rFonts w:ascii="Arial Narrow" w:hAnsi="Arial Narrow" w:cs="Arial"/>
                <w:b/>
                <w:color w:val="FFFFFF" w:themeColor="background1"/>
                <w:sz w:val="18"/>
                <w:szCs w:val="18"/>
              </w:rPr>
              <w:t>Totale</w:t>
            </w:r>
          </w:p>
        </w:tc>
        <w:tc>
          <w:tcPr>
            <w:tcW w:w="1157" w:type="dxa"/>
            <w:shd w:val="clear" w:color="auto" w:fill="FF0000"/>
            <w:vAlign w:val="center"/>
          </w:tcPr>
          <w:p w14:paraId="7D4D358D" w14:textId="109D34E4"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+0,4</w:t>
            </w:r>
          </w:p>
        </w:tc>
        <w:tc>
          <w:tcPr>
            <w:tcW w:w="1334" w:type="dxa"/>
            <w:shd w:val="clear" w:color="auto" w:fill="FF0000"/>
            <w:tcMar>
              <w:left w:w="0" w:type="dxa"/>
            </w:tcMar>
            <w:vAlign w:val="center"/>
          </w:tcPr>
          <w:p w14:paraId="160C6AE5" w14:textId="5A9F5112"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+1,4</w:t>
            </w:r>
          </w:p>
        </w:tc>
        <w:tc>
          <w:tcPr>
            <w:tcW w:w="1346" w:type="dxa"/>
            <w:shd w:val="clear" w:color="auto" w:fill="FF0000"/>
            <w:vAlign w:val="center"/>
          </w:tcPr>
          <w:p w14:paraId="756D92A7" w14:textId="754FBA2E"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+0,2</w:t>
            </w:r>
          </w:p>
        </w:tc>
        <w:tc>
          <w:tcPr>
            <w:tcW w:w="1349" w:type="dxa"/>
            <w:shd w:val="clear" w:color="auto" w:fill="FF0000"/>
            <w:vAlign w:val="center"/>
          </w:tcPr>
          <w:p w14:paraId="07A00B1B" w14:textId="22D684A3"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-0,1</w:t>
            </w:r>
          </w:p>
        </w:tc>
        <w:tc>
          <w:tcPr>
            <w:tcW w:w="1345" w:type="dxa"/>
            <w:shd w:val="clear" w:color="auto" w:fill="FF0000"/>
            <w:vAlign w:val="center"/>
          </w:tcPr>
          <w:p w14:paraId="21D6B6CB" w14:textId="328761FB"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+0,5</w:t>
            </w:r>
          </w:p>
        </w:tc>
        <w:tc>
          <w:tcPr>
            <w:tcW w:w="1346" w:type="dxa"/>
            <w:shd w:val="clear" w:color="auto" w:fill="FF0000"/>
            <w:vAlign w:val="center"/>
          </w:tcPr>
          <w:p w14:paraId="452F5520" w14:textId="747CE3CF" w:rsidR="008114A4" w:rsidRPr="005C48E6" w:rsidRDefault="008114A4" w:rsidP="008114A4">
            <w:pPr>
              <w:spacing w:before="40" w:after="20"/>
              <w:jc w:val="center"/>
              <w:rPr>
                <w:rFonts w:ascii="Arial Narrow" w:hAnsi="Arial Narrow" w:cs="Arial"/>
                <w:b/>
                <w:color w:val="FFFFFF" w:themeColor="background1"/>
                <w:sz w:val="18"/>
                <w:szCs w:val="18"/>
              </w:rPr>
            </w:pPr>
            <w:r w:rsidRPr="00112957">
              <w:rPr>
                <w:rFonts w:ascii="Arial Narrow" w:hAnsi="Arial Narrow" w:cs="Arial"/>
                <w:b/>
                <w:color w:val="FFFFFF" w:themeColor="background1"/>
                <w:sz w:val="18"/>
                <w:szCs w:val="18"/>
              </w:rPr>
              <w:t>+2,7</w:t>
            </w:r>
          </w:p>
        </w:tc>
      </w:tr>
    </w:tbl>
    <w:p w14:paraId="67DFB9C0" w14:textId="77777777" w:rsidR="00192F43" w:rsidRDefault="00192F43" w:rsidP="00192F43">
      <w:pPr>
        <w:spacing w:before="60" w:after="120"/>
        <w:jc w:val="both"/>
        <w:rPr>
          <w:rFonts w:ascii="Arial Narrow" w:hAnsi="Arial Narrow" w:cs="Arial"/>
          <w:sz w:val="15"/>
          <w:szCs w:val="15"/>
        </w:rPr>
      </w:pPr>
      <w:r w:rsidRPr="00932F32">
        <w:rPr>
          <w:rFonts w:ascii="Arial Narrow" w:hAnsi="Arial Narrow" w:cs="Arial"/>
          <w:sz w:val="15"/>
          <w:szCs w:val="15"/>
        </w:rPr>
        <w:t>(a) Dati provvisori</w:t>
      </w:r>
    </w:p>
    <w:p w14:paraId="2FD63EA5" w14:textId="77777777" w:rsidR="00192F43" w:rsidRDefault="00192F43" w:rsidP="00192F43">
      <w:pPr>
        <w:rPr>
          <w:rFonts w:ascii="Arial" w:hAnsi="Arial"/>
          <w:kern w:val="28"/>
          <w:sz w:val="21"/>
          <w:szCs w:val="21"/>
        </w:rPr>
      </w:pPr>
    </w:p>
    <w:p w14:paraId="0B0A3361" w14:textId="77777777" w:rsidR="00E96B7E" w:rsidRPr="003A14A2" w:rsidRDefault="00E96B7E" w:rsidP="00E96B7E">
      <w:pPr>
        <w:pStyle w:val="001TitoloBolocco"/>
        <w:pBdr>
          <w:bottom w:val="none" w:sz="0" w:space="0" w:color="auto"/>
        </w:pBdr>
        <w:spacing w:after="100"/>
        <w:rPr>
          <w:rFonts w:ascii="Arial" w:hAnsi="Arial" w:cs="Times New Roman"/>
          <w:b w:val="0"/>
          <w:bCs w:val="0"/>
          <w:caps w:val="0"/>
          <w:color w:val="auto"/>
          <w:kern w:val="28"/>
          <w:sz w:val="21"/>
          <w:szCs w:val="21"/>
        </w:rPr>
      </w:pPr>
      <w:r w:rsidRPr="003A14A2">
        <w:rPr>
          <w:rFonts w:ascii="Arial" w:hAnsi="Arial" w:cs="Times New Roman"/>
          <w:b w:val="0"/>
          <w:bCs w:val="0"/>
          <w:caps w:val="0"/>
          <w:color w:val="auto"/>
          <w:kern w:val="28"/>
          <w:sz w:val="21"/>
          <w:szCs w:val="21"/>
        </w:rPr>
        <w:t>A</w:t>
      </w:r>
      <w:r>
        <w:rPr>
          <w:rFonts w:ascii="Arial" w:hAnsi="Arial" w:cs="Times New Roman"/>
          <w:b w:val="0"/>
          <w:bCs w:val="0"/>
          <w:caps w:val="0"/>
          <w:color w:val="auto"/>
          <w:kern w:val="28"/>
          <w:sz w:val="21"/>
          <w:szCs w:val="21"/>
        </w:rPr>
        <w:t xml:space="preserve"> gennaio</w:t>
      </w:r>
      <w:r w:rsidRPr="003A14A2">
        <w:rPr>
          <w:rFonts w:ascii="Arial" w:hAnsi="Arial" w:cs="Times New Roman"/>
          <w:b w:val="0"/>
          <w:bCs w:val="0"/>
          <w:caps w:val="0"/>
          <w:color w:val="auto"/>
          <w:kern w:val="28"/>
          <w:sz w:val="21"/>
          <w:szCs w:val="21"/>
        </w:rPr>
        <w:t xml:space="preserve"> </w:t>
      </w:r>
      <w:r>
        <w:rPr>
          <w:rFonts w:ascii="Arial" w:hAnsi="Arial" w:cs="Times New Roman"/>
          <w:b w:val="0"/>
          <w:bCs w:val="0"/>
          <w:caps w:val="0"/>
          <w:color w:val="auto"/>
          <w:kern w:val="28"/>
          <w:sz w:val="21"/>
          <w:szCs w:val="21"/>
        </w:rPr>
        <w:t xml:space="preserve">2025 </w:t>
      </w:r>
      <w:r w:rsidRPr="003A14A2">
        <w:rPr>
          <w:rFonts w:ascii="Arial" w:hAnsi="Arial" w:cs="Times New Roman"/>
          <w:b w:val="0"/>
          <w:bCs w:val="0"/>
          <w:caps w:val="0"/>
          <w:color w:val="auto"/>
          <w:kern w:val="28"/>
          <w:sz w:val="21"/>
          <w:szCs w:val="21"/>
        </w:rPr>
        <w:t xml:space="preserve">i prezzi all’importazione dei beni di consumo </w:t>
      </w:r>
      <w:r>
        <w:rPr>
          <w:rFonts w:ascii="Arial" w:hAnsi="Arial" w:cs="Times New Roman"/>
          <w:b w:val="0"/>
          <w:bCs w:val="0"/>
          <w:caps w:val="0"/>
          <w:color w:val="auto"/>
          <w:kern w:val="28"/>
          <w:sz w:val="21"/>
          <w:szCs w:val="21"/>
        </w:rPr>
        <w:t>diminuiscono dello 0,1% su base mensile (-0,3% Area euro, invariati per l’Area non euro); su base annua</w:t>
      </w:r>
      <w:r w:rsidRPr="003A14A2">
        <w:rPr>
          <w:rFonts w:ascii="Arial" w:hAnsi="Arial" w:cs="Times New Roman"/>
          <w:b w:val="0"/>
          <w:bCs w:val="0"/>
          <w:caps w:val="0"/>
          <w:color w:val="auto"/>
          <w:kern w:val="28"/>
          <w:sz w:val="21"/>
          <w:szCs w:val="21"/>
        </w:rPr>
        <w:t xml:space="preserve">, </w:t>
      </w:r>
      <w:r>
        <w:rPr>
          <w:rFonts w:ascii="Arial" w:hAnsi="Arial" w:cs="Times New Roman"/>
          <w:b w:val="0"/>
          <w:bCs w:val="0"/>
          <w:caps w:val="0"/>
          <w:color w:val="auto"/>
          <w:kern w:val="28"/>
          <w:sz w:val="21"/>
          <w:szCs w:val="21"/>
        </w:rPr>
        <w:t>flettono dell’1,7%</w:t>
      </w:r>
      <w:r w:rsidRPr="003A14A2">
        <w:rPr>
          <w:rFonts w:ascii="Arial" w:hAnsi="Arial" w:cs="Times New Roman"/>
          <w:b w:val="0"/>
          <w:bCs w:val="0"/>
          <w:caps w:val="0"/>
          <w:color w:val="auto"/>
          <w:kern w:val="28"/>
          <w:sz w:val="21"/>
          <w:szCs w:val="21"/>
        </w:rPr>
        <w:t xml:space="preserve"> </w:t>
      </w:r>
      <w:r>
        <w:rPr>
          <w:rFonts w:ascii="Arial" w:hAnsi="Arial" w:cs="Times New Roman"/>
          <w:b w:val="0"/>
          <w:bCs w:val="0"/>
          <w:caps w:val="0"/>
          <w:color w:val="auto"/>
          <w:kern w:val="28"/>
          <w:sz w:val="21"/>
          <w:szCs w:val="21"/>
        </w:rPr>
        <w:t xml:space="preserve">(-2,9% Area euro, -0,4% </w:t>
      </w:r>
      <w:r w:rsidRPr="003A14A2">
        <w:rPr>
          <w:rFonts w:ascii="Arial" w:hAnsi="Arial" w:cs="Times New Roman"/>
          <w:b w:val="0"/>
          <w:bCs w:val="0"/>
          <w:caps w:val="0"/>
          <w:color w:val="auto"/>
          <w:kern w:val="28"/>
          <w:sz w:val="21"/>
          <w:szCs w:val="21"/>
        </w:rPr>
        <w:t>Area non euro).</w:t>
      </w:r>
    </w:p>
    <w:p w14:paraId="2161D600" w14:textId="65066FD3" w:rsidR="00E96B7E" w:rsidRDefault="00E96B7E" w:rsidP="00E96B7E">
      <w:pPr>
        <w:pStyle w:val="001TitoloBolocco"/>
        <w:pBdr>
          <w:bottom w:val="none" w:sz="0" w:space="0" w:color="auto"/>
        </w:pBdr>
        <w:spacing w:after="100"/>
        <w:rPr>
          <w:rFonts w:ascii="Arial" w:hAnsi="Arial" w:cs="Times New Roman"/>
          <w:b w:val="0"/>
          <w:bCs w:val="0"/>
          <w:caps w:val="0"/>
          <w:color w:val="auto"/>
          <w:kern w:val="28"/>
          <w:sz w:val="21"/>
          <w:szCs w:val="21"/>
        </w:rPr>
      </w:pPr>
      <w:r>
        <w:rPr>
          <w:rFonts w:ascii="Arial" w:hAnsi="Arial" w:cs="Times New Roman"/>
          <w:b w:val="0"/>
          <w:bCs w:val="0"/>
          <w:caps w:val="0"/>
          <w:color w:val="auto"/>
          <w:kern w:val="28"/>
          <w:sz w:val="21"/>
          <w:szCs w:val="21"/>
        </w:rPr>
        <w:t>I</w:t>
      </w:r>
      <w:r w:rsidRPr="00C5444E">
        <w:rPr>
          <w:rFonts w:ascii="Arial" w:hAnsi="Arial" w:cs="Times New Roman"/>
          <w:b w:val="0"/>
          <w:bCs w:val="0"/>
          <w:caps w:val="0"/>
          <w:color w:val="auto"/>
          <w:kern w:val="28"/>
          <w:sz w:val="21"/>
          <w:szCs w:val="21"/>
        </w:rPr>
        <w:t xml:space="preserve"> prezzi all’importazione dei beni strumentali </w:t>
      </w:r>
      <w:r>
        <w:rPr>
          <w:rFonts w:ascii="Arial" w:hAnsi="Arial" w:cs="Times New Roman"/>
          <w:b w:val="0"/>
          <w:bCs w:val="0"/>
          <w:caps w:val="0"/>
          <w:color w:val="auto"/>
          <w:kern w:val="28"/>
          <w:sz w:val="21"/>
          <w:szCs w:val="21"/>
        </w:rPr>
        <w:t>aumentano dello 0,2% in termini congiunturali (+0,3% Area euro, invariati per l’Area non euro); in termini tendenziali,</w:t>
      </w:r>
      <w:r w:rsidRPr="003A14A2">
        <w:rPr>
          <w:rFonts w:ascii="Arial" w:hAnsi="Arial" w:cs="Times New Roman"/>
          <w:b w:val="0"/>
          <w:bCs w:val="0"/>
          <w:caps w:val="0"/>
          <w:color w:val="auto"/>
          <w:kern w:val="28"/>
          <w:sz w:val="21"/>
          <w:szCs w:val="21"/>
        </w:rPr>
        <w:t xml:space="preserve"> re</w:t>
      </w:r>
      <w:r>
        <w:rPr>
          <w:rFonts w:ascii="Arial" w:hAnsi="Arial" w:cs="Times New Roman"/>
          <w:b w:val="0"/>
          <w:bCs w:val="0"/>
          <w:caps w:val="0"/>
          <w:color w:val="auto"/>
          <w:kern w:val="28"/>
          <w:sz w:val="21"/>
          <w:szCs w:val="21"/>
        </w:rPr>
        <w:t>gistrano una flessione dello 0,5%, sintesi di dinamiche contrapposte per le due aree, euro (+0,4%) e non euro (-1,6%).</w:t>
      </w:r>
    </w:p>
    <w:p w14:paraId="415B7599" w14:textId="77777777" w:rsidR="00E96B7E" w:rsidRDefault="00E96B7E" w:rsidP="00E96B7E">
      <w:pPr>
        <w:pStyle w:val="001TitoloBolocco"/>
        <w:pBdr>
          <w:bottom w:val="none" w:sz="0" w:space="0" w:color="auto"/>
        </w:pBdr>
        <w:spacing w:after="120"/>
        <w:rPr>
          <w:rFonts w:ascii="Arial" w:hAnsi="Arial" w:cs="Times New Roman"/>
          <w:b w:val="0"/>
          <w:bCs w:val="0"/>
          <w:caps w:val="0"/>
          <w:color w:val="auto"/>
          <w:kern w:val="28"/>
          <w:sz w:val="21"/>
          <w:szCs w:val="21"/>
        </w:rPr>
      </w:pPr>
      <w:r w:rsidRPr="00C5444E">
        <w:rPr>
          <w:rFonts w:ascii="Arial" w:hAnsi="Arial" w:cs="Times New Roman"/>
          <w:b w:val="0"/>
          <w:bCs w:val="0"/>
          <w:caps w:val="0"/>
          <w:color w:val="auto"/>
          <w:kern w:val="28"/>
          <w:sz w:val="21"/>
          <w:szCs w:val="21"/>
        </w:rPr>
        <w:t xml:space="preserve">I prezzi all’importazione dei beni intermedi </w:t>
      </w:r>
      <w:r>
        <w:rPr>
          <w:rFonts w:ascii="Arial" w:hAnsi="Arial" w:cs="Times New Roman"/>
          <w:b w:val="0"/>
          <w:bCs w:val="0"/>
          <w:caps w:val="0"/>
          <w:color w:val="auto"/>
          <w:kern w:val="28"/>
          <w:sz w:val="21"/>
          <w:szCs w:val="21"/>
        </w:rPr>
        <w:t>crescono dello 0,4% su base mensile (+0,3% Area euro, +0,5% Area non euro) e del 2,7% su base annua (+0,9% Area euro, +4,5% Area non euro)</w:t>
      </w:r>
      <w:r w:rsidRPr="000D6F4B">
        <w:rPr>
          <w:rFonts w:ascii="Arial" w:hAnsi="Arial" w:cs="Times New Roman"/>
          <w:b w:val="0"/>
          <w:bCs w:val="0"/>
          <w:caps w:val="0"/>
          <w:color w:val="auto"/>
          <w:kern w:val="28"/>
          <w:sz w:val="21"/>
          <w:szCs w:val="21"/>
        </w:rPr>
        <w:t>.</w:t>
      </w:r>
    </w:p>
    <w:p w14:paraId="29631735" w14:textId="77777777" w:rsidR="00016D99" w:rsidRPr="007F7956" w:rsidRDefault="00016D99" w:rsidP="00921351">
      <w:pPr>
        <w:pStyle w:val="001TitoloBolocco"/>
        <w:pBdr>
          <w:bottom w:val="none" w:sz="0" w:space="0" w:color="auto"/>
        </w:pBdr>
        <w:spacing w:after="60"/>
        <w:rPr>
          <w:rFonts w:ascii="Arial" w:hAnsi="Arial" w:cs="Times New Roman"/>
          <w:b w:val="0"/>
          <w:bCs w:val="0"/>
          <w:caps w:val="0"/>
          <w:color w:val="auto"/>
          <w:kern w:val="28"/>
          <w:sz w:val="21"/>
          <w:szCs w:val="21"/>
          <w:highlight w:val="yellow"/>
        </w:rPr>
      </w:pPr>
    </w:p>
    <w:p w14:paraId="68F6B594" w14:textId="77777777" w:rsidR="007A6B65" w:rsidRPr="00AD154C" w:rsidRDefault="007A6B65" w:rsidP="007A6B65">
      <w:pPr>
        <w:pStyle w:val="001TitoloBolocco"/>
        <w:spacing w:after="120" w:line="240" w:lineRule="auto"/>
      </w:pPr>
      <w:r w:rsidRPr="00AD154C">
        <w:t>settori di attività economica</w:t>
      </w:r>
    </w:p>
    <w:p w14:paraId="5BA0D39E" w14:textId="77777777" w:rsidR="007A6B65" w:rsidRPr="00AD154C" w:rsidRDefault="007A6B65" w:rsidP="007A6B65">
      <w:pPr>
        <w:jc w:val="both"/>
        <w:rPr>
          <w:rFonts w:ascii="Arial Narrow" w:hAnsi="Arial Narrow" w:cs="Arial"/>
          <w:b/>
          <w:color w:val="E42618"/>
          <w:kern w:val="28"/>
          <w:sz w:val="22"/>
          <w:szCs w:val="22"/>
        </w:rPr>
      </w:pPr>
      <w:r w:rsidRPr="00AD154C">
        <w:rPr>
          <w:rFonts w:ascii="Arial Narrow" w:hAnsi="Arial Narrow" w:cs="Arial"/>
          <w:b/>
          <w:color w:val="E42618"/>
          <w:kern w:val="28"/>
          <w:sz w:val="22"/>
          <w:szCs w:val="22"/>
        </w:rPr>
        <w:t xml:space="preserve">FIGURA 11. </w:t>
      </w:r>
      <w:r w:rsidRPr="00AD154C">
        <w:rPr>
          <w:rFonts w:ascii="Arial Narrow" w:hAnsi="Arial Narrow" w:cs="Arial"/>
          <w:b/>
          <w:color w:val="5F5F5F"/>
          <w:sz w:val="22"/>
          <w:szCs w:val="22"/>
        </w:rPr>
        <w:t>PREZZI ALL’IMPORTAZIONE PER SETTORE DI ATTIVITÀ ECONOMICA</w:t>
      </w:r>
    </w:p>
    <w:p w14:paraId="09D3F2D0" w14:textId="26E43444" w:rsidR="00192F43" w:rsidRDefault="00260582" w:rsidP="00275637">
      <w:pPr>
        <w:pStyle w:val="Corpodeltesto1"/>
        <w:spacing w:after="60"/>
        <w:jc w:val="left"/>
        <w:rPr>
          <w:noProof/>
        </w:rPr>
      </w:pPr>
      <w:r>
        <w:rPr>
          <w:rFonts w:ascii="Arial Narrow" w:hAnsi="Arial Narrow" w:cs="Arial"/>
          <w:b w:val="0"/>
          <w:color w:val="5F5F5F"/>
          <w:kern w:val="28"/>
          <w:sz w:val="20"/>
          <w:szCs w:val="20"/>
        </w:rPr>
        <w:t>Gennaio</w:t>
      </w:r>
      <w:r w:rsidRPr="00AD154C">
        <w:rPr>
          <w:rFonts w:ascii="Arial Narrow" w:hAnsi="Arial Narrow" w:cs="Arial"/>
          <w:b w:val="0"/>
          <w:color w:val="5F5F5F"/>
          <w:kern w:val="28"/>
          <w:sz w:val="20"/>
          <w:szCs w:val="20"/>
        </w:rPr>
        <w:t xml:space="preserve"> </w:t>
      </w:r>
      <w:r>
        <w:rPr>
          <w:rFonts w:ascii="Arial Narrow" w:hAnsi="Arial Narrow" w:cs="Arial"/>
          <w:b w:val="0"/>
          <w:color w:val="5F5F5F"/>
          <w:kern w:val="28"/>
          <w:sz w:val="20"/>
          <w:szCs w:val="20"/>
        </w:rPr>
        <w:t>2025</w:t>
      </w:r>
      <w:r w:rsidR="007A6B65" w:rsidRPr="00AD154C">
        <w:rPr>
          <w:rFonts w:ascii="Arial Narrow" w:hAnsi="Arial Narrow" w:cs="Arial"/>
          <w:b w:val="0"/>
          <w:color w:val="5F5F5F"/>
          <w:kern w:val="28"/>
          <w:sz w:val="20"/>
          <w:szCs w:val="20"/>
        </w:rPr>
        <w:t>, variazioni percentuali tendenziali (base 20</w:t>
      </w:r>
      <w:r w:rsidR="00851050" w:rsidRPr="00AD154C">
        <w:rPr>
          <w:rFonts w:ascii="Arial Narrow" w:hAnsi="Arial Narrow" w:cs="Arial"/>
          <w:b w:val="0"/>
          <w:color w:val="5F5F5F"/>
          <w:kern w:val="28"/>
          <w:sz w:val="20"/>
          <w:szCs w:val="20"/>
        </w:rPr>
        <w:t>21</w:t>
      </w:r>
      <w:r w:rsidR="007A6B65" w:rsidRPr="00AD154C">
        <w:rPr>
          <w:rFonts w:ascii="Arial Narrow" w:hAnsi="Arial Narrow" w:cs="Arial"/>
          <w:b w:val="0"/>
          <w:color w:val="5F5F5F"/>
          <w:kern w:val="28"/>
          <w:sz w:val="20"/>
          <w:szCs w:val="20"/>
        </w:rPr>
        <w:t>=100)</w:t>
      </w:r>
      <w:r w:rsidR="008D6828" w:rsidRPr="008D6828">
        <w:rPr>
          <w:noProof/>
        </w:rPr>
        <w:t xml:space="preserve"> </w:t>
      </w:r>
    </w:p>
    <w:p w14:paraId="485E317D" w14:textId="3C5311B2" w:rsidR="00AD154C" w:rsidRDefault="008114A4" w:rsidP="00275637">
      <w:pPr>
        <w:pStyle w:val="Corpodeltesto1"/>
        <w:spacing w:after="60"/>
        <w:jc w:val="left"/>
        <w:rPr>
          <w:noProof/>
        </w:rPr>
      </w:pPr>
      <w:r>
        <w:rPr>
          <w:noProof/>
        </w:rPr>
        <w:drawing>
          <wp:inline distT="0" distB="0" distL="0" distR="0" wp14:anchorId="59DABE4B" wp14:editId="26E01E65">
            <wp:extent cx="6660000" cy="2160000"/>
            <wp:effectExtent l="0" t="0" r="7620" b="0"/>
            <wp:docPr id="11" name="Grafico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14:paraId="3D9D4C6F" w14:textId="77777777" w:rsidR="00E05DFF" w:rsidRPr="00E05DFF" w:rsidRDefault="00E05DFF" w:rsidP="00E05DFF">
      <w:pPr>
        <w:jc w:val="both"/>
        <w:rPr>
          <w:rFonts w:ascii="Arial Narrow" w:hAnsi="Arial Narrow" w:cs="Arial"/>
          <w:color w:val="000000"/>
          <w:sz w:val="15"/>
          <w:szCs w:val="15"/>
        </w:rPr>
      </w:pPr>
      <w:r>
        <w:rPr>
          <w:rFonts w:ascii="Arial Narrow" w:hAnsi="Arial Narrow" w:cs="Calibri"/>
          <w:sz w:val="15"/>
          <w:szCs w:val="15"/>
        </w:rPr>
        <w:t>Codifiche</w:t>
      </w:r>
      <w:r>
        <w:rPr>
          <w:rFonts w:ascii="Arial Narrow" w:hAnsi="Arial Narrow"/>
          <w:sz w:val="15"/>
          <w:szCs w:val="15"/>
        </w:rPr>
        <w:t xml:space="preserve"> dei settori di attività economica</w:t>
      </w:r>
      <w:r w:rsidRPr="004D645B">
        <w:rPr>
          <w:rFonts w:ascii="Arial Narrow" w:hAnsi="Arial Narrow"/>
          <w:sz w:val="15"/>
          <w:szCs w:val="15"/>
        </w:rPr>
        <w:t>:</w:t>
      </w:r>
      <w:r w:rsidRPr="004D645B">
        <w:rPr>
          <w:rFonts w:ascii="Arial Narrow" w:hAnsi="Arial Narrow" w:cs="Calibri"/>
          <w:sz w:val="15"/>
          <w:szCs w:val="15"/>
        </w:rPr>
        <w:t xml:space="preserve"> </w:t>
      </w:r>
      <w:r>
        <w:rPr>
          <w:rFonts w:ascii="Arial Narrow" w:hAnsi="Arial Narrow" w:cs="Calibri"/>
          <w:sz w:val="15"/>
          <w:szCs w:val="15"/>
        </w:rPr>
        <w:t xml:space="preserve"> </w:t>
      </w:r>
      <w:r w:rsidRPr="00E05DFF">
        <w:rPr>
          <w:rFonts w:ascii="Arial Narrow" w:hAnsi="Arial Narrow" w:cs="Arial"/>
          <w:color w:val="000000"/>
          <w:sz w:val="15"/>
          <w:szCs w:val="15"/>
        </w:rPr>
        <w:t>CA - Industrie alimentari, bevande e tabacco; CB - Industrie tessili, abbigliamento, pelli e accessori; CC - Industria del legno, della carta e stampa; CD - Fabbricazione di coke e prodotti petroliferi raffinati; CE - Fabbricazione di prodotti chimici; CF - Produzione di prodotti farmaceutici di base e preparati farmaceutici; CG - Fabbricazione di articoli in gomma e materie plastiche, altri prodotti della lavorazione di minerali non metalliferi; CH - Metallurgia e fabbricazione di prodotti in metallo (esclusi macchine e impianti); CI - Fabbricazione di computer, prodotti di elettronica e ottica, apparecchi elettromedicali, apparecchi di misurazione e orologi; CJ - Fabbricazione di apparecchiature elettriche e apparecchiature per uso domestico non elettriche; CK - Fabbricazione di macchinari e attrezzature n.c.a.; CL - Fabbricazione di mezzi di trasporto; CM - Altre industrie manifatturiere, riparazione e installazione di macchine e apparecchiature.</w:t>
      </w:r>
    </w:p>
    <w:p w14:paraId="568A1D7C" w14:textId="77777777" w:rsidR="00123742" w:rsidRPr="00505B4F" w:rsidRDefault="00123742" w:rsidP="00391ADB">
      <w:pPr>
        <w:jc w:val="both"/>
        <w:rPr>
          <w:rFonts w:ascii="Arial" w:hAnsi="Arial" w:cs="Arial"/>
          <w:color w:val="000000"/>
          <w:sz w:val="6"/>
          <w:szCs w:val="16"/>
        </w:rPr>
      </w:pPr>
    </w:p>
    <w:p w14:paraId="0B99FA23" w14:textId="334619F9" w:rsidR="00DF597A" w:rsidRDefault="00DF597A" w:rsidP="00A84F05">
      <w:pPr>
        <w:jc w:val="both"/>
        <w:rPr>
          <w:rFonts w:ascii="Arial" w:hAnsi="Arial" w:cs="Arial"/>
          <w:color w:val="000000"/>
          <w:sz w:val="21"/>
          <w:szCs w:val="21"/>
        </w:rPr>
      </w:pPr>
    </w:p>
    <w:p w14:paraId="4B62988D" w14:textId="6DECDDF5" w:rsidR="00C933EF" w:rsidRDefault="00C933EF" w:rsidP="00A84F05">
      <w:pPr>
        <w:jc w:val="both"/>
        <w:rPr>
          <w:rFonts w:ascii="Arial" w:hAnsi="Arial" w:cs="Arial"/>
          <w:color w:val="000000"/>
          <w:sz w:val="21"/>
          <w:szCs w:val="21"/>
        </w:rPr>
      </w:pPr>
    </w:p>
    <w:p w14:paraId="330BE2D6" w14:textId="1F5A2133" w:rsidR="00C44538" w:rsidRDefault="00C44538" w:rsidP="00A84F05">
      <w:pPr>
        <w:jc w:val="both"/>
        <w:rPr>
          <w:rFonts w:ascii="Arial" w:hAnsi="Arial" w:cs="Arial"/>
          <w:color w:val="000000"/>
          <w:sz w:val="21"/>
          <w:szCs w:val="21"/>
        </w:rPr>
      </w:pPr>
    </w:p>
    <w:p w14:paraId="5BFB05AC" w14:textId="77777777" w:rsidR="001950A9" w:rsidRDefault="001950A9" w:rsidP="004F0962">
      <w:pPr>
        <w:jc w:val="both"/>
        <w:rPr>
          <w:rFonts w:ascii="Arial" w:hAnsi="Arial" w:cs="Arial"/>
          <w:sz w:val="21"/>
          <w:szCs w:val="21"/>
        </w:rPr>
      </w:pPr>
    </w:p>
    <w:p w14:paraId="0E21761F" w14:textId="77777777" w:rsidR="00093A74" w:rsidRDefault="00093A74" w:rsidP="00093A74">
      <w:pPr>
        <w:jc w:val="both"/>
        <w:rPr>
          <w:rFonts w:ascii="Arial" w:hAnsi="Arial" w:cs="Arial"/>
          <w:sz w:val="21"/>
          <w:szCs w:val="21"/>
        </w:rPr>
      </w:pPr>
    </w:p>
    <w:p w14:paraId="3A4D2B2F" w14:textId="77777777" w:rsidR="00E96B7E" w:rsidRPr="001440C3" w:rsidRDefault="00E96B7E" w:rsidP="00E96B7E">
      <w:pPr>
        <w:jc w:val="both"/>
        <w:rPr>
          <w:rFonts w:ascii="Arial" w:hAnsi="Arial" w:cs="Arial"/>
          <w:sz w:val="21"/>
          <w:szCs w:val="21"/>
        </w:rPr>
      </w:pPr>
      <w:r>
        <w:rPr>
          <w:rFonts w:ascii="Arial" w:hAnsi="Arial" w:cs="Arial"/>
          <w:sz w:val="21"/>
          <w:szCs w:val="21"/>
        </w:rPr>
        <w:t>Per il com</w:t>
      </w:r>
      <w:r w:rsidRPr="0070779A">
        <w:rPr>
          <w:rFonts w:ascii="Arial" w:hAnsi="Arial" w:cs="Arial"/>
          <w:sz w:val="21"/>
          <w:szCs w:val="21"/>
        </w:rPr>
        <w:t>parto manifatturiero,</w:t>
      </w:r>
      <w:r>
        <w:rPr>
          <w:rFonts w:ascii="Arial" w:hAnsi="Arial" w:cs="Arial"/>
          <w:sz w:val="21"/>
          <w:szCs w:val="21"/>
        </w:rPr>
        <w:t xml:space="preserve"> gli incrementi tendenziali più marcati riguardano i settori: </w:t>
      </w:r>
      <w:r w:rsidRPr="0070779A">
        <w:rPr>
          <w:rFonts w:ascii="Arial" w:hAnsi="Arial" w:cs="Arial"/>
          <w:sz w:val="21"/>
          <w:szCs w:val="21"/>
        </w:rPr>
        <w:t>metallurgia e fabbric</w:t>
      </w:r>
      <w:r>
        <w:rPr>
          <w:rFonts w:ascii="Arial" w:hAnsi="Arial" w:cs="Arial"/>
          <w:sz w:val="21"/>
          <w:szCs w:val="21"/>
        </w:rPr>
        <w:t>azione di prodotti in metallo, esclusi macchine e impianti (+2,7% Area euro, +9,8</w:t>
      </w:r>
      <w:r w:rsidRPr="0070779A">
        <w:rPr>
          <w:rFonts w:ascii="Arial" w:hAnsi="Arial" w:cs="Arial"/>
          <w:sz w:val="21"/>
          <w:szCs w:val="21"/>
        </w:rPr>
        <w:t>% Area non euro</w:t>
      </w:r>
      <w:r>
        <w:rPr>
          <w:rFonts w:ascii="Arial" w:hAnsi="Arial" w:cs="Arial"/>
          <w:sz w:val="21"/>
          <w:szCs w:val="21"/>
        </w:rPr>
        <w:t xml:space="preserve">), </w:t>
      </w:r>
      <w:r w:rsidRPr="0070779A">
        <w:rPr>
          <w:rFonts w:ascii="Arial" w:hAnsi="Arial" w:cs="Arial"/>
          <w:sz w:val="21"/>
          <w:szCs w:val="21"/>
        </w:rPr>
        <w:t xml:space="preserve">industria del legno, della carta e stampa </w:t>
      </w:r>
      <w:r>
        <w:rPr>
          <w:rFonts w:ascii="Arial" w:hAnsi="Arial" w:cs="Arial"/>
          <w:sz w:val="21"/>
          <w:szCs w:val="21"/>
        </w:rPr>
        <w:t>(+1,8% Area euro, +3,9</w:t>
      </w:r>
      <w:r w:rsidRPr="0070779A">
        <w:rPr>
          <w:rFonts w:ascii="Arial" w:hAnsi="Arial" w:cs="Arial"/>
          <w:sz w:val="21"/>
          <w:szCs w:val="21"/>
        </w:rPr>
        <w:t>% Area non euro</w:t>
      </w:r>
      <w:r>
        <w:rPr>
          <w:rFonts w:ascii="Arial" w:hAnsi="Arial" w:cs="Arial"/>
          <w:sz w:val="21"/>
          <w:szCs w:val="21"/>
        </w:rPr>
        <w:t>) e industrie alimentari,</w:t>
      </w:r>
      <w:r w:rsidRPr="00AB4744">
        <w:rPr>
          <w:rFonts w:ascii="Arial" w:hAnsi="Arial" w:cs="Arial"/>
          <w:sz w:val="21"/>
          <w:szCs w:val="21"/>
        </w:rPr>
        <w:t xml:space="preserve"> bevande e tabacco</w:t>
      </w:r>
      <w:r>
        <w:rPr>
          <w:rFonts w:ascii="Arial" w:hAnsi="Arial" w:cs="Arial"/>
          <w:sz w:val="21"/>
          <w:szCs w:val="21"/>
        </w:rPr>
        <w:t xml:space="preserve"> (+2,1</w:t>
      </w:r>
      <w:r w:rsidRPr="0070779A">
        <w:rPr>
          <w:rFonts w:ascii="Arial" w:hAnsi="Arial" w:cs="Arial"/>
          <w:sz w:val="21"/>
          <w:szCs w:val="21"/>
        </w:rPr>
        <w:t>% Area non euro</w:t>
      </w:r>
      <w:r>
        <w:rPr>
          <w:rFonts w:ascii="Arial" w:hAnsi="Arial" w:cs="Arial"/>
          <w:sz w:val="21"/>
          <w:szCs w:val="21"/>
        </w:rPr>
        <w:t>).</w:t>
      </w:r>
    </w:p>
    <w:p w14:paraId="1FD1F545" w14:textId="7D3CB86C" w:rsidR="00093A74" w:rsidRDefault="00E96B7E" w:rsidP="00E96B7E">
      <w:pPr>
        <w:jc w:val="both"/>
        <w:rPr>
          <w:rFonts w:ascii="Arial" w:hAnsi="Arial" w:cs="Arial"/>
          <w:sz w:val="21"/>
          <w:szCs w:val="21"/>
        </w:rPr>
      </w:pPr>
      <w:r>
        <w:rPr>
          <w:rFonts w:ascii="Arial" w:hAnsi="Arial" w:cs="Arial"/>
          <w:sz w:val="21"/>
          <w:szCs w:val="21"/>
        </w:rPr>
        <w:t>Le flessioni tendenziali pi</w:t>
      </w:r>
      <w:r w:rsidRPr="0070779A">
        <w:rPr>
          <w:rFonts w:ascii="Arial" w:hAnsi="Arial" w:cs="Arial"/>
          <w:sz w:val="21"/>
          <w:szCs w:val="21"/>
        </w:rPr>
        <w:t xml:space="preserve">ù </w:t>
      </w:r>
      <w:r>
        <w:rPr>
          <w:rFonts w:ascii="Arial" w:hAnsi="Arial" w:cs="Arial"/>
          <w:sz w:val="21"/>
          <w:szCs w:val="21"/>
        </w:rPr>
        <w:t>ampie</w:t>
      </w:r>
      <w:r w:rsidRPr="0070779A">
        <w:rPr>
          <w:rFonts w:ascii="Arial" w:hAnsi="Arial" w:cs="Arial"/>
          <w:sz w:val="21"/>
          <w:szCs w:val="21"/>
        </w:rPr>
        <w:t xml:space="preserve"> </w:t>
      </w:r>
      <w:r>
        <w:rPr>
          <w:rFonts w:ascii="Arial" w:hAnsi="Arial" w:cs="Arial"/>
          <w:sz w:val="21"/>
          <w:szCs w:val="21"/>
        </w:rPr>
        <w:t>si registrano, invece, per i settori produzione di prodotti farmaceutici di base e preparati farmaceutici (-3,4% Area euro), industrie alimentari</w:t>
      </w:r>
      <w:r w:rsidRPr="00AB4744">
        <w:rPr>
          <w:rFonts w:ascii="Arial" w:hAnsi="Arial" w:cs="Arial"/>
          <w:sz w:val="21"/>
          <w:szCs w:val="21"/>
        </w:rPr>
        <w:t xml:space="preserve"> bevande e tabacco</w:t>
      </w:r>
      <w:r>
        <w:rPr>
          <w:rFonts w:ascii="Arial" w:hAnsi="Arial" w:cs="Arial"/>
          <w:sz w:val="21"/>
          <w:szCs w:val="21"/>
        </w:rPr>
        <w:t xml:space="preserve"> (-3,2% Area </w:t>
      </w:r>
      <w:r w:rsidRPr="0070779A">
        <w:rPr>
          <w:rFonts w:ascii="Arial" w:hAnsi="Arial" w:cs="Arial"/>
          <w:sz w:val="21"/>
          <w:szCs w:val="21"/>
        </w:rPr>
        <w:t>euro</w:t>
      </w:r>
      <w:r>
        <w:rPr>
          <w:rFonts w:ascii="Arial" w:hAnsi="Arial" w:cs="Arial"/>
          <w:sz w:val="21"/>
          <w:szCs w:val="21"/>
        </w:rPr>
        <w:t>), f</w:t>
      </w:r>
      <w:r w:rsidRPr="00AB4744">
        <w:rPr>
          <w:rFonts w:ascii="Arial" w:hAnsi="Arial" w:cs="Arial"/>
          <w:sz w:val="21"/>
          <w:szCs w:val="21"/>
        </w:rPr>
        <w:t>abbricazione di mezzi di trasporto</w:t>
      </w:r>
      <w:r>
        <w:rPr>
          <w:rFonts w:ascii="Arial" w:hAnsi="Arial" w:cs="Arial"/>
          <w:sz w:val="21"/>
          <w:szCs w:val="21"/>
        </w:rPr>
        <w:t xml:space="preserve"> (-2,9</w:t>
      </w:r>
      <w:r w:rsidRPr="0070779A">
        <w:rPr>
          <w:rFonts w:ascii="Arial" w:hAnsi="Arial" w:cs="Arial"/>
          <w:sz w:val="21"/>
          <w:szCs w:val="21"/>
        </w:rPr>
        <w:t>% Area non euro</w:t>
      </w:r>
      <w:r>
        <w:rPr>
          <w:rFonts w:ascii="Arial" w:hAnsi="Arial" w:cs="Arial"/>
          <w:sz w:val="21"/>
          <w:szCs w:val="21"/>
        </w:rPr>
        <w:t>) e f</w:t>
      </w:r>
      <w:r w:rsidRPr="00C14F8A">
        <w:rPr>
          <w:rFonts w:ascii="Arial" w:hAnsi="Arial" w:cs="Arial"/>
          <w:sz w:val="21"/>
          <w:szCs w:val="21"/>
        </w:rPr>
        <w:t>abbricazione di computer, prodotti di elettronica e ottica, apparecchi elettromedicali, apparecchi di misurazione e orologi</w:t>
      </w:r>
      <w:r>
        <w:rPr>
          <w:rFonts w:ascii="Arial" w:hAnsi="Arial" w:cs="Arial"/>
          <w:sz w:val="21"/>
          <w:szCs w:val="21"/>
        </w:rPr>
        <w:t xml:space="preserve"> (-2,3% Area euro, -2,2</w:t>
      </w:r>
      <w:r w:rsidRPr="0070779A">
        <w:rPr>
          <w:rFonts w:ascii="Arial" w:hAnsi="Arial" w:cs="Arial"/>
          <w:sz w:val="21"/>
          <w:szCs w:val="21"/>
        </w:rPr>
        <w:t>% Area non euro</w:t>
      </w:r>
      <w:r>
        <w:rPr>
          <w:rFonts w:ascii="Arial" w:hAnsi="Arial" w:cs="Arial"/>
          <w:sz w:val="21"/>
          <w:szCs w:val="21"/>
        </w:rPr>
        <w:t>).</w:t>
      </w:r>
    </w:p>
    <w:p w14:paraId="66B1C8F3" w14:textId="75A80FBF" w:rsidR="00CA08B9" w:rsidRPr="001440C3" w:rsidRDefault="00CA08B9" w:rsidP="00CA08B9">
      <w:pPr>
        <w:jc w:val="both"/>
        <w:rPr>
          <w:rFonts w:ascii="Arial" w:hAnsi="Arial" w:cs="Arial"/>
          <w:sz w:val="21"/>
          <w:szCs w:val="21"/>
        </w:rPr>
      </w:pPr>
    </w:p>
    <w:p w14:paraId="34E813F3" w14:textId="1D3A258F" w:rsidR="0025392A" w:rsidRPr="001C0685" w:rsidRDefault="0025392A" w:rsidP="001C0685">
      <w:pPr>
        <w:jc w:val="both"/>
        <w:rPr>
          <w:rFonts w:ascii="Arial" w:hAnsi="Arial" w:cs="Arial"/>
          <w:sz w:val="21"/>
          <w:szCs w:val="21"/>
        </w:rPr>
        <w:sectPr w:rsidR="0025392A" w:rsidRPr="001C0685" w:rsidSect="00F01533">
          <w:headerReference w:type="default" r:id="rId40"/>
          <w:pgSz w:w="11907" w:h="16840" w:code="9"/>
          <w:pgMar w:top="1534" w:right="851" w:bottom="680" w:left="851" w:header="567" w:footer="567" w:gutter="0"/>
          <w:cols w:space="720"/>
          <w:noEndnote/>
          <w:docGrid w:linePitch="272"/>
        </w:sectPr>
      </w:pPr>
    </w:p>
    <w:p w14:paraId="470F3E4E" w14:textId="77777777" w:rsidR="00FE069A" w:rsidRDefault="00FE069A" w:rsidP="00010C7B">
      <w:pPr>
        <w:ind w:right="57"/>
        <w:jc w:val="both"/>
        <w:rPr>
          <w:rFonts w:ascii="Arial Narrow" w:hAnsi="Arial Narrow" w:cs="Arial"/>
          <w:b/>
          <w:color w:val="E42618"/>
          <w:sz w:val="22"/>
          <w:szCs w:val="22"/>
        </w:rPr>
      </w:pPr>
    </w:p>
    <w:p w14:paraId="2ED61B6A" w14:textId="55CC47BB" w:rsidR="007E417B" w:rsidRPr="00AD4483" w:rsidRDefault="007E417B" w:rsidP="007E417B">
      <w:pPr>
        <w:ind w:right="57"/>
        <w:jc w:val="both"/>
        <w:rPr>
          <w:rFonts w:ascii="Arial Narrow" w:hAnsi="Arial Narrow" w:cs="Arial"/>
          <w:b/>
          <w:color w:val="5F5F5F"/>
          <w:sz w:val="22"/>
          <w:szCs w:val="22"/>
        </w:rPr>
      </w:pPr>
      <w:r w:rsidRPr="00AD4483">
        <w:rPr>
          <w:rFonts w:ascii="Arial Narrow" w:hAnsi="Arial Narrow" w:cs="Arial"/>
          <w:b/>
          <w:color w:val="E42618"/>
          <w:sz w:val="22"/>
          <w:szCs w:val="22"/>
        </w:rPr>
        <w:t xml:space="preserve">PROSPETTO </w:t>
      </w:r>
      <w:r w:rsidR="00221C0F">
        <w:rPr>
          <w:rFonts w:ascii="Arial Narrow" w:hAnsi="Arial Narrow" w:cs="Arial"/>
          <w:b/>
          <w:color w:val="E42618"/>
          <w:sz w:val="22"/>
          <w:szCs w:val="22"/>
        </w:rPr>
        <w:t>6</w:t>
      </w:r>
      <w:r>
        <w:rPr>
          <w:rFonts w:ascii="Arial Narrow" w:hAnsi="Arial Narrow" w:cs="Arial"/>
          <w:b/>
          <w:color w:val="E42618"/>
          <w:sz w:val="22"/>
          <w:szCs w:val="22"/>
        </w:rPr>
        <w:t>.</w:t>
      </w:r>
      <w:r w:rsidRPr="00AD4483">
        <w:rPr>
          <w:rFonts w:ascii="Arial Narrow" w:hAnsi="Arial Narrow" w:cs="Arial"/>
          <w:b/>
          <w:color w:val="5F5F5F"/>
        </w:rPr>
        <w:t xml:space="preserve"> </w:t>
      </w:r>
      <w:r w:rsidRPr="00AD4483">
        <w:rPr>
          <w:rFonts w:ascii="Arial Narrow" w:hAnsi="Arial Narrow" w:cs="Arial"/>
          <w:b/>
          <w:color w:val="5F5F5F"/>
          <w:sz w:val="22"/>
          <w:szCs w:val="22"/>
        </w:rPr>
        <w:t>ESPORTAZIONI E IMPORTAZIONI DI MERCI IN VALORE</w:t>
      </w:r>
    </w:p>
    <w:p w14:paraId="66E68C9E" w14:textId="51A3C10A" w:rsidR="007E417B" w:rsidRPr="00FF4F6A" w:rsidRDefault="00260582" w:rsidP="007E417B">
      <w:pPr>
        <w:pStyle w:val="Corpodeltesto1"/>
        <w:spacing w:after="120"/>
        <w:jc w:val="left"/>
        <w:rPr>
          <w:rFonts w:ascii="Arial Narrow" w:hAnsi="Arial Narrow" w:cs="Arial"/>
          <w:b w:val="0"/>
          <w:color w:val="5F5F5F"/>
          <w:kern w:val="28"/>
          <w:sz w:val="20"/>
          <w:szCs w:val="20"/>
        </w:rPr>
      </w:pPr>
      <w:r>
        <w:rPr>
          <w:rFonts w:ascii="Arial Narrow" w:hAnsi="Arial Narrow" w:cs="Arial"/>
          <w:b w:val="0"/>
          <w:color w:val="5F5F5F"/>
          <w:kern w:val="28"/>
          <w:sz w:val="20"/>
          <w:szCs w:val="20"/>
        </w:rPr>
        <w:t>Gennaio 2025</w:t>
      </w:r>
      <w:r w:rsidR="00C13F97" w:rsidRPr="00192F43">
        <w:rPr>
          <w:rFonts w:ascii="Arial Narrow" w:hAnsi="Arial Narrow" w:cs="Arial"/>
          <w:b w:val="0"/>
          <w:color w:val="5F5F5F"/>
          <w:kern w:val="28"/>
          <w:sz w:val="20"/>
          <w:szCs w:val="20"/>
        </w:rPr>
        <w:t xml:space="preserve"> </w:t>
      </w:r>
      <w:r w:rsidR="000D31F1">
        <w:rPr>
          <w:rFonts w:ascii="Arial Narrow" w:hAnsi="Arial Narrow" w:cs="Arial"/>
          <w:b w:val="0"/>
          <w:color w:val="5F5F5F"/>
          <w:kern w:val="28"/>
          <w:sz w:val="20"/>
          <w:szCs w:val="20"/>
        </w:rPr>
        <w:t xml:space="preserve">e </w:t>
      </w:r>
      <w:r>
        <w:rPr>
          <w:rFonts w:ascii="Arial Narrow" w:hAnsi="Arial Narrow" w:cs="Arial"/>
          <w:b w:val="0"/>
          <w:color w:val="5F5F5F"/>
          <w:kern w:val="28"/>
          <w:sz w:val="20"/>
          <w:szCs w:val="20"/>
        </w:rPr>
        <w:t>dicembre</w:t>
      </w:r>
      <w:r w:rsidR="00134EEC" w:rsidRPr="00275637">
        <w:rPr>
          <w:rFonts w:ascii="Arial Narrow" w:hAnsi="Arial Narrow" w:cs="Arial"/>
          <w:b w:val="0"/>
          <w:color w:val="5F5F5F"/>
          <w:kern w:val="28"/>
          <w:sz w:val="20"/>
          <w:szCs w:val="20"/>
        </w:rPr>
        <w:t xml:space="preserve"> </w:t>
      </w:r>
      <w:r w:rsidR="00E31B50">
        <w:rPr>
          <w:rFonts w:ascii="Arial Narrow" w:hAnsi="Arial Narrow" w:cs="Arial"/>
          <w:b w:val="0"/>
          <w:color w:val="5F5F5F"/>
          <w:kern w:val="28"/>
          <w:sz w:val="20"/>
          <w:szCs w:val="20"/>
        </w:rPr>
        <w:t>202</w:t>
      </w:r>
      <w:r w:rsidR="00136D31">
        <w:rPr>
          <w:rFonts w:ascii="Arial Narrow" w:hAnsi="Arial Narrow" w:cs="Arial"/>
          <w:b w:val="0"/>
          <w:color w:val="5F5F5F"/>
          <w:kern w:val="28"/>
          <w:sz w:val="20"/>
          <w:szCs w:val="20"/>
        </w:rPr>
        <w:t>4</w:t>
      </w:r>
      <w:r w:rsidR="007E417B" w:rsidRPr="00AD4483">
        <w:rPr>
          <w:rFonts w:ascii="Arial Narrow" w:hAnsi="Arial Narrow" w:cs="Arial"/>
          <w:b w:val="0"/>
          <w:color w:val="5F5F5F"/>
          <w:kern w:val="28"/>
          <w:sz w:val="20"/>
          <w:szCs w:val="20"/>
        </w:rPr>
        <w:t>, revisioni delle variazioni percentuali, differenze in punti percentuali</w:t>
      </w:r>
    </w:p>
    <w:tbl>
      <w:tblPr>
        <w:tblW w:w="10206" w:type="dxa"/>
        <w:tblBorders>
          <w:top w:val="single" w:sz="4" w:space="0" w:color="333333"/>
          <w:bottom w:val="single" w:sz="4" w:space="0" w:color="333333"/>
          <w:insideH w:val="single" w:sz="4" w:space="0" w:color="333333"/>
        </w:tblBorders>
        <w:tblLook w:val="01E0" w:firstRow="1" w:lastRow="1" w:firstColumn="1" w:lastColumn="1" w:noHBand="0" w:noVBand="0"/>
      </w:tblPr>
      <w:tblGrid>
        <w:gridCol w:w="1458"/>
        <w:gridCol w:w="1456"/>
        <w:gridCol w:w="1456"/>
        <w:gridCol w:w="1410"/>
        <w:gridCol w:w="1531"/>
        <w:gridCol w:w="1426"/>
        <w:gridCol w:w="1469"/>
      </w:tblGrid>
      <w:tr w:rsidR="007E417B" w:rsidRPr="001C01EA" w14:paraId="0D68C3D0" w14:textId="77777777" w:rsidTr="007E417B">
        <w:trPr>
          <w:trHeight w:val="255"/>
        </w:trPr>
        <w:tc>
          <w:tcPr>
            <w:tcW w:w="1458" w:type="dxa"/>
            <w:tcBorders>
              <w:bottom w:val="nil"/>
            </w:tcBorders>
            <w:shd w:val="clear" w:color="auto" w:fill="auto"/>
            <w:vAlign w:val="center"/>
          </w:tcPr>
          <w:p w14:paraId="35AD84CE" w14:textId="77777777" w:rsidR="007E417B" w:rsidRPr="001C01EA" w:rsidRDefault="007E417B" w:rsidP="007E417B">
            <w:pPr>
              <w:spacing w:before="40" w:after="20"/>
              <w:ind w:firstLine="142"/>
              <w:jc w:val="center"/>
              <w:rPr>
                <w:rFonts w:ascii="Arial Narrow" w:hAnsi="Arial Narrow" w:cs="Arial"/>
                <w:b/>
                <w:bCs/>
                <w:sz w:val="18"/>
                <w:szCs w:val="18"/>
              </w:rPr>
            </w:pPr>
          </w:p>
        </w:tc>
        <w:tc>
          <w:tcPr>
            <w:tcW w:w="2912" w:type="dxa"/>
            <w:gridSpan w:val="2"/>
            <w:tcBorders>
              <w:bottom w:val="single" w:sz="4" w:space="0" w:color="333333"/>
            </w:tcBorders>
            <w:shd w:val="clear" w:color="auto" w:fill="E6E6E6"/>
            <w:vAlign w:val="center"/>
          </w:tcPr>
          <w:p w14:paraId="5CCCB2E4" w14:textId="77777777" w:rsidR="007E417B" w:rsidRPr="001C01EA" w:rsidRDefault="007E417B" w:rsidP="007E417B">
            <w:pPr>
              <w:spacing w:before="40" w:after="20"/>
              <w:ind w:firstLine="142"/>
              <w:jc w:val="center"/>
              <w:rPr>
                <w:rFonts w:ascii="Arial Narrow" w:hAnsi="Arial Narrow" w:cs="Arial"/>
                <w:b/>
                <w:bCs/>
                <w:sz w:val="18"/>
                <w:szCs w:val="18"/>
              </w:rPr>
            </w:pPr>
            <w:r w:rsidRPr="001C01EA">
              <w:rPr>
                <w:rFonts w:ascii="Arial Narrow" w:hAnsi="Arial Narrow" w:cs="Arial"/>
                <w:b/>
                <w:bCs/>
                <w:sz w:val="18"/>
                <w:szCs w:val="18"/>
              </w:rPr>
              <w:t>Mondo</w:t>
            </w:r>
          </w:p>
        </w:tc>
        <w:tc>
          <w:tcPr>
            <w:tcW w:w="2941" w:type="dxa"/>
            <w:gridSpan w:val="2"/>
            <w:tcBorders>
              <w:bottom w:val="single" w:sz="4" w:space="0" w:color="333333"/>
            </w:tcBorders>
            <w:vAlign w:val="center"/>
          </w:tcPr>
          <w:p w14:paraId="33F7CFC9" w14:textId="77777777" w:rsidR="007E417B" w:rsidRPr="001C01EA" w:rsidRDefault="007E417B" w:rsidP="007E417B">
            <w:pPr>
              <w:spacing w:before="40" w:after="20"/>
              <w:jc w:val="center"/>
              <w:rPr>
                <w:rFonts w:ascii="Arial Narrow" w:hAnsi="Arial Narrow" w:cs="Arial"/>
                <w:b/>
                <w:bCs/>
                <w:sz w:val="18"/>
                <w:szCs w:val="18"/>
              </w:rPr>
            </w:pPr>
            <w:r w:rsidRPr="001C01EA">
              <w:rPr>
                <w:rFonts w:ascii="Arial Narrow" w:hAnsi="Arial Narrow" w:cs="Arial"/>
                <w:b/>
                <w:bCs/>
                <w:sz w:val="18"/>
                <w:szCs w:val="18"/>
              </w:rPr>
              <w:t xml:space="preserve">Paesi </w:t>
            </w:r>
            <w:r w:rsidRPr="00C00E9F">
              <w:rPr>
                <w:rFonts w:ascii="Arial Narrow" w:hAnsi="Arial Narrow" w:cs="Arial"/>
                <w:b/>
                <w:bCs/>
                <w:sz w:val="18"/>
                <w:szCs w:val="18"/>
              </w:rPr>
              <w:t xml:space="preserve">Ue27 </w:t>
            </w:r>
          </w:p>
        </w:tc>
        <w:tc>
          <w:tcPr>
            <w:tcW w:w="2895" w:type="dxa"/>
            <w:gridSpan w:val="2"/>
            <w:tcBorders>
              <w:bottom w:val="single" w:sz="4" w:space="0" w:color="333333"/>
            </w:tcBorders>
            <w:shd w:val="clear" w:color="auto" w:fill="E6E6E6"/>
            <w:vAlign w:val="center"/>
          </w:tcPr>
          <w:p w14:paraId="44EB2EA2" w14:textId="6D405AF6" w:rsidR="007E417B" w:rsidRPr="001C01EA" w:rsidRDefault="007E417B" w:rsidP="007E417B">
            <w:pPr>
              <w:spacing w:before="40" w:after="20"/>
              <w:jc w:val="center"/>
              <w:rPr>
                <w:rFonts w:ascii="Arial Narrow" w:hAnsi="Arial Narrow" w:cs="Arial"/>
                <w:b/>
                <w:bCs/>
                <w:sz w:val="18"/>
                <w:szCs w:val="18"/>
              </w:rPr>
            </w:pPr>
            <w:r w:rsidRPr="001C01EA">
              <w:rPr>
                <w:rFonts w:ascii="Arial Narrow" w:hAnsi="Arial Narrow" w:cs="Arial"/>
                <w:b/>
                <w:bCs/>
                <w:sz w:val="18"/>
                <w:szCs w:val="18"/>
              </w:rPr>
              <w:t>Paesi extra Ue</w:t>
            </w:r>
            <w:r>
              <w:rPr>
                <w:rFonts w:ascii="Arial Narrow" w:hAnsi="Arial Narrow" w:cs="Arial"/>
                <w:b/>
                <w:bCs/>
                <w:sz w:val="18"/>
                <w:szCs w:val="18"/>
              </w:rPr>
              <w:t>27</w:t>
            </w:r>
          </w:p>
        </w:tc>
      </w:tr>
      <w:tr w:rsidR="007E417B" w:rsidRPr="001C01EA" w14:paraId="1F0A2C51" w14:textId="77777777" w:rsidTr="007E417B">
        <w:trPr>
          <w:trHeight w:val="255"/>
        </w:trPr>
        <w:tc>
          <w:tcPr>
            <w:tcW w:w="1458" w:type="dxa"/>
            <w:tcBorders>
              <w:top w:val="nil"/>
              <w:bottom w:val="nil"/>
            </w:tcBorders>
            <w:shd w:val="clear" w:color="auto" w:fill="auto"/>
            <w:vAlign w:val="center"/>
          </w:tcPr>
          <w:p w14:paraId="072CB691" w14:textId="77777777" w:rsidR="007E417B" w:rsidRPr="001C01EA" w:rsidRDefault="007E417B" w:rsidP="007E417B">
            <w:pPr>
              <w:spacing w:before="40" w:after="20"/>
              <w:jc w:val="center"/>
              <w:rPr>
                <w:rFonts w:ascii="Arial Narrow" w:hAnsi="Arial Narrow" w:cs="Arial"/>
                <w:bCs/>
                <w:sz w:val="18"/>
                <w:szCs w:val="18"/>
              </w:rPr>
            </w:pPr>
          </w:p>
        </w:tc>
        <w:tc>
          <w:tcPr>
            <w:tcW w:w="1456" w:type="dxa"/>
            <w:shd w:val="clear" w:color="auto" w:fill="E6E6E6"/>
            <w:vAlign w:val="center"/>
          </w:tcPr>
          <w:p w14:paraId="59648E66" w14:textId="77777777" w:rsidR="007E417B" w:rsidRPr="001C01EA" w:rsidRDefault="007E417B" w:rsidP="007E417B">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456" w:type="dxa"/>
            <w:vAlign w:val="center"/>
          </w:tcPr>
          <w:p w14:paraId="01B7C1F7" w14:textId="77777777" w:rsidR="007E417B" w:rsidRPr="001C01EA" w:rsidRDefault="007E417B" w:rsidP="007E417B">
            <w:pPr>
              <w:spacing w:before="40" w:after="20"/>
              <w:jc w:val="center"/>
              <w:rPr>
                <w:rFonts w:ascii="Arial Narrow" w:hAnsi="Arial Narrow" w:cs="Arial"/>
                <w:bCs/>
                <w:sz w:val="18"/>
                <w:szCs w:val="18"/>
              </w:rPr>
            </w:pPr>
            <w:r>
              <w:rPr>
                <w:rFonts w:ascii="Arial Narrow" w:hAnsi="Arial Narrow" w:cs="Arial"/>
                <w:bCs/>
                <w:sz w:val="18"/>
                <w:szCs w:val="18"/>
              </w:rPr>
              <w:t>Congiunturali</w:t>
            </w:r>
          </w:p>
        </w:tc>
        <w:tc>
          <w:tcPr>
            <w:tcW w:w="1410" w:type="dxa"/>
            <w:shd w:val="clear" w:color="auto" w:fill="E6E6E6"/>
            <w:vAlign w:val="center"/>
          </w:tcPr>
          <w:p w14:paraId="0198CB38" w14:textId="77777777" w:rsidR="007E417B" w:rsidRPr="001C01EA" w:rsidRDefault="007E417B" w:rsidP="007E417B">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531" w:type="dxa"/>
            <w:vAlign w:val="center"/>
          </w:tcPr>
          <w:p w14:paraId="5DB8D672" w14:textId="77777777" w:rsidR="007E417B" w:rsidRPr="001C01EA" w:rsidRDefault="007E417B" w:rsidP="007E417B">
            <w:pPr>
              <w:spacing w:before="40" w:after="20"/>
              <w:jc w:val="center"/>
              <w:rPr>
                <w:rFonts w:ascii="Arial Narrow" w:hAnsi="Arial Narrow" w:cs="Arial"/>
                <w:bCs/>
                <w:sz w:val="18"/>
                <w:szCs w:val="18"/>
              </w:rPr>
            </w:pPr>
            <w:r>
              <w:rPr>
                <w:rFonts w:ascii="Arial Narrow" w:hAnsi="Arial Narrow" w:cs="Arial"/>
                <w:bCs/>
                <w:sz w:val="18"/>
                <w:szCs w:val="18"/>
              </w:rPr>
              <w:t>Congiunturali</w:t>
            </w:r>
          </w:p>
        </w:tc>
        <w:tc>
          <w:tcPr>
            <w:tcW w:w="1426" w:type="dxa"/>
            <w:shd w:val="clear" w:color="auto" w:fill="E6E6E6"/>
            <w:vAlign w:val="center"/>
          </w:tcPr>
          <w:p w14:paraId="1707BF9C" w14:textId="77777777" w:rsidR="007E417B" w:rsidRPr="001C01EA" w:rsidRDefault="007E417B" w:rsidP="007E417B">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469" w:type="dxa"/>
            <w:vAlign w:val="center"/>
          </w:tcPr>
          <w:p w14:paraId="1F4E6F22" w14:textId="2867D6C1" w:rsidR="007E417B" w:rsidRPr="001C01EA" w:rsidRDefault="007E417B" w:rsidP="00880D62">
            <w:pPr>
              <w:spacing w:before="40" w:after="20"/>
              <w:jc w:val="center"/>
              <w:rPr>
                <w:rFonts w:ascii="Arial Narrow" w:hAnsi="Arial Narrow" w:cs="Arial"/>
                <w:bCs/>
                <w:sz w:val="18"/>
                <w:szCs w:val="18"/>
              </w:rPr>
            </w:pPr>
            <w:r>
              <w:rPr>
                <w:rFonts w:ascii="Arial Narrow" w:hAnsi="Arial Narrow" w:cs="Arial"/>
                <w:bCs/>
                <w:sz w:val="18"/>
                <w:szCs w:val="18"/>
              </w:rPr>
              <w:t>Congiunturali</w:t>
            </w:r>
          </w:p>
        </w:tc>
      </w:tr>
      <w:tr w:rsidR="007E417B" w:rsidRPr="001C01EA" w14:paraId="5B37B9A5" w14:textId="77777777" w:rsidTr="007E417B">
        <w:trPr>
          <w:trHeight w:val="255"/>
        </w:trPr>
        <w:tc>
          <w:tcPr>
            <w:tcW w:w="10206" w:type="dxa"/>
            <w:gridSpan w:val="7"/>
            <w:shd w:val="clear" w:color="auto" w:fill="FFFFFF"/>
            <w:vAlign w:val="center"/>
          </w:tcPr>
          <w:p w14:paraId="6452E568" w14:textId="48E242C2" w:rsidR="007E417B" w:rsidRPr="00010C7B" w:rsidRDefault="00260582" w:rsidP="007E417B">
            <w:pPr>
              <w:spacing w:before="40" w:after="20"/>
              <w:jc w:val="center"/>
              <w:rPr>
                <w:rFonts w:ascii="Arial Narrow" w:hAnsi="Arial Narrow" w:cs="Arial Narrow"/>
                <w:b/>
                <w:color w:val="000000"/>
                <w:sz w:val="18"/>
                <w:szCs w:val="18"/>
              </w:rPr>
            </w:pPr>
            <w:r>
              <w:rPr>
                <w:rFonts w:ascii="Arial Narrow" w:hAnsi="Arial Narrow" w:cs="Arial Narrow"/>
                <w:b/>
                <w:color w:val="000000"/>
                <w:sz w:val="18"/>
                <w:szCs w:val="18"/>
              </w:rPr>
              <w:t>Gennaio</w:t>
            </w:r>
            <w:r w:rsidR="00C13F97" w:rsidRPr="00C13F97">
              <w:rPr>
                <w:rFonts w:ascii="Arial Narrow" w:hAnsi="Arial Narrow" w:cs="Arial Narrow"/>
                <w:b/>
                <w:color w:val="000000"/>
                <w:sz w:val="18"/>
                <w:szCs w:val="18"/>
              </w:rPr>
              <w:t xml:space="preserve"> </w:t>
            </w:r>
            <w:r w:rsidR="007E417B">
              <w:rPr>
                <w:rFonts w:ascii="Arial Narrow" w:hAnsi="Arial Narrow" w:cs="Arial Narrow"/>
                <w:b/>
                <w:color w:val="000000"/>
                <w:sz w:val="18"/>
                <w:szCs w:val="18"/>
              </w:rPr>
              <w:t>202</w:t>
            </w:r>
            <w:r>
              <w:rPr>
                <w:rFonts w:ascii="Arial Narrow" w:hAnsi="Arial Narrow" w:cs="Arial Narrow"/>
                <w:b/>
                <w:color w:val="000000"/>
                <w:sz w:val="18"/>
                <w:szCs w:val="18"/>
              </w:rPr>
              <w:t>5</w:t>
            </w:r>
          </w:p>
        </w:tc>
      </w:tr>
      <w:tr w:rsidR="006F4895" w:rsidRPr="008C0651" w14:paraId="1D07C0E6" w14:textId="77777777" w:rsidTr="00693FA5">
        <w:trPr>
          <w:trHeight w:val="62"/>
        </w:trPr>
        <w:tc>
          <w:tcPr>
            <w:tcW w:w="1458" w:type="dxa"/>
            <w:shd w:val="clear" w:color="auto" w:fill="E6E6E6"/>
            <w:vAlign w:val="center"/>
          </w:tcPr>
          <w:p w14:paraId="03D9DA3E"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Export</w:t>
            </w:r>
          </w:p>
        </w:tc>
        <w:tc>
          <w:tcPr>
            <w:tcW w:w="1456" w:type="dxa"/>
            <w:shd w:val="clear" w:color="auto" w:fill="E6E6E6"/>
            <w:vAlign w:val="center"/>
          </w:tcPr>
          <w:p w14:paraId="57963432"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56" w:type="dxa"/>
            <w:vAlign w:val="center"/>
          </w:tcPr>
          <w:p w14:paraId="385D3A6E"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10" w:type="dxa"/>
            <w:shd w:val="clear" w:color="auto" w:fill="E6E6E6"/>
            <w:vAlign w:val="center"/>
          </w:tcPr>
          <w:p w14:paraId="6B9766C0"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531" w:type="dxa"/>
            <w:vAlign w:val="center"/>
          </w:tcPr>
          <w:p w14:paraId="2A4DB6F5"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26" w:type="dxa"/>
            <w:shd w:val="clear" w:color="auto" w:fill="E6E6E6"/>
            <w:vAlign w:val="center"/>
          </w:tcPr>
          <w:p w14:paraId="02709B5E" w14:textId="5A27A694"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+0,6</w:t>
            </w:r>
          </w:p>
        </w:tc>
        <w:tc>
          <w:tcPr>
            <w:tcW w:w="1469" w:type="dxa"/>
            <w:vAlign w:val="center"/>
          </w:tcPr>
          <w:p w14:paraId="350507C4" w14:textId="16F23ACE"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+0,4</w:t>
            </w:r>
          </w:p>
        </w:tc>
      </w:tr>
      <w:tr w:rsidR="006F4895" w:rsidRPr="008C0651" w14:paraId="3EB8033A" w14:textId="77777777" w:rsidTr="00693FA5">
        <w:trPr>
          <w:trHeight w:val="255"/>
        </w:trPr>
        <w:tc>
          <w:tcPr>
            <w:tcW w:w="1458" w:type="dxa"/>
            <w:shd w:val="clear" w:color="auto" w:fill="E6E6E6"/>
            <w:vAlign w:val="center"/>
          </w:tcPr>
          <w:p w14:paraId="4D80081A"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Import</w:t>
            </w:r>
          </w:p>
        </w:tc>
        <w:tc>
          <w:tcPr>
            <w:tcW w:w="1456" w:type="dxa"/>
            <w:shd w:val="clear" w:color="auto" w:fill="E6E6E6"/>
            <w:vAlign w:val="center"/>
          </w:tcPr>
          <w:p w14:paraId="43C3B166"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56" w:type="dxa"/>
            <w:vAlign w:val="center"/>
          </w:tcPr>
          <w:p w14:paraId="45797BBB"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10" w:type="dxa"/>
            <w:shd w:val="clear" w:color="auto" w:fill="E6E6E6"/>
            <w:vAlign w:val="center"/>
          </w:tcPr>
          <w:p w14:paraId="608CA16E"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531" w:type="dxa"/>
            <w:vAlign w:val="center"/>
          </w:tcPr>
          <w:p w14:paraId="0E19D367"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w:t>
            </w:r>
          </w:p>
        </w:tc>
        <w:tc>
          <w:tcPr>
            <w:tcW w:w="1426" w:type="dxa"/>
            <w:shd w:val="clear" w:color="auto" w:fill="E6E6E6"/>
            <w:vAlign w:val="center"/>
          </w:tcPr>
          <w:p w14:paraId="0FCFD31D" w14:textId="12608E4E"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+0,1</w:t>
            </w:r>
          </w:p>
        </w:tc>
        <w:tc>
          <w:tcPr>
            <w:tcW w:w="1469" w:type="dxa"/>
            <w:vAlign w:val="center"/>
          </w:tcPr>
          <w:p w14:paraId="32E2B7F5" w14:textId="7B36EB27" w:rsidR="006F4895" w:rsidRDefault="006F4895" w:rsidP="006F4895">
            <w:pPr>
              <w:jc w:val="center"/>
              <w:rPr>
                <w:rFonts w:ascii="Arial Narrow" w:hAnsi="Arial Narrow"/>
                <w:color w:val="000000"/>
                <w:sz w:val="18"/>
                <w:szCs w:val="18"/>
              </w:rPr>
            </w:pPr>
            <w:r>
              <w:rPr>
                <w:rFonts w:ascii="Arial Narrow" w:hAnsi="Arial Narrow"/>
                <w:color w:val="000000"/>
                <w:sz w:val="18"/>
                <w:szCs w:val="18"/>
              </w:rPr>
              <w:t xml:space="preserve"> 0,0</w:t>
            </w:r>
          </w:p>
        </w:tc>
      </w:tr>
      <w:tr w:rsidR="007E417B" w:rsidRPr="001C01EA" w14:paraId="799AC00A" w14:textId="77777777" w:rsidTr="007E417B">
        <w:trPr>
          <w:trHeight w:val="255"/>
        </w:trPr>
        <w:tc>
          <w:tcPr>
            <w:tcW w:w="10206" w:type="dxa"/>
            <w:gridSpan w:val="7"/>
            <w:shd w:val="clear" w:color="auto" w:fill="FFFFFF"/>
            <w:vAlign w:val="center"/>
          </w:tcPr>
          <w:p w14:paraId="34609E04" w14:textId="47B6D3FC" w:rsidR="007E417B" w:rsidRPr="00010C7B" w:rsidRDefault="00260582" w:rsidP="007E417B">
            <w:pPr>
              <w:spacing w:before="40" w:after="20"/>
              <w:jc w:val="center"/>
              <w:rPr>
                <w:rFonts w:ascii="Arial Narrow" w:hAnsi="Arial Narrow" w:cs="Arial Narrow"/>
                <w:b/>
                <w:color w:val="000000"/>
                <w:sz w:val="18"/>
                <w:szCs w:val="18"/>
              </w:rPr>
            </w:pPr>
            <w:r>
              <w:rPr>
                <w:rFonts w:ascii="Arial Narrow" w:hAnsi="Arial Narrow" w:cs="Arial Narrow"/>
                <w:b/>
                <w:color w:val="000000"/>
                <w:sz w:val="18"/>
                <w:szCs w:val="18"/>
              </w:rPr>
              <w:t>Dicembre</w:t>
            </w:r>
            <w:r w:rsidR="00136D31">
              <w:rPr>
                <w:rFonts w:ascii="Arial Narrow" w:hAnsi="Arial Narrow" w:cs="Arial Narrow"/>
                <w:b/>
                <w:color w:val="000000"/>
                <w:sz w:val="18"/>
                <w:szCs w:val="18"/>
              </w:rPr>
              <w:t xml:space="preserve"> 2024</w:t>
            </w:r>
            <w:r w:rsidR="007E417B">
              <w:rPr>
                <w:rFonts w:ascii="Arial Narrow" w:hAnsi="Arial Narrow" w:cs="Arial Narrow"/>
                <w:b/>
                <w:color w:val="000000"/>
                <w:sz w:val="18"/>
                <w:szCs w:val="18"/>
              </w:rPr>
              <w:t xml:space="preserve"> </w:t>
            </w:r>
          </w:p>
        </w:tc>
      </w:tr>
      <w:tr w:rsidR="006F4895" w:rsidRPr="008C0651" w14:paraId="1BEE4315" w14:textId="77777777" w:rsidTr="00693FA5">
        <w:trPr>
          <w:trHeight w:val="255"/>
        </w:trPr>
        <w:tc>
          <w:tcPr>
            <w:tcW w:w="1458" w:type="dxa"/>
            <w:shd w:val="clear" w:color="auto" w:fill="E6E6E6"/>
            <w:vAlign w:val="center"/>
          </w:tcPr>
          <w:p w14:paraId="40C62F80"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Export</w:t>
            </w:r>
          </w:p>
        </w:tc>
        <w:tc>
          <w:tcPr>
            <w:tcW w:w="1456" w:type="dxa"/>
            <w:shd w:val="clear" w:color="auto" w:fill="E6E6E6"/>
            <w:vAlign w:val="center"/>
          </w:tcPr>
          <w:p w14:paraId="0E1922AF" w14:textId="4A48C16D" w:rsidR="006F4895" w:rsidRDefault="006F4895" w:rsidP="006F4895">
            <w:pPr>
              <w:jc w:val="center"/>
              <w:rPr>
                <w:rFonts w:ascii="Arial Narrow" w:hAnsi="Arial Narrow"/>
                <w:color w:val="000000"/>
                <w:sz w:val="18"/>
                <w:szCs w:val="18"/>
              </w:rPr>
            </w:pPr>
            <w:r>
              <w:rPr>
                <w:rFonts w:ascii="Arial Narrow" w:hAnsi="Arial Narrow"/>
                <w:color w:val="000000"/>
                <w:sz w:val="18"/>
                <w:szCs w:val="18"/>
              </w:rPr>
              <w:t xml:space="preserve"> 0,0</w:t>
            </w:r>
          </w:p>
        </w:tc>
        <w:tc>
          <w:tcPr>
            <w:tcW w:w="1456" w:type="dxa"/>
            <w:vAlign w:val="center"/>
          </w:tcPr>
          <w:p w14:paraId="75545D9A" w14:textId="74E1C5D7" w:rsidR="006F4895" w:rsidRDefault="006F4895" w:rsidP="006F4895">
            <w:pPr>
              <w:jc w:val="center"/>
              <w:rPr>
                <w:rFonts w:ascii="Arial Narrow" w:hAnsi="Arial Narrow"/>
                <w:color w:val="000000"/>
                <w:sz w:val="18"/>
                <w:szCs w:val="18"/>
              </w:rPr>
            </w:pPr>
            <w:r>
              <w:rPr>
                <w:rFonts w:ascii="Arial Narrow" w:hAnsi="Arial Narrow"/>
                <w:color w:val="000000"/>
                <w:sz w:val="18"/>
                <w:szCs w:val="18"/>
              </w:rPr>
              <w:t xml:space="preserve"> 0,0</w:t>
            </w:r>
          </w:p>
        </w:tc>
        <w:tc>
          <w:tcPr>
            <w:tcW w:w="1410" w:type="dxa"/>
            <w:shd w:val="clear" w:color="auto" w:fill="E6E6E6"/>
            <w:vAlign w:val="center"/>
          </w:tcPr>
          <w:p w14:paraId="4097C878" w14:textId="03D796A0" w:rsidR="006F4895" w:rsidRDefault="006F4895" w:rsidP="006F4895">
            <w:pPr>
              <w:jc w:val="center"/>
              <w:rPr>
                <w:rFonts w:ascii="Arial Narrow" w:hAnsi="Arial Narrow"/>
                <w:color w:val="000000"/>
                <w:sz w:val="18"/>
                <w:szCs w:val="18"/>
              </w:rPr>
            </w:pPr>
            <w:r>
              <w:rPr>
                <w:rFonts w:ascii="Arial Narrow" w:hAnsi="Arial Narrow"/>
                <w:color w:val="000000"/>
                <w:sz w:val="18"/>
                <w:szCs w:val="18"/>
              </w:rPr>
              <w:t xml:space="preserve"> 0,0</w:t>
            </w:r>
          </w:p>
        </w:tc>
        <w:tc>
          <w:tcPr>
            <w:tcW w:w="1531" w:type="dxa"/>
            <w:vAlign w:val="center"/>
          </w:tcPr>
          <w:p w14:paraId="19F2703F" w14:textId="1615B18B"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+0,1</w:t>
            </w:r>
          </w:p>
        </w:tc>
        <w:tc>
          <w:tcPr>
            <w:tcW w:w="1426" w:type="dxa"/>
            <w:shd w:val="clear" w:color="auto" w:fill="E6E6E6"/>
            <w:vAlign w:val="center"/>
          </w:tcPr>
          <w:p w14:paraId="04C8F3C3" w14:textId="5913D228" w:rsidR="006F4895" w:rsidRDefault="006F4895" w:rsidP="006F4895">
            <w:pPr>
              <w:jc w:val="center"/>
              <w:rPr>
                <w:rFonts w:ascii="Arial Narrow" w:hAnsi="Arial Narrow"/>
                <w:color w:val="000000"/>
                <w:sz w:val="18"/>
                <w:szCs w:val="18"/>
              </w:rPr>
            </w:pPr>
            <w:r>
              <w:rPr>
                <w:rFonts w:ascii="Arial Narrow" w:hAnsi="Arial Narrow"/>
                <w:color w:val="000000"/>
                <w:sz w:val="18"/>
                <w:szCs w:val="18"/>
              </w:rPr>
              <w:t>-</w:t>
            </w:r>
          </w:p>
        </w:tc>
        <w:tc>
          <w:tcPr>
            <w:tcW w:w="1469" w:type="dxa"/>
            <w:vAlign w:val="center"/>
          </w:tcPr>
          <w:p w14:paraId="2C3C2F45" w14:textId="7D7DC99A"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-0,1</w:t>
            </w:r>
          </w:p>
        </w:tc>
      </w:tr>
      <w:tr w:rsidR="006F4895" w:rsidRPr="008C0651" w14:paraId="2FD9598E" w14:textId="77777777" w:rsidTr="00693FA5">
        <w:trPr>
          <w:trHeight w:val="255"/>
        </w:trPr>
        <w:tc>
          <w:tcPr>
            <w:tcW w:w="1458" w:type="dxa"/>
            <w:shd w:val="clear" w:color="auto" w:fill="E6E6E6"/>
            <w:vAlign w:val="center"/>
          </w:tcPr>
          <w:p w14:paraId="1E904E61" w14:textId="77777777" w:rsidR="006F4895" w:rsidRPr="00C479EF" w:rsidRDefault="006F4895" w:rsidP="006F4895">
            <w:pPr>
              <w:spacing w:before="40" w:after="20"/>
              <w:jc w:val="center"/>
              <w:rPr>
                <w:rFonts w:ascii="Arial Narrow" w:hAnsi="Arial Narrow" w:cs="Arial"/>
                <w:bCs/>
                <w:sz w:val="18"/>
                <w:szCs w:val="18"/>
              </w:rPr>
            </w:pPr>
            <w:r w:rsidRPr="00C479EF">
              <w:rPr>
                <w:rFonts w:ascii="Arial Narrow" w:hAnsi="Arial Narrow" w:cs="Arial"/>
                <w:bCs/>
                <w:sz w:val="18"/>
                <w:szCs w:val="18"/>
              </w:rPr>
              <w:t>Import</w:t>
            </w:r>
          </w:p>
        </w:tc>
        <w:tc>
          <w:tcPr>
            <w:tcW w:w="1456" w:type="dxa"/>
            <w:shd w:val="clear" w:color="auto" w:fill="E6E6E6"/>
            <w:vAlign w:val="center"/>
          </w:tcPr>
          <w:p w14:paraId="211B993C" w14:textId="2F47AD60"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+0,4</w:t>
            </w:r>
          </w:p>
        </w:tc>
        <w:tc>
          <w:tcPr>
            <w:tcW w:w="1456" w:type="dxa"/>
            <w:vAlign w:val="center"/>
          </w:tcPr>
          <w:p w14:paraId="3AD25CE7" w14:textId="1BFD7EC4"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+0,5</w:t>
            </w:r>
          </w:p>
        </w:tc>
        <w:tc>
          <w:tcPr>
            <w:tcW w:w="1410" w:type="dxa"/>
            <w:shd w:val="clear" w:color="auto" w:fill="E6E6E6"/>
            <w:vAlign w:val="center"/>
          </w:tcPr>
          <w:p w14:paraId="3342D60C" w14:textId="5E0070A7"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+0,7</w:t>
            </w:r>
          </w:p>
        </w:tc>
        <w:tc>
          <w:tcPr>
            <w:tcW w:w="1531" w:type="dxa"/>
            <w:vAlign w:val="center"/>
          </w:tcPr>
          <w:p w14:paraId="261A52D1" w14:textId="499A8C58"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+0,7</w:t>
            </w:r>
          </w:p>
        </w:tc>
        <w:tc>
          <w:tcPr>
            <w:tcW w:w="1426" w:type="dxa"/>
            <w:shd w:val="clear" w:color="auto" w:fill="E6E6E6"/>
            <w:vAlign w:val="center"/>
          </w:tcPr>
          <w:p w14:paraId="5AE7E834" w14:textId="2A09B818" w:rsidR="006F4895" w:rsidRDefault="006F4895" w:rsidP="006F4895">
            <w:pPr>
              <w:jc w:val="center"/>
              <w:rPr>
                <w:rFonts w:ascii="Arial Narrow" w:hAnsi="Arial Narrow"/>
                <w:color w:val="000000"/>
                <w:sz w:val="18"/>
                <w:szCs w:val="18"/>
              </w:rPr>
            </w:pPr>
            <w:r>
              <w:rPr>
                <w:rFonts w:ascii="Arial Narrow" w:hAnsi="Arial Narrow"/>
                <w:color w:val="000000"/>
                <w:sz w:val="18"/>
                <w:szCs w:val="18"/>
              </w:rPr>
              <w:t>-</w:t>
            </w:r>
          </w:p>
        </w:tc>
        <w:tc>
          <w:tcPr>
            <w:tcW w:w="1469" w:type="dxa"/>
            <w:vAlign w:val="center"/>
          </w:tcPr>
          <w:p w14:paraId="0DC3E949" w14:textId="56D4A961" w:rsidR="006F4895" w:rsidRDefault="006F4895" w:rsidP="006F4895">
            <w:pPr>
              <w:jc w:val="center"/>
              <w:rPr>
                <w:rFonts w:ascii="Arial Narrow" w:hAnsi="Arial Narrow"/>
                <w:color w:val="000000"/>
                <w:sz w:val="18"/>
                <w:szCs w:val="18"/>
              </w:rPr>
            </w:pPr>
            <w:r>
              <w:rPr>
                <w:rFonts w:ascii="Arial Narrow" w:hAnsi="Arial Narrow"/>
                <w:color w:val="000000"/>
                <w:sz w:val="18"/>
                <w:szCs w:val="18"/>
              </w:rPr>
              <w:t>+0,1</w:t>
            </w:r>
          </w:p>
        </w:tc>
      </w:tr>
    </w:tbl>
    <w:p w14:paraId="049CA447" w14:textId="0CB185EB" w:rsidR="00FB6C16" w:rsidRDefault="00FB6C16" w:rsidP="00203961">
      <w:pPr>
        <w:pStyle w:val="Corpodeltesto1"/>
        <w:spacing w:after="240"/>
        <w:jc w:val="left"/>
        <w:rPr>
          <w:rFonts w:ascii="Arial Narrow" w:hAnsi="Arial Narrow" w:cs="Arial"/>
          <w:b w:val="0"/>
          <w:color w:val="5F5F5F"/>
          <w:kern w:val="28"/>
          <w:sz w:val="20"/>
          <w:szCs w:val="20"/>
        </w:rPr>
      </w:pPr>
    </w:p>
    <w:p w14:paraId="372C6B71" w14:textId="0D92480E" w:rsidR="00221C0F" w:rsidRDefault="00221C0F" w:rsidP="00392BEF">
      <w:pPr>
        <w:pStyle w:val="Corpodeltesto1"/>
        <w:spacing w:after="120"/>
        <w:jc w:val="left"/>
        <w:rPr>
          <w:rFonts w:ascii="Arial Narrow" w:hAnsi="Arial Narrow" w:cs="Arial"/>
          <w:b w:val="0"/>
          <w:color w:val="5F5F5F"/>
          <w:kern w:val="28"/>
          <w:sz w:val="20"/>
          <w:szCs w:val="20"/>
        </w:rPr>
      </w:pPr>
    </w:p>
    <w:p w14:paraId="7D811D63" w14:textId="642EC9F9" w:rsidR="00072C03" w:rsidRPr="00BE02E1" w:rsidRDefault="00B076CD" w:rsidP="00072C03">
      <w:pPr>
        <w:ind w:right="28"/>
        <w:jc w:val="both"/>
        <w:rPr>
          <w:rFonts w:ascii="Arial Narrow" w:hAnsi="Arial Narrow" w:cs="Arial"/>
          <w:b/>
          <w:color w:val="5F5F5F"/>
          <w:sz w:val="22"/>
          <w:szCs w:val="22"/>
        </w:rPr>
      </w:pPr>
      <w:r w:rsidRPr="00BE02E1">
        <w:rPr>
          <w:rFonts w:ascii="Arial Narrow" w:hAnsi="Arial Narrow" w:cs="Arial"/>
          <w:b/>
          <w:color w:val="E42618"/>
          <w:sz w:val="22"/>
          <w:szCs w:val="22"/>
        </w:rPr>
        <w:t xml:space="preserve">PROSPETTO </w:t>
      </w:r>
      <w:r w:rsidR="00221C0F" w:rsidRPr="00BE02E1">
        <w:rPr>
          <w:rFonts w:ascii="Arial Narrow" w:hAnsi="Arial Narrow" w:cs="Arial"/>
          <w:b/>
          <w:color w:val="E42618"/>
          <w:sz w:val="22"/>
          <w:szCs w:val="22"/>
        </w:rPr>
        <w:t>7</w:t>
      </w:r>
      <w:r w:rsidRPr="00BE02E1">
        <w:rPr>
          <w:rFonts w:ascii="Arial Narrow" w:hAnsi="Arial Narrow" w:cs="Arial"/>
          <w:b/>
          <w:color w:val="E42618"/>
          <w:sz w:val="22"/>
          <w:szCs w:val="22"/>
        </w:rPr>
        <w:t>.</w:t>
      </w:r>
      <w:r w:rsidRPr="00BE02E1">
        <w:rPr>
          <w:rFonts w:ascii="Arial Narrow" w:hAnsi="Arial Narrow" w:cs="Arial"/>
          <w:b/>
          <w:color w:val="5F5F5F"/>
        </w:rPr>
        <w:t xml:space="preserve"> </w:t>
      </w:r>
      <w:r w:rsidR="00B13FB7" w:rsidRPr="00BE02E1">
        <w:rPr>
          <w:rFonts w:ascii="Arial Narrow" w:hAnsi="Arial Narrow" w:cs="Arial"/>
          <w:b/>
          <w:color w:val="5F5F5F"/>
          <w:sz w:val="22"/>
          <w:szCs w:val="22"/>
        </w:rPr>
        <w:t>PREZZI ALL’IMPORTAZIONE</w:t>
      </w:r>
    </w:p>
    <w:p w14:paraId="5D516C81" w14:textId="3C30F703" w:rsidR="009370E6" w:rsidRPr="006304A5" w:rsidRDefault="00260582" w:rsidP="009370E6">
      <w:pPr>
        <w:pStyle w:val="Corpodeltesto1"/>
        <w:spacing w:after="120"/>
        <w:jc w:val="left"/>
        <w:rPr>
          <w:rFonts w:ascii="Arial Narrow" w:hAnsi="Arial Narrow" w:cs="Arial"/>
          <w:b w:val="0"/>
          <w:bCs/>
          <w:sz w:val="19"/>
          <w:szCs w:val="19"/>
        </w:rPr>
      </w:pPr>
      <w:r>
        <w:rPr>
          <w:rFonts w:ascii="Arial Narrow" w:hAnsi="Arial Narrow" w:cs="Arial"/>
          <w:b w:val="0"/>
          <w:color w:val="5F5F5F"/>
          <w:kern w:val="28"/>
          <w:sz w:val="20"/>
          <w:szCs w:val="20"/>
        </w:rPr>
        <w:t>Dicembre</w:t>
      </w:r>
      <w:r w:rsidR="005018F7" w:rsidRPr="00BE02E1">
        <w:rPr>
          <w:rFonts w:ascii="Arial Narrow" w:hAnsi="Arial Narrow" w:cs="Arial"/>
          <w:b w:val="0"/>
          <w:color w:val="5F5F5F"/>
          <w:kern w:val="28"/>
          <w:sz w:val="20"/>
          <w:szCs w:val="20"/>
        </w:rPr>
        <w:t xml:space="preserve"> </w:t>
      </w:r>
      <w:r w:rsidR="006D0922" w:rsidRPr="00BE02E1">
        <w:rPr>
          <w:rFonts w:ascii="Arial Narrow" w:hAnsi="Arial Narrow" w:cs="Arial"/>
          <w:b w:val="0"/>
          <w:color w:val="5F5F5F"/>
          <w:kern w:val="28"/>
          <w:sz w:val="20"/>
          <w:szCs w:val="20"/>
        </w:rPr>
        <w:t>202</w:t>
      </w:r>
      <w:r w:rsidR="00136D31" w:rsidRPr="00BE02E1">
        <w:rPr>
          <w:rFonts w:ascii="Arial Narrow" w:hAnsi="Arial Narrow" w:cs="Arial"/>
          <w:b w:val="0"/>
          <w:color w:val="5F5F5F"/>
          <w:kern w:val="28"/>
          <w:sz w:val="20"/>
          <w:szCs w:val="20"/>
        </w:rPr>
        <w:t>4</w:t>
      </w:r>
      <w:r w:rsidR="00B076CD" w:rsidRPr="00BE02E1">
        <w:rPr>
          <w:rFonts w:ascii="Arial Narrow" w:hAnsi="Arial Narrow" w:cs="Arial"/>
          <w:b w:val="0"/>
          <w:color w:val="5F5F5F"/>
          <w:kern w:val="28"/>
          <w:sz w:val="20"/>
          <w:szCs w:val="20"/>
        </w:rPr>
        <w:t xml:space="preserve">, revisioni delle variazioni percentuali, differenze in punti percentuali </w:t>
      </w:r>
      <w:r w:rsidR="009370E6" w:rsidRPr="00BE02E1">
        <w:rPr>
          <w:rFonts w:ascii="Arial Narrow" w:hAnsi="Arial Narrow" w:cs="Arial"/>
          <w:b w:val="0"/>
          <w:color w:val="5F5F5F"/>
          <w:kern w:val="28"/>
          <w:sz w:val="20"/>
          <w:szCs w:val="20"/>
        </w:rPr>
        <w:t>(base 20</w:t>
      </w:r>
      <w:r w:rsidR="003C4795" w:rsidRPr="00BE02E1">
        <w:rPr>
          <w:rFonts w:ascii="Arial Narrow" w:hAnsi="Arial Narrow" w:cs="Arial"/>
          <w:b w:val="0"/>
          <w:color w:val="5F5F5F"/>
          <w:kern w:val="28"/>
          <w:sz w:val="20"/>
          <w:szCs w:val="20"/>
        </w:rPr>
        <w:t>21</w:t>
      </w:r>
      <w:r w:rsidR="009370E6" w:rsidRPr="00BE02E1">
        <w:rPr>
          <w:rFonts w:ascii="Arial Narrow" w:hAnsi="Arial Narrow" w:cs="Arial"/>
          <w:b w:val="0"/>
          <w:color w:val="5F5F5F"/>
          <w:kern w:val="28"/>
          <w:sz w:val="20"/>
          <w:szCs w:val="20"/>
        </w:rPr>
        <w:t>=100)</w:t>
      </w:r>
    </w:p>
    <w:tbl>
      <w:tblPr>
        <w:tblW w:w="10206" w:type="dxa"/>
        <w:tblBorders>
          <w:top w:val="single" w:sz="4" w:space="0" w:color="333333"/>
          <w:bottom w:val="single" w:sz="4" w:space="0" w:color="333333"/>
          <w:insideH w:val="single" w:sz="4" w:space="0" w:color="333333"/>
        </w:tblBorders>
        <w:tblLook w:val="01E0" w:firstRow="1" w:lastRow="1" w:firstColumn="1" w:lastColumn="1" w:noHBand="0" w:noVBand="0"/>
      </w:tblPr>
      <w:tblGrid>
        <w:gridCol w:w="1698"/>
        <w:gridCol w:w="1697"/>
        <w:gridCol w:w="1645"/>
        <w:gridCol w:w="1787"/>
        <w:gridCol w:w="1663"/>
        <w:gridCol w:w="1716"/>
      </w:tblGrid>
      <w:tr w:rsidR="00B076CD" w:rsidRPr="001C01EA" w14:paraId="2F0F5DB0" w14:textId="77777777" w:rsidTr="00D6552B">
        <w:trPr>
          <w:trHeight w:val="255"/>
        </w:trPr>
        <w:tc>
          <w:tcPr>
            <w:tcW w:w="3395" w:type="dxa"/>
            <w:gridSpan w:val="2"/>
            <w:tcBorders>
              <w:bottom w:val="single" w:sz="4" w:space="0" w:color="333333"/>
            </w:tcBorders>
            <w:shd w:val="clear" w:color="auto" w:fill="E6E6E6"/>
            <w:vAlign w:val="center"/>
          </w:tcPr>
          <w:p w14:paraId="17BC6F5A" w14:textId="77777777" w:rsidR="00B076CD" w:rsidRPr="001C01EA" w:rsidRDefault="00B076CD" w:rsidP="00593C33">
            <w:pPr>
              <w:spacing w:before="40" w:after="20"/>
              <w:ind w:left="-142" w:firstLine="142"/>
              <w:jc w:val="center"/>
              <w:rPr>
                <w:rFonts w:ascii="Arial Narrow" w:hAnsi="Arial Narrow" w:cs="Arial"/>
                <w:b/>
                <w:bCs/>
                <w:sz w:val="18"/>
                <w:szCs w:val="18"/>
              </w:rPr>
            </w:pPr>
            <w:r w:rsidRPr="001C01EA">
              <w:rPr>
                <w:rFonts w:ascii="Arial Narrow" w:hAnsi="Arial Narrow" w:cs="Arial"/>
                <w:b/>
                <w:bCs/>
                <w:sz w:val="18"/>
                <w:szCs w:val="18"/>
              </w:rPr>
              <w:t>Totale</w:t>
            </w:r>
          </w:p>
        </w:tc>
        <w:tc>
          <w:tcPr>
            <w:tcW w:w="3432" w:type="dxa"/>
            <w:gridSpan w:val="2"/>
            <w:tcBorders>
              <w:bottom w:val="single" w:sz="4" w:space="0" w:color="333333"/>
            </w:tcBorders>
            <w:vAlign w:val="center"/>
          </w:tcPr>
          <w:p w14:paraId="3308850C" w14:textId="77777777" w:rsidR="00B076CD" w:rsidRPr="001C01EA" w:rsidRDefault="00B076CD" w:rsidP="00593C33">
            <w:pPr>
              <w:spacing w:before="40" w:after="20"/>
              <w:jc w:val="center"/>
              <w:rPr>
                <w:rFonts w:ascii="Arial Narrow" w:hAnsi="Arial Narrow" w:cs="Arial"/>
                <w:b/>
                <w:bCs/>
                <w:sz w:val="18"/>
                <w:szCs w:val="18"/>
              </w:rPr>
            </w:pPr>
            <w:r>
              <w:rPr>
                <w:rFonts w:ascii="Arial Narrow" w:hAnsi="Arial Narrow" w:cs="Arial"/>
                <w:b/>
                <w:bCs/>
                <w:sz w:val="18"/>
                <w:szCs w:val="18"/>
              </w:rPr>
              <w:t>Area euro</w:t>
            </w:r>
          </w:p>
        </w:tc>
        <w:tc>
          <w:tcPr>
            <w:tcW w:w="3379" w:type="dxa"/>
            <w:gridSpan w:val="2"/>
            <w:tcBorders>
              <w:bottom w:val="single" w:sz="4" w:space="0" w:color="333333"/>
            </w:tcBorders>
            <w:shd w:val="clear" w:color="auto" w:fill="E6E6E6"/>
            <w:vAlign w:val="center"/>
          </w:tcPr>
          <w:p w14:paraId="68E4DD6C" w14:textId="77777777" w:rsidR="00B076CD" w:rsidRPr="001C01EA" w:rsidRDefault="00B076CD" w:rsidP="00593C33">
            <w:pPr>
              <w:spacing w:before="40" w:after="20"/>
              <w:jc w:val="center"/>
              <w:rPr>
                <w:rFonts w:ascii="Arial Narrow" w:hAnsi="Arial Narrow" w:cs="Arial"/>
                <w:b/>
                <w:bCs/>
                <w:sz w:val="18"/>
                <w:szCs w:val="18"/>
              </w:rPr>
            </w:pPr>
            <w:r>
              <w:rPr>
                <w:rFonts w:ascii="Arial Narrow" w:hAnsi="Arial Narrow" w:cs="Arial"/>
                <w:b/>
                <w:bCs/>
                <w:sz w:val="18"/>
                <w:szCs w:val="18"/>
              </w:rPr>
              <w:t>Area non euro</w:t>
            </w:r>
          </w:p>
        </w:tc>
      </w:tr>
      <w:tr w:rsidR="00072C03" w:rsidRPr="001C01EA" w14:paraId="7ACFC93F" w14:textId="77777777" w:rsidTr="00D6552B">
        <w:trPr>
          <w:trHeight w:val="255"/>
        </w:trPr>
        <w:tc>
          <w:tcPr>
            <w:tcW w:w="1698" w:type="dxa"/>
            <w:shd w:val="clear" w:color="auto" w:fill="E6E6E6"/>
            <w:vAlign w:val="center"/>
          </w:tcPr>
          <w:p w14:paraId="7B8A0086" w14:textId="77777777" w:rsidR="00072C03" w:rsidRPr="001C01EA" w:rsidRDefault="00072C03" w:rsidP="00593C33">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697" w:type="dxa"/>
            <w:vAlign w:val="center"/>
          </w:tcPr>
          <w:p w14:paraId="784321D7" w14:textId="77777777" w:rsidR="00072C03" w:rsidRPr="001C01EA" w:rsidRDefault="00072C03" w:rsidP="00593C33">
            <w:pPr>
              <w:spacing w:before="40" w:after="20"/>
              <w:jc w:val="center"/>
              <w:rPr>
                <w:rFonts w:ascii="Arial Narrow" w:hAnsi="Arial Narrow" w:cs="Arial"/>
                <w:bCs/>
                <w:sz w:val="18"/>
                <w:szCs w:val="18"/>
              </w:rPr>
            </w:pPr>
            <w:r>
              <w:rPr>
                <w:rFonts w:ascii="Arial Narrow" w:hAnsi="Arial Narrow" w:cs="Arial"/>
                <w:bCs/>
                <w:sz w:val="18"/>
                <w:szCs w:val="18"/>
              </w:rPr>
              <w:t>Congiunturali</w:t>
            </w:r>
          </w:p>
        </w:tc>
        <w:tc>
          <w:tcPr>
            <w:tcW w:w="1645" w:type="dxa"/>
            <w:shd w:val="clear" w:color="auto" w:fill="E6E6E6"/>
            <w:vAlign w:val="center"/>
          </w:tcPr>
          <w:p w14:paraId="42763D66" w14:textId="77777777" w:rsidR="00072C03" w:rsidRPr="001C01EA" w:rsidRDefault="00072C03" w:rsidP="00246367">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787" w:type="dxa"/>
            <w:vAlign w:val="center"/>
          </w:tcPr>
          <w:p w14:paraId="4D1E5B7A" w14:textId="77777777" w:rsidR="00072C03" w:rsidRPr="001C01EA" w:rsidRDefault="00072C03" w:rsidP="00246367">
            <w:pPr>
              <w:spacing w:before="40" w:after="20"/>
              <w:jc w:val="center"/>
              <w:rPr>
                <w:rFonts w:ascii="Arial Narrow" w:hAnsi="Arial Narrow" w:cs="Arial"/>
                <w:bCs/>
                <w:sz w:val="18"/>
                <w:szCs w:val="18"/>
              </w:rPr>
            </w:pPr>
            <w:r>
              <w:rPr>
                <w:rFonts w:ascii="Arial Narrow" w:hAnsi="Arial Narrow" w:cs="Arial"/>
                <w:bCs/>
                <w:sz w:val="18"/>
                <w:szCs w:val="18"/>
              </w:rPr>
              <w:t>Congiunturali</w:t>
            </w:r>
          </w:p>
        </w:tc>
        <w:tc>
          <w:tcPr>
            <w:tcW w:w="1663" w:type="dxa"/>
            <w:shd w:val="clear" w:color="auto" w:fill="E6E6E6"/>
            <w:vAlign w:val="center"/>
          </w:tcPr>
          <w:p w14:paraId="20A846F7" w14:textId="77777777" w:rsidR="00072C03" w:rsidRPr="001C01EA" w:rsidRDefault="00072C03" w:rsidP="00246367">
            <w:pPr>
              <w:spacing w:before="40" w:after="20"/>
              <w:jc w:val="center"/>
              <w:rPr>
                <w:rFonts w:ascii="Arial Narrow" w:hAnsi="Arial Narrow" w:cs="Arial"/>
                <w:bCs/>
                <w:sz w:val="18"/>
                <w:szCs w:val="18"/>
              </w:rPr>
            </w:pPr>
            <w:r>
              <w:rPr>
                <w:rFonts w:ascii="Arial Narrow" w:hAnsi="Arial Narrow" w:cs="Arial"/>
                <w:bCs/>
                <w:sz w:val="18"/>
                <w:szCs w:val="18"/>
              </w:rPr>
              <w:t>Tendenziali</w:t>
            </w:r>
          </w:p>
        </w:tc>
        <w:tc>
          <w:tcPr>
            <w:tcW w:w="1716" w:type="dxa"/>
            <w:vAlign w:val="center"/>
          </w:tcPr>
          <w:p w14:paraId="72B73DEE" w14:textId="77777777" w:rsidR="00072C03" w:rsidRPr="001C01EA" w:rsidRDefault="00072C03" w:rsidP="00246367">
            <w:pPr>
              <w:spacing w:before="40" w:after="20"/>
              <w:jc w:val="center"/>
              <w:rPr>
                <w:rFonts w:ascii="Arial Narrow" w:hAnsi="Arial Narrow" w:cs="Arial"/>
                <w:bCs/>
                <w:sz w:val="18"/>
                <w:szCs w:val="18"/>
              </w:rPr>
            </w:pPr>
            <w:r>
              <w:rPr>
                <w:rFonts w:ascii="Arial Narrow" w:hAnsi="Arial Narrow" w:cs="Arial"/>
                <w:bCs/>
                <w:sz w:val="18"/>
                <w:szCs w:val="18"/>
              </w:rPr>
              <w:t>Congiunturali</w:t>
            </w:r>
          </w:p>
        </w:tc>
      </w:tr>
      <w:tr w:rsidR="00332D15" w:rsidRPr="00C201C1" w14:paraId="572B7A4A" w14:textId="77777777" w:rsidTr="00694712">
        <w:trPr>
          <w:trHeight w:val="255"/>
        </w:trPr>
        <w:tc>
          <w:tcPr>
            <w:tcW w:w="1698" w:type="dxa"/>
            <w:shd w:val="clear" w:color="auto" w:fill="E6E6E6"/>
            <w:vAlign w:val="center"/>
          </w:tcPr>
          <w:p w14:paraId="00BAA2FA" w14:textId="77777777" w:rsidR="00332D15" w:rsidRPr="0070779A" w:rsidRDefault="00332D15" w:rsidP="00694712">
            <w:pPr>
              <w:spacing w:before="40" w:after="20"/>
              <w:jc w:val="center"/>
              <w:rPr>
                <w:rFonts w:ascii="Arial Narrow" w:hAnsi="Arial Narrow" w:cs="Arial"/>
                <w:bCs/>
                <w:sz w:val="18"/>
                <w:szCs w:val="18"/>
              </w:rPr>
            </w:pPr>
            <w:r w:rsidRPr="0070779A">
              <w:rPr>
                <w:rFonts w:ascii="Arial Narrow" w:hAnsi="Arial Narrow" w:cs="Arial"/>
                <w:color w:val="000000"/>
                <w:sz w:val="18"/>
                <w:szCs w:val="18"/>
              </w:rPr>
              <w:t>0,0</w:t>
            </w:r>
          </w:p>
        </w:tc>
        <w:tc>
          <w:tcPr>
            <w:tcW w:w="1697" w:type="dxa"/>
            <w:vAlign w:val="center"/>
          </w:tcPr>
          <w:p w14:paraId="130B0EB7" w14:textId="77777777" w:rsidR="00332D15" w:rsidRPr="0070779A" w:rsidRDefault="00332D15" w:rsidP="00694712">
            <w:pPr>
              <w:spacing w:before="40" w:after="20"/>
              <w:jc w:val="center"/>
              <w:rPr>
                <w:rFonts w:ascii="Arial Narrow" w:hAnsi="Arial Narrow" w:cs="Arial"/>
                <w:bCs/>
                <w:sz w:val="18"/>
                <w:szCs w:val="18"/>
              </w:rPr>
            </w:pPr>
            <w:r w:rsidRPr="0070779A">
              <w:rPr>
                <w:rFonts w:ascii="Arial Narrow" w:hAnsi="Arial Narrow" w:cs="Arial"/>
                <w:color w:val="000000"/>
                <w:sz w:val="18"/>
                <w:szCs w:val="18"/>
              </w:rPr>
              <w:t>0,0</w:t>
            </w:r>
          </w:p>
        </w:tc>
        <w:tc>
          <w:tcPr>
            <w:tcW w:w="1645" w:type="dxa"/>
            <w:shd w:val="clear" w:color="auto" w:fill="E6E6E6"/>
          </w:tcPr>
          <w:p w14:paraId="2A40374F" w14:textId="77777777" w:rsidR="00332D15" w:rsidRPr="0070779A" w:rsidRDefault="00332D15" w:rsidP="00694712">
            <w:pPr>
              <w:spacing w:before="40" w:after="20"/>
              <w:jc w:val="center"/>
              <w:rPr>
                <w:rFonts w:ascii="Arial Narrow" w:hAnsi="Arial Narrow" w:cs="Arial"/>
                <w:bCs/>
                <w:sz w:val="18"/>
                <w:szCs w:val="18"/>
              </w:rPr>
            </w:pPr>
            <w:r w:rsidRPr="001E6892">
              <w:rPr>
                <w:rFonts w:ascii="Arial Narrow" w:hAnsi="Arial Narrow" w:cs="Arial"/>
                <w:color w:val="000000"/>
                <w:sz w:val="18"/>
                <w:szCs w:val="18"/>
              </w:rPr>
              <w:t>0,0</w:t>
            </w:r>
          </w:p>
        </w:tc>
        <w:tc>
          <w:tcPr>
            <w:tcW w:w="1787" w:type="dxa"/>
          </w:tcPr>
          <w:p w14:paraId="7C9692D9" w14:textId="77777777" w:rsidR="00332D15" w:rsidRPr="0070779A" w:rsidRDefault="00332D15" w:rsidP="00694712">
            <w:pPr>
              <w:spacing w:before="40" w:after="20"/>
              <w:jc w:val="center"/>
              <w:rPr>
                <w:rFonts w:ascii="Arial Narrow" w:hAnsi="Arial Narrow" w:cs="Arial"/>
                <w:bCs/>
                <w:sz w:val="18"/>
                <w:szCs w:val="18"/>
              </w:rPr>
            </w:pPr>
            <w:r w:rsidRPr="001E6892">
              <w:rPr>
                <w:rFonts w:ascii="Arial Narrow" w:hAnsi="Arial Narrow" w:cs="Arial"/>
                <w:color w:val="000000"/>
                <w:sz w:val="18"/>
                <w:szCs w:val="18"/>
              </w:rPr>
              <w:t>0,0</w:t>
            </w:r>
          </w:p>
        </w:tc>
        <w:tc>
          <w:tcPr>
            <w:tcW w:w="1663" w:type="dxa"/>
            <w:shd w:val="clear" w:color="auto" w:fill="E6E6E6"/>
            <w:vAlign w:val="center"/>
          </w:tcPr>
          <w:p w14:paraId="378C796B" w14:textId="77777777" w:rsidR="00332D15" w:rsidRPr="0070779A" w:rsidRDefault="00332D15" w:rsidP="00694712">
            <w:pPr>
              <w:spacing w:before="40" w:after="20"/>
              <w:jc w:val="center"/>
              <w:rPr>
                <w:rFonts w:ascii="Arial Narrow" w:hAnsi="Arial Narrow" w:cs="Arial"/>
                <w:bCs/>
                <w:sz w:val="18"/>
                <w:szCs w:val="18"/>
              </w:rPr>
            </w:pPr>
            <w:r w:rsidRPr="0070779A">
              <w:rPr>
                <w:rFonts w:ascii="Arial Narrow" w:hAnsi="Arial Narrow" w:cs="Arial"/>
                <w:color w:val="000000"/>
                <w:sz w:val="18"/>
                <w:szCs w:val="18"/>
              </w:rPr>
              <w:t>0,</w:t>
            </w:r>
            <w:r>
              <w:rPr>
                <w:rFonts w:ascii="Arial Narrow" w:hAnsi="Arial Narrow" w:cs="Arial"/>
                <w:color w:val="000000"/>
                <w:sz w:val="18"/>
                <w:szCs w:val="18"/>
              </w:rPr>
              <w:t>0</w:t>
            </w:r>
          </w:p>
        </w:tc>
        <w:tc>
          <w:tcPr>
            <w:tcW w:w="1716" w:type="dxa"/>
            <w:vAlign w:val="center"/>
          </w:tcPr>
          <w:p w14:paraId="231AD35E" w14:textId="77777777" w:rsidR="00332D15" w:rsidRPr="0070779A" w:rsidRDefault="00332D15" w:rsidP="00694712">
            <w:pPr>
              <w:spacing w:before="40" w:after="20"/>
              <w:jc w:val="center"/>
              <w:rPr>
                <w:rFonts w:ascii="Arial Narrow" w:hAnsi="Arial Narrow" w:cs="Arial"/>
                <w:bCs/>
                <w:sz w:val="18"/>
                <w:szCs w:val="18"/>
              </w:rPr>
            </w:pPr>
            <w:r w:rsidRPr="0070779A">
              <w:rPr>
                <w:rFonts w:ascii="Arial Narrow" w:hAnsi="Arial Narrow" w:cs="Arial"/>
                <w:color w:val="000000"/>
                <w:sz w:val="18"/>
                <w:szCs w:val="18"/>
              </w:rPr>
              <w:t>0,</w:t>
            </w:r>
            <w:r>
              <w:rPr>
                <w:rFonts w:ascii="Arial Narrow" w:hAnsi="Arial Narrow" w:cs="Arial"/>
                <w:color w:val="000000"/>
                <w:sz w:val="18"/>
                <w:szCs w:val="18"/>
              </w:rPr>
              <w:t>0</w:t>
            </w:r>
          </w:p>
        </w:tc>
      </w:tr>
    </w:tbl>
    <w:p w14:paraId="72144C98" w14:textId="77777777" w:rsidR="009B2E91" w:rsidRDefault="009B2E91" w:rsidP="009B2E91">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rPr>
          <w:rFonts w:ascii="Arial" w:hAnsi="Arial" w:cs="Arial"/>
          <w:b/>
          <w:spacing w:val="-3"/>
        </w:rPr>
      </w:pPr>
    </w:p>
    <w:p w14:paraId="0FCB4587" w14:textId="77777777" w:rsidR="00A1647D" w:rsidRDefault="00A1647D" w:rsidP="009B2E91">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rPr>
          <w:rFonts w:ascii="Arial" w:hAnsi="Arial" w:cs="Arial"/>
          <w:b/>
          <w:spacing w:val="-3"/>
        </w:rPr>
      </w:pPr>
    </w:p>
    <w:p w14:paraId="04370B83" w14:textId="77777777" w:rsidR="000D6036" w:rsidRDefault="000D6036" w:rsidP="009B2E91">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rPr>
          <w:rFonts w:ascii="Arial" w:hAnsi="Arial" w:cs="Arial"/>
          <w:b/>
          <w:spacing w:val="-3"/>
        </w:rPr>
      </w:pPr>
    </w:p>
    <w:p w14:paraId="4EC14E4C" w14:textId="77777777" w:rsidR="000D6036" w:rsidRPr="00FF4F6A" w:rsidRDefault="000D6036" w:rsidP="000D6036">
      <w:pPr>
        <w:pStyle w:val="Corpodeltesto1"/>
        <w:spacing w:after="60"/>
        <w:jc w:val="left"/>
        <w:rPr>
          <w:rFonts w:ascii="Arial Narrow" w:hAnsi="Arial Narrow" w:cs="Arial"/>
          <w:b w:val="0"/>
          <w:color w:val="5F5F5F"/>
          <w:kern w:val="28"/>
          <w:sz w:val="20"/>
          <w:szCs w:val="20"/>
        </w:rPr>
      </w:pPr>
    </w:p>
    <w:p w14:paraId="68E58BCE" w14:textId="77777777" w:rsidR="000D6036" w:rsidRDefault="000D6036" w:rsidP="009B2E91">
      <w:pPr>
        <w:tabs>
          <w:tab w:val="left" w:pos="-14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rPr>
          <w:rFonts w:ascii="Arial" w:hAnsi="Arial" w:cs="Arial"/>
          <w:b/>
          <w:spacing w:val="-3"/>
        </w:rPr>
        <w:sectPr w:rsidR="000D6036" w:rsidSect="00F01533">
          <w:headerReference w:type="default" r:id="rId41"/>
          <w:pgSz w:w="11907" w:h="16840" w:code="9"/>
          <w:pgMar w:top="1534" w:right="851" w:bottom="680" w:left="851" w:header="567" w:footer="567" w:gutter="0"/>
          <w:cols w:space="720"/>
          <w:noEndnote/>
          <w:docGrid w:linePitch="272"/>
        </w:sectPr>
      </w:pPr>
    </w:p>
    <w:p w14:paraId="493141A4" w14:textId="77777777" w:rsidR="000B233D" w:rsidRPr="000B233D" w:rsidRDefault="000B233D" w:rsidP="00CC2949">
      <w:pPr>
        <w:ind w:right="57"/>
        <w:jc w:val="both"/>
        <w:rPr>
          <w:rFonts w:ascii="Arial" w:hAnsi="Arial" w:cs="Arial"/>
          <w:b/>
          <w:bCs/>
        </w:rPr>
      </w:pPr>
    </w:p>
    <w:p w14:paraId="01B00853"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Beni di consumo durevoli</w:t>
      </w:r>
      <w:r w:rsidRPr="00C9631A">
        <w:rPr>
          <w:rFonts w:ascii="Arial" w:hAnsi="Arial" w:cs="Arial"/>
          <w:sz w:val="20"/>
          <w:szCs w:val="20"/>
        </w:rPr>
        <w:t>: includono, tra gli altri, la fabbricazione di apparecchi per uso domestico, la fabbricazione di mobili, motocicli, la fabbricazione di apparecchi per la riproduzione del suono e dell’immagine.</w:t>
      </w:r>
    </w:p>
    <w:p w14:paraId="593C002A"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Beni di consumo non durevoli</w:t>
      </w:r>
      <w:r w:rsidRPr="00C9631A">
        <w:rPr>
          <w:rFonts w:ascii="Arial" w:hAnsi="Arial" w:cs="Arial"/>
          <w:sz w:val="20"/>
          <w:szCs w:val="20"/>
        </w:rPr>
        <w:t>: includono, tra gli altri, la produzione, la lavorazione e la conservazione di prodotti alimentari e bevande, alcune industrie tessili, la fabbricazione di prodotti farmaceutici.</w:t>
      </w:r>
    </w:p>
    <w:p w14:paraId="6DDF24F2"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Beni intermedi</w:t>
      </w:r>
      <w:r w:rsidRPr="00C9631A">
        <w:rPr>
          <w:rFonts w:ascii="Arial" w:hAnsi="Arial" w:cs="Arial"/>
          <w:sz w:val="20"/>
          <w:szCs w:val="20"/>
        </w:rPr>
        <w:t>: includono, tra gli altri, la fabbricazione di prodotti chimici, la fabbricazione di metalli e prodotti in metallo, la fabbricazione di apparecchi elettrici, l’industria del legno, la fabbricazione di tessuti.</w:t>
      </w:r>
    </w:p>
    <w:p w14:paraId="24995904"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Beni strumentali</w:t>
      </w:r>
      <w:r w:rsidRPr="00C9631A">
        <w:rPr>
          <w:rFonts w:ascii="Arial" w:hAnsi="Arial" w:cs="Arial"/>
          <w:sz w:val="20"/>
          <w:szCs w:val="20"/>
        </w:rPr>
        <w:t>: includono, tra gli altri, la fabbricazione di macchine e motori, la fabbricazione di strumenti e apparecchi di misurazione e controllo, la fabbricazione di autoveicoli.</w:t>
      </w:r>
    </w:p>
    <w:p w14:paraId="29F8C718" w14:textId="77777777" w:rsidR="006B1C0B" w:rsidRPr="00C9631A" w:rsidRDefault="006B1C0B" w:rsidP="00E74CD4">
      <w:pPr>
        <w:pStyle w:val="Corpodeltesto1"/>
        <w:spacing w:after="120"/>
        <w:rPr>
          <w:rFonts w:ascii="Arial" w:hAnsi="Arial" w:cs="Arial"/>
          <w:b w:val="0"/>
          <w:bCs/>
          <w:sz w:val="20"/>
          <w:szCs w:val="20"/>
        </w:rPr>
      </w:pPr>
      <w:r w:rsidRPr="00C9631A">
        <w:rPr>
          <w:rFonts w:ascii="Arial" w:hAnsi="Arial" w:cs="Arial"/>
          <w:bCs/>
          <w:sz w:val="20"/>
          <w:szCs w:val="20"/>
        </w:rPr>
        <w:t>Contributo alla variazione tendenziale</w:t>
      </w:r>
      <w:r w:rsidRPr="00C9631A">
        <w:rPr>
          <w:rFonts w:ascii="Arial" w:hAnsi="Arial" w:cs="Arial"/>
          <w:b w:val="0"/>
          <w:bCs/>
          <w:sz w:val="20"/>
          <w:szCs w:val="20"/>
        </w:rPr>
        <w:t xml:space="preserve">: misura l’incidenza delle variazioni delle importazioni e delle esportazioni dei singoli aggregati merceologici o geografici sull’aumento o sulla diminuzione dei flussi aggregati. </w:t>
      </w:r>
    </w:p>
    <w:p w14:paraId="47FAB8FD" w14:textId="77777777" w:rsidR="006B1C0B" w:rsidRPr="00C9631A" w:rsidRDefault="006B1C0B" w:rsidP="00E74CD4">
      <w:pPr>
        <w:spacing w:after="120"/>
        <w:ind w:right="23"/>
        <w:jc w:val="both"/>
        <w:rPr>
          <w:rFonts w:ascii="Arial" w:hAnsi="Arial" w:cs="Arial"/>
          <w:b/>
          <w:sz w:val="20"/>
          <w:szCs w:val="20"/>
        </w:rPr>
      </w:pPr>
      <w:r w:rsidRPr="00C9631A">
        <w:rPr>
          <w:rFonts w:ascii="Arial" w:hAnsi="Arial" w:cs="Arial"/>
          <w:b/>
          <w:bCs/>
          <w:sz w:val="20"/>
          <w:szCs w:val="20"/>
        </w:rPr>
        <w:t>Dati corretti per gli effetti di calendario</w:t>
      </w:r>
      <w:r w:rsidRPr="00C9631A">
        <w:rPr>
          <w:rFonts w:ascii="Arial" w:hAnsi="Arial" w:cs="Arial"/>
          <w:bCs/>
          <w:sz w:val="20"/>
          <w:szCs w:val="20"/>
        </w:rPr>
        <w:t>: dati depurati, mediante apposite tecniche statistiche, dalla variabilità attribuibile alla composizione del calendario nei singoli periodi (mesi o trimestri) dell’anno, dovuta al diverso numero di giorni lavorativi o di giorni specifici della settimana in essi contenuti, nonché dell’anno bisestile. Il ricorso a tale trasformazione dei dati consente di cogliere in maniera più adeguata sia le variazioni tendenziali (calcolate rispetto allo stesso periodo dell'anno precedente), sia le variazioni medie annue.</w:t>
      </w:r>
    </w:p>
    <w:p w14:paraId="78979082" w14:textId="77777777" w:rsidR="006B1C0B" w:rsidRPr="00C9631A" w:rsidRDefault="006B1C0B" w:rsidP="00E74CD4">
      <w:pPr>
        <w:spacing w:after="120"/>
        <w:ind w:right="23"/>
        <w:jc w:val="both"/>
        <w:rPr>
          <w:rFonts w:ascii="Arial" w:hAnsi="Arial" w:cs="Arial"/>
          <w:sz w:val="20"/>
          <w:szCs w:val="20"/>
        </w:rPr>
      </w:pPr>
      <w:r w:rsidRPr="00C9631A">
        <w:rPr>
          <w:rFonts w:ascii="Arial" w:hAnsi="Arial" w:cs="Arial"/>
          <w:b/>
          <w:sz w:val="20"/>
          <w:szCs w:val="20"/>
        </w:rPr>
        <w:t>Dati destagionalizzati</w:t>
      </w:r>
      <w:r w:rsidRPr="00C9631A">
        <w:rPr>
          <w:rFonts w:ascii="Arial" w:hAnsi="Arial" w:cs="Arial"/>
          <w:sz w:val="20"/>
          <w:szCs w:val="20"/>
        </w:rPr>
        <w:t>:</w:t>
      </w:r>
      <w:r w:rsidRPr="00C9631A">
        <w:rPr>
          <w:rFonts w:ascii="Arial" w:hAnsi="Arial" w:cs="Arial"/>
          <w:b/>
          <w:sz w:val="20"/>
          <w:szCs w:val="20"/>
        </w:rPr>
        <w:t xml:space="preserve"> </w:t>
      </w:r>
      <w:r w:rsidRPr="00C9631A">
        <w:rPr>
          <w:rFonts w:ascii="Arial" w:hAnsi="Arial" w:cs="Arial"/>
          <w:sz w:val="20"/>
          <w:szCs w:val="20"/>
        </w:rPr>
        <w:t>dati depurati, mediante apposite tecniche statistiche, dalle fluttuazioni attribuibili alla componente stagionale (dovute a fattori meteorologici, consuetudinari, legislativi, ecc.) e, se significativi, dagli effetti di calendario. Questa trasformazione dei dati è la più idonea a cogliere l’evoluzione congiunturale di un indicatore.</w:t>
      </w:r>
    </w:p>
    <w:p w14:paraId="698FB9D2"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Energia</w:t>
      </w:r>
      <w:r w:rsidRPr="00C9631A">
        <w:rPr>
          <w:rFonts w:ascii="Arial" w:hAnsi="Arial" w:cs="Arial"/>
          <w:sz w:val="20"/>
          <w:szCs w:val="20"/>
        </w:rPr>
        <w:t>:</w:t>
      </w:r>
      <w:r w:rsidRPr="00C9631A">
        <w:rPr>
          <w:rFonts w:ascii="Arial" w:hAnsi="Arial" w:cs="Arial"/>
          <w:b/>
          <w:sz w:val="20"/>
          <w:szCs w:val="20"/>
        </w:rPr>
        <w:t xml:space="preserve"> </w:t>
      </w:r>
      <w:r w:rsidRPr="00C9631A">
        <w:rPr>
          <w:rFonts w:ascii="Arial" w:hAnsi="Arial" w:cs="Arial"/>
          <w:sz w:val="20"/>
          <w:szCs w:val="20"/>
        </w:rPr>
        <w:t>include l’industria estrattiva di materie prime energetiche (petrolio, gas naturale, lignite), l’industria della raffinazione, la produzione di energia elettrica, gas e acqua, vapore, la raccolta, depurazione e distribuzione dell’acqua.</w:t>
      </w:r>
    </w:p>
    <w:p w14:paraId="49D88B06" w14:textId="77777777" w:rsidR="006B1C0B" w:rsidRPr="00C9631A" w:rsidRDefault="006B1C0B" w:rsidP="00E74CD4">
      <w:pPr>
        <w:spacing w:after="120"/>
        <w:ind w:right="23"/>
        <w:jc w:val="both"/>
        <w:rPr>
          <w:rFonts w:ascii="Arial" w:hAnsi="Arial" w:cs="Arial"/>
          <w:sz w:val="20"/>
          <w:szCs w:val="20"/>
        </w:rPr>
      </w:pPr>
      <w:r w:rsidRPr="00C9631A">
        <w:rPr>
          <w:rFonts w:ascii="Arial" w:hAnsi="Arial" w:cs="Arial"/>
          <w:b/>
          <w:sz w:val="20"/>
          <w:szCs w:val="20"/>
        </w:rPr>
        <w:t>Esportazioni</w:t>
      </w:r>
      <w:r w:rsidRPr="00C9631A">
        <w:rPr>
          <w:rFonts w:ascii="Arial" w:hAnsi="Arial" w:cs="Arial"/>
          <w:sz w:val="20"/>
          <w:szCs w:val="20"/>
        </w:rPr>
        <w:t>: includono tutti i beni (nazionali o nazionalizzati, nuovi o usati) che, a titolo oneroso o gratuito, escono dal territorio economico del Paese per essere destinati al resto del mondo. Esse sono valutate al valore Fob (free on board), che corrisponde al prezzo di mercato alla frontiera del Paese esportatore. Questo prezzo comprende il prezzo ex-fabrica, i margini commerciali, le spese di trasporto internazionale e gli eventuali diritti all'esportazione.</w:t>
      </w:r>
    </w:p>
    <w:p w14:paraId="135A47F0" w14:textId="77777777" w:rsidR="006B1C0B" w:rsidRPr="00C9631A" w:rsidRDefault="006B1C0B" w:rsidP="00E74CD4">
      <w:pPr>
        <w:pStyle w:val="NormaleWeb"/>
        <w:spacing w:beforeAutospacing="0" w:after="120" w:afterAutospacing="0"/>
        <w:jc w:val="both"/>
        <w:rPr>
          <w:rFonts w:ascii="Arial" w:hAnsi="Arial" w:cs="Arial"/>
          <w:sz w:val="20"/>
          <w:szCs w:val="20"/>
        </w:rPr>
      </w:pPr>
      <w:r w:rsidRPr="00C9631A">
        <w:rPr>
          <w:rFonts w:ascii="Arial" w:hAnsi="Arial" w:cs="Arial"/>
          <w:b/>
          <w:sz w:val="20"/>
          <w:szCs w:val="20"/>
          <w:lang w:eastAsia="ar-SA"/>
        </w:rPr>
        <w:t>Importazioni</w:t>
      </w:r>
      <w:r w:rsidRPr="00C9631A">
        <w:rPr>
          <w:rFonts w:ascii="Arial" w:hAnsi="Arial" w:cs="Arial"/>
          <w:bCs/>
          <w:sz w:val="20"/>
          <w:szCs w:val="20"/>
          <w:lang w:eastAsia="ar-SA"/>
        </w:rPr>
        <w:t>:</w:t>
      </w:r>
      <w:r w:rsidRPr="00C9631A">
        <w:rPr>
          <w:rFonts w:ascii="Arial" w:hAnsi="Arial" w:cs="Arial"/>
          <w:sz w:val="20"/>
          <w:szCs w:val="20"/>
          <w:lang w:eastAsia="ar-SA"/>
        </w:rPr>
        <w:t xml:space="preserve"> comprendono tutti i beni (nuovi o usati) che, a titolo oneroso o gratuito, entrano nel territorio economico del Paese in provenienza dal Resto del mondo. Esse sono valutate al valore Cif (cost, insurance, freight), che comprende: il valore Fob dei beni, le spese di trasporto e le attività assicurative tra la frontiera del Paese esportatore e la frontiera del Paese importatore.</w:t>
      </w:r>
    </w:p>
    <w:p w14:paraId="0986851A" w14:textId="48689F8E" w:rsidR="006B1C0B" w:rsidRPr="00C9631A" w:rsidRDefault="006B1C0B" w:rsidP="00E74CD4">
      <w:pPr>
        <w:spacing w:after="120"/>
        <w:jc w:val="both"/>
        <w:rPr>
          <w:rFonts w:ascii="Arial" w:hAnsi="Arial" w:cs="Arial"/>
          <w:sz w:val="20"/>
          <w:szCs w:val="20"/>
        </w:rPr>
      </w:pPr>
      <w:r w:rsidRPr="00C9631A">
        <w:rPr>
          <w:rFonts w:ascii="Arial" w:hAnsi="Arial" w:cs="Arial"/>
          <w:b/>
          <w:bCs/>
          <w:sz w:val="20"/>
          <w:szCs w:val="20"/>
        </w:rPr>
        <w:t>Indice dei prezzi all’importazione</w:t>
      </w:r>
      <w:r w:rsidRPr="00C9631A">
        <w:rPr>
          <w:rFonts w:ascii="Arial" w:hAnsi="Arial" w:cs="Arial"/>
          <w:bCs/>
          <w:sz w:val="20"/>
          <w:szCs w:val="20"/>
        </w:rPr>
        <w:t>:</w:t>
      </w:r>
      <w:r w:rsidRPr="00C9631A">
        <w:rPr>
          <w:rFonts w:ascii="Arial" w:hAnsi="Arial" w:cs="Arial"/>
          <w:b/>
          <w:bCs/>
          <w:sz w:val="20"/>
          <w:szCs w:val="20"/>
        </w:rPr>
        <w:t xml:space="preserve"> </w:t>
      </w:r>
      <w:r w:rsidRPr="00C9631A">
        <w:rPr>
          <w:rFonts w:ascii="Arial" w:hAnsi="Arial" w:cs="Arial"/>
          <w:sz w:val="20"/>
          <w:szCs w:val="20"/>
        </w:rPr>
        <w:t>indicatore mensile che misura le variazioni nel tempo dei prezzi all’importazione di un paniere rappresentativo dei principali prodotti industriali importati da imprese dell’industria e del commercio. I prezzi si riferiscono ai prodotti industriali importati da imprese (la cui attività economica prevalente nelle sezioni B, C, D, E, G della classificazione Ateco 2007 derivata dalla Nace Rev.2) situate sul territorio nazionale.</w:t>
      </w:r>
    </w:p>
    <w:p w14:paraId="08ACF1CB" w14:textId="77777777" w:rsidR="006B1C0B" w:rsidRPr="00C9631A" w:rsidRDefault="006B1C0B" w:rsidP="00E74CD4">
      <w:pPr>
        <w:spacing w:after="120"/>
        <w:jc w:val="both"/>
        <w:rPr>
          <w:rFonts w:ascii="Arial" w:hAnsi="Arial" w:cs="Arial"/>
          <w:bCs/>
          <w:sz w:val="20"/>
          <w:szCs w:val="20"/>
        </w:rPr>
      </w:pPr>
      <w:r w:rsidRPr="00C9631A">
        <w:rPr>
          <w:rFonts w:ascii="Arial" w:hAnsi="Arial" w:cs="Arial"/>
          <w:b/>
          <w:bCs/>
          <w:sz w:val="20"/>
          <w:szCs w:val="20"/>
        </w:rPr>
        <w:t xml:space="preserve">Indice dei prezzi all’importazione </w:t>
      </w:r>
      <w:r w:rsidRPr="00C9631A">
        <w:rPr>
          <w:rFonts w:ascii="Arial" w:hAnsi="Arial" w:cs="Arial"/>
          <w:b/>
          <w:sz w:val="20"/>
          <w:szCs w:val="20"/>
        </w:rPr>
        <w:t>al netto dell’energia</w:t>
      </w:r>
      <w:r w:rsidRPr="00C9631A">
        <w:rPr>
          <w:rFonts w:ascii="Arial" w:hAnsi="Arial" w:cs="Arial"/>
          <w:sz w:val="20"/>
          <w:szCs w:val="20"/>
        </w:rPr>
        <w:t>:</w:t>
      </w:r>
      <w:r w:rsidRPr="00C9631A">
        <w:rPr>
          <w:rFonts w:ascii="Arial" w:hAnsi="Arial" w:cs="Arial"/>
          <w:b/>
          <w:sz w:val="20"/>
          <w:szCs w:val="20"/>
        </w:rPr>
        <w:t xml:space="preserve"> </w:t>
      </w:r>
      <w:r w:rsidRPr="00C9631A">
        <w:rPr>
          <w:rFonts w:ascii="Arial" w:hAnsi="Arial" w:cs="Arial"/>
          <w:sz w:val="20"/>
          <w:szCs w:val="20"/>
        </w:rPr>
        <w:t xml:space="preserve">misura la componente di fondo dell’indice </w:t>
      </w:r>
      <w:r w:rsidRPr="00C9631A">
        <w:rPr>
          <w:rFonts w:ascii="Arial" w:hAnsi="Arial" w:cs="Arial"/>
          <w:bCs/>
          <w:sz w:val="20"/>
          <w:szCs w:val="20"/>
        </w:rPr>
        <w:t>aggregato, calcolata al netto del Raggruppamento principale di industria Energia.</w:t>
      </w:r>
    </w:p>
    <w:p w14:paraId="6DC4A6D3" w14:textId="77777777" w:rsidR="006B1C0B" w:rsidRPr="00C9631A" w:rsidRDefault="006B1C0B" w:rsidP="00E74CD4">
      <w:pPr>
        <w:spacing w:after="120"/>
        <w:jc w:val="both"/>
        <w:rPr>
          <w:rFonts w:ascii="Arial" w:hAnsi="Arial" w:cs="Arial"/>
          <w:sz w:val="20"/>
          <w:szCs w:val="20"/>
        </w:rPr>
      </w:pPr>
      <w:r w:rsidRPr="00C9631A">
        <w:rPr>
          <w:rFonts w:ascii="Arial" w:hAnsi="Arial" w:cs="Arial"/>
          <w:b/>
          <w:bCs/>
          <w:sz w:val="20"/>
          <w:szCs w:val="20"/>
        </w:rPr>
        <w:t>Indice totale dei prezzi all’importazione</w:t>
      </w:r>
      <w:r w:rsidRPr="00C9631A">
        <w:rPr>
          <w:rFonts w:ascii="Arial" w:hAnsi="Arial" w:cs="Arial"/>
          <w:bCs/>
          <w:sz w:val="20"/>
          <w:szCs w:val="20"/>
        </w:rPr>
        <w:t>:</w:t>
      </w:r>
      <w:r w:rsidRPr="00C9631A">
        <w:rPr>
          <w:rFonts w:ascii="Arial" w:hAnsi="Arial" w:cs="Arial"/>
          <w:b/>
          <w:bCs/>
          <w:sz w:val="20"/>
          <w:szCs w:val="20"/>
        </w:rPr>
        <w:t xml:space="preserve"> </w:t>
      </w:r>
      <w:r w:rsidRPr="00C9631A">
        <w:rPr>
          <w:rFonts w:ascii="Arial" w:hAnsi="Arial" w:cs="Arial"/>
          <w:sz w:val="20"/>
          <w:szCs w:val="20"/>
        </w:rPr>
        <w:t>indicatore definito dalla media aritmetica ponderata degli indici dei prezzi calcolati sui mercati dell’Area euro e non euro.</w:t>
      </w:r>
    </w:p>
    <w:p w14:paraId="2C40E1B1" w14:textId="77777777" w:rsidR="006B1C0B" w:rsidRPr="00C9631A" w:rsidRDefault="006B1C0B" w:rsidP="00E74CD4">
      <w:pPr>
        <w:spacing w:after="120"/>
        <w:jc w:val="both"/>
        <w:rPr>
          <w:rFonts w:ascii="Arial" w:hAnsi="Arial" w:cs="Arial"/>
          <w:sz w:val="20"/>
          <w:szCs w:val="20"/>
        </w:rPr>
      </w:pPr>
      <w:r w:rsidRPr="00C9631A">
        <w:rPr>
          <w:rFonts w:ascii="Arial" w:hAnsi="Arial" w:cs="Arial"/>
          <w:b/>
          <w:bCs/>
          <w:sz w:val="20"/>
          <w:szCs w:val="20"/>
        </w:rPr>
        <w:t>Merce</w:t>
      </w:r>
      <w:r w:rsidRPr="00C9631A">
        <w:rPr>
          <w:rFonts w:ascii="Arial" w:hAnsi="Arial" w:cs="Arial"/>
          <w:bCs/>
          <w:sz w:val="20"/>
          <w:szCs w:val="20"/>
        </w:rPr>
        <w:t>: tutte le merci che fisicamente transitano la frontier</w:t>
      </w:r>
      <w:r w:rsidR="00E37A51">
        <w:rPr>
          <w:rFonts w:ascii="Arial" w:hAnsi="Arial" w:cs="Arial"/>
          <w:bCs/>
          <w:sz w:val="20"/>
          <w:szCs w:val="20"/>
        </w:rPr>
        <w:t>a</w:t>
      </w:r>
      <w:r w:rsidRPr="00C9631A">
        <w:rPr>
          <w:rFonts w:ascii="Arial" w:hAnsi="Arial" w:cs="Arial"/>
          <w:bCs/>
          <w:sz w:val="20"/>
          <w:szCs w:val="20"/>
        </w:rPr>
        <w:t xml:space="preserve"> nazionale, inclusa l'energia elettrica. Per i movimenti particolari, che includono navi e aerei è utilizzato il principio della proprietà economica.</w:t>
      </w:r>
    </w:p>
    <w:p w14:paraId="501F12A6" w14:textId="77777777" w:rsidR="006B1C0B" w:rsidRPr="00C9631A" w:rsidRDefault="006B1C0B" w:rsidP="00E74CD4">
      <w:pPr>
        <w:spacing w:after="120"/>
        <w:ind w:right="20"/>
        <w:jc w:val="both"/>
        <w:rPr>
          <w:rFonts w:ascii="Arial" w:hAnsi="Arial" w:cs="Arial"/>
          <w:sz w:val="20"/>
          <w:szCs w:val="20"/>
        </w:rPr>
      </w:pPr>
      <w:r w:rsidRPr="00C9631A">
        <w:rPr>
          <w:rFonts w:ascii="Arial" w:hAnsi="Arial" w:cs="Arial"/>
          <w:b/>
          <w:sz w:val="20"/>
          <w:szCs w:val="20"/>
        </w:rPr>
        <w:t>Quote di mercato</w:t>
      </w:r>
      <w:r w:rsidRPr="00C9631A">
        <w:rPr>
          <w:rFonts w:ascii="Arial" w:hAnsi="Arial" w:cs="Arial"/>
          <w:sz w:val="20"/>
          <w:szCs w:val="20"/>
        </w:rPr>
        <w:t>:</w:t>
      </w:r>
      <w:r w:rsidRPr="00C9631A">
        <w:rPr>
          <w:rFonts w:ascii="Arial" w:hAnsi="Arial" w:cs="Arial"/>
          <w:b/>
          <w:sz w:val="20"/>
          <w:szCs w:val="20"/>
        </w:rPr>
        <w:t xml:space="preserve"> </w:t>
      </w:r>
      <w:r w:rsidRPr="00C9631A">
        <w:rPr>
          <w:rFonts w:ascii="Arial" w:hAnsi="Arial" w:cs="Arial"/>
          <w:sz w:val="20"/>
          <w:szCs w:val="20"/>
        </w:rPr>
        <w:t xml:space="preserve">rapporto percentuale tra valore delle esportazioni nazionali e valore delle esportazioni di un gruppo di paesi elaborato a partire da dati di fonte Eurostat rispetto all’ultimo periodo di disponibilità dei dati. </w:t>
      </w:r>
    </w:p>
    <w:p w14:paraId="531B51DB" w14:textId="77777777" w:rsidR="006B1C0B" w:rsidRPr="00C9631A" w:rsidRDefault="006B1C0B" w:rsidP="00E74CD4">
      <w:pPr>
        <w:spacing w:after="120"/>
        <w:ind w:right="20"/>
        <w:jc w:val="both"/>
        <w:rPr>
          <w:rFonts w:ascii="Arial" w:hAnsi="Arial" w:cs="Arial"/>
          <w:sz w:val="20"/>
          <w:szCs w:val="20"/>
        </w:rPr>
      </w:pPr>
      <w:r w:rsidRPr="00C9631A">
        <w:rPr>
          <w:rFonts w:ascii="Arial" w:hAnsi="Arial" w:cs="Arial"/>
          <w:b/>
          <w:sz w:val="20"/>
          <w:szCs w:val="20"/>
        </w:rPr>
        <w:t>Raggruppamenti principali di industrie</w:t>
      </w:r>
      <w:r w:rsidRPr="00C9631A">
        <w:rPr>
          <w:rFonts w:ascii="Arial" w:hAnsi="Arial" w:cs="Arial"/>
          <w:sz w:val="20"/>
          <w:szCs w:val="20"/>
        </w:rPr>
        <w:t>:</w:t>
      </w:r>
      <w:r w:rsidRPr="00C9631A">
        <w:rPr>
          <w:rFonts w:ascii="Arial" w:hAnsi="Arial" w:cs="Arial"/>
          <w:b/>
          <w:sz w:val="20"/>
          <w:szCs w:val="20"/>
        </w:rPr>
        <w:t xml:space="preserve"> </w:t>
      </w:r>
      <w:r w:rsidRPr="00C9631A">
        <w:rPr>
          <w:rFonts w:ascii="Arial" w:hAnsi="Arial" w:cs="Arial"/>
          <w:sz w:val="20"/>
          <w:szCs w:val="20"/>
        </w:rPr>
        <w:t>gruppi e/o divisioni di attività economica definiti, secondo il criterio della prevalenza.</w:t>
      </w:r>
    </w:p>
    <w:p w14:paraId="5A201972" w14:textId="77777777"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Revisioni</w:t>
      </w:r>
      <w:r w:rsidRPr="00C9631A">
        <w:rPr>
          <w:rFonts w:ascii="Arial" w:hAnsi="Arial" w:cs="Arial"/>
          <w:sz w:val="20"/>
          <w:szCs w:val="20"/>
        </w:rPr>
        <w:t>: differenze in punti tra la variazione percentuale pubblicata come dato provvisorio nel precedente comunicato stampa e quella definitiva relativa allo stesso mese di riferimento. Data la complessità merceologica e geografica dei dati di commercio estero, oltre alla revisione mensile, i regolamenti statistici comunitari prevedono che i dati mensili dell’anno t-1 siano ulteriormente rivisti e diffusi nel mese di novembre dell’anno t.</w:t>
      </w:r>
    </w:p>
    <w:p w14:paraId="4FE91C20" w14:textId="77777777" w:rsidR="006B1C0B" w:rsidRPr="00C9631A" w:rsidRDefault="006B1C0B" w:rsidP="00E74CD4">
      <w:pPr>
        <w:spacing w:after="120"/>
        <w:jc w:val="both"/>
        <w:rPr>
          <w:rFonts w:ascii="Arial" w:hAnsi="Arial" w:cs="Arial"/>
          <w:b/>
          <w:sz w:val="20"/>
          <w:szCs w:val="20"/>
        </w:rPr>
      </w:pPr>
      <w:r w:rsidRPr="00C9631A">
        <w:rPr>
          <w:rFonts w:ascii="Arial" w:hAnsi="Arial" w:cs="Arial"/>
          <w:b/>
          <w:sz w:val="20"/>
          <w:szCs w:val="20"/>
        </w:rPr>
        <w:t>Settori di attività economica</w:t>
      </w:r>
      <w:r w:rsidRPr="00C9631A">
        <w:rPr>
          <w:rFonts w:ascii="Arial" w:hAnsi="Arial" w:cs="Arial"/>
          <w:sz w:val="20"/>
          <w:szCs w:val="20"/>
        </w:rPr>
        <w:t xml:space="preserve">: aggregati della classificazione </w:t>
      </w:r>
      <w:hyperlink r:id="rId42" w:history="1">
        <w:r w:rsidRPr="00C9631A">
          <w:rPr>
            <w:rStyle w:val="Collegamentoipertestuale"/>
            <w:rFonts w:ascii="Arial" w:hAnsi="Arial" w:cs="Arial"/>
            <w:sz w:val="20"/>
            <w:szCs w:val="20"/>
          </w:rPr>
          <w:t>SNA/ISIC A38</w:t>
        </w:r>
      </w:hyperlink>
      <w:r w:rsidRPr="00C9631A">
        <w:rPr>
          <w:rFonts w:ascii="Arial" w:hAnsi="Arial" w:cs="Arial"/>
          <w:sz w:val="20"/>
          <w:szCs w:val="20"/>
        </w:rPr>
        <w:t xml:space="preserve"> (non previsti dalla classificazione </w:t>
      </w:r>
      <w:hyperlink r:id="rId43" w:history="1">
        <w:r w:rsidRPr="00C9631A">
          <w:rPr>
            <w:rStyle w:val="Collegamentoipertestuale"/>
            <w:rFonts w:ascii="Arial" w:hAnsi="Arial" w:cs="Arial"/>
            <w:sz w:val="20"/>
            <w:szCs w:val="20"/>
          </w:rPr>
          <w:t>Nace Rev.2</w:t>
        </w:r>
      </w:hyperlink>
      <w:r w:rsidRPr="00C9631A">
        <w:rPr>
          <w:rFonts w:ascii="Arial" w:hAnsi="Arial" w:cs="Arial"/>
          <w:sz w:val="20"/>
          <w:szCs w:val="20"/>
        </w:rPr>
        <w:t>) pubblicati per continuità storica con l’informazione fornita prima del gennaio 2009.</w:t>
      </w:r>
    </w:p>
    <w:p w14:paraId="3CE8CC5F" w14:textId="77777777" w:rsidR="006B1C0B" w:rsidRPr="00C9631A" w:rsidRDefault="006B1C0B" w:rsidP="00E74CD4">
      <w:pPr>
        <w:spacing w:after="120"/>
        <w:ind w:right="20"/>
        <w:jc w:val="both"/>
        <w:rPr>
          <w:rFonts w:ascii="Arial" w:hAnsi="Arial" w:cs="Arial"/>
          <w:sz w:val="20"/>
          <w:szCs w:val="20"/>
        </w:rPr>
      </w:pPr>
      <w:r w:rsidRPr="00C9631A">
        <w:rPr>
          <w:rFonts w:ascii="Arial" w:hAnsi="Arial" w:cs="Arial"/>
          <w:b/>
          <w:sz w:val="20"/>
          <w:szCs w:val="20"/>
        </w:rPr>
        <w:t>Variazione congiunturale</w:t>
      </w:r>
      <w:r w:rsidRPr="00C9631A">
        <w:rPr>
          <w:rFonts w:ascii="Arial" w:hAnsi="Arial" w:cs="Arial"/>
          <w:sz w:val="20"/>
          <w:szCs w:val="20"/>
        </w:rPr>
        <w:t>: variazione percentuale rispetto al mese o al periodo precedente.</w:t>
      </w:r>
    </w:p>
    <w:p w14:paraId="49F51CB2" w14:textId="77777777" w:rsidR="006B1C0B" w:rsidRPr="00C9631A" w:rsidRDefault="006B1C0B" w:rsidP="00E74CD4">
      <w:pPr>
        <w:pStyle w:val="Corpodeltesto1"/>
        <w:spacing w:after="120"/>
        <w:rPr>
          <w:rFonts w:ascii="Arial" w:hAnsi="Arial" w:cs="Arial"/>
          <w:b w:val="0"/>
          <w:sz w:val="20"/>
          <w:szCs w:val="20"/>
        </w:rPr>
      </w:pPr>
      <w:r w:rsidRPr="00C9631A">
        <w:rPr>
          <w:rFonts w:ascii="Arial" w:hAnsi="Arial" w:cs="Arial"/>
          <w:sz w:val="20"/>
          <w:szCs w:val="20"/>
        </w:rPr>
        <w:t>Variazione tendenziale</w:t>
      </w:r>
      <w:r w:rsidRPr="00C9631A">
        <w:rPr>
          <w:rFonts w:ascii="Arial" w:hAnsi="Arial" w:cs="Arial"/>
          <w:b w:val="0"/>
          <w:bCs/>
          <w:sz w:val="20"/>
          <w:szCs w:val="20"/>
        </w:rPr>
        <w:t>:</w:t>
      </w:r>
      <w:r w:rsidRPr="00C9631A">
        <w:rPr>
          <w:rFonts w:ascii="Arial" w:hAnsi="Arial" w:cs="Arial"/>
          <w:b w:val="0"/>
          <w:sz w:val="20"/>
          <w:szCs w:val="20"/>
        </w:rPr>
        <w:t xml:space="preserve"> variazione percentuale rispetto allo stesso mese o allo stesso periodo dell’anno precedente.</w:t>
      </w:r>
    </w:p>
    <w:p w14:paraId="5B5ABDBE" w14:textId="77777777" w:rsidR="008028CC" w:rsidRPr="00C9631A" w:rsidRDefault="008028CC" w:rsidP="006B1C0B">
      <w:pPr>
        <w:spacing w:after="120"/>
        <w:jc w:val="both"/>
        <w:rPr>
          <w:rFonts w:ascii="Arial" w:hAnsi="Arial" w:cs="Arial"/>
          <w:b/>
          <w:sz w:val="20"/>
          <w:szCs w:val="20"/>
        </w:rPr>
      </w:pPr>
    </w:p>
    <w:p w14:paraId="432DFD23" w14:textId="77777777" w:rsidR="006B1C0B" w:rsidRDefault="006B1C0B" w:rsidP="006B1C0B">
      <w:pPr>
        <w:spacing w:after="120"/>
        <w:jc w:val="both"/>
        <w:rPr>
          <w:rFonts w:ascii="Arial" w:hAnsi="Arial" w:cs="Arial"/>
          <w:b/>
          <w:sz w:val="22"/>
          <w:szCs w:val="20"/>
        </w:rPr>
      </w:pPr>
      <w:r w:rsidRPr="00C9631A">
        <w:rPr>
          <w:rFonts w:ascii="Arial" w:hAnsi="Arial" w:cs="Arial"/>
          <w:b/>
          <w:sz w:val="22"/>
          <w:szCs w:val="20"/>
        </w:rPr>
        <w:t>Definizioni delle aree geografiche e geoeconomiche</w:t>
      </w:r>
    </w:p>
    <w:p w14:paraId="5654FCC2" w14:textId="77777777" w:rsidR="006B1C0B" w:rsidRPr="00C9631A" w:rsidRDefault="006B1C0B" w:rsidP="00E74CD4">
      <w:pPr>
        <w:spacing w:after="120"/>
        <w:jc w:val="both"/>
        <w:rPr>
          <w:rFonts w:ascii="Arial" w:hAnsi="Arial" w:cs="Arial"/>
          <w:sz w:val="20"/>
          <w:szCs w:val="20"/>
        </w:rPr>
      </w:pPr>
      <w:r w:rsidRPr="00C9631A">
        <w:rPr>
          <w:rFonts w:ascii="Arial" w:hAnsi="Arial" w:cs="Arial"/>
          <w:b/>
          <w:bCs/>
          <w:iCs/>
          <w:sz w:val="20"/>
          <w:szCs w:val="20"/>
        </w:rPr>
        <w:t>Africa settentrionale</w:t>
      </w:r>
      <w:r w:rsidRPr="00C9631A">
        <w:rPr>
          <w:rFonts w:ascii="Arial" w:hAnsi="Arial" w:cs="Arial"/>
          <w:sz w:val="20"/>
          <w:szCs w:val="20"/>
        </w:rPr>
        <w:t>: Algeria, Egitto, Ceuta, Libia, Marocco, Melilla, Sahara Occidentale, Tunisia.</w:t>
      </w:r>
    </w:p>
    <w:p w14:paraId="15717E8A" w14:textId="77777777" w:rsidR="006B1C0B" w:rsidRPr="00C9631A" w:rsidRDefault="006B1C0B" w:rsidP="00E74CD4">
      <w:pPr>
        <w:spacing w:after="120"/>
        <w:jc w:val="both"/>
        <w:rPr>
          <w:rFonts w:ascii="Arial" w:hAnsi="Arial" w:cs="Arial"/>
          <w:sz w:val="20"/>
          <w:szCs w:val="20"/>
        </w:rPr>
      </w:pPr>
      <w:r w:rsidRPr="00C9631A">
        <w:rPr>
          <w:rFonts w:ascii="Arial" w:hAnsi="Arial" w:cs="Arial"/>
          <w:b/>
          <w:bCs/>
          <w:iCs/>
          <w:sz w:val="20"/>
          <w:szCs w:val="20"/>
        </w:rPr>
        <w:t>Altri paesi africani</w:t>
      </w:r>
      <w:r w:rsidRPr="00C9631A">
        <w:rPr>
          <w:rFonts w:ascii="Arial" w:hAnsi="Arial" w:cs="Arial"/>
          <w:sz w:val="20"/>
          <w:szCs w:val="20"/>
        </w:rPr>
        <w:t xml:space="preserve">: Angola, Benin, Botswana, Burkina Faso, Burundi, Camerun, Capo Verde, Ciad, Comore, Congo, Costa d’Avorio, Eritrea, Etiopia, Gabon, Gambia, Ghana, Gibuti, Guinea, Guinea equatoriale, Guinea-Bissau, Kenya, Lesotho, Liberia, Madagascar, Malawi, Mali, Mauritania, Maurizio, Mayotte, Mozambico, Namibia, Niger, Nigeria, Repubblica Centrafricana, Repubblica democratica del Congo, Repubblica unita di Tanzania, Ruanda, Sant’Elena-Ascensione e Tristan da Cunha, São Tomé e Principe, Seychelles, Senegal, Sierra Leone, Somalia, Sud Africa, Sudan, Sud Sudan, Swaziland, Territorio britannico dell’ Oceano Indiano, Togo, Uganda, Zambia, Zimbabwe. </w:t>
      </w:r>
    </w:p>
    <w:p w14:paraId="3E10225D" w14:textId="77777777" w:rsidR="006B1C0B" w:rsidRPr="00C9631A" w:rsidRDefault="006B1C0B" w:rsidP="00E74CD4">
      <w:pPr>
        <w:spacing w:after="120"/>
        <w:jc w:val="both"/>
        <w:rPr>
          <w:rFonts w:ascii="Arial" w:hAnsi="Arial" w:cs="Arial"/>
          <w:b/>
          <w:bCs/>
          <w:i/>
          <w:iCs/>
          <w:sz w:val="20"/>
          <w:szCs w:val="20"/>
        </w:rPr>
      </w:pPr>
      <w:r w:rsidRPr="00C9631A">
        <w:rPr>
          <w:rFonts w:ascii="Arial" w:hAnsi="Arial" w:cs="Arial"/>
          <w:b/>
          <w:bCs/>
          <w:iCs/>
          <w:sz w:val="20"/>
          <w:szCs w:val="20"/>
        </w:rPr>
        <w:t>Altri paesi asiatici</w:t>
      </w:r>
      <w:r w:rsidRPr="00C9631A">
        <w:rPr>
          <w:rFonts w:ascii="Arial" w:hAnsi="Arial" w:cs="Arial"/>
          <w:i/>
          <w:iCs/>
          <w:sz w:val="20"/>
          <w:szCs w:val="20"/>
        </w:rPr>
        <w:t xml:space="preserve">: </w:t>
      </w:r>
      <w:r w:rsidRPr="00C9631A">
        <w:rPr>
          <w:rFonts w:ascii="Arial" w:hAnsi="Arial" w:cs="Arial"/>
          <w:sz w:val="20"/>
          <w:szCs w:val="20"/>
        </w:rPr>
        <w:t>Afghanistan, Bangladesh, Bhutan, Birmania, Brunei, Cambogia, Cina, Corea del Nord, Corea del Sud, Filippine, Giappone, Hong Kong, India, Indonesia, Kazakistan, Kirghizistan, Laos, Macao, Malaysia, Maldive, Mongolia, Nepal, Pakistan, Singapore, Sri Lanka, Tagikistan, Taiwan, Thailandia, Timor-Leste, Turkmenistan, Uzbekistan, Vietnam.</w:t>
      </w:r>
    </w:p>
    <w:p w14:paraId="0C032666" w14:textId="77777777" w:rsidR="006B1C0B" w:rsidRPr="00C9631A" w:rsidRDefault="006B1C0B" w:rsidP="00E74CD4">
      <w:pPr>
        <w:spacing w:after="120"/>
        <w:jc w:val="both"/>
        <w:rPr>
          <w:rFonts w:ascii="Arial" w:hAnsi="Arial" w:cs="Arial"/>
          <w:b/>
          <w:bCs/>
          <w:i/>
          <w:iCs/>
          <w:sz w:val="20"/>
          <w:szCs w:val="20"/>
        </w:rPr>
      </w:pPr>
      <w:r w:rsidRPr="00C9631A">
        <w:rPr>
          <w:rFonts w:ascii="Arial" w:hAnsi="Arial" w:cs="Arial"/>
          <w:b/>
          <w:bCs/>
          <w:iCs/>
          <w:sz w:val="20"/>
          <w:szCs w:val="20"/>
        </w:rPr>
        <w:t>America centro-meridionale</w:t>
      </w:r>
      <w:r w:rsidRPr="00C9631A">
        <w:rPr>
          <w:rFonts w:ascii="Arial" w:hAnsi="Arial" w:cs="Arial"/>
          <w:i/>
          <w:iCs/>
          <w:sz w:val="20"/>
          <w:szCs w:val="20"/>
        </w:rPr>
        <w:t xml:space="preserve">: </w:t>
      </w:r>
      <w:r w:rsidRPr="00C9631A">
        <w:rPr>
          <w:rFonts w:ascii="Arial" w:hAnsi="Arial" w:cs="Arial"/>
          <w:sz w:val="20"/>
          <w:szCs w:val="20"/>
        </w:rPr>
        <w:t xml:space="preserve">Anguilla, Antigua e Barbuda, Argentina, Aruba, Bahama, Barbados, Belize, Bermuda, Bolivia, Bonaire, Sint Eustatius e Saba, Brasile, Cile, Colombia, Costa Rica, Cuba, Curaçao, Dominica, Ecuador, El Salvador, Giamaica, Grenada, Guatemala, Guyana, Haiti, Honduras, Isole Cayman, Isole Falkland, Isole Turks e Caicos, Isole Vergini Americane, Isole Vergini Britanniche, Messico, Montserrat, Nicaragua, Panama, Paraguay, Perù, Repubblica dominicana, Saint-Barthélemy, Saint Kitts e Nevis, Saint Vincente e le Grenadine, Santa Lucia, Sint Maarten, Suriname, Trinidad e Tobago, Uruguay, Venezuela. </w:t>
      </w:r>
    </w:p>
    <w:p w14:paraId="6FE4DE02" w14:textId="77777777" w:rsidR="006B1C0B" w:rsidRPr="00C9631A" w:rsidRDefault="006B1C0B" w:rsidP="00E74CD4">
      <w:pPr>
        <w:spacing w:after="120"/>
        <w:jc w:val="both"/>
        <w:rPr>
          <w:rFonts w:ascii="Arial" w:hAnsi="Arial" w:cs="Arial"/>
          <w:b/>
          <w:bCs/>
          <w:i/>
          <w:iCs/>
          <w:sz w:val="20"/>
          <w:szCs w:val="20"/>
        </w:rPr>
      </w:pPr>
      <w:r w:rsidRPr="00C9631A">
        <w:rPr>
          <w:rFonts w:ascii="Arial" w:hAnsi="Arial" w:cs="Arial"/>
          <w:b/>
          <w:bCs/>
          <w:iCs/>
          <w:sz w:val="20"/>
          <w:szCs w:val="20"/>
        </w:rPr>
        <w:t>America settentrionale</w:t>
      </w:r>
      <w:r w:rsidRPr="00C9631A">
        <w:rPr>
          <w:rFonts w:ascii="Arial" w:hAnsi="Arial" w:cs="Arial"/>
          <w:sz w:val="20"/>
          <w:szCs w:val="20"/>
        </w:rPr>
        <w:t>: Canada, Groenlandia, Saint-Pierre e Miquelon, Stati Uniti.</w:t>
      </w:r>
    </w:p>
    <w:p w14:paraId="3A25F374" w14:textId="77777777" w:rsidR="006B1C0B" w:rsidRPr="00C9631A" w:rsidRDefault="006B1C0B" w:rsidP="00E74CD4">
      <w:pPr>
        <w:suppressAutoHyphens/>
        <w:spacing w:after="120"/>
        <w:jc w:val="both"/>
        <w:rPr>
          <w:rFonts w:ascii="Arial" w:hAnsi="Arial" w:cs="Arial"/>
          <w:b/>
          <w:bCs/>
          <w:i/>
          <w:iCs/>
          <w:sz w:val="20"/>
          <w:szCs w:val="20"/>
        </w:rPr>
      </w:pPr>
      <w:r w:rsidRPr="00C9631A">
        <w:rPr>
          <w:rFonts w:ascii="Arial" w:hAnsi="Arial" w:cs="Arial"/>
          <w:b/>
          <w:bCs/>
          <w:iCs/>
          <w:sz w:val="20"/>
          <w:szCs w:val="20"/>
          <w:lang w:eastAsia="ar-SA"/>
        </w:rPr>
        <w:t>Area euro</w:t>
      </w:r>
      <w:r w:rsidRPr="00C9631A">
        <w:rPr>
          <w:rFonts w:ascii="Arial" w:hAnsi="Arial" w:cs="Arial"/>
          <w:sz w:val="20"/>
          <w:szCs w:val="20"/>
          <w:lang w:eastAsia="ar-SA"/>
        </w:rPr>
        <w:t xml:space="preserve">: Austria, Belgio, Cipro, </w:t>
      </w:r>
      <w:r w:rsidR="00AE2B80">
        <w:rPr>
          <w:rFonts w:ascii="Arial" w:hAnsi="Arial" w:cs="Arial"/>
          <w:sz w:val="20"/>
          <w:szCs w:val="20"/>
          <w:lang w:eastAsia="ar-SA"/>
        </w:rPr>
        <w:t xml:space="preserve">Croazia, </w:t>
      </w:r>
      <w:r w:rsidRPr="00C9631A">
        <w:rPr>
          <w:rFonts w:ascii="Arial" w:hAnsi="Arial" w:cs="Arial"/>
          <w:sz w:val="20"/>
          <w:szCs w:val="20"/>
          <w:lang w:eastAsia="ar-SA"/>
        </w:rPr>
        <w:t>Estonia, Finlandia, Francia, Germania, Grecia, Irlanda, Italia, Lettonia, Lituania, Lussemburgo, Malta, Paesi Bassi, Portogallo, Slovacchia, Slovenia, Spagna.</w:t>
      </w:r>
    </w:p>
    <w:p w14:paraId="5CF98560" w14:textId="77777777" w:rsidR="006B1C0B" w:rsidRPr="00C9631A" w:rsidRDefault="006B1C0B" w:rsidP="00E74CD4">
      <w:pPr>
        <w:suppressAutoHyphens/>
        <w:spacing w:after="120"/>
        <w:jc w:val="both"/>
        <w:rPr>
          <w:rFonts w:ascii="Arial" w:hAnsi="Arial" w:cs="Arial"/>
          <w:b/>
          <w:bCs/>
          <w:i/>
          <w:iCs/>
          <w:sz w:val="20"/>
          <w:szCs w:val="20"/>
        </w:rPr>
      </w:pPr>
      <w:r w:rsidRPr="00C9631A">
        <w:rPr>
          <w:rFonts w:ascii="Arial" w:hAnsi="Arial" w:cs="Arial"/>
          <w:b/>
          <w:bCs/>
          <w:iCs/>
          <w:sz w:val="20"/>
          <w:szCs w:val="20"/>
          <w:lang w:eastAsia="ar-SA"/>
        </w:rPr>
        <w:t>Area non euro</w:t>
      </w:r>
      <w:r w:rsidRPr="00C9631A">
        <w:rPr>
          <w:rFonts w:ascii="Arial" w:hAnsi="Arial" w:cs="Arial"/>
          <w:bCs/>
          <w:iCs/>
          <w:sz w:val="20"/>
          <w:szCs w:val="20"/>
          <w:lang w:eastAsia="ar-SA"/>
        </w:rPr>
        <w:t>:</w:t>
      </w:r>
      <w:r w:rsidRPr="00C9631A">
        <w:rPr>
          <w:rFonts w:ascii="Arial" w:hAnsi="Arial" w:cs="Arial"/>
          <w:b/>
          <w:bCs/>
          <w:i/>
          <w:iCs/>
          <w:sz w:val="20"/>
          <w:szCs w:val="20"/>
          <w:lang w:eastAsia="ar-SA"/>
        </w:rPr>
        <w:t xml:space="preserve"> </w:t>
      </w:r>
      <w:r w:rsidRPr="00C9631A">
        <w:rPr>
          <w:rFonts w:ascii="Arial" w:hAnsi="Arial" w:cs="Arial"/>
          <w:bCs/>
          <w:iCs/>
          <w:sz w:val="20"/>
          <w:szCs w:val="20"/>
          <w:lang w:eastAsia="ar-SA"/>
        </w:rPr>
        <w:t>è costituita da tutti i paesi che non adottano l’euro: 1) Paesi che fanno parte dell’Unione europea ma che ancora non aderiscono all’euro (Bulgari</w:t>
      </w:r>
      <w:r w:rsidR="00AB3324">
        <w:rPr>
          <w:rFonts w:ascii="Arial" w:hAnsi="Arial" w:cs="Arial"/>
          <w:bCs/>
          <w:iCs/>
          <w:sz w:val="20"/>
          <w:szCs w:val="20"/>
          <w:lang w:eastAsia="ar-SA"/>
        </w:rPr>
        <w:t>a</w:t>
      </w:r>
      <w:r w:rsidR="00C22FDA">
        <w:rPr>
          <w:rFonts w:ascii="Arial" w:hAnsi="Arial" w:cs="Arial"/>
          <w:bCs/>
          <w:iCs/>
          <w:sz w:val="20"/>
          <w:szCs w:val="20"/>
          <w:lang w:eastAsia="ar-SA"/>
        </w:rPr>
        <w:t xml:space="preserve">, </w:t>
      </w:r>
      <w:r w:rsidR="00CF5C6A">
        <w:rPr>
          <w:rFonts w:ascii="Arial" w:hAnsi="Arial" w:cs="Arial"/>
          <w:bCs/>
          <w:iCs/>
          <w:sz w:val="20"/>
          <w:szCs w:val="20"/>
          <w:lang w:eastAsia="ar-SA"/>
        </w:rPr>
        <w:t xml:space="preserve">Cechia, </w:t>
      </w:r>
      <w:r w:rsidR="00C22FDA">
        <w:rPr>
          <w:rFonts w:ascii="Arial" w:hAnsi="Arial" w:cs="Arial"/>
          <w:bCs/>
          <w:iCs/>
          <w:sz w:val="20"/>
          <w:szCs w:val="20"/>
          <w:lang w:eastAsia="ar-SA"/>
        </w:rPr>
        <w:t>Danimarca, Polonia</w:t>
      </w:r>
      <w:r w:rsidRPr="00C9631A">
        <w:rPr>
          <w:rFonts w:ascii="Arial" w:hAnsi="Arial" w:cs="Arial"/>
          <w:bCs/>
          <w:iCs/>
          <w:sz w:val="20"/>
          <w:szCs w:val="20"/>
          <w:lang w:eastAsia="ar-SA"/>
        </w:rPr>
        <w:t>, Romania, Svezia, Ungheria); 2) tutti i Paesi del Resto del mondo. In particolare, Andorra, Città del Vaticano, Principato di Monaco e San Marino usano l’euro come moneta ufficiale ma non sono ufficialmente membri dell’Unione europea; pertanto, fanno parte dell’Area non euro.</w:t>
      </w:r>
    </w:p>
    <w:p w14:paraId="6B7EA4B7" w14:textId="77777777" w:rsidR="006B1C0B" w:rsidRPr="00C9631A" w:rsidRDefault="006B1C0B" w:rsidP="00E74CD4">
      <w:pPr>
        <w:suppressAutoHyphens/>
        <w:spacing w:after="120"/>
        <w:jc w:val="both"/>
        <w:rPr>
          <w:rFonts w:ascii="Arial" w:hAnsi="Arial" w:cs="Arial"/>
          <w:b/>
          <w:bCs/>
          <w:i/>
          <w:iCs/>
          <w:sz w:val="20"/>
          <w:szCs w:val="20"/>
          <w:lang w:eastAsia="ar-SA"/>
        </w:rPr>
      </w:pPr>
      <w:r w:rsidRPr="00C9631A">
        <w:rPr>
          <w:rFonts w:ascii="Arial" w:hAnsi="Arial" w:cs="Arial"/>
          <w:b/>
          <w:bCs/>
          <w:iCs/>
          <w:sz w:val="20"/>
          <w:szCs w:val="20"/>
          <w:lang w:eastAsia="ar-SA"/>
        </w:rPr>
        <w:t>Asean (Associazione delle Nazioni del Sud-Est Asiatico)</w:t>
      </w:r>
      <w:r w:rsidRPr="00C9631A">
        <w:rPr>
          <w:rFonts w:ascii="Arial" w:hAnsi="Arial" w:cs="Arial"/>
          <w:i/>
          <w:iCs/>
          <w:sz w:val="20"/>
          <w:szCs w:val="20"/>
          <w:lang w:eastAsia="ar-SA"/>
        </w:rPr>
        <w:t xml:space="preserve">: </w:t>
      </w:r>
      <w:r w:rsidRPr="00C9631A">
        <w:rPr>
          <w:rFonts w:ascii="Arial" w:hAnsi="Arial" w:cs="Arial"/>
          <w:sz w:val="20"/>
          <w:szCs w:val="20"/>
          <w:lang w:eastAsia="ar-SA"/>
        </w:rPr>
        <w:t xml:space="preserve">Brunei, Cambogia, Filippine, Indonesia, Laos, Malaysia, Birmania, Singapore, Thailandia, Vietnam. </w:t>
      </w:r>
    </w:p>
    <w:p w14:paraId="7481EF72" w14:textId="77777777" w:rsidR="006B1C0B" w:rsidRPr="00C9631A" w:rsidRDefault="006B1C0B" w:rsidP="00E74CD4">
      <w:pPr>
        <w:spacing w:after="120"/>
        <w:jc w:val="both"/>
        <w:rPr>
          <w:rFonts w:ascii="Arial" w:hAnsi="Arial" w:cs="Arial"/>
          <w:b/>
          <w:bCs/>
          <w:i/>
          <w:iCs/>
          <w:sz w:val="20"/>
          <w:szCs w:val="20"/>
        </w:rPr>
      </w:pPr>
      <w:r w:rsidRPr="00C9631A">
        <w:rPr>
          <w:rFonts w:ascii="Arial" w:hAnsi="Arial" w:cs="Arial"/>
          <w:b/>
          <w:bCs/>
          <w:iCs/>
          <w:sz w:val="20"/>
          <w:szCs w:val="20"/>
        </w:rPr>
        <w:t>Medio Oriente</w:t>
      </w:r>
      <w:r w:rsidRPr="00C9631A">
        <w:rPr>
          <w:rFonts w:ascii="Arial" w:hAnsi="Arial" w:cs="Arial"/>
          <w:i/>
          <w:iCs/>
          <w:sz w:val="20"/>
          <w:szCs w:val="20"/>
        </w:rPr>
        <w:t xml:space="preserve">: </w:t>
      </w:r>
      <w:r w:rsidRPr="00C9631A">
        <w:rPr>
          <w:rFonts w:ascii="Arial" w:hAnsi="Arial" w:cs="Arial"/>
          <w:sz w:val="20"/>
          <w:szCs w:val="20"/>
        </w:rPr>
        <w:t xml:space="preserve">Arabia Saudita, Armenia, Azerbaigian, Bahrein, Emirati Arabi Uniti, Georgia, Giordania, Iraq, Israele, Kuwait, Libano, Oman, Qatar, Repubblica islamica dell’Iran, Siria, Territorio palestinese occupato, Yemen. </w:t>
      </w:r>
    </w:p>
    <w:p w14:paraId="37CBE911" w14:textId="6D71667C" w:rsidR="006B1C0B" w:rsidRPr="00C9631A" w:rsidRDefault="006B1C0B" w:rsidP="00E74CD4">
      <w:pPr>
        <w:spacing w:after="120"/>
        <w:jc w:val="both"/>
        <w:rPr>
          <w:rFonts w:ascii="Arial" w:hAnsi="Arial" w:cs="Arial"/>
          <w:sz w:val="20"/>
          <w:szCs w:val="20"/>
        </w:rPr>
      </w:pPr>
      <w:r w:rsidRPr="00C9631A">
        <w:rPr>
          <w:rFonts w:ascii="Arial" w:hAnsi="Arial" w:cs="Arial"/>
          <w:b/>
          <w:bCs/>
          <w:iCs/>
          <w:sz w:val="20"/>
          <w:szCs w:val="20"/>
        </w:rPr>
        <w:t>Mercosur</w:t>
      </w:r>
      <w:r w:rsidRPr="00C9631A">
        <w:rPr>
          <w:rFonts w:ascii="Arial" w:hAnsi="Arial" w:cs="Arial"/>
          <w:sz w:val="20"/>
          <w:szCs w:val="20"/>
        </w:rPr>
        <w:t xml:space="preserve">: </w:t>
      </w:r>
      <w:r w:rsidR="00DD043D">
        <w:rPr>
          <w:rFonts w:ascii="Arial" w:hAnsi="Arial" w:cs="Arial"/>
          <w:sz w:val="20"/>
          <w:szCs w:val="20"/>
        </w:rPr>
        <w:t xml:space="preserve">Bolivia, </w:t>
      </w:r>
      <w:r w:rsidRPr="00C9631A">
        <w:rPr>
          <w:rFonts w:ascii="Arial" w:hAnsi="Arial" w:cs="Arial"/>
          <w:sz w:val="20"/>
          <w:szCs w:val="20"/>
        </w:rPr>
        <w:t>Brasile, Paraguay, Uruguay e Argentina.</w:t>
      </w:r>
    </w:p>
    <w:p w14:paraId="24B9065F" w14:textId="77777777" w:rsidR="006B1C0B" w:rsidRPr="00C9631A" w:rsidRDefault="006B1C0B" w:rsidP="00E74CD4">
      <w:pPr>
        <w:spacing w:after="120"/>
        <w:jc w:val="both"/>
        <w:rPr>
          <w:rFonts w:ascii="Arial" w:hAnsi="Arial" w:cs="Arial"/>
          <w:bCs/>
          <w:i/>
          <w:iCs/>
          <w:sz w:val="20"/>
          <w:szCs w:val="20"/>
        </w:rPr>
      </w:pPr>
      <w:r w:rsidRPr="00C9631A">
        <w:rPr>
          <w:rFonts w:ascii="Arial" w:hAnsi="Arial" w:cs="Arial"/>
          <w:b/>
          <w:bCs/>
          <w:iCs/>
          <w:sz w:val="20"/>
          <w:szCs w:val="20"/>
        </w:rPr>
        <w:t>Oceania e altri territori</w:t>
      </w:r>
      <w:r w:rsidRPr="00C9631A">
        <w:rPr>
          <w:rFonts w:ascii="Arial" w:hAnsi="Arial" w:cs="Arial"/>
          <w:sz w:val="20"/>
          <w:szCs w:val="20"/>
        </w:rPr>
        <w:t>: Antartide, Australia, Figi, Georgia del Sud e Isole Sandwich australi, Isola di Bouvet, Isola Christmas, Isole Cocos (Keeling), Isole Cook, Isole Heard e McDonald, Isole Marianne settentrionali, Isole Marshall, Isole minori periferiche degli Stati Uniti, Isola Norfolk, Isole Pitcairn, Isole Salomone, Kiribati, Nauru, Niue, Nuova Caledonia, Nuova Zelanda, Palau, Papua Nuova Guinea, Polinesia francese, Samoa, Samoa americane, Stati Federati di Micronesia, Terre australi e antartiche francesi, Tokelau, Tonga, Tuvalu, Vanuatu, Wallis e Futuna, Provviste e dotazioni di bordo, Paesi e territori non specificati, Paesi e territori non specificati per ragioni commerciali o militari.</w:t>
      </w:r>
    </w:p>
    <w:p w14:paraId="69363224" w14:textId="20135840" w:rsidR="006B1C0B" w:rsidRPr="00C9631A" w:rsidRDefault="006B1C0B" w:rsidP="00E74CD4">
      <w:pPr>
        <w:spacing w:after="120"/>
        <w:jc w:val="both"/>
        <w:rPr>
          <w:rFonts w:ascii="Arial" w:hAnsi="Arial" w:cs="Arial"/>
          <w:sz w:val="20"/>
          <w:szCs w:val="20"/>
        </w:rPr>
      </w:pPr>
      <w:r w:rsidRPr="00C9631A">
        <w:rPr>
          <w:rFonts w:ascii="Arial" w:hAnsi="Arial" w:cs="Arial"/>
          <w:b/>
          <w:sz w:val="20"/>
          <w:szCs w:val="20"/>
        </w:rPr>
        <w:t>Opec</w:t>
      </w:r>
      <w:r w:rsidRPr="00C9631A">
        <w:rPr>
          <w:rFonts w:ascii="Arial" w:hAnsi="Arial" w:cs="Arial"/>
          <w:sz w:val="20"/>
          <w:szCs w:val="20"/>
        </w:rPr>
        <w:t>:</w:t>
      </w:r>
      <w:r w:rsidRPr="00C9631A">
        <w:rPr>
          <w:rFonts w:ascii="Arial" w:hAnsi="Arial" w:cs="Arial"/>
          <w:i/>
          <w:sz w:val="20"/>
          <w:szCs w:val="20"/>
        </w:rPr>
        <w:t xml:space="preserve"> </w:t>
      </w:r>
      <w:r w:rsidRPr="00C9631A">
        <w:rPr>
          <w:rFonts w:ascii="Arial" w:hAnsi="Arial" w:cs="Arial"/>
          <w:sz w:val="20"/>
          <w:szCs w:val="20"/>
        </w:rPr>
        <w:t>Al</w:t>
      </w:r>
      <w:r w:rsidR="00DD043D">
        <w:rPr>
          <w:rFonts w:ascii="Arial" w:hAnsi="Arial" w:cs="Arial"/>
          <w:sz w:val="20"/>
          <w:szCs w:val="20"/>
        </w:rPr>
        <w:t>geria</w:t>
      </w:r>
      <w:r w:rsidRPr="00C9631A">
        <w:rPr>
          <w:rFonts w:ascii="Arial" w:hAnsi="Arial" w:cs="Arial"/>
          <w:sz w:val="20"/>
          <w:szCs w:val="20"/>
        </w:rPr>
        <w:t xml:space="preserve">, Arabia Saudita, Emirati Arabi Uniti, Iraq, Kuwait, Libia, Nigeria, Repubblica islamica </w:t>
      </w:r>
      <w:r w:rsidR="00C9631A">
        <w:rPr>
          <w:rFonts w:ascii="Arial" w:hAnsi="Arial" w:cs="Arial"/>
          <w:sz w:val="20"/>
          <w:szCs w:val="20"/>
        </w:rPr>
        <w:t>d</w:t>
      </w:r>
      <w:r w:rsidRPr="00C9631A">
        <w:rPr>
          <w:rFonts w:ascii="Arial" w:hAnsi="Arial" w:cs="Arial"/>
          <w:sz w:val="20"/>
          <w:szCs w:val="20"/>
        </w:rPr>
        <w:t xml:space="preserve">ell’Iran, </w:t>
      </w:r>
      <w:r w:rsidR="00245D91">
        <w:rPr>
          <w:rFonts w:ascii="Arial" w:hAnsi="Arial" w:cs="Arial"/>
          <w:sz w:val="20"/>
          <w:szCs w:val="20"/>
        </w:rPr>
        <w:t>Venezuela</w:t>
      </w:r>
      <w:r w:rsidRPr="00C9631A">
        <w:rPr>
          <w:rFonts w:ascii="Arial" w:hAnsi="Arial" w:cs="Arial"/>
          <w:sz w:val="20"/>
          <w:szCs w:val="20"/>
        </w:rPr>
        <w:t xml:space="preserve">, </w:t>
      </w:r>
      <w:r w:rsidR="00883849" w:rsidRPr="00C9631A">
        <w:rPr>
          <w:rFonts w:ascii="Arial" w:hAnsi="Arial" w:cs="Arial"/>
          <w:sz w:val="20"/>
          <w:szCs w:val="20"/>
        </w:rPr>
        <w:t xml:space="preserve">Gabon, </w:t>
      </w:r>
      <w:r w:rsidRPr="00C9631A">
        <w:rPr>
          <w:rFonts w:ascii="Arial" w:hAnsi="Arial" w:cs="Arial"/>
          <w:sz w:val="20"/>
          <w:szCs w:val="20"/>
        </w:rPr>
        <w:t>Guinea Equatoriale</w:t>
      </w:r>
      <w:r w:rsidR="00883849" w:rsidRPr="00C9631A">
        <w:rPr>
          <w:rFonts w:ascii="Arial" w:hAnsi="Arial" w:cs="Arial"/>
          <w:sz w:val="20"/>
          <w:szCs w:val="20"/>
        </w:rPr>
        <w:t xml:space="preserve"> e Congo</w:t>
      </w:r>
      <w:r w:rsidRPr="00C9631A">
        <w:rPr>
          <w:rFonts w:ascii="Arial" w:hAnsi="Arial" w:cs="Arial"/>
          <w:sz w:val="20"/>
          <w:szCs w:val="20"/>
        </w:rPr>
        <w:t>.</w:t>
      </w:r>
    </w:p>
    <w:p w14:paraId="5F2E81CB" w14:textId="77777777" w:rsidR="006B1C0B" w:rsidRPr="00C9631A" w:rsidRDefault="006B1C0B" w:rsidP="00E74CD4">
      <w:pPr>
        <w:spacing w:after="120"/>
        <w:jc w:val="both"/>
        <w:rPr>
          <w:rFonts w:ascii="Arial" w:hAnsi="Arial" w:cs="Arial"/>
          <w:sz w:val="20"/>
          <w:szCs w:val="20"/>
        </w:rPr>
      </w:pPr>
      <w:r w:rsidRPr="00C9631A">
        <w:rPr>
          <w:rFonts w:ascii="Arial" w:hAnsi="Arial" w:cs="Arial"/>
          <w:b/>
          <w:bCs/>
          <w:iCs/>
          <w:sz w:val="20"/>
          <w:szCs w:val="20"/>
        </w:rPr>
        <w:t>Paesi europei non Ue</w:t>
      </w:r>
      <w:r w:rsidRPr="00C9631A">
        <w:rPr>
          <w:rFonts w:ascii="Arial" w:hAnsi="Arial" w:cs="Arial"/>
          <w:sz w:val="20"/>
          <w:szCs w:val="20"/>
        </w:rPr>
        <w:t xml:space="preserve">: Albania, Andorra, Bielorussia, Bosnia-Erzegovina, Fær Øer, Gibilterra, Islanda, Kosovo, Liechtenstein, </w:t>
      </w:r>
      <w:r w:rsidR="00EF21D2">
        <w:rPr>
          <w:rFonts w:ascii="Arial" w:hAnsi="Arial" w:cs="Arial"/>
          <w:sz w:val="20"/>
          <w:szCs w:val="20"/>
        </w:rPr>
        <w:t>Macedonia del Nord,</w:t>
      </w:r>
      <w:r w:rsidR="00EF21D2" w:rsidRPr="00C9631A">
        <w:rPr>
          <w:rFonts w:ascii="Arial" w:hAnsi="Arial" w:cs="Arial"/>
          <w:sz w:val="20"/>
          <w:szCs w:val="20"/>
        </w:rPr>
        <w:t xml:space="preserve"> </w:t>
      </w:r>
      <w:r w:rsidRPr="00C9631A">
        <w:rPr>
          <w:rFonts w:ascii="Arial" w:hAnsi="Arial" w:cs="Arial"/>
          <w:sz w:val="20"/>
          <w:szCs w:val="20"/>
        </w:rPr>
        <w:t xml:space="preserve">Montenegro, Norvegia, </w:t>
      </w:r>
      <w:r w:rsidR="00C22FDA">
        <w:rPr>
          <w:rFonts w:ascii="Arial" w:hAnsi="Arial" w:cs="Arial"/>
          <w:sz w:val="20"/>
          <w:szCs w:val="20"/>
        </w:rPr>
        <w:t xml:space="preserve">Regno Unito, </w:t>
      </w:r>
      <w:r w:rsidRPr="00C9631A">
        <w:rPr>
          <w:rFonts w:ascii="Arial" w:hAnsi="Arial" w:cs="Arial"/>
          <w:sz w:val="20"/>
          <w:szCs w:val="20"/>
        </w:rPr>
        <w:t>Repubblica moldova, Russia, Santa Sede (Stato della Città del Vaticano), Serbia, Svizzera, Turchia, Ucraina.</w:t>
      </w:r>
    </w:p>
    <w:p w14:paraId="1636261C" w14:textId="77777777" w:rsidR="00B24754" w:rsidRDefault="006B1C0B" w:rsidP="00F865D6">
      <w:pPr>
        <w:spacing w:after="120"/>
        <w:jc w:val="both"/>
        <w:rPr>
          <w:rFonts w:ascii="Arial" w:hAnsi="Arial" w:cs="Arial"/>
        </w:rPr>
      </w:pPr>
      <w:r w:rsidRPr="00C9631A">
        <w:rPr>
          <w:rFonts w:ascii="Arial" w:hAnsi="Arial" w:cs="Arial"/>
          <w:b/>
          <w:bCs/>
          <w:iCs/>
          <w:sz w:val="20"/>
          <w:szCs w:val="20"/>
        </w:rPr>
        <w:t>Unione europea</w:t>
      </w:r>
      <w:r w:rsidRPr="00C9631A">
        <w:rPr>
          <w:rFonts w:ascii="Arial" w:hAnsi="Arial" w:cs="Arial"/>
          <w:sz w:val="20"/>
          <w:szCs w:val="20"/>
        </w:rPr>
        <w:t xml:space="preserve">: Austria, Belgio, Bulgaria, </w:t>
      </w:r>
      <w:r w:rsidR="00CF5C6A">
        <w:rPr>
          <w:rFonts w:ascii="Arial" w:hAnsi="Arial" w:cs="Arial"/>
          <w:sz w:val="20"/>
          <w:szCs w:val="20"/>
        </w:rPr>
        <w:t xml:space="preserve">Cechia, </w:t>
      </w:r>
      <w:r w:rsidRPr="00C9631A">
        <w:rPr>
          <w:rFonts w:ascii="Arial" w:hAnsi="Arial" w:cs="Arial"/>
          <w:sz w:val="20"/>
          <w:szCs w:val="20"/>
        </w:rPr>
        <w:t>Cipro, Croazia, Danimarca, Estonia, Finlandia, Francia, Germania, Grecia, Irlanda, Italia, Lettonia, Lituania, Lussemburgo, Malta, Pa</w:t>
      </w:r>
      <w:r w:rsidR="00C22FDA">
        <w:rPr>
          <w:rFonts w:ascii="Arial" w:hAnsi="Arial" w:cs="Arial"/>
          <w:sz w:val="20"/>
          <w:szCs w:val="20"/>
        </w:rPr>
        <w:t>esi Bassi, Polonia, Portogallo</w:t>
      </w:r>
      <w:r w:rsidR="00CF5C6A">
        <w:rPr>
          <w:rFonts w:ascii="Arial" w:hAnsi="Arial" w:cs="Arial"/>
          <w:sz w:val="20"/>
          <w:szCs w:val="20"/>
        </w:rPr>
        <w:t>,</w:t>
      </w:r>
      <w:r w:rsidRPr="00C9631A">
        <w:rPr>
          <w:rFonts w:ascii="Arial" w:hAnsi="Arial" w:cs="Arial"/>
          <w:sz w:val="20"/>
          <w:szCs w:val="20"/>
        </w:rPr>
        <w:t xml:space="preserve"> Romania, Slovacchia, Slovenia, Spagna, Svezia, Ungheria.</w:t>
      </w:r>
    </w:p>
    <w:p w14:paraId="3660C016" w14:textId="77777777" w:rsidR="00940950" w:rsidRDefault="00940950" w:rsidP="00B81D29">
      <w:pPr>
        <w:spacing w:after="120"/>
        <w:rPr>
          <w:rFonts w:ascii="Arial" w:hAnsi="Arial" w:cs="Arial"/>
        </w:rPr>
        <w:sectPr w:rsidR="00940950" w:rsidSect="00F01533">
          <w:headerReference w:type="default" r:id="rId44"/>
          <w:pgSz w:w="11907" w:h="16840" w:code="9"/>
          <w:pgMar w:top="1534" w:right="851" w:bottom="680" w:left="851" w:header="567" w:footer="567" w:gutter="0"/>
          <w:cols w:space="720"/>
          <w:noEndnote/>
          <w:docGrid w:linePitch="272"/>
        </w:sectPr>
      </w:pPr>
    </w:p>
    <w:p w14:paraId="38B5E382" w14:textId="77777777" w:rsidR="00501E02" w:rsidRPr="00397FAC" w:rsidRDefault="00501E02" w:rsidP="00501E02">
      <w:pPr>
        <w:spacing w:after="120"/>
        <w:rPr>
          <w:rFonts w:ascii="Arial" w:hAnsi="Arial" w:cs="Arial"/>
          <w:b/>
          <w:szCs w:val="28"/>
        </w:rPr>
      </w:pPr>
    </w:p>
    <w:p w14:paraId="34E5D210" w14:textId="77777777" w:rsidR="00F21E70" w:rsidRPr="00C9631A" w:rsidRDefault="00F21E70" w:rsidP="00F21E70">
      <w:pPr>
        <w:spacing w:after="120"/>
        <w:jc w:val="both"/>
        <w:rPr>
          <w:rFonts w:ascii="Arial" w:hAnsi="Arial" w:cs="Arial"/>
          <w:sz w:val="20"/>
          <w:szCs w:val="20"/>
        </w:rPr>
      </w:pPr>
      <w:r w:rsidRPr="00C9631A">
        <w:rPr>
          <w:rFonts w:ascii="Arial" w:hAnsi="Arial" w:cs="Arial"/>
          <w:sz w:val="20"/>
          <w:szCs w:val="20"/>
        </w:rPr>
        <w:t>In questa nota sono riportati i principali riferimenti normativi e metodologici relativi alle rilevazioni sugli scambi con l’estero di merci e sui prezzi all’importazione dei prodotti industriali. Il Prospetto A ne riporta una sintesi.</w:t>
      </w:r>
    </w:p>
    <w:p w14:paraId="6FB86F80" w14:textId="77777777" w:rsidR="00F21E70" w:rsidRPr="00257DC4" w:rsidRDefault="00F21E70" w:rsidP="00F21E70">
      <w:pPr>
        <w:spacing w:before="240" w:after="120"/>
        <w:jc w:val="both"/>
        <w:rPr>
          <w:rFonts w:ascii="Arial Narrow" w:hAnsi="Arial Narrow" w:cs="Arial"/>
          <w:b/>
          <w:color w:val="7F7F7F"/>
          <w:sz w:val="19"/>
          <w:szCs w:val="19"/>
        </w:rPr>
      </w:pPr>
      <w:r w:rsidRPr="009E4A3B">
        <w:rPr>
          <w:rFonts w:ascii="Arial Narrow" w:hAnsi="Arial Narrow" w:cs="Arial"/>
          <w:b/>
          <w:color w:val="E42618"/>
          <w:sz w:val="22"/>
          <w:szCs w:val="22"/>
        </w:rPr>
        <w:t>PROSPETTO A.</w:t>
      </w:r>
      <w:r w:rsidRPr="009E4A3B">
        <w:rPr>
          <w:rFonts w:ascii="Arial Narrow" w:hAnsi="Arial Narrow" w:cs="Arial"/>
          <w:b/>
          <w:color w:val="C00000"/>
          <w:sz w:val="22"/>
          <w:szCs w:val="22"/>
        </w:rPr>
        <w:t xml:space="preserve"> </w:t>
      </w:r>
      <w:r w:rsidRPr="00257DC4">
        <w:rPr>
          <w:rFonts w:ascii="Arial Narrow" w:hAnsi="Arial Narrow" w:cs="Arial"/>
          <w:b/>
          <w:color w:val="7F7F7F"/>
          <w:sz w:val="22"/>
          <w:szCs w:val="22"/>
        </w:rPr>
        <w:t>RILEVAZIONI SUGLI SCAMBI CON L’ESTERO DI MERCI E SUI PREZZI ALL’IMPORTAZIONE</w:t>
      </w:r>
      <w:r>
        <w:rPr>
          <w:rFonts w:ascii="Arial Narrow" w:hAnsi="Arial Narrow" w:cs="Arial"/>
          <w:b/>
          <w:color w:val="7F7F7F"/>
          <w:sz w:val="22"/>
          <w:szCs w:val="22"/>
        </w:rPr>
        <w:t xml:space="preserve"> </w:t>
      </w:r>
      <w:r w:rsidRPr="00257DC4">
        <w:rPr>
          <w:rFonts w:ascii="Arial Narrow" w:hAnsi="Arial Narrow" w:cs="Arial"/>
          <w:b/>
          <w:color w:val="7F7F7F"/>
          <w:sz w:val="22"/>
          <w:szCs w:val="22"/>
        </w:rPr>
        <w:t>PRINCIPALI CARATTERISTICHE</w:t>
      </w:r>
    </w:p>
    <w:tbl>
      <w:tblPr>
        <w:tblW w:w="10206" w:type="dxa"/>
        <w:tblInd w:w="108" w:type="dxa"/>
        <w:tblBorders>
          <w:top w:val="single" w:sz="4" w:space="0" w:color="auto"/>
          <w:bottom w:val="single" w:sz="4" w:space="0" w:color="auto"/>
          <w:insideH w:val="single" w:sz="4" w:space="0" w:color="auto"/>
        </w:tblBorders>
        <w:tblLook w:val="04A0" w:firstRow="1" w:lastRow="0" w:firstColumn="1" w:lastColumn="0" w:noHBand="0" w:noVBand="1"/>
      </w:tblPr>
      <w:tblGrid>
        <w:gridCol w:w="2026"/>
        <w:gridCol w:w="4089"/>
        <w:gridCol w:w="4091"/>
      </w:tblGrid>
      <w:tr w:rsidR="00F21E70" w14:paraId="79F0ECF7" w14:textId="77777777" w:rsidTr="00454BAB">
        <w:trPr>
          <w:trHeight w:val="255"/>
        </w:trPr>
        <w:tc>
          <w:tcPr>
            <w:tcW w:w="993" w:type="pct"/>
            <w:vMerge w:val="restart"/>
            <w:shd w:val="clear" w:color="auto" w:fill="auto"/>
          </w:tcPr>
          <w:p w14:paraId="119A6A7A" w14:textId="77777777" w:rsidR="00F21E70" w:rsidRPr="00232AB9" w:rsidRDefault="00F21E70" w:rsidP="00454BAB">
            <w:pPr>
              <w:spacing w:before="40" w:after="20"/>
              <w:jc w:val="center"/>
              <w:rPr>
                <w:rFonts w:ascii="Arial Narrow" w:hAnsi="Arial Narrow" w:cs="Arial"/>
                <w:b/>
                <w:sz w:val="18"/>
                <w:szCs w:val="18"/>
              </w:rPr>
            </w:pPr>
          </w:p>
        </w:tc>
        <w:tc>
          <w:tcPr>
            <w:tcW w:w="4007" w:type="pct"/>
            <w:gridSpan w:val="2"/>
            <w:shd w:val="clear" w:color="auto" w:fill="D9D9D9"/>
          </w:tcPr>
          <w:p w14:paraId="6BF3903A" w14:textId="77777777" w:rsidR="00F21E70" w:rsidRPr="00232AB9" w:rsidRDefault="00F21E70" w:rsidP="00454BAB">
            <w:pPr>
              <w:spacing w:before="40" w:after="20"/>
              <w:jc w:val="center"/>
              <w:rPr>
                <w:rFonts w:ascii="Arial Narrow" w:hAnsi="Arial Narrow" w:cs="Arial"/>
                <w:b/>
                <w:sz w:val="18"/>
                <w:szCs w:val="18"/>
              </w:rPr>
            </w:pPr>
            <w:r w:rsidRPr="00232AB9">
              <w:rPr>
                <w:rFonts w:ascii="Arial Narrow" w:hAnsi="Arial Narrow" w:cs="Arial"/>
                <w:b/>
                <w:sz w:val="18"/>
                <w:szCs w:val="18"/>
              </w:rPr>
              <w:t>RILEVAZIONI</w:t>
            </w:r>
          </w:p>
        </w:tc>
      </w:tr>
      <w:tr w:rsidR="00F21E70" w14:paraId="6B5BEFBD" w14:textId="77777777" w:rsidTr="00454BAB">
        <w:trPr>
          <w:trHeight w:val="255"/>
        </w:trPr>
        <w:tc>
          <w:tcPr>
            <w:tcW w:w="993" w:type="pct"/>
            <w:vMerge/>
            <w:shd w:val="clear" w:color="auto" w:fill="auto"/>
          </w:tcPr>
          <w:p w14:paraId="2ABFAF27" w14:textId="77777777" w:rsidR="00F21E70" w:rsidRPr="00232AB9" w:rsidRDefault="00F21E70" w:rsidP="00454BAB">
            <w:pPr>
              <w:spacing w:before="40" w:after="20"/>
              <w:jc w:val="center"/>
              <w:rPr>
                <w:rFonts w:ascii="Arial Narrow" w:hAnsi="Arial Narrow" w:cs="Arial"/>
                <w:b/>
                <w:sz w:val="18"/>
                <w:szCs w:val="18"/>
              </w:rPr>
            </w:pPr>
          </w:p>
        </w:tc>
        <w:tc>
          <w:tcPr>
            <w:tcW w:w="2003" w:type="pct"/>
            <w:shd w:val="clear" w:color="auto" w:fill="FFFFFF"/>
          </w:tcPr>
          <w:p w14:paraId="16AF228B" w14:textId="77777777" w:rsidR="00F21E70" w:rsidRPr="00232AB9" w:rsidRDefault="00F21E70" w:rsidP="00454BAB">
            <w:pPr>
              <w:spacing w:before="40" w:after="20"/>
              <w:jc w:val="center"/>
              <w:rPr>
                <w:b/>
              </w:rPr>
            </w:pPr>
            <w:r w:rsidRPr="00232AB9">
              <w:rPr>
                <w:rFonts w:ascii="Arial Narrow" w:hAnsi="Arial Narrow" w:cs="Arial"/>
                <w:b/>
                <w:sz w:val="18"/>
                <w:szCs w:val="18"/>
              </w:rPr>
              <w:t>Scambi con l’estero di merci</w:t>
            </w:r>
          </w:p>
        </w:tc>
        <w:tc>
          <w:tcPr>
            <w:tcW w:w="2004" w:type="pct"/>
            <w:shd w:val="clear" w:color="auto" w:fill="FFFFFF"/>
          </w:tcPr>
          <w:p w14:paraId="57CCEAE3" w14:textId="77777777" w:rsidR="00F21E70" w:rsidRPr="00232AB9" w:rsidRDefault="00F21E70" w:rsidP="00454BAB">
            <w:pPr>
              <w:spacing w:before="40" w:after="20"/>
              <w:jc w:val="center"/>
              <w:rPr>
                <w:b/>
              </w:rPr>
            </w:pPr>
            <w:r w:rsidRPr="00232AB9">
              <w:rPr>
                <w:rFonts w:ascii="Arial Narrow" w:hAnsi="Arial Narrow" w:cs="Arial"/>
                <w:b/>
                <w:sz w:val="18"/>
                <w:szCs w:val="18"/>
              </w:rPr>
              <w:t>Prezzi all’importazione</w:t>
            </w:r>
          </w:p>
        </w:tc>
      </w:tr>
      <w:tr w:rsidR="00F21E70" w14:paraId="0943EFAF" w14:textId="77777777" w:rsidTr="00454BAB">
        <w:trPr>
          <w:trHeight w:val="255"/>
        </w:trPr>
        <w:tc>
          <w:tcPr>
            <w:tcW w:w="993" w:type="pct"/>
            <w:shd w:val="clear" w:color="auto" w:fill="auto"/>
          </w:tcPr>
          <w:p w14:paraId="4109075E" w14:textId="77777777" w:rsidR="00F21E70" w:rsidRPr="009575F1" w:rsidRDefault="00F21E70" w:rsidP="00454BAB">
            <w:pPr>
              <w:spacing w:before="40" w:after="20"/>
            </w:pPr>
            <w:r w:rsidRPr="00232AB9">
              <w:rPr>
                <w:rFonts w:ascii="Arial Narrow" w:hAnsi="Arial Narrow" w:cs="Arial"/>
                <w:b/>
                <w:sz w:val="18"/>
                <w:szCs w:val="18"/>
              </w:rPr>
              <w:t>Fonti</w:t>
            </w:r>
          </w:p>
        </w:tc>
        <w:tc>
          <w:tcPr>
            <w:tcW w:w="2003" w:type="pct"/>
            <w:shd w:val="clear" w:color="auto" w:fill="D9D9D9"/>
          </w:tcPr>
          <w:p w14:paraId="126C7599"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1) Utilizzo dati doganali e sistema Intrastat</w:t>
            </w:r>
          </w:p>
          <w:p w14:paraId="65E816E4"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2) Elaborazioni da statistiche di base sugli Scambi con l’estero di merci</w:t>
            </w:r>
          </w:p>
          <w:p w14:paraId="13C31E65" w14:textId="77777777" w:rsidR="00F21E70" w:rsidRPr="009575F1" w:rsidRDefault="00F21E70" w:rsidP="00454BAB">
            <w:pPr>
              <w:spacing w:before="40" w:after="20"/>
            </w:pPr>
            <w:r w:rsidRPr="00232AB9">
              <w:rPr>
                <w:rFonts w:ascii="Arial Narrow" w:hAnsi="Arial Narrow" w:cs="Arial"/>
                <w:sz w:val="18"/>
                <w:szCs w:val="18"/>
              </w:rPr>
              <w:t>3) Le stime di particolari merci sono frutto di elaborazioni ottenute integrando fonti informative diverse</w:t>
            </w:r>
          </w:p>
        </w:tc>
        <w:tc>
          <w:tcPr>
            <w:tcW w:w="2004" w:type="pct"/>
            <w:shd w:val="clear" w:color="auto" w:fill="auto"/>
          </w:tcPr>
          <w:p w14:paraId="3F71BBF1" w14:textId="77777777" w:rsidR="00F21E70" w:rsidRDefault="00F21E70" w:rsidP="00454BAB">
            <w:pPr>
              <w:spacing w:before="40" w:after="20"/>
            </w:pPr>
            <w:r w:rsidRPr="00232AB9">
              <w:rPr>
                <w:rFonts w:ascii="Arial Narrow" w:hAnsi="Arial Narrow" w:cs="Arial"/>
                <w:sz w:val="18"/>
                <w:szCs w:val="18"/>
              </w:rPr>
              <w:t>Rilevazione diretta</w:t>
            </w:r>
          </w:p>
        </w:tc>
      </w:tr>
      <w:tr w:rsidR="00F21E70" w14:paraId="5BEA17FB" w14:textId="77777777" w:rsidTr="00454BAB">
        <w:trPr>
          <w:trHeight w:val="255"/>
        </w:trPr>
        <w:tc>
          <w:tcPr>
            <w:tcW w:w="993" w:type="pct"/>
            <w:shd w:val="clear" w:color="auto" w:fill="auto"/>
          </w:tcPr>
          <w:p w14:paraId="0E4ECBF8" w14:textId="77777777" w:rsidR="00F21E70" w:rsidRDefault="00F21E70" w:rsidP="00454BAB">
            <w:pPr>
              <w:spacing w:before="40" w:after="20"/>
            </w:pPr>
            <w:r w:rsidRPr="00232AB9">
              <w:rPr>
                <w:rFonts w:ascii="Arial Narrow" w:hAnsi="Arial Narrow" w:cs="Arial"/>
                <w:b/>
                <w:sz w:val="18"/>
                <w:szCs w:val="18"/>
              </w:rPr>
              <w:t>Campo di osservazione</w:t>
            </w:r>
          </w:p>
        </w:tc>
        <w:tc>
          <w:tcPr>
            <w:tcW w:w="2003" w:type="pct"/>
            <w:shd w:val="clear" w:color="auto" w:fill="D9D9D9"/>
          </w:tcPr>
          <w:p w14:paraId="7FF38FD4"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Tutte le merci (cfr</w:t>
            </w:r>
            <w:r w:rsidR="001031B6">
              <w:rPr>
                <w:rFonts w:ascii="Arial Narrow" w:hAnsi="Arial Narrow" w:cs="Arial"/>
                <w:sz w:val="18"/>
                <w:szCs w:val="18"/>
              </w:rPr>
              <w:t>.</w:t>
            </w:r>
            <w:r w:rsidRPr="00232AB9">
              <w:rPr>
                <w:rFonts w:ascii="Arial Narrow" w:hAnsi="Arial Narrow" w:cs="Arial"/>
                <w:sz w:val="18"/>
                <w:szCs w:val="18"/>
              </w:rPr>
              <w:t xml:space="preserve"> glossario), senza restrizioni rispetto all'attività economica prevalente delle unità economiche che hanno attivato i flussi di scambi con l'estero, ad esclusione dell’oro monetario, del software personalizzato, degli strumenti di pagamento aventi corso legale e valori, delle merci destinate alla riparazione.</w:t>
            </w:r>
          </w:p>
        </w:tc>
        <w:tc>
          <w:tcPr>
            <w:tcW w:w="2004" w:type="pct"/>
            <w:shd w:val="clear" w:color="auto" w:fill="auto"/>
          </w:tcPr>
          <w:p w14:paraId="3DE1B4B2"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1) Prodott</w:t>
            </w:r>
            <w:r>
              <w:rPr>
                <w:rFonts w:ascii="Arial Narrow" w:hAnsi="Arial Narrow" w:cs="Arial"/>
                <w:sz w:val="18"/>
                <w:szCs w:val="18"/>
              </w:rPr>
              <w:t>i inclusi nelle sezioni da B a D</w:t>
            </w:r>
            <w:r w:rsidRPr="00232AB9">
              <w:rPr>
                <w:rFonts w:ascii="Arial Narrow" w:hAnsi="Arial Narrow" w:cs="Arial"/>
                <w:sz w:val="18"/>
                <w:szCs w:val="18"/>
              </w:rPr>
              <w:t xml:space="preserve"> della classificazione CPA (derivata dalla Nace Rev.2);</w:t>
            </w:r>
          </w:p>
          <w:p w14:paraId="16DDF419" w14:textId="77777777" w:rsidR="00F21E70" w:rsidRDefault="00F21E70" w:rsidP="00454BAB">
            <w:pPr>
              <w:spacing w:before="40" w:after="20"/>
            </w:pPr>
            <w:r w:rsidRPr="00232AB9">
              <w:rPr>
                <w:rFonts w:ascii="Arial Narrow" w:hAnsi="Arial Narrow" w:cs="Arial"/>
                <w:sz w:val="18"/>
                <w:szCs w:val="18"/>
              </w:rPr>
              <w:t>2) imprese con attività economica prevalente nelle sezioni B, C, D, E, G della classificazione Ateco 2007 (derivata dalla Nace Rev.2).</w:t>
            </w:r>
          </w:p>
        </w:tc>
      </w:tr>
      <w:tr w:rsidR="00F21E70" w14:paraId="58D43E74" w14:textId="77777777" w:rsidTr="00454BAB">
        <w:trPr>
          <w:trHeight w:val="255"/>
        </w:trPr>
        <w:tc>
          <w:tcPr>
            <w:tcW w:w="993" w:type="pct"/>
            <w:shd w:val="clear" w:color="auto" w:fill="auto"/>
          </w:tcPr>
          <w:p w14:paraId="3EA6DB2A" w14:textId="77777777" w:rsidR="00F21E70" w:rsidRDefault="00F21E70" w:rsidP="00454BAB">
            <w:pPr>
              <w:spacing w:before="40" w:after="20"/>
            </w:pPr>
            <w:r w:rsidRPr="00232AB9">
              <w:rPr>
                <w:rFonts w:ascii="Arial Narrow" w:hAnsi="Arial Narrow" w:cs="Arial"/>
                <w:b/>
                <w:sz w:val="18"/>
                <w:szCs w:val="18"/>
              </w:rPr>
              <w:t>Periodicità di diffusione e dettaglio territoriale dei dati</w:t>
            </w:r>
          </w:p>
        </w:tc>
        <w:tc>
          <w:tcPr>
            <w:tcW w:w="2003" w:type="pct"/>
            <w:shd w:val="clear" w:color="auto" w:fill="D9D9D9"/>
          </w:tcPr>
          <w:p w14:paraId="2232B213"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Cadenza mensile delle stime degli indicatori a livello nazionale</w:t>
            </w:r>
          </w:p>
        </w:tc>
        <w:tc>
          <w:tcPr>
            <w:tcW w:w="2004" w:type="pct"/>
            <w:shd w:val="clear" w:color="auto" w:fill="auto"/>
          </w:tcPr>
          <w:p w14:paraId="0DE65840"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Cadenza mensile delle stime degli indicatori a livello nazionale</w:t>
            </w:r>
          </w:p>
        </w:tc>
      </w:tr>
      <w:tr w:rsidR="00F21E70" w14:paraId="36E7AA84" w14:textId="77777777" w:rsidTr="00454BAB">
        <w:trPr>
          <w:trHeight w:val="255"/>
        </w:trPr>
        <w:tc>
          <w:tcPr>
            <w:tcW w:w="993" w:type="pct"/>
            <w:shd w:val="clear" w:color="auto" w:fill="auto"/>
          </w:tcPr>
          <w:p w14:paraId="616CD29D" w14:textId="77777777" w:rsidR="00F21E70" w:rsidRDefault="00F21E70" w:rsidP="00454BAB">
            <w:pPr>
              <w:spacing w:before="40" w:after="20"/>
            </w:pPr>
            <w:r w:rsidRPr="00232AB9">
              <w:rPr>
                <w:rFonts w:ascii="Arial Narrow" w:hAnsi="Arial Narrow" w:cs="Arial"/>
                <w:b/>
                <w:sz w:val="18"/>
                <w:szCs w:val="18"/>
              </w:rPr>
              <w:t>Periodo di riferimento</w:t>
            </w:r>
          </w:p>
        </w:tc>
        <w:tc>
          <w:tcPr>
            <w:tcW w:w="2003" w:type="pct"/>
            <w:shd w:val="clear" w:color="auto" w:fill="D9D9D9"/>
          </w:tcPr>
          <w:p w14:paraId="26D8AF26"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Mese e periodo cui si riferiscono le informazioni raccolte</w:t>
            </w:r>
          </w:p>
        </w:tc>
        <w:tc>
          <w:tcPr>
            <w:tcW w:w="2004" w:type="pct"/>
            <w:shd w:val="clear" w:color="auto" w:fill="auto"/>
          </w:tcPr>
          <w:p w14:paraId="61C3FDAC"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Mese e periodo cui si riferiscono le informazioni raccolte</w:t>
            </w:r>
          </w:p>
        </w:tc>
      </w:tr>
      <w:tr w:rsidR="00F21E70" w14:paraId="6CEED265" w14:textId="77777777" w:rsidTr="00454BAB">
        <w:trPr>
          <w:trHeight w:val="255"/>
        </w:trPr>
        <w:tc>
          <w:tcPr>
            <w:tcW w:w="993" w:type="pct"/>
            <w:shd w:val="clear" w:color="auto" w:fill="auto"/>
          </w:tcPr>
          <w:p w14:paraId="70856D88" w14:textId="77777777" w:rsidR="00F21E70" w:rsidRDefault="00F21E70" w:rsidP="00454BAB">
            <w:pPr>
              <w:spacing w:before="40" w:after="20"/>
            </w:pPr>
            <w:r w:rsidRPr="00232AB9">
              <w:rPr>
                <w:rFonts w:ascii="Arial Narrow" w:hAnsi="Arial Narrow" w:cs="Arial"/>
                <w:b/>
                <w:sz w:val="18"/>
                <w:szCs w:val="18"/>
              </w:rPr>
              <w:t>Principali indicatori</w:t>
            </w:r>
          </w:p>
        </w:tc>
        <w:tc>
          <w:tcPr>
            <w:tcW w:w="2003" w:type="pct"/>
            <w:shd w:val="clear" w:color="auto" w:fill="D9D9D9"/>
          </w:tcPr>
          <w:p w14:paraId="49C7E39B" w14:textId="77777777" w:rsidR="00F21E70" w:rsidRPr="00232AB9" w:rsidRDefault="00F21E70" w:rsidP="00454BAB">
            <w:pPr>
              <w:spacing w:before="40" w:after="20"/>
              <w:rPr>
                <w:rFonts w:ascii="Arial Narrow" w:hAnsi="Arial Narrow" w:cs="Arial"/>
                <w:sz w:val="18"/>
                <w:szCs w:val="18"/>
              </w:rPr>
            </w:pPr>
            <w:r w:rsidRPr="00232AB9">
              <w:rPr>
                <w:rFonts w:ascii="Arial Narrow" w:hAnsi="Arial Narrow" w:cs="Arial"/>
                <w:sz w:val="18"/>
                <w:szCs w:val="18"/>
              </w:rPr>
              <w:t>1) Valori monetari a prezzi correnti rilevati o stimati in termini di valore statistico (Cif, Fob)</w:t>
            </w:r>
          </w:p>
          <w:p w14:paraId="14738C0D" w14:textId="77777777" w:rsidR="00F21E70" w:rsidRDefault="00F21E70" w:rsidP="00454BAB">
            <w:pPr>
              <w:spacing w:before="40" w:after="20"/>
            </w:pPr>
            <w:r w:rsidRPr="00232AB9">
              <w:rPr>
                <w:rFonts w:ascii="Arial Narrow" w:hAnsi="Arial Narrow" w:cs="Arial"/>
                <w:sz w:val="18"/>
                <w:szCs w:val="18"/>
              </w:rPr>
              <w:t>2) VMU e volumi: Indici di Fisher a base mobile concatenati</w:t>
            </w:r>
          </w:p>
        </w:tc>
        <w:tc>
          <w:tcPr>
            <w:tcW w:w="2004" w:type="pct"/>
            <w:shd w:val="clear" w:color="auto" w:fill="auto"/>
          </w:tcPr>
          <w:p w14:paraId="2FD080ED" w14:textId="77777777" w:rsidR="00F21E70" w:rsidRDefault="00F21E70" w:rsidP="0007431D">
            <w:pPr>
              <w:spacing w:before="40" w:after="20"/>
            </w:pPr>
            <w:r w:rsidRPr="00232AB9">
              <w:rPr>
                <w:rFonts w:ascii="Arial Narrow" w:hAnsi="Arial Narrow" w:cs="Arial"/>
                <w:sz w:val="18"/>
                <w:szCs w:val="18"/>
              </w:rPr>
              <w:t>Indice di Laspeyres</w:t>
            </w:r>
            <w:r w:rsidR="0007431D">
              <w:rPr>
                <w:rFonts w:ascii="Arial Narrow" w:hAnsi="Arial Narrow" w:cs="Arial"/>
                <w:sz w:val="18"/>
                <w:szCs w:val="18"/>
              </w:rPr>
              <w:t xml:space="preserve"> concatenato</w:t>
            </w:r>
          </w:p>
        </w:tc>
      </w:tr>
    </w:tbl>
    <w:p w14:paraId="210A65C7" w14:textId="77777777" w:rsidR="00501E02" w:rsidRDefault="00501E02" w:rsidP="00501E02">
      <w:pPr>
        <w:spacing w:after="120"/>
        <w:jc w:val="both"/>
        <w:rPr>
          <w:rFonts w:ascii="Arial" w:hAnsi="Arial" w:cs="Arial"/>
          <w:b/>
        </w:rPr>
      </w:pPr>
    </w:p>
    <w:p w14:paraId="26EF4B27" w14:textId="77777777" w:rsidR="00501E02" w:rsidRPr="00C9631A" w:rsidRDefault="00501E02" w:rsidP="00501E02">
      <w:pPr>
        <w:pStyle w:val="Titolo8"/>
        <w:spacing w:before="0" w:after="120"/>
        <w:rPr>
          <w:rFonts w:ascii="Arial" w:hAnsi="Arial" w:cs="Arial"/>
          <w:b/>
          <w:i w:val="0"/>
          <w:color w:val="E42618"/>
          <w:sz w:val="22"/>
          <w:szCs w:val="20"/>
        </w:rPr>
      </w:pPr>
      <w:r w:rsidRPr="00C9631A">
        <w:rPr>
          <w:rFonts w:ascii="Arial" w:hAnsi="Arial" w:cs="Arial"/>
          <w:b/>
          <w:i w:val="0"/>
          <w:color w:val="E42618"/>
          <w:sz w:val="22"/>
          <w:szCs w:val="20"/>
        </w:rPr>
        <w:t>Commercio con l’estero</w:t>
      </w:r>
    </w:p>
    <w:p w14:paraId="4522D210" w14:textId="108571CD" w:rsidR="00501E02" w:rsidRPr="00C21B33" w:rsidRDefault="00501E02" w:rsidP="00501E02">
      <w:pPr>
        <w:spacing w:after="120"/>
        <w:jc w:val="both"/>
        <w:rPr>
          <w:rFonts w:ascii="Arial" w:hAnsi="Arial" w:cs="Arial"/>
          <w:strike/>
          <w:sz w:val="20"/>
          <w:szCs w:val="20"/>
        </w:rPr>
      </w:pPr>
      <w:r w:rsidRPr="00C9631A">
        <w:rPr>
          <w:rFonts w:ascii="Arial" w:hAnsi="Arial" w:cs="Arial"/>
          <w:sz w:val="20"/>
          <w:szCs w:val="20"/>
        </w:rPr>
        <w:t xml:space="preserve">Le statistiche del commercio estero di beni sono il risultato di due rilevazioni che hanno come oggetto gli scambi dell’Italia con i paesi dell’Unione europea (Ue) e con i paesi </w:t>
      </w:r>
      <w:r w:rsidR="004C5E93">
        <w:rPr>
          <w:rFonts w:ascii="Arial" w:hAnsi="Arial" w:cs="Arial"/>
          <w:sz w:val="20"/>
          <w:szCs w:val="20"/>
        </w:rPr>
        <w:t xml:space="preserve">extra </w:t>
      </w:r>
      <w:r w:rsidRPr="00C9631A">
        <w:rPr>
          <w:rFonts w:ascii="Arial" w:hAnsi="Arial" w:cs="Arial"/>
          <w:sz w:val="20"/>
          <w:szCs w:val="20"/>
        </w:rPr>
        <w:t>Ue</w:t>
      </w:r>
      <w:r w:rsidRPr="00104132">
        <w:rPr>
          <w:rFonts w:ascii="Arial" w:hAnsi="Arial" w:cs="Arial"/>
          <w:sz w:val="20"/>
          <w:szCs w:val="20"/>
        </w:rPr>
        <w:t xml:space="preserve">. </w:t>
      </w:r>
    </w:p>
    <w:p w14:paraId="63E180CF" w14:textId="77777777" w:rsidR="00501E02" w:rsidRPr="00C9631A" w:rsidRDefault="00501E02" w:rsidP="00501E02">
      <w:pPr>
        <w:spacing w:after="120"/>
        <w:jc w:val="both"/>
        <w:rPr>
          <w:rFonts w:ascii="Arial" w:hAnsi="Arial" w:cs="Arial"/>
          <w:sz w:val="20"/>
          <w:szCs w:val="20"/>
        </w:rPr>
      </w:pPr>
    </w:p>
    <w:p w14:paraId="5D176C99" w14:textId="77777777" w:rsidR="00501E02" w:rsidRDefault="00501E02" w:rsidP="00501E02">
      <w:pPr>
        <w:spacing w:after="120"/>
        <w:jc w:val="both"/>
        <w:rPr>
          <w:rFonts w:ascii="Arial" w:hAnsi="Arial" w:cs="Arial"/>
          <w:b/>
          <w:sz w:val="20"/>
          <w:szCs w:val="20"/>
        </w:rPr>
      </w:pPr>
      <w:r w:rsidRPr="00C9631A">
        <w:rPr>
          <w:rFonts w:ascii="Arial" w:hAnsi="Arial" w:cs="Arial"/>
          <w:b/>
          <w:sz w:val="20"/>
          <w:szCs w:val="20"/>
        </w:rPr>
        <w:t>Quadro normativo di riferimento</w:t>
      </w:r>
    </w:p>
    <w:p w14:paraId="66AE1CE5" w14:textId="69BD0D8A" w:rsidR="00501E02" w:rsidRPr="00D61DDB" w:rsidRDefault="00501E02" w:rsidP="00501E02">
      <w:pPr>
        <w:spacing w:after="120"/>
        <w:jc w:val="both"/>
        <w:rPr>
          <w:rFonts w:ascii="Arial" w:hAnsi="Arial" w:cs="Arial"/>
          <w:sz w:val="20"/>
          <w:szCs w:val="20"/>
        </w:rPr>
      </w:pPr>
      <w:r w:rsidRPr="00D61DDB">
        <w:rPr>
          <w:rFonts w:ascii="Arial" w:hAnsi="Arial" w:cs="Arial"/>
          <w:sz w:val="20"/>
          <w:szCs w:val="20"/>
        </w:rPr>
        <w:t>L</w:t>
      </w:r>
      <w:r>
        <w:rPr>
          <w:rFonts w:ascii="Arial" w:hAnsi="Arial" w:cs="Arial"/>
          <w:sz w:val="20"/>
          <w:szCs w:val="20"/>
        </w:rPr>
        <w:t>e rilevazioni</w:t>
      </w:r>
      <w:r w:rsidRPr="00D61DDB">
        <w:rPr>
          <w:rFonts w:ascii="Arial" w:hAnsi="Arial" w:cs="Arial"/>
          <w:sz w:val="20"/>
          <w:szCs w:val="20"/>
        </w:rPr>
        <w:t xml:space="preserve"> del commercio con i paesi </w:t>
      </w:r>
      <w:r>
        <w:rPr>
          <w:rFonts w:ascii="Arial" w:hAnsi="Arial" w:cs="Arial"/>
          <w:sz w:val="20"/>
          <w:szCs w:val="20"/>
        </w:rPr>
        <w:t xml:space="preserve">Ue ed </w:t>
      </w:r>
      <w:r w:rsidR="004C5E93">
        <w:rPr>
          <w:rFonts w:ascii="Arial" w:hAnsi="Arial" w:cs="Arial"/>
          <w:sz w:val="20"/>
          <w:szCs w:val="20"/>
        </w:rPr>
        <w:t xml:space="preserve">extra </w:t>
      </w:r>
      <w:r w:rsidRPr="00D61DDB">
        <w:rPr>
          <w:rFonts w:ascii="Arial" w:hAnsi="Arial" w:cs="Arial"/>
          <w:sz w:val="20"/>
          <w:szCs w:val="20"/>
        </w:rPr>
        <w:t xml:space="preserve">Ue </w:t>
      </w:r>
      <w:r>
        <w:rPr>
          <w:rFonts w:ascii="Arial" w:hAnsi="Arial" w:cs="Arial"/>
          <w:sz w:val="20"/>
          <w:szCs w:val="20"/>
        </w:rPr>
        <w:t>sono</w:t>
      </w:r>
      <w:r w:rsidRPr="00E41033">
        <w:rPr>
          <w:rFonts w:ascii="Arial" w:hAnsi="Arial" w:cs="Arial"/>
          <w:sz w:val="20"/>
          <w:szCs w:val="20"/>
        </w:rPr>
        <w:t xml:space="preserve"> effettuat</w:t>
      </w:r>
      <w:r>
        <w:rPr>
          <w:rFonts w:ascii="Arial" w:hAnsi="Arial" w:cs="Arial"/>
          <w:sz w:val="20"/>
          <w:szCs w:val="20"/>
        </w:rPr>
        <w:t>e</w:t>
      </w:r>
      <w:r w:rsidRPr="00D61DDB">
        <w:rPr>
          <w:rFonts w:ascii="Arial" w:hAnsi="Arial" w:cs="Arial"/>
          <w:sz w:val="20"/>
          <w:szCs w:val="20"/>
        </w:rPr>
        <w:t xml:space="preserve"> secondo la normativa comunitaria: Regolamento (UE) 2019/2152 del Parlamento europeo e del Consiglio relativo alle statistiche europee sulle imprese; Regolamento di esecuzione (UE) 2020/1197 della Commissione che stabilisce le specifiche tecniche e le modalità a norma del regolamento (UE) 2019/2152; Regolamento delegato (UE) 2021/1704 della Commissione che integra il regolamento (UE) 2019/2152 specificando ulteriormente i dettagli delle informazioni statistiche che devono essere fornite dalle autorità fiscali e doganali e che ne modifica gli allegati V e VI; Regolamento di esecuzione (UE) 2021/1225 della Commi</w:t>
      </w:r>
      <w:r>
        <w:rPr>
          <w:rFonts w:ascii="Arial" w:hAnsi="Arial" w:cs="Arial"/>
          <w:sz w:val="20"/>
          <w:szCs w:val="20"/>
        </w:rPr>
        <w:t>s</w:t>
      </w:r>
      <w:r w:rsidRPr="00D61DDB">
        <w:rPr>
          <w:rFonts w:ascii="Arial" w:hAnsi="Arial" w:cs="Arial"/>
          <w:sz w:val="20"/>
          <w:szCs w:val="20"/>
        </w:rPr>
        <w:t>sione che specifica le modalità degli scambi di dati a norma del regolamento (UE) 2019/2152 e che modifica il regolamento di esecuzione (UE) 2020/1197 per quanto riguarda lo Stato</w:t>
      </w:r>
      <w:r w:rsidR="004C5E93">
        <w:rPr>
          <w:rFonts w:ascii="Arial" w:hAnsi="Arial" w:cs="Arial"/>
          <w:sz w:val="20"/>
          <w:szCs w:val="20"/>
        </w:rPr>
        <w:t xml:space="preserve"> membro di esportazione extra </w:t>
      </w:r>
      <w:r w:rsidR="009A25A6">
        <w:rPr>
          <w:rFonts w:ascii="Arial" w:hAnsi="Arial" w:cs="Arial"/>
          <w:sz w:val="20"/>
          <w:szCs w:val="20"/>
        </w:rPr>
        <w:t>Ue</w:t>
      </w:r>
      <w:r w:rsidRPr="00D61DDB">
        <w:rPr>
          <w:rFonts w:ascii="Arial" w:hAnsi="Arial" w:cs="Arial"/>
          <w:sz w:val="20"/>
          <w:szCs w:val="20"/>
        </w:rPr>
        <w:t xml:space="preserve"> e gli obblighi delle unità rispondenti</w:t>
      </w:r>
      <w:r>
        <w:rPr>
          <w:rFonts w:ascii="Arial" w:hAnsi="Arial" w:cs="Arial"/>
          <w:sz w:val="20"/>
          <w:szCs w:val="20"/>
        </w:rPr>
        <w:t>.</w:t>
      </w:r>
    </w:p>
    <w:p w14:paraId="40976BF0"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 xml:space="preserve">La rilevazione del commercio con i paesi appartenenti all’Unione europea </w:t>
      </w:r>
      <w:r>
        <w:rPr>
          <w:rFonts w:ascii="Arial" w:hAnsi="Arial" w:cs="Arial"/>
          <w:sz w:val="20"/>
          <w:szCs w:val="20"/>
        </w:rPr>
        <w:t>t</w:t>
      </w:r>
      <w:r w:rsidRPr="00C9631A">
        <w:rPr>
          <w:rFonts w:ascii="Arial" w:hAnsi="Arial" w:cs="Arial"/>
          <w:sz w:val="20"/>
          <w:szCs w:val="20"/>
        </w:rPr>
        <w:t>rova applicazione in sede nazionale con il Decreto Legislativo n. 18/2010 (GU n. 41 del 19-2-2010), il Decreto del Ministro dell’</w:t>
      </w:r>
      <w:r>
        <w:rPr>
          <w:rFonts w:ascii="Arial" w:hAnsi="Arial" w:cs="Arial"/>
          <w:sz w:val="20"/>
          <w:szCs w:val="20"/>
        </w:rPr>
        <w:t>e</w:t>
      </w:r>
      <w:r w:rsidRPr="00C9631A">
        <w:rPr>
          <w:rFonts w:ascii="Arial" w:hAnsi="Arial" w:cs="Arial"/>
          <w:sz w:val="20"/>
          <w:szCs w:val="20"/>
        </w:rPr>
        <w:t xml:space="preserve">conomia e delle </w:t>
      </w:r>
      <w:r>
        <w:rPr>
          <w:rFonts w:ascii="Arial" w:hAnsi="Arial" w:cs="Arial"/>
          <w:sz w:val="20"/>
          <w:szCs w:val="20"/>
        </w:rPr>
        <w:t>f</w:t>
      </w:r>
      <w:r w:rsidRPr="00C9631A">
        <w:rPr>
          <w:rFonts w:ascii="Arial" w:hAnsi="Arial" w:cs="Arial"/>
          <w:sz w:val="20"/>
          <w:szCs w:val="20"/>
        </w:rPr>
        <w:t>inanze del 22/2/2010 (GU n.53 del 5-3-2010) e l</w:t>
      </w:r>
      <w:r>
        <w:rPr>
          <w:rFonts w:ascii="Arial" w:hAnsi="Arial" w:cs="Arial"/>
          <w:sz w:val="20"/>
          <w:szCs w:val="20"/>
        </w:rPr>
        <w:t>a</w:t>
      </w:r>
      <w:r w:rsidRPr="00C9631A">
        <w:rPr>
          <w:rFonts w:ascii="Arial" w:hAnsi="Arial" w:cs="Arial"/>
          <w:sz w:val="20"/>
          <w:szCs w:val="20"/>
        </w:rPr>
        <w:t xml:space="preserve"> Determinazione </w:t>
      </w:r>
      <w:r>
        <w:rPr>
          <w:rFonts w:ascii="Arial" w:hAnsi="Arial" w:cs="Arial"/>
          <w:sz w:val="20"/>
          <w:szCs w:val="20"/>
        </w:rPr>
        <w:t xml:space="preserve">del Direttore </w:t>
      </w:r>
      <w:r w:rsidRPr="00C9631A">
        <w:rPr>
          <w:rFonts w:ascii="Arial" w:hAnsi="Arial" w:cs="Arial"/>
          <w:sz w:val="20"/>
          <w:szCs w:val="20"/>
        </w:rPr>
        <w:t xml:space="preserve">dell’Agenzia delle </w:t>
      </w:r>
      <w:r>
        <w:rPr>
          <w:rFonts w:ascii="Arial" w:hAnsi="Arial" w:cs="Arial"/>
          <w:sz w:val="20"/>
          <w:szCs w:val="20"/>
        </w:rPr>
        <w:t>d</w:t>
      </w:r>
      <w:r w:rsidRPr="00C9631A">
        <w:rPr>
          <w:rFonts w:ascii="Arial" w:hAnsi="Arial" w:cs="Arial"/>
          <w:sz w:val="20"/>
          <w:szCs w:val="20"/>
        </w:rPr>
        <w:t>ogane del 22/2/2010</w:t>
      </w:r>
      <w:r>
        <w:rPr>
          <w:rFonts w:ascii="Arial" w:hAnsi="Arial" w:cs="Arial"/>
          <w:sz w:val="20"/>
          <w:szCs w:val="20"/>
        </w:rPr>
        <w:t>,</w:t>
      </w:r>
      <w:r w:rsidRPr="00C9631A">
        <w:rPr>
          <w:rFonts w:ascii="Arial" w:hAnsi="Arial" w:cs="Arial"/>
          <w:sz w:val="20"/>
          <w:szCs w:val="20"/>
        </w:rPr>
        <w:t xml:space="preserve"> </w:t>
      </w:r>
      <w:r>
        <w:rPr>
          <w:rFonts w:ascii="Arial" w:hAnsi="Arial" w:cs="Arial"/>
          <w:sz w:val="20"/>
          <w:szCs w:val="20"/>
        </w:rPr>
        <w:t>il</w:t>
      </w:r>
      <w:r w:rsidRPr="00C9631A">
        <w:rPr>
          <w:rFonts w:ascii="Arial" w:hAnsi="Arial" w:cs="Arial"/>
          <w:sz w:val="20"/>
          <w:szCs w:val="20"/>
        </w:rPr>
        <w:t xml:space="preserve"> Provvedimento del </w:t>
      </w:r>
      <w:r>
        <w:rPr>
          <w:rFonts w:ascii="Arial" w:hAnsi="Arial" w:cs="Arial"/>
          <w:sz w:val="20"/>
          <w:szCs w:val="20"/>
        </w:rPr>
        <w:t>D</w:t>
      </w:r>
      <w:r w:rsidRPr="00C9631A">
        <w:rPr>
          <w:rFonts w:ascii="Arial" w:hAnsi="Arial" w:cs="Arial"/>
          <w:sz w:val="20"/>
          <w:szCs w:val="20"/>
        </w:rPr>
        <w:t>irettore dell'Agenzia delle entrate</w:t>
      </w:r>
      <w:r>
        <w:rPr>
          <w:rFonts w:ascii="Arial" w:hAnsi="Arial" w:cs="Arial"/>
          <w:sz w:val="20"/>
          <w:szCs w:val="20"/>
        </w:rPr>
        <w:t xml:space="preserve"> n. 194409 </w:t>
      </w:r>
      <w:r w:rsidRPr="00C9631A">
        <w:rPr>
          <w:rFonts w:ascii="Arial" w:hAnsi="Arial" w:cs="Arial"/>
          <w:sz w:val="20"/>
          <w:szCs w:val="20"/>
        </w:rPr>
        <w:t xml:space="preserve"> del 25/09/2017</w:t>
      </w:r>
      <w:r>
        <w:rPr>
          <w:rFonts w:ascii="Arial" w:hAnsi="Arial" w:cs="Arial"/>
          <w:sz w:val="20"/>
          <w:szCs w:val="20"/>
        </w:rPr>
        <w:t xml:space="preserve"> e la </w:t>
      </w:r>
      <w:r w:rsidRPr="00D05D6A">
        <w:rPr>
          <w:rFonts w:ascii="Arial" w:hAnsi="Arial" w:cs="Arial"/>
          <w:sz w:val="20"/>
          <w:szCs w:val="20"/>
        </w:rPr>
        <w:t xml:space="preserve">Determinazione </w:t>
      </w:r>
      <w:r>
        <w:rPr>
          <w:rFonts w:ascii="Arial" w:hAnsi="Arial" w:cs="Arial"/>
          <w:sz w:val="20"/>
          <w:szCs w:val="20"/>
        </w:rPr>
        <w:t xml:space="preserve">del Direttore dell’Agenzia delle dogane e monopoli </w:t>
      </w:r>
      <w:r w:rsidRPr="00D05D6A">
        <w:rPr>
          <w:rFonts w:ascii="Arial" w:hAnsi="Arial" w:cs="Arial"/>
          <w:sz w:val="20"/>
          <w:szCs w:val="20"/>
        </w:rPr>
        <w:t>n</w:t>
      </w:r>
      <w:r>
        <w:rPr>
          <w:rFonts w:ascii="Arial" w:hAnsi="Arial" w:cs="Arial"/>
          <w:sz w:val="20"/>
          <w:szCs w:val="20"/>
        </w:rPr>
        <w:t>.</w:t>
      </w:r>
      <w:r w:rsidRPr="00D05D6A">
        <w:rPr>
          <w:rFonts w:ascii="Arial" w:hAnsi="Arial" w:cs="Arial"/>
          <w:sz w:val="20"/>
          <w:szCs w:val="20"/>
        </w:rPr>
        <w:t xml:space="preserve"> 493869 del 23 dicembre 2021</w:t>
      </w:r>
      <w:r w:rsidRPr="00C9631A">
        <w:rPr>
          <w:rFonts w:ascii="Arial" w:hAnsi="Arial" w:cs="Arial"/>
          <w:sz w:val="20"/>
          <w:szCs w:val="20"/>
        </w:rPr>
        <w:t xml:space="preserve">. </w:t>
      </w:r>
    </w:p>
    <w:p w14:paraId="0C149B80" w14:textId="53ADC6DC" w:rsidR="00501E02" w:rsidRDefault="00501E02" w:rsidP="00501E02">
      <w:pPr>
        <w:spacing w:after="120"/>
        <w:jc w:val="both"/>
        <w:rPr>
          <w:rFonts w:ascii="Arial" w:hAnsi="Arial" w:cs="Arial"/>
          <w:sz w:val="20"/>
          <w:szCs w:val="20"/>
        </w:rPr>
      </w:pPr>
      <w:r w:rsidRPr="00C9631A">
        <w:rPr>
          <w:rFonts w:ascii="Arial" w:hAnsi="Arial" w:cs="Arial"/>
          <w:sz w:val="20"/>
          <w:szCs w:val="20"/>
        </w:rPr>
        <w:t>La rilevazione del comm</w:t>
      </w:r>
      <w:r w:rsidR="004C5E93">
        <w:rPr>
          <w:rFonts w:ascii="Arial" w:hAnsi="Arial" w:cs="Arial"/>
          <w:sz w:val="20"/>
          <w:szCs w:val="20"/>
        </w:rPr>
        <w:t xml:space="preserve">ercio con i paesi extra </w:t>
      </w:r>
      <w:r w:rsidRPr="00C9631A">
        <w:rPr>
          <w:rFonts w:ascii="Arial" w:hAnsi="Arial" w:cs="Arial"/>
          <w:sz w:val="20"/>
          <w:szCs w:val="20"/>
        </w:rPr>
        <w:t xml:space="preserve">Ue </w:t>
      </w:r>
      <w:r>
        <w:rPr>
          <w:rFonts w:ascii="Arial" w:hAnsi="Arial" w:cs="Arial"/>
          <w:sz w:val="20"/>
          <w:szCs w:val="20"/>
        </w:rPr>
        <w:t xml:space="preserve">trova </w:t>
      </w:r>
      <w:r w:rsidRPr="00C9631A">
        <w:rPr>
          <w:rFonts w:ascii="Arial" w:hAnsi="Arial" w:cs="Arial"/>
          <w:sz w:val="20"/>
          <w:szCs w:val="20"/>
        </w:rPr>
        <w:t xml:space="preserve">applicazione in sede nazionale con opportuni provvedimenti emanati dall’Agenzia delle </w:t>
      </w:r>
      <w:r>
        <w:rPr>
          <w:rFonts w:ascii="Arial" w:hAnsi="Arial" w:cs="Arial"/>
          <w:sz w:val="20"/>
          <w:szCs w:val="20"/>
        </w:rPr>
        <w:t>d</w:t>
      </w:r>
      <w:r w:rsidRPr="00C9631A">
        <w:rPr>
          <w:rFonts w:ascii="Arial" w:hAnsi="Arial" w:cs="Arial"/>
          <w:sz w:val="20"/>
          <w:szCs w:val="20"/>
        </w:rPr>
        <w:t>ogane</w:t>
      </w:r>
      <w:r>
        <w:rPr>
          <w:rFonts w:ascii="Arial" w:hAnsi="Arial" w:cs="Arial"/>
          <w:sz w:val="20"/>
          <w:szCs w:val="20"/>
        </w:rPr>
        <w:t>.</w:t>
      </w:r>
    </w:p>
    <w:p w14:paraId="0D9E31A7" w14:textId="77777777" w:rsidR="00501E02" w:rsidRPr="00C9631A" w:rsidRDefault="00501E02" w:rsidP="00501E02">
      <w:pPr>
        <w:spacing w:after="120"/>
        <w:jc w:val="both"/>
        <w:rPr>
          <w:rFonts w:ascii="Arial" w:hAnsi="Arial" w:cs="Arial"/>
          <w:sz w:val="20"/>
          <w:szCs w:val="20"/>
        </w:rPr>
      </w:pPr>
    </w:p>
    <w:p w14:paraId="08E39755" w14:textId="77777777" w:rsidR="00501E02" w:rsidRPr="00C9631A" w:rsidRDefault="00501E02" w:rsidP="00501E02">
      <w:pPr>
        <w:spacing w:after="120"/>
        <w:jc w:val="both"/>
        <w:rPr>
          <w:rFonts w:ascii="Arial" w:hAnsi="Arial" w:cs="Arial"/>
          <w:b/>
          <w:sz w:val="20"/>
          <w:szCs w:val="20"/>
        </w:rPr>
      </w:pPr>
      <w:r w:rsidRPr="00C9631A">
        <w:rPr>
          <w:rFonts w:ascii="Arial" w:hAnsi="Arial" w:cs="Arial"/>
          <w:b/>
          <w:sz w:val="20"/>
          <w:szCs w:val="20"/>
        </w:rPr>
        <w:t xml:space="preserve">Fonti utilizzate e raccolta dei dati </w:t>
      </w:r>
    </w:p>
    <w:p w14:paraId="1E314C2E" w14:textId="77777777" w:rsidR="00501E02" w:rsidRPr="00FA0113" w:rsidRDefault="00501E02" w:rsidP="00501E02">
      <w:pPr>
        <w:spacing w:after="120"/>
        <w:jc w:val="both"/>
        <w:rPr>
          <w:rFonts w:ascii="Arial" w:hAnsi="Arial" w:cs="Arial"/>
          <w:sz w:val="16"/>
          <w:szCs w:val="16"/>
        </w:rPr>
      </w:pPr>
      <w:r w:rsidRPr="00C9631A">
        <w:rPr>
          <w:rFonts w:ascii="Arial" w:hAnsi="Arial" w:cs="Arial"/>
          <w:sz w:val="20"/>
          <w:szCs w:val="20"/>
        </w:rPr>
        <w:t xml:space="preserve">Per la produzione di statistiche sugli scambi di merci con i paesi Ue, le informazioni sono raccolte tramite i modelli Intrastat che riportano, in sezioni distinte, le dichiarazioni per acquisti e cessioni di beni e per prestazioni di servizi resi e ricevuti. </w:t>
      </w:r>
    </w:p>
    <w:p w14:paraId="6444524E" w14:textId="77777777" w:rsidR="00454BAB" w:rsidRDefault="00454BAB" w:rsidP="00501E02">
      <w:pPr>
        <w:spacing w:after="120"/>
        <w:jc w:val="both"/>
        <w:rPr>
          <w:rFonts w:ascii="Arial" w:hAnsi="Arial" w:cs="Arial"/>
          <w:sz w:val="20"/>
          <w:szCs w:val="20"/>
        </w:rPr>
      </w:pPr>
    </w:p>
    <w:p w14:paraId="2C16731F" w14:textId="77777777" w:rsidR="00501E02" w:rsidRPr="00A80498" w:rsidRDefault="00501E02" w:rsidP="00501E02">
      <w:pPr>
        <w:spacing w:after="120"/>
        <w:jc w:val="both"/>
        <w:rPr>
          <w:rFonts w:ascii="Arial" w:hAnsi="Arial" w:cs="Arial"/>
          <w:sz w:val="20"/>
          <w:szCs w:val="20"/>
        </w:rPr>
      </w:pPr>
      <w:r w:rsidRPr="00A80498">
        <w:rPr>
          <w:rFonts w:ascii="Arial" w:hAnsi="Arial" w:cs="Arial"/>
          <w:sz w:val="20"/>
          <w:szCs w:val="20"/>
        </w:rPr>
        <w:t>L’universo di riferimento è costituito dai soggetti economici identificati sulla base della partiva iva, che risultano aver effettuato almeno una transazione commerciale con i paesi Ue nel periodo considerato. Ai sensi della legge 27 febbraio 2017 n. 19 e della Determinazione del Direttore dell’Agenzia delle dogane e dei monopoli n. 493869 del 23 dicembre 2021, a partire dal 1° gennaio 2022 le soglie statistiche che determinano l’obbligatorietà di risposta alla rilevazione mensile Intrastat sono così definite:</w:t>
      </w:r>
    </w:p>
    <w:p w14:paraId="744B3E9B" w14:textId="77777777" w:rsidR="00501E02" w:rsidRPr="00A80498" w:rsidRDefault="00501E02" w:rsidP="00501E02">
      <w:pPr>
        <w:spacing w:after="120"/>
        <w:jc w:val="both"/>
        <w:rPr>
          <w:rFonts w:ascii="Arial" w:hAnsi="Arial" w:cs="Arial"/>
          <w:sz w:val="20"/>
          <w:szCs w:val="20"/>
        </w:rPr>
      </w:pPr>
      <w:r w:rsidRPr="00A80498">
        <w:rPr>
          <w:rFonts w:ascii="Arial" w:hAnsi="Arial" w:cs="Arial"/>
          <w:sz w:val="20"/>
          <w:szCs w:val="20"/>
        </w:rPr>
        <w:t>a) cessioni di beni, per i soggetti che hanno realizzato, in almeno uno dei quattro trimestri precedenti, un ammontare totale trimestrale superiore ai 100.000 euro (tale soglia resta la stessa in vigore dal 1° gennaio 2018);</w:t>
      </w:r>
    </w:p>
    <w:p w14:paraId="05ADB20E" w14:textId="77777777" w:rsidR="00501E02" w:rsidRPr="00C9631A" w:rsidRDefault="00501E02" w:rsidP="00501E02">
      <w:pPr>
        <w:spacing w:after="120"/>
        <w:jc w:val="both"/>
        <w:rPr>
          <w:rFonts w:ascii="Arial" w:hAnsi="Arial" w:cs="Arial"/>
          <w:sz w:val="20"/>
          <w:szCs w:val="20"/>
        </w:rPr>
      </w:pPr>
      <w:r w:rsidRPr="00A80498">
        <w:rPr>
          <w:rFonts w:ascii="Arial" w:hAnsi="Arial" w:cs="Arial"/>
          <w:sz w:val="20"/>
          <w:szCs w:val="20"/>
        </w:rPr>
        <w:t>b) acquisti di beni, per i soggetti che hanno realizzato, in almeno uno dei quattro trimestri precedenti, un ammontare totale trimestrale superiore ai 350.000 euro (da gennaio 2018 a dicembre 2021, la soglia era di 200.000 euro).</w:t>
      </w:r>
    </w:p>
    <w:p w14:paraId="73946C5E"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Le dichiarazioni Intrastat vengono trasmesse in via telematica all’Agenzia delle Dogane.</w:t>
      </w:r>
    </w:p>
    <w:p w14:paraId="200E5593"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A partire dal 20</w:t>
      </w:r>
      <w:r>
        <w:rPr>
          <w:rFonts w:ascii="Arial" w:hAnsi="Arial" w:cs="Arial"/>
          <w:sz w:val="20"/>
          <w:szCs w:val="20"/>
        </w:rPr>
        <w:t>22</w:t>
      </w:r>
      <w:r w:rsidRPr="00C9631A">
        <w:rPr>
          <w:rFonts w:ascii="Arial" w:hAnsi="Arial" w:cs="Arial"/>
          <w:sz w:val="20"/>
          <w:szCs w:val="20"/>
        </w:rPr>
        <w:t>, i dati necessari alla compilazione delle statistiche sugli scambi di merci con i paesi dell’Ue sono forniti esclusivamente dagli operatori obbligati alle dichiarazioni mensili secondo le nuove soglie sopra riportate. I flussi di merci attivati da questi operatori coprono circa il 97% delle cessioni e il 9</w:t>
      </w:r>
      <w:r>
        <w:rPr>
          <w:rFonts w:ascii="Arial" w:hAnsi="Arial" w:cs="Arial"/>
          <w:sz w:val="20"/>
          <w:szCs w:val="20"/>
        </w:rPr>
        <w:t>1</w:t>
      </w:r>
      <w:r w:rsidRPr="00C9631A">
        <w:rPr>
          <w:rFonts w:ascii="Arial" w:hAnsi="Arial" w:cs="Arial"/>
          <w:sz w:val="20"/>
          <w:szCs w:val="20"/>
        </w:rPr>
        <w:t>% degli acquisti intracomunitari realizzando una consistente riduzione del carico informativo sugli operatori</w:t>
      </w:r>
      <w:r w:rsidRPr="00C9631A">
        <w:rPr>
          <w:rStyle w:val="Rimandonotaapidipagina"/>
          <w:rFonts w:ascii="Arial" w:hAnsi="Arial" w:cs="Arial"/>
          <w:sz w:val="20"/>
          <w:szCs w:val="20"/>
        </w:rPr>
        <w:footnoteReference w:id="1"/>
      </w:r>
      <w:r w:rsidRPr="00C9631A">
        <w:rPr>
          <w:rFonts w:ascii="Arial" w:hAnsi="Arial" w:cs="Arial"/>
          <w:sz w:val="20"/>
          <w:szCs w:val="20"/>
        </w:rPr>
        <w:t xml:space="preserve">. </w:t>
      </w:r>
    </w:p>
    <w:p w14:paraId="60F5B2F4" w14:textId="77777777" w:rsidR="00501E02" w:rsidRDefault="00501E02" w:rsidP="00501E02">
      <w:pPr>
        <w:spacing w:after="120"/>
        <w:jc w:val="both"/>
        <w:rPr>
          <w:rFonts w:ascii="Arial" w:hAnsi="Arial" w:cs="Arial"/>
          <w:sz w:val="20"/>
          <w:szCs w:val="20"/>
        </w:rPr>
      </w:pPr>
      <w:r w:rsidRPr="00C9631A">
        <w:rPr>
          <w:rFonts w:ascii="Arial" w:hAnsi="Arial" w:cs="Arial"/>
          <w:sz w:val="20"/>
          <w:szCs w:val="20"/>
        </w:rPr>
        <w:t xml:space="preserve">Al fine di realizzare una stima accurata e tempestiva che completi il quadro informativo rispetto all’universo degli operatori che realizzano scambi commerciali con i paesi dell’Ue è stato adottato un approccio di tipo </w:t>
      </w:r>
      <w:r w:rsidRPr="00AB0189">
        <w:rPr>
          <w:rFonts w:ascii="Arial" w:hAnsi="Arial" w:cs="Arial"/>
          <w:i/>
          <w:sz w:val="20"/>
          <w:szCs w:val="20"/>
        </w:rPr>
        <w:t>register-based</w:t>
      </w:r>
      <w:r w:rsidRPr="00C9631A">
        <w:rPr>
          <w:rFonts w:ascii="Arial" w:hAnsi="Arial" w:cs="Arial"/>
          <w:sz w:val="20"/>
          <w:szCs w:val="20"/>
        </w:rPr>
        <w:t xml:space="preserve"> che provvede a stimare, attraverso opportune metodologie, la componente dei flussi attribuibile agli operatori non obbligati a fornire informazioni, considerando congiuntamente sia i domini nazionali che territoriali. In occasione della revisione annuale dei dati realizzata ogni anno a novembre, verranno considerate nei processi di imputazione e stima delle informazioni mancanti ulteriori informazioni presenti nel sistema dei registri e delle fonti fiscali e amministrative disponibili per migliorare ulteriormente la qualità e la copertura delle stime prodotte. </w:t>
      </w:r>
    </w:p>
    <w:p w14:paraId="77039DBC" w14:textId="2B724B8B" w:rsidR="00B127CF" w:rsidRPr="00423EFB" w:rsidRDefault="00501E02" w:rsidP="00B127CF">
      <w:pPr>
        <w:spacing w:after="120"/>
        <w:jc w:val="both"/>
        <w:rPr>
          <w:rFonts w:ascii="Arial" w:hAnsi="Arial" w:cs="Arial"/>
          <w:sz w:val="20"/>
          <w:szCs w:val="20"/>
        </w:rPr>
      </w:pPr>
      <w:r w:rsidRPr="00C9631A">
        <w:rPr>
          <w:rFonts w:ascii="Arial" w:hAnsi="Arial" w:cs="Arial"/>
          <w:sz w:val="20"/>
          <w:szCs w:val="20"/>
        </w:rPr>
        <w:t>L</w:t>
      </w:r>
      <w:r w:rsidR="004C5E93">
        <w:rPr>
          <w:rFonts w:ascii="Arial" w:hAnsi="Arial" w:cs="Arial"/>
          <w:sz w:val="20"/>
          <w:szCs w:val="20"/>
        </w:rPr>
        <w:t xml:space="preserve">a rilevazione con i paesi extra </w:t>
      </w:r>
      <w:r w:rsidRPr="00C9631A">
        <w:rPr>
          <w:rFonts w:ascii="Arial" w:hAnsi="Arial" w:cs="Arial"/>
          <w:sz w:val="20"/>
          <w:szCs w:val="20"/>
        </w:rPr>
        <w:t>Ue è effettuata elaborando dati provenienti da una base dati di tipo fiscale-amministrativo (Documento Amministrativo Unico – DAU) coerente con le definizioni e le classificazioni di tipo statistico e ha periodicità mensile.</w:t>
      </w:r>
      <w:r w:rsidR="00CC4E34">
        <w:rPr>
          <w:rFonts w:ascii="Arial" w:hAnsi="Arial" w:cs="Arial"/>
          <w:sz w:val="20"/>
          <w:szCs w:val="20"/>
        </w:rPr>
        <w:t xml:space="preserve"> </w:t>
      </w:r>
      <w:r w:rsidR="00B127CF" w:rsidRPr="00B77592">
        <w:rPr>
          <w:rFonts w:ascii="Arial" w:hAnsi="Arial" w:cs="Arial"/>
          <w:sz w:val="20"/>
          <w:szCs w:val="20"/>
        </w:rPr>
        <w:t xml:space="preserve">Questi vengono </w:t>
      </w:r>
      <w:r w:rsidR="00B127CF" w:rsidRPr="00896581">
        <w:rPr>
          <w:rFonts w:ascii="Arial" w:hAnsi="Arial" w:cs="Arial"/>
          <w:sz w:val="20"/>
          <w:szCs w:val="20"/>
        </w:rPr>
        <w:t>successivamente armonizzati e validati attraverso un processo di controllo e revisione esperta svolto dall’Istituto. A partire da gennaio 2024, la rilevazione include i dati di “quasi-export” (esportazioni di beni nazionali registrate presso dogane di altri paesi Ue). Questi ultimi – frutto dello scambio di microdati tra Istituti di statistica europei (CDE - Customs data exchange) – si rendono disponibili successivamente alla prima pubblicazione dei</w:t>
      </w:r>
      <w:r w:rsidR="004C5E93">
        <w:rPr>
          <w:rFonts w:ascii="Arial" w:hAnsi="Arial" w:cs="Arial"/>
          <w:sz w:val="20"/>
          <w:szCs w:val="20"/>
        </w:rPr>
        <w:t xml:space="preserve"> dati di commercio estero extra </w:t>
      </w:r>
      <w:r w:rsidR="00B127CF" w:rsidRPr="00896581">
        <w:rPr>
          <w:rFonts w:ascii="Arial" w:hAnsi="Arial" w:cs="Arial"/>
          <w:sz w:val="20"/>
          <w:szCs w:val="20"/>
        </w:rPr>
        <w:t>Ue.</w:t>
      </w:r>
      <w:r w:rsidR="00B127CF">
        <w:rPr>
          <w:rFonts w:ascii="Arial" w:hAnsi="Arial" w:cs="Arial"/>
          <w:sz w:val="20"/>
          <w:szCs w:val="20"/>
        </w:rPr>
        <w:t xml:space="preserve"> </w:t>
      </w:r>
      <w:r w:rsidR="00B127CF" w:rsidRPr="00423EFB">
        <w:rPr>
          <w:rFonts w:ascii="Arial" w:hAnsi="Arial" w:cs="Arial"/>
          <w:sz w:val="20"/>
          <w:szCs w:val="20"/>
        </w:rPr>
        <w:t>I flussi di “quasi-export” di beni nazionali registrati presso le dogane di altri paesi Ue sono pertanto incl</w:t>
      </w:r>
      <w:r w:rsidR="004C5E93">
        <w:rPr>
          <w:rFonts w:ascii="Arial" w:hAnsi="Arial" w:cs="Arial"/>
          <w:sz w:val="20"/>
          <w:szCs w:val="20"/>
        </w:rPr>
        <w:t xml:space="preserve">usi nei dati di commercio extra </w:t>
      </w:r>
      <w:r w:rsidR="00B127CF" w:rsidRPr="00423EFB">
        <w:rPr>
          <w:rFonts w:ascii="Arial" w:hAnsi="Arial" w:cs="Arial"/>
          <w:sz w:val="20"/>
          <w:szCs w:val="20"/>
        </w:rPr>
        <w:t>Ue in occasione della prima revisione nel mese successivo e diffusi nel Comunicato Stampa Commercio con l’estero e prezzi all’import. Analogamente, in tale occasione, sono esclusi dai dati di commercio extra</w:t>
      </w:r>
      <w:r w:rsidR="004C5E93">
        <w:rPr>
          <w:rFonts w:ascii="Arial" w:hAnsi="Arial" w:cs="Arial"/>
          <w:sz w:val="20"/>
          <w:szCs w:val="20"/>
        </w:rPr>
        <w:t xml:space="preserve"> </w:t>
      </w:r>
      <w:r w:rsidR="00B127CF" w:rsidRPr="00423EFB">
        <w:rPr>
          <w:rFonts w:ascii="Arial" w:hAnsi="Arial" w:cs="Arial"/>
          <w:sz w:val="20"/>
          <w:szCs w:val="20"/>
        </w:rPr>
        <w:t>Ue i flussi di “quasi-export” di beni di altri paesi Ue registrati presso dogane italiane.</w:t>
      </w:r>
    </w:p>
    <w:p w14:paraId="295773DC" w14:textId="65E0B589" w:rsidR="00501E02" w:rsidRDefault="00501E02" w:rsidP="00501E02">
      <w:pPr>
        <w:spacing w:after="120"/>
        <w:jc w:val="both"/>
        <w:rPr>
          <w:rFonts w:ascii="Arial" w:hAnsi="Arial" w:cs="Arial"/>
          <w:sz w:val="20"/>
          <w:szCs w:val="20"/>
        </w:rPr>
      </w:pPr>
      <w:r w:rsidRPr="00C9631A">
        <w:rPr>
          <w:rFonts w:ascii="Arial" w:hAnsi="Arial" w:cs="Arial"/>
          <w:sz w:val="20"/>
          <w:szCs w:val="20"/>
        </w:rPr>
        <w:t>Conformemente alla normativa comunitaria, dal 2000 le esportazioni e le importazioni al di sotto delle soglie di esclusione (operazioni commerciali di valore – a partire dal 2010 – inferiore a 1.000 euro) vengono inserite nelle statistiche del com</w:t>
      </w:r>
      <w:r w:rsidR="004C5E93">
        <w:rPr>
          <w:rFonts w:ascii="Arial" w:hAnsi="Arial" w:cs="Arial"/>
          <w:sz w:val="20"/>
          <w:szCs w:val="20"/>
        </w:rPr>
        <w:t xml:space="preserve">mercio estero con i paesi extra </w:t>
      </w:r>
      <w:r w:rsidRPr="00C9631A">
        <w:rPr>
          <w:rFonts w:ascii="Arial" w:hAnsi="Arial" w:cs="Arial"/>
          <w:sz w:val="20"/>
          <w:szCs w:val="20"/>
        </w:rPr>
        <w:t>Ue mensilmente in forma aggregata.</w:t>
      </w:r>
    </w:p>
    <w:p w14:paraId="1B048D73" w14:textId="77777777" w:rsidR="00501E02" w:rsidRPr="00C9631A" w:rsidRDefault="00501E02" w:rsidP="00501E02">
      <w:pPr>
        <w:spacing w:after="120"/>
        <w:jc w:val="both"/>
        <w:rPr>
          <w:rFonts w:ascii="Arial" w:hAnsi="Arial" w:cs="Arial"/>
          <w:sz w:val="20"/>
          <w:szCs w:val="20"/>
        </w:rPr>
      </w:pPr>
      <w:r>
        <w:rPr>
          <w:rFonts w:ascii="Arial" w:hAnsi="Arial" w:cs="Arial"/>
          <w:sz w:val="20"/>
          <w:szCs w:val="20"/>
        </w:rPr>
        <w:t>A partire dal mese di gennaio 2022, i</w:t>
      </w:r>
      <w:r w:rsidRPr="00C232B1">
        <w:rPr>
          <w:rFonts w:ascii="Arial" w:hAnsi="Arial" w:cs="Arial"/>
          <w:sz w:val="20"/>
          <w:szCs w:val="20"/>
        </w:rPr>
        <w:t xml:space="preserve">n applicazione delle disposizioni di cui al Regolamento di </w:t>
      </w:r>
      <w:r>
        <w:rPr>
          <w:rFonts w:ascii="Arial" w:hAnsi="Arial" w:cs="Arial"/>
          <w:sz w:val="20"/>
          <w:szCs w:val="20"/>
        </w:rPr>
        <w:t xml:space="preserve">esecuzione (UE) 2020/1197, non è richiesta la disaggregazione dei flussi di interscambio intracomunitario in termini di singoli prodotti </w:t>
      </w:r>
      <w:r w:rsidRPr="00C232B1">
        <w:rPr>
          <w:rFonts w:ascii="Arial" w:hAnsi="Arial" w:cs="Arial"/>
          <w:sz w:val="20"/>
          <w:szCs w:val="20"/>
        </w:rPr>
        <w:t>della nomenclatura co</w:t>
      </w:r>
      <w:r>
        <w:rPr>
          <w:rFonts w:ascii="Arial" w:hAnsi="Arial" w:cs="Arial"/>
          <w:sz w:val="20"/>
          <w:szCs w:val="20"/>
        </w:rPr>
        <w:t xml:space="preserve">mbinata </w:t>
      </w:r>
      <w:r w:rsidRPr="00C232B1">
        <w:rPr>
          <w:rFonts w:ascii="Arial" w:hAnsi="Arial" w:cs="Arial"/>
          <w:sz w:val="20"/>
          <w:szCs w:val="20"/>
        </w:rPr>
        <w:t xml:space="preserve">per le spedizioni di valore inferiore </w:t>
      </w:r>
      <w:r>
        <w:rPr>
          <w:rFonts w:ascii="Arial" w:hAnsi="Arial" w:cs="Arial"/>
          <w:sz w:val="20"/>
          <w:szCs w:val="20"/>
        </w:rPr>
        <w:t>a</w:t>
      </w:r>
      <w:r w:rsidRPr="00C232B1">
        <w:rPr>
          <w:rFonts w:ascii="Arial" w:hAnsi="Arial" w:cs="Arial"/>
          <w:sz w:val="20"/>
          <w:szCs w:val="20"/>
        </w:rPr>
        <w:t xml:space="preserve"> 1.000</w:t>
      </w:r>
      <w:r>
        <w:rPr>
          <w:rFonts w:ascii="Arial" w:hAnsi="Arial" w:cs="Arial"/>
          <w:sz w:val="20"/>
          <w:szCs w:val="20"/>
        </w:rPr>
        <w:t xml:space="preserve"> euro.</w:t>
      </w:r>
    </w:p>
    <w:p w14:paraId="18B3360B" w14:textId="77777777" w:rsidR="00501E02" w:rsidRDefault="00501E02" w:rsidP="00501E02">
      <w:pPr>
        <w:suppressAutoHyphens/>
        <w:spacing w:after="120"/>
        <w:jc w:val="both"/>
        <w:rPr>
          <w:rFonts w:ascii="Arial" w:hAnsi="Arial" w:cs="Arial"/>
          <w:sz w:val="20"/>
          <w:szCs w:val="20"/>
        </w:rPr>
      </w:pPr>
      <w:r w:rsidRPr="00C9631A">
        <w:rPr>
          <w:rFonts w:ascii="Arial" w:hAnsi="Arial" w:cs="Arial"/>
          <w:sz w:val="20"/>
          <w:szCs w:val="20"/>
        </w:rPr>
        <w:t xml:space="preserve">A partire dal mese di settembre 2011 è stata implementata una nuova metodologia di produzione delle statistiche sugli scambi con l’estero di gas naturale allo stato gassoso e di energia elettrica, che si basa sull’impiego diretto di fonti informative alternative ai dati statistico-doganali solo per quanto riguarda la misurazione degli scambi complessivi in quantità, mentre per le altre variabili di analisi e classificazione richieste dai regolamenti statistici comunitari (dati in valore monetario e allocazione geografica dei flussi con l’estero per “paese statistico”) sono stati adottati opportuni criteri di stima. </w:t>
      </w:r>
    </w:p>
    <w:p w14:paraId="2E2CFF7E" w14:textId="77777777" w:rsidR="00C50F34" w:rsidRPr="00C9631A" w:rsidRDefault="00C50F34" w:rsidP="00774D4C">
      <w:pPr>
        <w:spacing w:after="120"/>
        <w:jc w:val="both"/>
        <w:rPr>
          <w:rFonts w:ascii="Arial" w:hAnsi="Arial" w:cs="Arial"/>
          <w:sz w:val="20"/>
          <w:szCs w:val="20"/>
        </w:rPr>
      </w:pPr>
    </w:p>
    <w:p w14:paraId="0F5240CB" w14:textId="77777777" w:rsidR="00501E02" w:rsidRPr="00C9631A" w:rsidRDefault="00501E02" w:rsidP="00501E02">
      <w:pPr>
        <w:spacing w:after="120"/>
        <w:jc w:val="both"/>
        <w:rPr>
          <w:rFonts w:ascii="Arial" w:hAnsi="Arial" w:cs="Arial"/>
          <w:b/>
          <w:sz w:val="20"/>
          <w:szCs w:val="20"/>
        </w:rPr>
      </w:pPr>
      <w:r w:rsidRPr="00C9631A">
        <w:rPr>
          <w:rFonts w:ascii="Arial" w:hAnsi="Arial" w:cs="Arial"/>
          <w:b/>
          <w:sz w:val="20"/>
          <w:szCs w:val="20"/>
        </w:rPr>
        <w:t>Classificazioni utilizzate</w:t>
      </w:r>
    </w:p>
    <w:p w14:paraId="2E145A9F" w14:textId="77777777" w:rsidR="00B127CF" w:rsidRDefault="00501E02" w:rsidP="00501E02">
      <w:pPr>
        <w:spacing w:after="100"/>
        <w:jc w:val="both"/>
        <w:rPr>
          <w:rFonts w:ascii="Arial" w:hAnsi="Arial" w:cs="Arial"/>
          <w:sz w:val="20"/>
          <w:szCs w:val="20"/>
        </w:rPr>
      </w:pPr>
      <w:r w:rsidRPr="00C9631A">
        <w:rPr>
          <w:rFonts w:ascii="Arial" w:hAnsi="Arial" w:cs="Arial"/>
          <w:sz w:val="20"/>
          <w:szCs w:val="20"/>
        </w:rPr>
        <w:t>Le principali classificazioni utilizzate nella produzione delle statistiche del commercio con l’estero sono definite a partire dall</w:t>
      </w:r>
      <w:r>
        <w:rPr>
          <w:rFonts w:ascii="Arial" w:hAnsi="Arial" w:cs="Arial"/>
          <w:sz w:val="20"/>
          <w:szCs w:val="20"/>
        </w:rPr>
        <w:t>e</w:t>
      </w:r>
      <w:r w:rsidRPr="00C9631A">
        <w:rPr>
          <w:rFonts w:ascii="Arial" w:hAnsi="Arial" w:cs="Arial"/>
          <w:sz w:val="20"/>
          <w:szCs w:val="20"/>
        </w:rPr>
        <w:t xml:space="preserve"> informazioni elementari riguardanti la tipologia delle merci, il paese statistico e la provincia di provenienza o destinazione delle merci. </w:t>
      </w:r>
    </w:p>
    <w:p w14:paraId="1C6A51EF" w14:textId="77777777" w:rsidR="00B127CF" w:rsidRDefault="00B127CF" w:rsidP="00501E02">
      <w:pPr>
        <w:spacing w:after="100"/>
        <w:jc w:val="both"/>
        <w:rPr>
          <w:rFonts w:ascii="Arial" w:hAnsi="Arial" w:cs="Arial"/>
          <w:sz w:val="20"/>
          <w:szCs w:val="20"/>
        </w:rPr>
      </w:pPr>
    </w:p>
    <w:p w14:paraId="1200DAF4" w14:textId="77777777" w:rsidR="00B127CF" w:rsidRDefault="00B127CF" w:rsidP="00501E02">
      <w:pPr>
        <w:spacing w:after="100"/>
        <w:jc w:val="both"/>
        <w:rPr>
          <w:rFonts w:ascii="Arial" w:hAnsi="Arial" w:cs="Arial"/>
          <w:sz w:val="20"/>
          <w:szCs w:val="20"/>
        </w:rPr>
      </w:pPr>
    </w:p>
    <w:p w14:paraId="0023200B" w14:textId="77777777" w:rsidR="00B127CF" w:rsidRDefault="00B127CF" w:rsidP="00501E02">
      <w:pPr>
        <w:spacing w:after="100"/>
        <w:jc w:val="both"/>
        <w:rPr>
          <w:rFonts w:ascii="Arial" w:hAnsi="Arial" w:cs="Arial"/>
          <w:sz w:val="20"/>
          <w:szCs w:val="20"/>
        </w:rPr>
      </w:pPr>
    </w:p>
    <w:p w14:paraId="64051EA8" w14:textId="17179E5D" w:rsidR="00501E02" w:rsidRDefault="00501E02" w:rsidP="00501E02">
      <w:pPr>
        <w:spacing w:after="100"/>
        <w:jc w:val="both"/>
        <w:rPr>
          <w:rFonts w:ascii="Arial" w:hAnsi="Arial" w:cs="Arial"/>
          <w:sz w:val="20"/>
          <w:szCs w:val="20"/>
        </w:rPr>
      </w:pPr>
      <w:r w:rsidRPr="00C9631A">
        <w:rPr>
          <w:rFonts w:ascii="Arial" w:hAnsi="Arial" w:cs="Arial"/>
          <w:sz w:val="20"/>
          <w:szCs w:val="20"/>
        </w:rPr>
        <w:t>Nel rispetto dei Regolamenti comunitari, gli scambi commerciali di beni tra paesi membri sono classificati secondo il paese di provenienza per gli acquisti e il paese di destinazione per le cessioni, mentre quelli con i paesi terzi sono classificati secondo il paese di origine per le importazioni e il paese di destinazione per le esportazioni.</w:t>
      </w:r>
    </w:p>
    <w:p w14:paraId="33760BF7" w14:textId="19903320" w:rsidR="00501E02" w:rsidRPr="00C9631A" w:rsidRDefault="00501E02" w:rsidP="00501E02">
      <w:pPr>
        <w:suppressAutoHyphens/>
        <w:spacing w:after="100"/>
        <w:jc w:val="both"/>
        <w:rPr>
          <w:rFonts w:ascii="Arial" w:hAnsi="Arial" w:cs="Arial"/>
          <w:sz w:val="20"/>
          <w:szCs w:val="20"/>
        </w:rPr>
      </w:pPr>
      <w:r w:rsidRPr="00C9631A">
        <w:rPr>
          <w:rFonts w:ascii="Arial" w:hAnsi="Arial" w:cs="Arial"/>
          <w:sz w:val="20"/>
          <w:szCs w:val="20"/>
        </w:rPr>
        <w:t>La classificazione utilizzata per definire le aree geografiche e le aree geoeconomiche di appartenenza dei paesi è la Geonomenclatura dei paesi e territori per le statistiche del commercio estero dell’Unione e del commercio tra i suoi Stati membri, stabilita da Eurostat.</w:t>
      </w:r>
    </w:p>
    <w:p w14:paraId="52B5E303" w14:textId="77777777" w:rsidR="00501E02" w:rsidRDefault="00501E02" w:rsidP="00501E02">
      <w:pPr>
        <w:spacing w:after="120"/>
        <w:jc w:val="both"/>
        <w:rPr>
          <w:rFonts w:ascii="Arial" w:hAnsi="Arial" w:cs="Arial"/>
          <w:sz w:val="20"/>
          <w:szCs w:val="20"/>
        </w:rPr>
      </w:pPr>
      <w:r w:rsidRPr="00C9631A">
        <w:rPr>
          <w:rFonts w:ascii="Arial" w:hAnsi="Arial" w:cs="Arial"/>
          <w:sz w:val="20"/>
          <w:szCs w:val="20"/>
        </w:rPr>
        <w:t xml:space="preserve">La classificazione di base utilizzata per la rilevazione di informazioni statistiche sugli scambi di merci è la Nomenclatura Combinata (NC), definita dall’Unione europea e annualmente aggiornata. </w:t>
      </w:r>
    </w:p>
    <w:p w14:paraId="010C181C"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A partire da gennaio 2009 i raggruppamenti di merci dell’interscambio commerciale sono definiti sulla base della classificazione delle attività economiche Ateco 2007 opportunamente adattata alle statistiche sul commercio estero. L’Ateco 2007, infatti, costituisce la versione nazionale della nomenclatura europea Nace rev. 2, pubblicata sull’Official Journal il 2 dicembre 2006 (Regolamento (CE) n. 1893/2006 del PE e del Consiglio del 20/12/2006), con la quale coincide fino alla quarta cifra.</w:t>
      </w:r>
    </w:p>
    <w:p w14:paraId="48058BE4"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Ai fini di fornire le informazioni a un livello di dettaglio idoneo ad analizzare l’interscambio commerciale italiano, i dati sono rilasciati secondo un’opportuna disaggregazione intermedia delle sezioni.</w:t>
      </w:r>
    </w:p>
    <w:p w14:paraId="17D479A1"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Nel corso dell’anno 2003, l’Istat ha modificato, per i dati di commercio estero così come per tutti gli indicatori congiunturali dell’industria, la classificazione delle aggregazioni per destinazione economica dei prodotti “Raggruppamenti Principali di Industrie (RPI)”, definiti dal Regolamento della Commissione n.586/2001 (G.U. delle Comunità europee del 27/03/2001). A seguito dell'entrata in vigore della Nace Rev. 2 tale Regolamento è stato modificato dal Regolamento (CE) n. 656/2007 del 14/06/2007.</w:t>
      </w:r>
    </w:p>
    <w:p w14:paraId="4D4AE596"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I Raggruppamenti Principali di Industrie (RPI) sono:</w:t>
      </w:r>
    </w:p>
    <w:p w14:paraId="4D568C00" w14:textId="77777777" w:rsidR="00501E02" w:rsidRPr="00C9631A" w:rsidRDefault="00501E02" w:rsidP="00501E02">
      <w:pPr>
        <w:numPr>
          <w:ilvl w:val="0"/>
          <w:numId w:val="32"/>
        </w:numPr>
        <w:spacing w:after="120"/>
        <w:ind w:left="426"/>
        <w:jc w:val="both"/>
        <w:rPr>
          <w:rFonts w:ascii="Arial" w:hAnsi="Arial" w:cs="Arial"/>
          <w:sz w:val="20"/>
          <w:szCs w:val="20"/>
        </w:rPr>
      </w:pPr>
      <w:r w:rsidRPr="00C9631A">
        <w:rPr>
          <w:rFonts w:ascii="Arial" w:hAnsi="Arial" w:cs="Arial"/>
          <w:sz w:val="20"/>
          <w:szCs w:val="20"/>
        </w:rPr>
        <w:t>Beni di consumo durevoli;</w:t>
      </w:r>
    </w:p>
    <w:p w14:paraId="0C45B40B" w14:textId="77777777" w:rsidR="00501E02" w:rsidRPr="00C9631A" w:rsidRDefault="00501E02" w:rsidP="00501E02">
      <w:pPr>
        <w:numPr>
          <w:ilvl w:val="0"/>
          <w:numId w:val="32"/>
        </w:numPr>
        <w:spacing w:after="120"/>
        <w:ind w:left="426"/>
        <w:jc w:val="both"/>
        <w:rPr>
          <w:rFonts w:ascii="Arial" w:hAnsi="Arial" w:cs="Arial"/>
          <w:sz w:val="20"/>
          <w:szCs w:val="20"/>
        </w:rPr>
      </w:pPr>
      <w:r w:rsidRPr="00C9631A">
        <w:rPr>
          <w:rFonts w:ascii="Arial" w:hAnsi="Arial" w:cs="Arial"/>
          <w:sz w:val="20"/>
          <w:szCs w:val="20"/>
        </w:rPr>
        <w:t>Beni di consumo non durevoli;</w:t>
      </w:r>
    </w:p>
    <w:p w14:paraId="6918CDE1" w14:textId="77777777" w:rsidR="00501E02" w:rsidRPr="00C9631A" w:rsidRDefault="00501E02" w:rsidP="00501E02">
      <w:pPr>
        <w:numPr>
          <w:ilvl w:val="0"/>
          <w:numId w:val="32"/>
        </w:numPr>
        <w:spacing w:after="120"/>
        <w:ind w:left="426"/>
        <w:jc w:val="both"/>
        <w:rPr>
          <w:rFonts w:ascii="Arial" w:hAnsi="Arial" w:cs="Arial"/>
          <w:sz w:val="20"/>
          <w:szCs w:val="20"/>
        </w:rPr>
      </w:pPr>
      <w:r w:rsidRPr="00C9631A">
        <w:rPr>
          <w:rFonts w:ascii="Arial" w:hAnsi="Arial" w:cs="Arial"/>
          <w:sz w:val="20"/>
          <w:szCs w:val="20"/>
        </w:rPr>
        <w:t>Beni strumentali;</w:t>
      </w:r>
    </w:p>
    <w:p w14:paraId="779F204E" w14:textId="77777777" w:rsidR="00501E02" w:rsidRPr="00C9631A" w:rsidRDefault="00501E02" w:rsidP="00501E02">
      <w:pPr>
        <w:numPr>
          <w:ilvl w:val="0"/>
          <w:numId w:val="32"/>
        </w:numPr>
        <w:spacing w:after="120"/>
        <w:ind w:left="426"/>
        <w:jc w:val="both"/>
        <w:rPr>
          <w:rFonts w:ascii="Arial" w:hAnsi="Arial" w:cs="Arial"/>
          <w:sz w:val="20"/>
          <w:szCs w:val="20"/>
        </w:rPr>
      </w:pPr>
      <w:r w:rsidRPr="00C9631A">
        <w:rPr>
          <w:rFonts w:ascii="Arial" w:hAnsi="Arial" w:cs="Arial"/>
          <w:sz w:val="20"/>
          <w:szCs w:val="20"/>
        </w:rPr>
        <w:t>Prodotti intermedi;</w:t>
      </w:r>
    </w:p>
    <w:p w14:paraId="2EA73BEF" w14:textId="77777777" w:rsidR="00501E02" w:rsidRPr="00C9631A" w:rsidRDefault="00501E02" w:rsidP="00501E02">
      <w:pPr>
        <w:numPr>
          <w:ilvl w:val="0"/>
          <w:numId w:val="32"/>
        </w:numPr>
        <w:spacing w:after="120"/>
        <w:ind w:left="426"/>
        <w:jc w:val="both"/>
        <w:rPr>
          <w:rFonts w:ascii="Arial" w:hAnsi="Arial" w:cs="Arial"/>
          <w:sz w:val="20"/>
          <w:szCs w:val="20"/>
        </w:rPr>
      </w:pPr>
      <w:r w:rsidRPr="00C9631A">
        <w:rPr>
          <w:rFonts w:ascii="Arial" w:hAnsi="Arial" w:cs="Arial"/>
          <w:sz w:val="20"/>
          <w:szCs w:val="20"/>
        </w:rPr>
        <w:t>Energia.</w:t>
      </w:r>
    </w:p>
    <w:p w14:paraId="60B3135E"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Al pari dell’Ateco 2007</w:t>
      </w:r>
      <w:r w:rsidRPr="00C9631A">
        <w:rPr>
          <w:rStyle w:val="Rimandonotaapidipagina"/>
          <w:rFonts w:ascii="Arial" w:hAnsi="Arial" w:cs="Arial"/>
          <w:sz w:val="20"/>
          <w:szCs w:val="20"/>
        </w:rPr>
        <w:footnoteReference w:id="2"/>
      </w:r>
      <w:r w:rsidRPr="00C9631A">
        <w:rPr>
          <w:rFonts w:ascii="Arial" w:hAnsi="Arial" w:cs="Arial"/>
          <w:sz w:val="20"/>
          <w:szCs w:val="20"/>
        </w:rPr>
        <w:t>, anche la classificazione RPI è stata adattata alle statistiche sul commercio con l’estero.</w:t>
      </w:r>
    </w:p>
    <w:p w14:paraId="50FAEB4B" w14:textId="77777777" w:rsidR="00501E02" w:rsidRPr="00C9631A" w:rsidRDefault="00501E02" w:rsidP="00501E02">
      <w:pPr>
        <w:spacing w:after="120"/>
        <w:jc w:val="both"/>
        <w:rPr>
          <w:rFonts w:ascii="Arial" w:hAnsi="Arial" w:cs="Arial"/>
          <w:sz w:val="20"/>
          <w:szCs w:val="20"/>
        </w:rPr>
      </w:pPr>
    </w:p>
    <w:p w14:paraId="45217689" w14:textId="77777777" w:rsidR="00501E02" w:rsidRPr="00C9631A" w:rsidRDefault="00501E02" w:rsidP="00501E02">
      <w:pPr>
        <w:spacing w:after="120"/>
        <w:jc w:val="both"/>
        <w:rPr>
          <w:rFonts w:ascii="Arial" w:hAnsi="Arial" w:cs="Arial"/>
          <w:b/>
          <w:sz w:val="20"/>
          <w:szCs w:val="20"/>
        </w:rPr>
      </w:pPr>
      <w:r w:rsidRPr="00C9631A">
        <w:rPr>
          <w:rFonts w:ascii="Arial" w:hAnsi="Arial" w:cs="Arial"/>
          <w:b/>
          <w:sz w:val="20"/>
          <w:szCs w:val="20"/>
        </w:rPr>
        <w:t>Strumenti di elaborazione dei dati</w:t>
      </w:r>
    </w:p>
    <w:p w14:paraId="2FCD3AE4"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Insieme ai dati grezzi, vengono pubblicati anche i dati depurati della componente stagionale e dagli effetti di calendario. Tali dati sono ottenuti attraverso la procedura TRAMO-SEATS per Linux (versione di febbraio 2010).</w:t>
      </w:r>
    </w:p>
    <w:p w14:paraId="6F58FD7D" w14:textId="77777777" w:rsidR="00501E02" w:rsidRPr="00C9631A" w:rsidRDefault="00501E02" w:rsidP="00501E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both"/>
        <w:rPr>
          <w:rFonts w:ascii="Arial" w:hAnsi="Arial" w:cs="Arial"/>
          <w:sz w:val="20"/>
          <w:szCs w:val="20"/>
        </w:rPr>
      </w:pPr>
      <w:r w:rsidRPr="00C9631A">
        <w:rPr>
          <w:rFonts w:ascii="Arial" w:hAnsi="Arial" w:cs="Arial"/>
          <w:sz w:val="20"/>
          <w:szCs w:val="20"/>
        </w:rPr>
        <w:t>A partire dai dati mensili del 2012, sono state introdotte alcune sostanziali innovazioni di processo e prodotto nelle procedure di destagionalizzazione, finalizzate a migliorare l’accuratezza delle stime prodotte e a fornire agli utenti un più ampio dettaglio degli indicatori statistici per l’analisi congiunturale del commercio con l’estero, rendendo disponibili nuove serie destagionalizzate a livello di raggruppamenti principali di industrie.</w:t>
      </w:r>
    </w:p>
    <w:p w14:paraId="44019B3F" w14:textId="77777777" w:rsidR="00501E02" w:rsidRDefault="00501E02" w:rsidP="00501E02">
      <w:pPr>
        <w:spacing w:after="120"/>
        <w:jc w:val="both"/>
        <w:rPr>
          <w:rFonts w:ascii="Arial" w:hAnsi="Arial" w:cs="Arial"/>
          <w:sz w:val="20"/>
          <w:szCs w:val="20"/>
        </w:rPr>
      </w:pPr>
      <w:r w:rsidRPr="00C9631A">
        <w:rPr>
          <w:rFonts w:ascii="Arial" w:hAnsi="Arial" w:cs="Arial"/>
          <w:sz w:val="20"/>
          <w:szCs w:val="20"/>
        </w:rPr>
        <w:t>I dati destagionalizzati sono soggetti a revisione ogni mese. I modelli utilizzati vengono verificati in occasione delle revisioni dei dati grezzi. Le specifiche utilizzate dall'Istat nell'ambito della procedura TRAMO-SEATS sono disponibili per gli utenti che ne facciano richiesta per proprie finalità di analisi.</w:t>
      </w:r>
    </w:p>
    <w:p w14:paraId="0CAD9D07" w14:textId="631D0E51" w:rsidR="001C0874" w:rsidRDefault="001C0874" w:rsidP="00501E02">
      <w:pPr>
        <w:spacing w:after="120"/>
        <w:jc w:val="both"/>
        <w:rPr>
          <w:rFonts w:ascii="Arial" w:hAnsi="Arial" w:cs="Arial"/>
          <w:sz w:val="20"/>
          <w:szCs w:val="20"/>
        </w:rPr>
      </w:pPr>
      <w:r w:rsidRPr="00787C51">
        <w:rPr>
          <w:rFonts w:ascii="Arial" w:hAnsi="Arial" w:cs="Arial"/>
          <w:sz w:val="20"/>
          <w:szCs w:val="20"/>
        </w:rPr>
        <w:t>A novembre 202</w:t>
      </w:r>
      <w:r w:rsidR="00DC4B0E" w:rsidRPr="00787C51">
        <w:rPr>
          <w:rFonts w:ascii="Arial" w:hAnsi="Arial" w:cs="Arial"/>
          <w:sz w:val="20"/>
          <w:szCs w:val="20"/>
        </w:rPr>
        <w:t>4</w:t>
      </w:r>
      <w:r w:rsidRPr="00787C51">
        <w:rPr>
          <w:rFonts w:ascii="Arial" w:hAnsi="Arial" w:cs="Arial"/>
          <w:sz w:val="20"/>
          <w:szCs w:val="20"/>
        </w:rPr>
        <w:t>, con il consolidamento dei dati grezzi del 202</w:t>
      </w:r>
      <w:r w:rsidR="00DC4B0E" w:rsidRPr="00787C51">
        <w:rPr>
          <w:rFonts w:ascii="Arial" w:hAnsi="Arial" w:cs="Arial"/>
          <w:sz w:val="20"/>
          <w:szCs w:val="20"/>
        </w:rPr>
        <w:t>3</w:t>
      </w:r>
      <w:r w:rsidRPr="00787C51">
        <w:rPr>
          <w:rFonts w:ascii="Arial" w:hAnsi="Arial" w:cs="Arial"/>
          <w:sz w:val="20"/>
          <w:szCs w:val="20"/>
        </w:rPr>
        <w:t>, è stata operata la revisione dei modelli statistici di destagionalizzazione</w:t>
      </w:r>
      <w:r w:rsidR="00DC4B0E" w:rsidRPr="00787C51">
        <w:rPr>
          <w:rFonts w:ascii="Arial" w:hAnsi="Arial" w:cs="Arial"/>
          <w:sz w:val="20"/>
          <w:szCs w:val="20"/>
        </w:rPr>
        <w:t>. In particolare,</w:t>
      </w:r>
      <w:r w:rsidR="00203961" w:rsidRPr="00787C51">
        <w:rPr>
          <w:rFonts w:ascii="Arial" w:hAnsi="Arial" w:cs="Arial"/>
          <w:sz w:val="20"/>
          <w:szCs w:val="20"/>
        </w:rPr>
        <w:t xml:space="preserve"> poiché</w:t>
      </w:r>
      <w:r w:rsidR="00DC4B0E" w:rsidRPr="00787C51">
        <w:rPr>
          <w:rFonts w:ascii="Arial" w:hAnsi="Arial" w:cs="Arial"/>
          <w:sz w:val="20"/>
          <w:szCs w:val="20"/>
        </w:rPr>
        <w:t xml:space="preserve"> la lunghezza delle serie con inizio gennaio 1993 rendeva difficile l’adozione di modelli parsimoniosi, i nuovi modelli sono stati definiti su serie ridotte che </w:t>
      </w:r>
      <w:r w:rsidR="00787C51" w:rsidRPr="00787C51">
        <w:rPr>
          <w:rFonts w:ascii="Arial" w:hAnsi="Arial" w:cs="Arial"/>
          <w:sz w:val="20"/>
          <w:szCs w:val="20"/>
        </w:rPr>
        <w:t>partono da</w:t>
      </w:r>
      <w:r w:rsidR="00DC4B0E" w:rsidRPr="00787C51">
        <w:rPr>
          <w:rFonts w:ascii="Arial" w:hAnsi="Arial" w:cs="Arial"/>
          <w:sz w:val="20"/>
          <w:szCs w:val="20"/>
        </w:rPr>
        <w:t xml:space="preserve"> gennaio 2014. Le serie destagionalizzate sono </w:t>
      </w:r>
      <w:r w:rsidR="00787C51" w:rsidRPr="00787C51">
        <w:rPr>
          <w:rFonts w:ascii="Arial" w:hAnsi="Arial" w:cs="Arial"/>
          <w:sz w:val="20"/>
          <w:szCs w:val="20"/>
        </w:rPr>
        <w:t xml:space="preserve">pertanto </w:t>
      </w:r>
      <w:r w:rsidR="00DC4B0E" w:rsidRPr="00787C51">
        <w:rPr>
          <w:rFonts w:ascii="Arial" w:hAnsi="Arial" w:cs="Arial"/>
          <w:sz w:val="20"/>
          <w:szCs w:val="20"/>
        </w:rPr>
        <w:t>otten</w:t>
      </w:r>
      <w:r w:rsidR="00741924" w:rsidRPr="00787C51">
        <w:rPr>
          <w:rFonts w:ascii="Arial" w:hAnsi="Arial" w:cs="Arial"/>
          <w:sz w:val="20"/>
          <w:szCs w:val="20"/>
        </w:rPr>
        <w:t xml:space="preserve">ute per raccordo </w:t>
      </w:r>
      <w:r w:rsidR="00192F43" w:rsidRPr="00787C51">
        <w:rPr>
          <w:rFonts w:ascii="Arial" w:hAnsi="Arial" w:cs="Arial"/>
          <w:sz w:val="20"/>
          <w:szCs w:val="20"/>
        </w:rPr>
        <w:t xml:space="preserve">della </w:t>
      </w:r>
      <w:r w:rsidR="00DC4B0E" w:rsidRPr="00787C51">
        <w:rPr>
          <w:rFonts w:ascii="Arial" w:hAnsi="Arial" w:cs="Arial"/>
          <w:sz w:val="20"/>
          <w:szCs w:val="20"/>
        </w:rPr>
        <w:t xml:space="preserve">parte fissa relativa al periodo gennaio 1993 - dicembre 2013, ottenuta con i modelli precedenti all’attuale revisione, </w:t>
      </w:r>
      <w:r w:rsidR="00192F43" w:rsidRPr="00787C51">
        <w:rPr>
          <w:rFonts w:ascii="Arial" w:hAnsi="Arial" w:cs="Arial"/>
          <w:sz w:val="20"/>
          <w:szCs w:val="20"/>
        </w:rPr>
        <w:t xml:space="preserve">e della parte </w:t>
      </w:r>
      <w:r w:rsidR="00DC4B0E" w:rsidRPr="00787C51">
        <w:rPr>
          <w:rFonts w:ascii="Arial" w:hAnsi="Arial" w:cs="Arial"/>
          <w:sz w:val="20"/>
          <w:szCs w:val="20"/>
        </w:rPr>
        <w:t xml:space="preserve">relativa al periodo successivo, che viene </w:t>
      </w:r>
      <w:r w:rsidR="00A61A30" w:rsidRPr="00787C51">
        <w:rPr>
          <w:rFonts w:ascii="Arial" w:hAnsi="Arial" w:cs="Arial"/>
          <w:sz w:val="20"/>
          <w:szCs w:val="20"/>
        </w:rPr>
        <w:t>aggiornata</w:t>
      </w:r>
      <w:r w:rsidR="00DC4B0E" w:rsidRPr="00787C51">
        <w:rPr>
          <w:rFonts w:ascii="Arial" w:hAnsi="Arial" w:cs="Arial"/>
          <w:sz w:val="20"/>
          <w:szCs w:val="20"/>
        </w:rPr>
        <w:t xml:space="preserve"> </w:t>
      </w:r>
      <w:r w:rsidR="00787C51" w:rsidRPr="00787C51">
        <w:rPr>
          <w:rFonts w:ascii="Arial" w:hAnsi="Arial" w:cs="Arial"/>
          <w:sz w:val="20"/>
          <w:szCs w:val="20"/>
        </w:rPr>
        <w:t>mensilmente</w:t>
      </w:r>
      <w:r w:rsidR="00DC4B0E" w:rsidRPr="00787C51">
        <w:rPr>
          <w:rFonts w:ascii="Arial" w:hAnsi="Arial" w:cs="Arial"/>
          <w:sz w:val="20"/>
          <w:szCs w:val="20"/>
        </w:rPr>
        <w:t>.</w:t>
      </w:r>
    </w:p>
    <w:p w14:paraId="7B6DC08C" w14:textId="77777777" w:rsidR="00501E02" w:rsidRPr="00C9631A" w:rsidRDefault="00501E02" w:rsidP="00501E02">
      <w:pPr>
        <w:spacing w:after="120"/>
        <w:jc w:val="both"/>
        <w:rPr>
          <w:rFonts w:ascii="Arial" w:hAnsi="Arial" w:cs="Arial"/>
          <w:sz w:val="20"/>
          <w:szCs w:val="20"/>
        </w:rPr>
      </w:pPr>
    </w:p>
    <w:p w14:paraId="3C80C51A" w14:textId="77777777" w:rsidR="00501E02" w:rsidRPr="00C9631A" w:rsidRDefault="00501E02" w:rsidP="00501E02">
      <w:pPr>
        <w:spacing w:after="120"/>
        <w:jc w:val="both"/>
        <w:rPr>
          <w:rFonts w:ascii="Arial" w:hAnsi="Arial" w:cs="Arial"/>
          <w:b/>
          <w:sz w:val="20"/>
          <w:szCs w:val="20"/>
        </w:rPr>
      </w:pPr>
      <w:r w:rsidRPr="00C9631A">
        <w:rPr>
          <w:rFonts w:ascii="Arial" w:hAnsi="Arial" w:cs="Arial"/>
          <w:b/>
          <w:sz w:val="20"/>
          <w:szCs w:val="20"/>
        </w:rPr>
        <w:t>Output</w:t>
      </w:r>
    </w:p>
    <w:p w14:paraId="3316553B" w14:textId="77777777" w:rsidR="00C50F34" w:rsidRDefault="00501E02" w:rsidP="00501E02">
      <w:pPr>
        <w:spacing w:after="120"/>
        <w:jc w:val="both"/>
        <w:rPr>
          <w:rFonts w:ascii="Arial" w:hAnsi="Arial" w:cs="Arial"/>
          <w:sz w:val="20"/>
          <w:szCs w:val="20"/>
        </w:rPr>
      </w:pPr>
      <w:r w:rsidRPr="00C9631A">
        <w:rPr>
          <w:rFonts w:ascii="Arial" w:hAnsi="Arial" w:cs="Arial"/>
          <w:sz w:val="20"/>
          <w:szCs w:val="20"/>
        </w:rPr>
        <w:t xml:space="preserve">I dati diffusi mensilmente riguardano i valori monetari, gli indici e le variazioni tendenziali e congiunturali relativi alle variabili che descrivono i flussi commerciali con l’estero. </w:t>
      </w:r>
    </w:p>
    <w:p w14:paraId="1229EDAE" w14:textId="77777777" w:rsidR="00787C51" w:rsidRDefault="00787C51" w:rsidP="00501E02">
      <w:pPr>
        <w:spacing w:after="120"/>
        <w:jc w:val="both"/>
        <w:rPr>
          <w:rFonts w:ascii="Arial" w:hAnsi="Arial" w:cs="Arial"/>
          <w:sz w:val="20"/>
          <w:szCs w:val="20"/>
        </w:rPr>
      </w:pPr>
    </w:p>
    <w:p w14:paraId="7AD089A7" w14:textId="20D1229F"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 xml:space="preserve">I valori monetari a prezzi correnti si riferiscono alle importazioni ed esportazioni di merci rilevate o stimate in termini di valore statistico (Cif, Fob). </w:t>
      </w:r>
    </w:p>
    <w:p w14:paraId="1AD9C30F" w14:textId="046E79B9" w:rsidR="00E3199A" w:rsidRDefault="00501E02" w:rsidP="00501E02">
      <w:pPr>
        <w:spacing w:after="120"/>
        <w:jc w:val="both"/>
        <w:rPr>
          <w:rFonts w:ascii="Arial" w:hAnsi="Arial" w:cs="Arial"/>
          <w:sz w:val="20"/>
          <w:szCs w:val="20"/>
        </w:rPr>
      </w:pPr>
      <w:r w:rsidRPr="00C9631A">
        <w:rPr>
          <w:rFonts w:ascii="Arial" w:hAnsi="Arial" w:cs="Arial"/>
          <w:sz w:val="20"/>
          <w:szCs w:val="20"/>
        </w:rPr>
        <w:t>La produzione di indici del commercio estero prevede la produzione e diffusione di indici dei valori medi unitari e dei volumi dei prodotti esportati e importati, secondo un break-down articolato per gruppi di</w:t>
      </w:r>
      <w:r w:rsidR="00220D58">
        <w:rPr>
          <w:rFonts w:ascii="Arial" w:hAnsi="Arial" w:cs="Arial"/>
          <w:sz w:val="20"/>
          <w:szCs w:val="20"/>
        </w:rPr>
        <w:t xml:space="preserve"> prodotto della classificazione </w:t>
      </w:r>
      <w:r w:rsidRPr="00C9631A">
        <w:rPr>
          <w:rFonts w:ascii="Arial" w:hAnsi="Arial" w:cs="Arial"/>
          <w:sz w:val="20"/>
          <w:szCs w:val="20"/>
        </w:rPr>
        <w:t>Ateco 2007 e per specifiche aree geografiche e/o geoeconomiche, nonché per raggruppamenti principali di industrie (RPI). I singoli indici mensili dei valori medi unitari relativi ai diversi gruppi di prodotti e con riferimento alle aree geografiche o geoeconomiche di provenienza o destinazione delle merci sono ottenuti utilizzando la formula di Fisher in cui l’anno base è rappresentato dall’anno immediatamente precedente (indici a “base mobile”). L’aggiornamento a cadenza annuale del sistema di ponderazione consente di calcolare le variazioni dei valori medi unitari seguendo</w:t>
      </w:r>
      <w:r w:rsidR="00C50F34">
        <w:rPr>
          <w:rFonts w:ascii="Arial" w:hAnsi="Arial" w:cs="Arial"/>
          <w:sz w:val="20"/>
          <w:szCs w:val="20"/>
        </w:rPr>
        <w:t xml:space="preserve"> </w:t>
      </w:r>
      <w:r w:rsidRPr="00C9631A">
        <w:rPr>
          <w:rFonts w:ascii="Arial" w:hAnsi="Arial" w:cs="Arial"/>
          <w:sz w:val="20"/>
          <w:szCs w:val="20"/>
        </w:rPr>
        <w:t>più da vicino l’evoluzione in composizione del mix di prodotti movimentati. Tuttavia, poiché gli indici a base mobile di anni diversi</w:t>
      </w:r>
      <w:r>
        <w:rPr>
          <w:rFonts w:ascii="Arial" w:hAnsi="Arial" w:cs="Arial"/>
          <w:sz w:val="20"/>
          <w:szCs w:val="20"/>
        </w:rPr>
        <w:t xml:space="preserve"> </w:t>
      </w:r>
      <w:r w:rsidRPr="00C9631A">
        <w:rPr>
          <w:rFonts w:ascii="Arial" w:hAnsi="Arial" w:cs="Arial"/>
          <w:sz w:val="20"/>
          <w:szCs w:val="20"/>
        </w:rPr>
        <w:t>non</w:t>
      </w:r>
      <w:r>
        <w:rPr>
          <w:rFonts w:ascii="Arial" w:hAnsi="Arial" w:cs="Arial"/>
          <w:sz w:val="20"/>
          <w:szCs w:val="20"/>
        </w:rPr>
        <w:t xml:space="preserve"> </w:t>
      </w:r>
      <w:r w:rsidRPr="00C9631A">
        <w:rPr>
          <w:rFonts w:ascii="Arial" w:hAnsi="Arial" w:cs="Arial"/>
          <w:sz w:val="20"/>
          <w:szCs w:val="20"/>
        </w:rPr>
        <w:t>sono direttamente</w:t>
      </w:r>
      <w:r>
        <w:rPr>
          <w:rFonts w:ascii="Arial" w:hAnsi="Arial" w:cs="Arial"/>
          <w:sz w:val="20"/>
          <w:szCs w:val="20"/>
        </w:rPr>
        <w:t xml:space="preserve"> </w:t>
      </w:r>
      <w:r w:rsidRPr="00C9631A">
        <w:rPr>
          <w:rFonts w:ascii="Arial" w:hAnsi="Arial" w:cs="Arial"/>
          <w:sz w:val="20"/>
          <w:szCs w:val="20"/>
        </w:rPr>
        <w:t>confrontabili tra loro, per consentire l’analisi economica su</w:t>
      </w:r>
      <w:r>
        <w:rPr>
          <w:rFonts w:ascii="Arial" w:hAnsi="Arial" w:cs="Arial"/>
          <w:sz w:val="20"/>
          <w:szCs w:val="20"/>
        </w:rPr>
        <w:t xml:space="preserve"> </w:t>
      </w:r>
      <w:r w:rsidRPr="00C9631A">
        <w:rPr>
          <w:rFonts w:ascii="Arial" w:hAnsi="Arial" w:cs="Arial"/>
          <w:sz w:val="20"/>
          <w:szCs w:val="20"/>
        </w:rPr>
        <w:t>orizzonti temporali superiori ai dodici mesi, le serie storiche previste dal piano di diffusione sono ricondotte a uno stesso anno di riferimento, aggiornato ogni 5 anni in linea con le indicazioni fornite a livello internazionale per le statistiche congiunturali.</w:t>
      </w:r>
    </w:p>
    <w:p w14:paraId="3F3B8E4E" w14:textId="54C4A5AD" w:rsidR="00501E02" w:rsidRPr="00E07DF0" w:rsidRDefault="00501E02" w:rsidP="00501E02">
      <w:pPr>
        <w:spacing w:after="120"/>
        <w:jc w:val="both"/>
        <w:rPr>
          <w:rFonts w:ascii="Arial" w:hAnsi="Arial" w:cs="Arial"/>
          <w:sz w:val="20"/>
          <w:szCs w:val="20"/>
        </w:rPr>
      </w:pPr>
      <w:r w:rsidRPr="001E275B">
        <w:rPr>
          <w:rFonts w:ascii="Arial" w:hAnsi="Arial" w:cs="Arial"/>
          <w:sz w:val="20"/>
          <w:szCs w:val="20"/>
        </w:rPr>
        <w:t xml:space="preserve">A partire dai dati di gennaio </w:t>
      </w:r>
      <w:r w:rsidR="00B326D5" w:rsidRPr="001E275B">
        <w:rPr>
          <w:rFonts w:ascii="Arial" w:hAnsi="Arial" w:cs="Arial"/>
          <w:sz w:val="20"/>
          <w:szCs w:val="20"/>
        </w:rPr>
        <w:t>2024</w:t>
      </w:r>
      <w:r w:rsidRPr="001E275B">
        <w:rPr>
          <w:rFonts w:ascii="Arial" w:hAnsi="Arial" w:cs="Arial"/>
          <w:sz w:val="20"/>
          <w:szCs w:val="20"/>
        </w:rPr>
        <w:t>, l’anno di riferimento è il 20</w:t>
      </w:r>
      <w:r w:rsidR="00B326D5" w:rsidRPr="001E275B">
        <w:rPr>
          <w:rFonts w:ascii="Arial" w:hAnsi="Arial" w:cs="Arial"/>
          <w:sz w:val="20"/>
          <w:szCs w:val="20"/>
        </w:rPr>
        <w:t>21 (quello precedente era il 2015)</w:t>
      </w:r>
      <w:r w:rsidRPr="001E275B">
        <w:rPr>
          <w:rFonts w:ascii="Arial" w:hAnsi="Arial" w:cs="Arial"/>
          <w:sz w:val="20"/>
          <w:szCs w:val="20"/>
        </w:rPr>
        <w:t>,</w:t>
      </w:r>
      <w:r w:rsidRPr="00C9631A">
        <w:rPr>
          <w:rFonts w:ascii="Arial" w:hAnsi="Arial" w:cs="Arial"/>
          <w:sz w:val="20"/>
          <w:szCs w:val="20"/>
        </w:rPr>
        <w:t xml:space="preserve"> assunto come “base” attraverso opportuni coefficienti di raccordo che legano tra loro gli indici riferiti alle diverse basi annuali. La metodologia adottata prevede il calcolo degli indici elementari a livello merceologico di nomenclatura combinata, l’individuazione e il trattamento di eventuali errori di misura e l’aggregazione degli indici elementari mediante medie troncate </w:t>
      </w:r>
      <w:r w:rsidRPr="00B326D5">
        <w:rPr>
          <w:rFonts w:ascii="Arial" w:hAnsi="Arial" w:cs="Arial"/>
          <w:sz w:val="20"/>
          <w:szCs w:val="20"/>
        </w:rPr>
        <w:t>(Istat, “Nota informativa” del 25/02/2008). Gli indici dei valori medi unitari e gli indici di valore vengono calcolati in modo diretto, mentre gli indici dei volumi sono ottenuti</w:t>
      </w:r>
      <w:r w:rsidRPr="00C9631A">
        <w:rPr>
          <w:rFonts w:ascii="Arial" w:hAnsi="Arial" w:cs="Arial"/>
          <w:sz w:val="20"/>
          <w:szCs w:val="20"/>
        </w:rPr>
        <w:t xml:space="preserve"> dal rapporto tra gli indici di valore e i corrispondenti indici del valore medio unitario, in modo da assicurare la relazione di complementarietà tra i tre indici. Il piano di diffusione dispone la pubblicazione dei soli indici dei valori medi unitari e dei volumi. Gli indici annuali e trimestrali dei valori medi unitari sono calcolati come media aritmetica dei corrispondenti indici mensili, che non includono le dichiarazioni trimestrali e annuali relative all’indagine Intrastat. Al contrario, gli indici dei volumi vengono calcolati utilizzando indici del valore riferiti al totale delle transazioni, in modo da consentire una più precisa scomposizione delle variazioni dei valori in volume e valori </w:t>
      </w:r>
      <w:r w:rsidRPr="00E07DF0">
        <w:rPr>
          <w:rFonts w:ascii="Arial" w:hAnsi="Arial" w:cs="Arial"/>
          <w:sz w:val="20"/>
          <w:szCs w:val="20"/>
        </w:rPr>
        <w:t>medi unitari.</w:t>
      </w:r>
    </w:p>
    <w:p w14:paraId="6ACF09C5" w14:textId="77777777" w:rsidR="00501E02" w:rsidRPr="00C9631A" w:rsidRDefault="00501E02" w:rsidP="00501E02">
      <w:pPr>
        <w:spacing w:after="60"/>
        <w:jc w:val="both"/>
        <w:rPr>
          <w:rFonts w:ascii="Arial" w:hAnsi="Arial" w:cs="Arial"/>
          <w:sz w:val="20"/>
          <w:szCs w:val="20"/>
        </w:rPr>
      </w:pPr>
    </w:p>
    <w:p w14:paraId="23B6B6B1" w14:textId="77777777" w:rsidR="00501E02" w:rsidRPr="00C9631A" w:rsidRDefault="00501E02" w:rsidP="00501E02">
      <w:pPr>
        <w:spacing w:after="120"/>
        <w:jc w:val="both"/>
        <w:rPr>
          <w:rFonts w:ascii="Arial" w:hAnsi="Arial" w:cs="Arial"/>
          <w:b/>
          <w:sz w:val="20"/>
          <w:szCs w:val="20"/>
        </w:rPr>
      </w:pPr>
      <w:r w:rsidRPr="00C9631A">
        <w:rPr>
          <w:rFonts w:ascii="Arial" w:hAnsi="Arial" w:cs="Arial"/>
          <w:b/>
          <w:sz w:val="20"/>
          <w:szCs w:val="20"/>
        </w:rPr>
        <w:t>Riservatezza</w:t>
      </w:r>
    </w:p>
    <w:p w14:paraId="338B5BF9"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A partire dall'anno 2000, l'Istat ha definito nuove procedure per il trattamento e la diffusione dei dati personali relativi agli scambi di merci con l'estero e ai soggetti importatori ed esportatori, compatibili con l'attuale quadro normativo nazionale (legge 675/96, D.lgs.322/89, 281/99 e 196/03).</w:t>
      </w:r>
    </w:p>
    <w:p w14:paraId="045437BA"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In particolare, le nuove procedure consentono di ridurre fortemente il rischio di identificazione, indiretta e accidentale, di dati confidenziali e nel contempo di limitare la perdita di informazione fornita agli utenti esterni.</w:t>
      </w:r>
    </w:p>
    <w:p w14:paraId="2DEA8D00" w14:textId="77777777" w:rsidR="00501E02" w:rsidRPr="00C9631A" w:rsidRDefault="00501E02" w:rsidP="00501E02">
      <w:pPr>
        <w:spacing w:after="120"/>
        <w:jc w:val="both"/>
        <w:rPr>
          <w:rFonts w:ascii="Arial" w:hAnsi="Arial" w:cs="Arial"/>
          <w:sz w:val="20"/>
          <w:szCs w:val="20"/>
        </w:rPr>
      </w:pPr>
      <w:r w:rsidRPr="00C9631A">
        <w:rPr>
          <w:rFonts w:ascii="Arial" w:hAnsi="Arial" w:cs="Arial"/>
          <w:sz w:val="20"/>
          <w:szCs w:val="20"/>
        </w:rPr>
        <w:t>Per quanto riguarda le statistiche relative alle merci, l'Istat, oltre a tutelare le informazioni riservate secondo il principio della riservatezza passiva, ha definito un piano per la diffusione delle statistiche del commercio con l'estero. Tale piano disciplina le possibilità di incrocio tra variabili in funzione di particolari livelli di dettaglio merceologico, geografico o territoriale riducendo entro soglie ragionevoli il rischio di identificazione dei soggetti indirettamente interessati.</w:t>
      </w:r>
    </w:p>
    <w:p w14:paraId="1A2FF5D8" w14:textId="77777777" w:rsidR="00501E02" w:rsidRPr="00C9631A" w:rsidRDefault="00501E02" w:rsidP="00501E02">
      <w:pPr>
        <w:spacing w:after="120"/>
        <w:jc w:val="both"/>
        <w:rPr>
          <w:rStyle w:val="Collegamentoipertestuale"/>
          <w:rFonts w:ascii="Arial" w:hAnsi="Arial" w:cs="Arial"/>
          <w:sz w:val="20"/>
          <w:szCs w:val="20"/>
        </w:rPr>
      </w:pPr>
      <w:r w:rsidRPr="00C9631A">
        <w:rPr>
          <w:rFonts w:ascii="Arial" w:hAnsi="Arial" w:cs="Arial"/>
          <w:sz w:val="20"/>
          <w:szCs w:val="20"/>
        </w:rPr>
        <w:t xml:space="preserve">Ulteriori informazioni sulla tutela della riservatezza sono disponibili al seguente link </w:t>
      </w:r>
      <w:hyperlink r:id="rId45" w:history="1">
        <w:r w:rsidRPr="00C9631A">
          <w:rPr>
            <w:rStyle w:val="Collegamentoipertestuale"/>
            <w:rFonts w:ascii="Arial" w:hAnsi="Arial" w:cs="Arial"/>
            <w:sz w:val="20"/>
            <w:szCs w:val="20"/>
          </w:rPr>
          <w:t>https://www.coeweb.istat.it</w:t>
        </w:r>
      </w:hyperlink>
    </w:p>
    <w:p w14:paraId="3CF725D4" w14:textId="77777777" w:rsidR="00501E02" w:rsidRPr="00CC6703" w:rsidRDefault="00501E02" w:rsidP="00501E02">
      <w:pPr>
        <w:spacing w:after="120"/>
        <w:jc w:val="both"/>
        <w:rPr>
          <w:rFonts w:ascii="Arial" w:hAnsi="Arial" w:cs="Arial"/>
          <w:sz w:val="16"/>
          <w:szCs w:val="16"/>
        </w:rPr>
      </w:pPr>
    </w:p>
    <w:p w14:paraId="7072FEFE" w14:textId="77777777" w:rsidR="00501E02" w:rsidRDefault="00501E02" w:rsidP="00501E02">
      <w:pPr>
        <w:spacing w:after="120"/>
        <w:jc w:val="both"/>
        <w:rPr>
          <w:rFonts w:ascii="Arial" w:hAnsi="Arial" w:cs="Arial"/>
          <w:b/>
          <w:sz w:val="20"/>
          <w:szCs w:val="20"/>
        </w:rPr>
      </w:pPr>
      <w:r>
        <w:rPr>
          <w:rFonts w:ascii="Arial" w:hAnsi="Arial" w:cs="Arial"/>
          <w:b/>
          <w:sz w:val="20"/>
          <w:szCs w:val="20"/>
        </w:rPr>
        <w:t xml:space="preserve">Le novità del sistema Intrastat </w:t>
      </w:r>
      <w:r w:rsidR="0026239E">
        <w:rPr>
          <w:rFonts w:ascii="Arial" w:hAnsi="Arial" w:cs="Arial"/>
          <w:b/>
          <w:sz w:val="20"/>
          <w:szCs w:val="20"/>
        </w:rPr>
        <w:t xml:space="preserve">a partire da </w:t>
      </w:r>
      <w:r w:rsidRPr="001D441E">
        <w:rPr>
          <w:rFonts w:ascii="Arial" w:hAnsi="Arial" w:cs="Arial"/>
          <w:b/>
          <w:sz w:val="20"/>
          <w:szCs w:val="20"/>
        </w:rPr>
        <w:t>gennaio 2022</w:t>
      </w:r>
    </w:p>
    <w:p w14:paraId="06AD5355" w14:textId="77777777" w:rsidR="00501E02" w:rsidRPr="005A72C3" w:rsidRDefault="00501E02" w:rsidP="00501E02">
      <w:pPr>
        <w:spacing w:after="120"/>
        <w:jc w:val="both"/>
        <w:rPr>
          <w:rFonts w:asciiTheme="minorHAnsi" w:hAnsiTheme="minorHAnsi"/>
          <w:sz w:val="22"/>
          <w:szCs w:val="22"/>
          <w:lang w:eastAsia="en-US"/>
        </w:rPr>
      </w:pPr>
      <w:r>
        <w:rPr>
          <w:rFonts w:ascii="Arial" w:hAnsi="Arial" w:cs="Arial"/>
          <w:sz w:val="20"/>
          <w:szCs w:val="20"/>
        </w:rPr>
        <w:t xml:space="preserve">Con </w:t>
      </w:r>
      <w:r w:rsidRPr="00615A28">
        <w:rPr>
          <w:rFonts w:ascii="Arial" w:hAnsi="Arial" w:cs="Arial"/>
          <w:sz w:val="20"/>
          <w:szCs w:val="20"/>
        </w:rPr>
        <w:t>Determinazione del Direttore dell’Agenzia delle dogane e dei monopoli n.</w:t>
      </w:r>
      <w:r>
        <w:rPr>
          <w:rFonts w:ascii="Arial" w:hAnsi="Arial" w:cs="Arial"/>
          <w:sz w:val="20"/>
          <w:szCs w:val="20"/>
        </w:rPr>
        <w:t xml:space="preserve"> </w:t>
      </w:r>
      <w:r w:rsidRPr="00615A28">
        <w:rPr>
          <w:rFonts w:ascii="Arial" w:hAnsi="Arial" w:cs="Arial"/>
          <w:sz w:val="20"/>
          <w:szCs w:val="20"/>
        </w:rPr>
        <w:t>493869 del 23 dicembre 2021</w:t>
      </w:r>
      <w:r>
        <w:rPr>
          <w:rFonts w:ascii="Arial" w:hAnsi="Arial" w:cs="Arial"/>
          <w:sz w:val="20"/>
          <w:szCs w:val="20"/>
        </w:rPr>
        <w:t xml:space="preserve">, a partire dai dati di gennaio 2022, sono state introdotte importanti novità nel </w:t>
      </w:r>
      <w:r w:rsidRPr="005A72C3">
        <w:rPr>
          <w:rFonts w:ascii="Arial" w:hAnsi="Arial" w:cs="Arial"/>
          <w:sz w:val="20"/>
          <w:szCs w:val="20"/>
        </w:rPr>
        <w:t>sistema Intrastat nel rispetto della recente normativa statistica comunitaria (</w:t>
      </w:r>
      <w:r w:rsidRPr="00D61DDB">
        <w:rPr>
          <w:rFonts w:ascii="Arial" w:hAnsi="Arial" w:cs="Arial"/>
          <w:sz w:val="20"/>
          <w:szCs w:val="20"/>
        </w:rPr>
        <w:t xml:space="preserve">Regolamento (UE) 2019/2152 </w:t>
      </w:r>
      <w:r>
        <w:rPr>
          <w:rFonts w:ascii="Arial" w:hAnsi="Arial" w:cs="Arial"/>
          <w:sz w:val="20"/>
          <w:szCs w:val="20"/>
        </w:rPr>
        <w:t xml:space="preserve">e il relativo </w:t>
      </w:r>
      <w:r w:rsidRPr="00D61DDB">
        <w:rPr>
          <w:rFonts w:ascii="Arial" w:hAnsi="Arial" w:cs="Arial"/>
          <w:sz w:val="20"/>
          <w:szCs w:val="20"/>
        </w:rPr>
        <w:t>Regolamento di esecuzione (UE) 2020/1197</w:t>
      </w:r>
      <w:r>
        <w:rPr>
          <w:rFonts w:ascii="Arial" w:hAnsi="Arial" w:cs="Arial"/>
          <w:sz w:val="20"/>
          <w:szCs w:val="20"/>
        </w:rPr>
        <w:t>)</w:t>
      </w:r>
      <w:r w:rsidRPr="005A72C3">
        <w:rPr>
          <w:rFonts w:ascii="Arial" w:hAnsi="Arial" w:cs="Arial"/>
          <w:sz w:val="20"/>
          <w:szCs w:val="20"/>
        </w:rPr>
        <w:t xml:space="preserve"> e nell’ottica della semplificazione e riduzione del carico statistico sugli operatori economici.</w:t>
      </w:r>
    </w:p>
    <w:p w14:paraId="42629D80" w14:textId="77777777" w:rsidR="00501E02" w:rsidRDefault="00501E02" w:rsidP="00501E02">
      <w:pPr>
        <w:spacing w:after="120"/>
        <w:jc w:val="both"/>
        <w:rPr>
          <w:rFonts w:ascii="Arial" w:hAnsi="Arial" w:cs="Arial"/>
          <w:sz w:val="20"/>
          <w:szCs w:val="20"/>
        </w:rPr>
      </w:pPr>
      <w:r w:rsidRPr="005A72C3">
        <w:rPr>
          <w:rFonts w:ascii="Arial" w:hAnsi="Arial" w:cs="Arial"/>
          <w:sz w:val="20"/>
          <w:szCs w:val="20"/>
        </w:rPr>
        <w:t xml:space="preserve">Il Regolamento </w:t>
      </w:r>
      <w:r>
        <w:rPr>
          <w:rFonts w:ascii="Arial" w:hAnsi="Arial" w:cs="Arial"/>
          <w:sz w:val="20"/>
          <w:szCs w:val="20"/>
        </w:rPr>
        <w:t>(</w:t>
      </w:r>
      <w:r w:rsidRPr="005A72C3">
        <w:rPr>
          <w:rFonts w:ascii="Arial" w:hAnsi="Arial" w:cs="Arial"/>
          <w:sz w:val="20"/>
          <w:szCs w:val="20"/>
        </w:rPr>
        <w:t>UE</w:t>
      </w:r>
      <w:r>
        <w:rPr>
          <w:rFonts w:ascii="Arial" w:hAnsi="Arial" w:cs="Arial"/>
          <w:sz w:val="20"/>
          <w:szCs w:val="20"/>
        </w:rPr>
        <w:t>)</w:t>
      </w:r>
      <w:r w:rsidRPr="005A72C3">
        <w:rPr>
          <w:rFonts w:ascii="Arial" w:hAnsi="Arial" w:cs="Arial"/>
          <w:sz w:val="20"/>
          <w:szCs w:val="20"/>
        </w:rPr>
        <w:t xml:space="preserve"> 2019/2152 introduce l’obbligo dello scambio di microdati relativi alle cessioni (indicate come esportazioni intracomunitarie nel nuovo Regolamento) tra gli Istituti nazionali di statistica dei Paesi membri a decorrere dal mese di gennaio 2022.</w:t>
      </w:r>
    </w:p>
    <w:p w14:paraId="5C410520" w14:textId="77777777" w:rsidR="00501E02" w:rsidRPr="005A72C3" w:rsidRDefault="00501E02" w:rsidP="00501E02">
      <w:pPr>
        <w:spacing w:after="120"/>
        <w:jc w:val="both"/>
        <w:rPr>
          <w:rFonts w:ascii="Arial" w:hAnsi="Arial" w:cs="Arial"/>
          <w:sz w:val="20"/>
          <w:szCs w:val="20"/>
        </w:rPr>
      </w:pPr>
      <w:r w:rsidRPr="005A72C3">
        <w:rPr>
          <w:rFonts w:ascii="Arial" w:hAnsi="Arial" w:cs="Arial"/>
          <w:sz w:val="20"/>
          <w:szCs w:val="20"/>
        </w:rPr>
        <w:t>Il sistema di scambio dei microdati – basato sul principio che i dati non devono essere raccolti più di una volta (“once only”) – costituisce un approccio innovativo per la compilazione delle statistiche di commercio intracomunitario, progettato in ambito europeo con la finalità di ridurre l’onere statistico del sistema Intrastat e di fornire ai Paesi membri una fonte aggiuntiva e dettagliata per la compilazione delle statistiche sugli acquisti intracomunitari.</w:t>
      </w:r>
    </w:p>
    <w:p w14:paraId="098506E2" w14:textId="77777777" w:rsidR="00787C51" w:rsidRDefault="00787C51" w:rsidP="00501E02">
      <w:pPr>
        <w:spacing w:after="120"/>
        <w:jc w:val="both"/>
        <w:rPr>
          <w:rFonts w:ascii="Arial" w:hAnsi="Arial" w:cs="Arial"/>
          <w:sz w:val="20"/>
          <w:szCs w:val="20"/>
        </w:rPr>
      </w:pPr>
    </w:p>
    <w:p w14:paraId="47B172AB" w14:textId="77777777" w:rsidR="00787C51" w:rsidRDefault="00787C51" w:rsidP="00501E02">
      <w:pPr>
        <w:spacing w:after="120"/>
        <w:jc w:val="both"/>
        <w:rPr>
          <w:rFonts w:ascii="Arial" w:hAnsi="Arial" w:cs="Arial"/>
          <w:sz w:val="20"/>
          <w:szCs w:val="20"/>
        </w:rPr>
      </w:pPr>
    </w:p>
    <w:p w14:paraId="456E7D5B" w14:textId="48188EA4" w:rsidR="00501E02" w:rsidRDefault="00501E02" w:rsidP="00501E02">
      <w:pPr>
        <w:spacing w:after="120"/>
        <w:jc w:val="both"/>
        <w:rPr>
          <w:rFonts w:ascii="Arial" w:hAnsi="Arial" w:cs="Arial"/>
          <w:sz w:val="20"/>
          <w:szCs w:val="20"/>
        </w:rPr>
      </w:pPr>
      <w:r w:rsidRPr="005A72C3">
        <w:rPr>
          <w:rFonts w:ascii="Arial" w:hAnsi="Arial" w:cs="Arial"/>
          <w:sz w:val="20"/>
          <w:szCs w:val="20"/>
        </w:rPr>
        <w:t xml:space="preserve">Per attuare </w:t>
      </w:r>
      <w:r>
        <w:rPr>
          <w:rFonts w:ascii="Arial" w:hAnsi="Arial" w:cs="Arial"/>
          <w:sz w:val="20"/>
          <w:szCs w:val="20"/>
        </w:rPr>
        <w:t xml:space="preserve">questo </w:t>
      </w:r>
      <w:r w:rsidRPr="005A72C3">
        <w:rPr>
          <w:rFonts w:ascii="Arial" w:hAnsi="Arial" w:cs="Arial"/>
          <w:sz w:val="20"/>
          <w:szCs w:val="20"/>
        </w:rPr>
        <w:t xml:space="preserve">nuovo approccio e consentire a tutti gli Istituti nazionali di statistica dei Paesi Ue di utilizzare i microdati sulle cessioni </w:t>
      </w:r>
      <w:r>
        <w:rPr>
          <w:rFonts w:ascii="Arial" w:hAnsi="Arial" w:cs="Arial"/>
          <w:sz w:val="20"/>
          <w:szCs w:val="20"/>
        </w:rPr>
        <w:t>de</w:t>
      </w:r>
      <w:r w:rsidRPr="005A72C3">
        <w:rPr>
          <w:rFonts w:ascii="Arial" w:hAnsi="Arial" w:cs="Arial"/>
          <w:sz w:val="20"/>
          <w:szCs w:val="20"/>
        </w:rPr>
        <w:t>gli altri Paesi partner</w:t>
      </w:r>
      <w:r>
        <w:rPr>
          <w:rFonts w:ascii="Arial" w:hAnsi="Arial" w:cs="Arial"/>
          <w:sz w:val="20"/>
          <w:szCs w:val="20"/>
        </w:rPr>
        <w:t xml:space="preserve"> – </w:t>
      </w:r>
      <w:r w:rsidRPr="005A72C3">
        <w:rPr>
          <w:rFonts w:ascii="Arial" w:hAnsi="Arial" w:cs="Arial"/>
          <w:sz w:val="20"/>
          <w:szCs w:val="20"/>
        </w:rPr>
        <w:t>in sostituzione totale o parziale dei dati raccolti a livello nazionale</w:t>
      </w:r>
      <w:r>
        <w:rPr>
          <w:rFonts w:ascii="Arial" w:hAnsi="Arial" w:cs="Arial"/>
          <w:sz w:val="20"/>
          <w:szCs w:val="20"/>
        </w:rPr>
        <w:t xml:space="preserve"> –</w:t>
      </w:r>
      <w:r w:rsidRPr="005A72C3">
        <w:rPr>
          <w:rFonts w:ascii="Arial" w:hAnsi="Arial" w:cs="Arial"/>
          <w:sz w:val="20"/>
          <w:szCs w:val="20"/>
        </w:rPr>
        <w:t>,</w:t>
      </w:r>
      <w:r w:rsidRPr="00656343">
        <w:rPr>
          <w:rFonts w:ascii="Arial" w:hAnsi="Arial" w:cs="Arial"/>
          <w:sz w:val="20"/>
          <w:szCs w:val="20"/>
        </w:rPr>
        <w:t xml:space="preserve"> a decorrere dai dati di gennaio 2022 è stata richiesta la compilazione di una </w:t>
      </w:r>
      <w:r>
        <w:rPr>
          <w:rFonts w:ascii="Arial" w:hAnsi="Arial" w:cs="Arial"/>
          <w:sz w:val="20"/>
          <w:szCs w:val="20"/>
        </w:rPr>
        <w:t xml:space="preserve">nuova </w:t>
      </w:r>
      <w:r w:rsidRPr="00656343">
        <w:rPr>
          <w:rFonts w:ascii="Arial" w:hAnsi="Arial" w:cs="Arial"/>
          <w:sz w:val="20"/>
          <w:szCs w:val="20"/>
        </w:rPr>
        <w:t>variabile nei modelli Intrastat relativi alle cessioni</w:t>
      </w:r>
      <w:r>
        <w:rPr>
          <w:rFonts w:ascii="Arial" w:hAnsi="Arial" w:cs="Arial"/>
          <w:sz w:val="20"/>
          <w:szCs w:val="20"/>
        </w:rPr>
        <w:t xml:space="preserve"> (</w:t>
      </w:r>
      <w:r w:rsidRPr="00656343">
        <w:rPr>
          <w:rFonts w:ascii="Arial" w:hAnsi="Arial" w:cs="Arial"/>
          <w:sz w:val="20"/>
          <w:szCs w:val="20"/>
        </w:rPr>
        <w:t>la variabile “Paese di origine” delle merci, definito come il paese in</w:t>
      </w:r>
      <w:r w:rsidR="00787C51">
        <w:rPr>
          <w:rFonts w:ascii="Arial" w:hAnsi="Arial" w:cs="Arial"/>
          <w:sz w:val="20"/>
          <w:szCs w:val="20"/>
        </w:rPr>
        <w:t xml:space="preserve"> cui il bene è stato sottoposto </w:t>
      </w:r>
      <w:r w:rsidRPr="00656343">
        <w:rPr>
          <w:rFonts w:ascii="Arial" w:hAnsi="Arial" w:cs="Arial"/>
          <w:sz w:val="20"/>
          <w:szCs w:val="20"/>
        </w:rPr>
        <w:t>all’ultima trasformazione o lavorazione sostanziale</w:t>
      </w:r>
      <w:r>
        <w:rPr>
          <w:rFonts w:ascii="Arial" w:hAnsi="Arial" w:cs="Arial"/>
          <w:sz w:val="20"/>
          <w:szCs w:val="20"/>
        </w:rPr>
        <w:t xml:space="preserve"> - </w:t>
      </w:r>
      <w:r w:rsidRPr="00656343">
        <w:rPr>
          <w:rFonts w:ascii="Arial" w:hAnsi="Arial" w:cs="Arial"/>
          <w:sz w:val="20"/>
          <w:szCs w:val="20"/>
        </w:rPr>
        <w:t xml:space="preserve">Regolamento </w:t>
      </w:r>
      <w:r>
        <w:rPr>
          <w:rFonts w:ascii="Arial" w:hAnsi="Arial" w:cs="Arial"/>
          <w:sz w:val="20"/>
          <w:szCs w:val="20"/>
        </w:rPr>
        <w:t>(</w:t>
      </w:r>
      <w:r w:rsidRPr="00656343">
        <w:rPr>
          <w:rFonts w:ascii="Arial" w:hAnsi="Arial" w:cs="Arial"/>
          <w:sz w:val="20"/>
          <w:szCs w:val="20"/>
        </w:rPr>
        <w:t>UE</w:t>
      </w:r>
      <w:r>
        <w:rPr>
          <w:rFonts w:ascii="Arial" w:hAnsi="Arial" w:cs="Arial"/>
          <w:sz w:val="20"/>
          <w:szCs w:val="20"/>
        </w:rPr>
        <w:t>)</w:t>
      </w:r>
      <w:r w:rsidRPr="00656343">
        <w:rPr>
          <w:rFonts w:ascii="Arial" w:hAnsi="Arial" w:cs="Arial"/>
          <w:sz w:val="20"/>
          <w:szCs w:val="20"/>
        </w:rPr>
        <w:t xml:space="preserve"> 2020/1197, sez. 12 par. 3). È stata inoltre adottata una codifica</w:t>
      </w:r>
      <w:r>
        <w:rPr>
          <w:rFonts w:ascii="Arial" w:hAnsi="Arial" w:cs="Arial"/>
          <w:sz w:val="20"/>
          <w:szCs w:val="20"/>
        </w:rPr>
        <w:t xml:space="preserve"> più dettagliata</w:t>
      </w:r>
      <w:r w:rsidRPr="00656343">
        <w:rPr>
          <w:rFonts w:ascii="Arial" w:hAnsi="Arial" w:cs="Arial"/>
          <w:sz w:val="20"/>
          <w:szCs w:val="20"/>
        </w:rPr>
        <w:t xml:space="preserve"> per la variabile “Natura della transazione”. </w:t>
      </w:r>
    </w:p>
    <w:p w14:paraId="3ACBF901" w14:textId="679D5A32" w:rsidR="00501E02" w:rsidRDefault="00501E02" w:rsidP="00501E02">
      <w:pPr>
        <w:spacing w:after="120"/>
        <w:jc w:val="both"/>
        <w:rPr>
          <w:rFonts w:ascii="Arial" w:hAnsi="Arial" w:cs="Arial"/>
          <w:sz w:val="20"/>
          <w:szCs w:val="20"/>
        </w:rPr>
      </w:pPr>
      <w:r>
        <w:rPr>
          <w:rFonts w:ascii="Arial" w:hAnsi="Arial" w:cs="Arial"/>
          <w:sz w:val="20"/>
          <w:szCs w:val="20"/>
        </w:rPr>
        <w:t xml:space="preserve">Allo stesso tempo sono state introdotte numerose semplificazioni, tra queste l’innalzamento della soglia statistica che determina </w:t>
      </w:r>
      <w:r w:rsidRPr="00656343">
        <w:rPr>
          <w:rFonts w:ascii="Arial" w:hAnsi="Arial" w:cs="Arial"/>
          <w:sz w:val="20"/>
          <w:szCs w:val="20"/>
        </w:rPr>
        <w:t xml:space="preserve">l’obbligatorietà di compilazione mensile dei modelli Intrastat relativi agli acquisti (da 200.000 a 350.000 euro). </w:t>
      </w:r>
    </w:p>
    <w:p w14:paraId="3E1C7940" w14:textId="77777777" w:rsidR="00501E02" w:rsidRDefault="006A2C28" w:rsidP="006A2C28">
      <w:pPr>
        <w:spacing w:after="120"/>
        <w:jc w:val="both"/>
        <w:rPr>
          <w:rFonts w:ascii="Arial" w:hAnsi="Arial" w:cs="Arial"/>
          <w:sz w:val="20"/>
          <w:szCs w:val="20"/>
        </w:rPr>
      </w:pPr>
      <w:r>
        <w:rPr>
          <w:rFonts w:ascii="Arial" w:hAnsi="Arial" w:cs="Arial"/>
          <w:sz w:val="20"/>
          <w:szCs w:val="20"/>
        </w:rPr>
        <w:t>Infine</w:t>
      </w:r>
      <w:r w:rsidR="00220D58">
        <w:rPr>
          <w:rFonts w:ascii="Arial" w:hAnsi="Arial" w:cs="Arial"/>
          <w:sz w:val="20"/>
          <w:szCs w:val="20"/>
        </w:rPr>
        <w:t>, ai soli fini fiscali,</w:t>
      </w:r>
      <w:r>
        <w:rPr>
          <w:rFonts w:ascii="Arial" w:hAnsi="Arial" w:cs="Arial"/>
          <w:sz w:val="20"/>
          <w:szCs w:val="20"/>
        </w:rPr>
        <w:t xml:space="preserve"> nei</w:t>
      </w:r>
      <w:r w:rsidRPr="00483363">
        <w:rPr>
          <w:rFonts w:ascii="Arial" w:hAnsi="Arial" w:cs="Arial"/>
          <w:sz w:val="20"/>
          <w:szCs w:val="20"/>
        </w:rPr>
        <w:t xml:space="preserve"> modelli Intrastat</w:t>
      </w:r>
      <w:r>
        <w:rPr>
          <w:rFonts w:ascii="Arial" w:hAnsi="Arial" w:cs="Arial"/>
          <w:sz w:val="20"/>
          <w:szCs w:val="20"/>
        </w:rPr>
        <w:t xml:space="preserve"> per </w:t>
      </w:r>
      <w:r w:rsidRPr="00483363">
        <w:rPr>
          <w:rFonts w:ascii="Arial" w:hAnsi="Arial" w:cs="Arial"/>
          <w:sz w:val="20"/>
          <w:szCs w:val="20"/>
        </w:rPr>
        <w:t xml:space="preserve">le </w:t>
      </w:r>
      <w:r>
        <w:rPr>
          <w:rFonts w:ascii="Arial" w:hAnsi="Arial" w:cs="Arial"/>
          <w:sz w:val="20"/>
          <w:szCs w:val="20"/>
        </w:rPr>
        <w:t>cessioni è stata inserita</w:t>
      </w:r>
      <w:r w:rsidRPr="00483363">
        <w:rPr>
          <w:rFonts w:ascii="Arial" w:hAnsi="Arial" w:cs="Arial"/>
          <w:sz w:val="20"/>
          <w:szCs w:val="20"/>
        </w:rPr>
        <w:t xml:space="preserve"> una nuova sezione </w:t>
      </w:r>
      <w:r>
        <w:rPr>
          <w:rFonts w:ascii="Arial" w:hAnsi="Arial" w:cs="Arial"/>
          <w:sz w:val="20"/>
          <w:szCs w:val="20"/>
        </w:rPr>
        <w:t>relativa alle cessioni in regime cosiddetto di “call-off stock” (</w:t>
      </w:r>
      <w:r w:rsidRPr="00217CBB">
        <w:rPr>
          <w:rFonts w:ascii="Arial" w:hAnsi="Arial" w:cs="Arial"/>
          <w:sz w:val="20"/>
          <w:szCs w:val="20"/>
        </w:rPr>
        <w:t>Decreto legislativo 5 novembre 2021, n. 192</w:t>
      </w:r>
      <w:r>
        <w:rPr>
          <w:rFonts w:ascii="Arial" w:hAnsi="Arial" w:cs="Arial"/>
          <w:sz w:val="20"/>
          <w:szCs w:val="20"/>
        </w:rPr>
        <w:t>).</w:t>
      </w:r>
    </w:p>
    <w:p w14:paraId="65645694" w14:textId="77777777" w:rsidR="006A2C28" w:rsidRPr="006A2C28" w:rsidRDefault="006A2C28" w:rsidP="00AF650F">
      <w:pPr>
        <w:jc w:val="both"/>
        <w:rPr>
          <w:rFonts w:ascii="Arial" w:hAnsi="Arial" w:cs="Arial"/>
          <w:sz w:val="20"/>
          <w:szCs w:val="20"/>
        </w:rPr>
      </w:pPr>
    </w:p>
    <w:p w14:paraId="555A4CCC" w14:textId="77777777" w:rsidR="001C0874" w:rsidRDefault="001C0874" w:rsidP="00F21E70">
      <w:pPr>
        <w:pStyle w:val="Titolo8"/>
        <w:spacing w:before="0" w:after="120"/>
        <w:rPr>
          <w:rFonts w:ascii="Arial" w:hAnsi="Arial" w:cs="Arial"/>
          <w:b/>
          <w:i w:val="0"/>
          <w:color w:val="E42618"/>
          <w:sz w:val="22"/>
          <w:szCs w:val="20"/>
        </w:rPr>
      </w:pPr>
    </w:p>
    <w:p w14:paraId="26E14138" w14:textId="77777777" w:rsidR="00063CE3" w:rsidRPr="00C9631A" w:rsidRDefault="00063CE3" w:rsidP="00063CE3">
      <w:pPr>
        <w:pStyle w:val="Titolo8"/>
        <w:spacing w:before="0" w:after="120"/>
        <w:rPr>
          <w:rFonts w:ascii="Arial" w:hAnsi="Arial" w:cs="Arial"/>
          <w:b/>
          <w:i w:val="0"/>
          <w:color w:val="E42618"/>
          <w:sz w:val="22"/>
          <w:szCs w:val="20"/>
        </w:rPr>
      </w:pPr>
      <w:r w:rsidRPr="00C9631A">
        <w:rPr>
          <w:rFonts w:ascii="Arial" w:hAnsi="Arial" w:cs="Arial"/>
          <w:b/>
          <w:i w:val="0"/>
          <w:color w:val="E42618"/>
          <w:sz w:val="22"/>
          <w:szCs w:val="20"/>
        </w:rPr>
        <w:t>Prezzi all’importazione</w:t>
      </w:r>
    </w:p>
    <w:p w14:paraId="2A8FB652" w14:textId="77777777" w:rsidR="00063CE3" w:rsidRDefault="00063CE3" w:rsidP="00063CE3">
      <w:pPr>
        <w:spacing w:after="100"/>
        <w:jc w:val="both"/>
        <w:rPr>
          <w:rFonts w:ascii="Arial" w:hAnsi="Arial" w:cs="Arial"/>
          <w:b/>
          <w:bCs/>
          <w:sz w:val="20"/>
          <w:szCs w:val="20"/>
        </w:rPr>
      </w:pPr>
      <w:r w:rsidRPr="00BE3D84">
        <w:rPr>
          <w:rFonts w:ascii="Arial" w:hAnsi="Arial" w:cs="Arial"/>
          <w:b/>
          <w:bCs/>
          <w:sz w:val="20"/>
          <w:szCs w:val="20"/>
        </w:rPr>
        <w:t>Obiettivi conoscitivi e quadro normativo di riferimento</w:t>
      </w:r>
    </w:p>
    <w:p w14:paraId="66522B5F" w14:textId="77777777" w:rsidR="00063CE3" w:rsidRDefault="00063CE3" w:rsidP="00063CE3">
      <w:pPr>
        <w:spacing w:after="100"/>
        <w:jc w:val="both"/>
        <w:rPr>
          <w:rFonts w:ascii="Arial" w:hAnsi="Arial" w:cs="Arial"/>
          <w:bCs/>
          <w:sz w:val="20"/>
          <w:szCs w:val="20"/>
        </w:rPr>
      </w:pPr>
      <w:r w:rsidRPr="0038751B">
        <w:rPr>
          <w:rFonts w:ascii="Arial" w:hAnsi="Arial" w:cs="Arial"/>
          <w:bCs/>
          <w:sz w:val="20"/>
          <w:szCs w:val="20"/>
        </w:rPr>
        <w:t>Gli indici dei prezzi all’importazione misurano la variazione nel tempo dei prezzi di un paniere rappresentativo dei principali prodotti importati, dall’area euro e dall’area non euro, da imprese dell’industria e dei servizi.</w:t>
      </w:r>
    </w:p>
    <w:p w14:paraId="7956D591" w14:textId="77777777" w:rsidR="00063CE3" w:rsidRPr="009D47F4" w:rsidRDefault="00063CE3" w:rsidP="00063CE3">
      <w:pPr>
        <w:spacing w:after="100"/>
        <w:jc w:val="both"/>
        <w:rPr>
          <w:rFonts w:ascii="Arial" w:hAnsi="Arial" w:cs="Arial"/>
          <w:bCs/>
          <w:sz w:val="20"/>
          <w:szCs w:val="20"/>
        </w:rPr>
      </w:pPr>
      <w:r w:rsidRPr="009D47F4">
        <w:rPr>
          <w:rFonts w:ascii="Arial" w:hAnsi="Arial" w:cs="Arial"/>
          <w:bCs/>
          <w:sz w:val="20"/>
          <w:szCs w:val="20"/>
        </w:rPr>
        <w:t>Dal 1° gennaio 2021 ha effetto il Regolamento (UE) 2019/2152 del Parlamento europeo e del Consiglio del 27 novembre 2019 (con successivo Regolamento di esecuzione (UE) 2020/1197 della Commissione europea del 30 luglio 2020) che stabilisce il livello di dettaglio, la metodologia e la cadenza con cui gli indicatori congiunturali devono essere prodotti e trasmessi a Eurostat.</w:t>
      </w:r>
    </w:p>
    <w:p w14:paraId="134C17C3" w14:textId="77777777" w:rsidR="00063CE3" w:rsidRDefault="00063CE3" w:rsidP="00063CE3">
      <w:pPr>
        <w:spacing w:after="100"/>
        <w:jc w:val="both"/>
        <w:rPr>
          <w:rFonts w:ascii="Arial" w:hAnsi="Arial" w:cs="Arial"/>
          <w:sz w:val="20"/>
          <w:szCs w:val="20"/>
        </w:rPr>
      </w:pPr>
      <w:r w:rsidRPr="00BE3D84">
        <w:rPr>
          <w:rFonts w:ascii="Arial" w:hAnsi="Arial" w:cs="Arial"/>
          <w:bCs/>
          <w:sz w:val="20"/>
          <w:szCs w:val="20"/>
        </w:rPr>
        <w:t>La rilevazione dei prezzi all’importazione è prevista dal Programma Statistico Nazionale in vigore, consultabile sul sito internet dell'Istat all'indirizzo</w:t>
      </w:r>
      <w:r w:rsidRPr="00380EB6">
        <w:rPr>
          <w:rFonts w:ascii="Arial" w:hAnsi="Arial" w:cs="Arial"/>
        </w:rPr>
        <w:t xml:space="preserve"> </w:t>
      </w:r>
      <w:hyperlink r:id="rId46" w:history="1">
        <w:r w:rsidRPr="00BE3D84">
          <w:rPr>
            <w:rStyle w:val="Collegamentoipertestuale"/>
            <w:rFonts w:ascii="Arial" w:hAnsi="Arial" w:cs="Arial"/>
            <w:sz w:val="20"/>
            <w:szCs w:val="20"/>
          </w:rPr>
          <w:t>https://www.istat.it/it/istituto-nazionale-di-statistica/organizzazione/normativa</w:t>
        </w:r>
      </w:hyperlink>
      <w:r w:rsidRPr="00BE3D84">
        <w:rPr>
          <w:rFonts w:ascii="Arial" w:hAnsi="Arial" w:cs="Arial"/>
          <w:sz w:val="20"/>
          <w:szCs w:val="20"/>
        </w:rPr>
        <w:t>.</w:t>
      </w:r>
    </w:p>
    <w:p w14:paraId="184CE49A" w14:textId="77777777" w:rsidR="005E6F61" w:rsidRDefault="005E6F61" w:rsidP="005E6F61">
      <w:pPr>
        <w:spacing w:after="120"/>
        <w:jc w:val="both"/>
        <w:rPr>
          <w:rFonts w:ascii="Arial" w:hAnsi="Arial" w:cs="Arial"/>
          <w:b/>
          <w:bCs/>
          <w:sz w:val="20"/>
          <w:szCs w:val="20"/>
        </w:rPr>
      </w:pPr>
    </w:p>
    <w:p w14:paraId="325BC925" w14:textId="77777777" w:rsidR="00063CE3" w:rsidRPr="00C9631A" w:rsidRDefault="00063CE3" w:rsidP="00063CE3">
      <w:pPr>
        <w:spacing w:after="120"/>
        <w:jc w:val="both"/>
        <w:rPr>
          <w:rFonts w:ascii="Arial" w:hAnsi="Arial" w:cs="Arial"/>
          <w:b/>
          <w:bCs/>
          <w:sz w:val="20"/>
          <w:szCs w:val="20"/>
        </w:rPr>
      </w:pPr>
      <w:r>
        <w:rPr>
          <w:rFonts w:ascii="Arial" w:hAnsi="Arial" w:cs="Arial"/>
          <w:b/>
          <w:bCs/>
          <w:sz w:val="20"/>
          <w:szCs w:val="20"/>
        </w:rPr>
        <w:t>Fonte dei dati, c</w:t>
      </w:r>
      <w:r w:rsidRPr="00C9631A">
        <w:rPr>
          <w:rFonts w:ascii="Arial" w:hAnsi="Arial" w:cs="Arial"/>
          <w:b/>
          <w:bCs/>
          <w:sz w:val="20"/>
          <w:szCs w:val="20"/>
        </w:rPr>
        <w:t>ampo di osservazione, unità di analisi e di rilevazione</w:t>
      </w:r>
    </w:p>
    <w:p w14:paraId="0640663D" w14:textId="77777777" w:rsidR="00063CE3" w:rsidRPr="00BE3D84" w:rsidRDefault="00063CE3" w:rsidP="00063CE3">
      <w:pPr>
        <w:spacing w:after="120"/>
        <w:jc w:val="both"/>
        <w:rPr>
          <w:rFonts w:ascii="Arial" w:hAnsi="Arial" w:cs="Arial"/>
          <w:sz w:val="20"/>
          <w:szCs w:val="20"/>
        </w:rPr>
      </w:pPr>
      <w:r w:rsidRPr="00A54830">
        <w:rPr>
          <w:rFonts w:ascii="Arial" w:hAnsi="Arial" w:cs="Arial"/>
          <w:sz w:val="20"/>
          <w:szCs w:val="20"/>
        </w:rPr>
        <w:t>Il sistema degli indici dei prezzi all’importazione è elaborato a partire dai dati raccolti mediante una rilevazione statistica campionaria, con periodicità mensile.</w:t>
      </w:r>
    </w:p>
    <w:p w14:paraId="6F9EE4CF" w14:textId="77777777" w:rsidR="00063CE3" w:rsidRPr="00C9631A" w:rsidRDefault="00063CE3" w:rsidP="00063CE3">
      <w:pPr>
        <w:spacing w:after="100"/>
        <w:jc w:val="both"/>
        <w:rPr>
          <w:rFonts w:ascii="Arial" w:hAnsi="Arial" w:cs="Arial"/>
          <w:bCs/>
          <w:sz w:val="20"/>
          <w:szCs w:val="20"/>
        </w:rPr>
      </w:pPr>
      <w:r w:rsidRPr="00C9631A">
        <w:rPr>
          <w:rFonts w:ascii="Arial" w:hAnsi="Arial" w:cs="Arial"/>
          <w:bCs/>
          <w:sz w:val="20"/>
          <w:szCs w:val="20"/>
        </w:rPr>
        <w:t xml:space="preserve">Dal punto di vista dimensionale, l’indagine è basata su un campione </w:t>
      </w:r>
      <w:r>
        <w:rPr>
          <w:rFonts w:ascii="Arial" w:hAnsi="Arial" w:cs="Arial"/>
          <w:bCs/>
          <w:sz w:val="20"/>
          <w:szCs w:val="20"/>
        </w:rPr>
        <w:t>di</w:t>
      </w:r>
      <w:r w:rsidRPr="00C9631A">
        <w:rPr>
          <w:rFonts w:ascii="Arial" w:hAnsi="Arial" w:cs="Arial"/>
          <w:bCs/>
          <w:sz w:val="20"/>
          <w:szCs w:val="20"/>
        </w:rPr>
        <w:t xml:space="preserve"> </w:t>
      </w:r>
      <w:r>
        <w:rPr>
          <w:rFonts w:ascii="Arial" w:hAnsi="Arial" w:cs="Arial"/>
          <w:bCs/>
          <w:sz w:val="20"/>
          <w:szCs w:val="20"/>
        </w:rPr>
        <w:t>1.279</w:t>
      </w:r>
      <w:r w:rsidRPr="00C9631A">
        <w:rPr>
          <w:rFonts w:ascii="Arial" w:hAnsi="Arial" w:cs="Arial"/>
          <w:bCs/>
          <w:sz w:val="20"/>
          <w:szCs w:val="20"/>
        </w:rPr>
        <w:t xml:space="preserve"> prodotti rilevati presso una lista di </w:t>
      </w:r>
      <w:r>
        <w:rPr>
          <w:rFonts w:ascii="Arial" w:hAnsi="Arial" w:cs="Arial"/>
          <w:bCs/>
          <w:sz w:val="20"/>
          <w:szCs w:val="20"/>
        </w:rPr>
        <w:t>4.086</w:t>
      </w:r>
      <w:r w:rsidRPr="00C9631A">
        <w:rPr>
          <w:rFonts w:ascii="Arial" w:hAnsi="Arial" w:cs="Arial"/>
          <w:bCs/>
          <w:sz w:val="20"/>
          <w:szCs w:val="20"/>
        </w:rPr>
        <w:t xml:space="preserve"> imprese che forniscono mensilmente </w:t>
      </w:r>
      <w:r>
        <w:rPr>
          <w:rFonts w:ascii="Arial" w:hAnsi="Arial" w:cs="Arial"/>
          <w:bCs/>
          <w:sz w:val="20"/>
          <w:szCs w:val="20"/>
        </w:rPr>
        <w:t>11.027</w:t>
      </w:r>
      <w:r w:rsidRPr="00C9631A">
        <w:rPr>
          <w:rFonts w:ascii="Arial" w:hAnsi="Arial" w:cs="Arial"/>
          <w:bCs/>
          <w:sz w:val="20"/>
          <w:szCs w:val="20"/>
        </w:rPr>
        <w:t xml:space="preserve"> quotazioni di prezzo.</w:t>
      </w:r>
    </w:p>
    <w:p w14:paraId="3DBCD14F"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Il campo di osservazione della rilevazione riguarda:</w:t>
      </w:r>
    </w:p>
    <w:p w14:paraId="0FB6A423" w14:textId="77777777" w:rsidR="00063CE3" w:rsidRPr="00C9631A" w:rsidRDefault="00063CE3" w:rsidP="00063CE3">
      <w:pPr>
        <w:numPr>
          <w:ilvl w:val="0"/>
          <w:numId w:val="31"/>
        </w:numPr>
        <w:spacing w:after="120"/>
        <w:ind w:left="426"/>
        <w:jc w:val="both"/>
        <w:rPr>
          <w:rFonts w:ascii="Arial" w:hAnsi="Arial" w:cs="Arial"/>
          <w:sz w:val="20"/>
          <w:szCs w:val="20"/>
        </w:rPr>
      </w:pPr>
      <w:r w:rsidRPr="00C9631A">
        <w:rPr>
          <w:rFonts w:ascii="Arial" w:hAnsi="Arial" w:cs="Arial"/>
          <w:sz w:val="20"/>
          <w:szCs w:val="20"/>
        </w:rPr>
        <w:t>prodotti inclusi nelle sezioni da B a D della classificazione CPA;</w:t>
      </w:r>
    </w:p>
    <w:p w14:paraId="6CC37D6C" w14:textId="77777777" w:rsidR="00063CE3" w:rsidRPr="00C9631A" w:rsidRDefault="00063CE3" w:rsidP="00063CE3">
      <w:pPr>
        <w:numPr>
          <w:ilvl w:val="0"/>
          <w:numId w:val="31"/>
        </w:numPr>
        <w:spacing w:after="120"/>
        <w:ind w:left="426"/>
        <w:jc w:val="both"/>
        <w:rPr>
          <w:rFonts w:ascii="Arial" w:hAnsi="Arial" w:cs="Arial"/>
          <w:sz w:val="20"/>
          <w:szCs w:val="20"/>
        </w:rPr>
      </w:pPr>
      <w:r w:rsidRPr="00C9631A">
        <w:rPr>
          <w:rFonts w:ascii="Arial" w:hAnsi="Arial" w:cs="Arial"/>
          <w:sz w:val="20"/>
          <w:szCs w:val="20"/>
        </w:rPr>
        <w:t>imprese con attività economica prevalente nelle sezioni B, C, D, E, G della classificazione Ateco 2007.</w:t>
      </w:r>
    </w:p>
    <w:p w14:paraId="22AF869B"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 xml:space="preserve">L’unità di analisi è il prodotto, ovvero la </w:t>
      </w:r>
      <w:r w:rsidRPr="00E660CB">
        <w:rPr>
          <w:rFonts w:ascii="Arial" w:hAnsi="Arial" w:cs="Arial"/>
          <w:sz w:val="20"/>
          <w:szCs w:val="20"/>
        </w:rPr>
        <w:t>tipologia di prodotto</w:t>
      </w:r>
      <w:r w:rsidRPr="00C9631A">
        <w:rPr>
          <w:rFonts w:ascii="Arial" w:hAnsi="Arial" w:cs="Arial"/>
          <w:sz w:val="20"/>
          <w:szCs w:val="20"/>
        </w:rPr>
        <w:t xml:space="preserve"> (materia prima, semilavorato e prodotto finito) acquistata sul mercato estero e destinata al reimpiego nel processo di produzione (nel caso di un’impresa industriale) oppure alla vendita sul territorio nazionale o estero (nel caso di un’impresa commerciale).</w:t>
      </w:r>
    </w:p>
    <w:p w14:paraId="42CBB137"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L’unità di rilevazione – impresa – deve essere localizzata sul territorio nazionale; nel caso di impresa industriale, la localizzazione è riferita agli stabilimenti di produzione: l’impresa acquista sul mercato estero materie prime, semilavorati e prodotti finiti che reimpiega nel proprio processo di produzione. Se l’impresa è commerciale, acquista sul mercato estero materie prime, semilavorati e prodotti finiti al fine di rivenderli sul mercato nazionale o estero.</w:t>
      </w:r>
    </w:p>
    <w:p w14:paraId="1B5A5AB5" w14:textId="77777777" w:rsidR="00063CE3" w:rsidRPr="000D4A0C" w:rsidRDefault="00063CE3" w:rsidP="00063CE3">
      <w:pPr>
        <w:spacing w:after="120"/>
        <w:jc w:val="both"/>
        <w:rPr>
          <w:rFonts w:ascii="Arial" w:hAnsi="Arial" w:cs="Arial"/>
          <w:sz w:val="20"/>
          <w:szCs w:val="20"/>
        </w:rPr>
      </w:pPr>
      <w:r w:rsidRPr="000D4A0C">
        <w:rPr>
          <w:rFonts w:ascii="Arial" w:hAnsi="Arial" w:cs="Arial"/>
          <w:sz w:val="20"/>
          <w:szCs w:val="20"/>
        </w:rPr>
        <w:t>Il regime del commercio considerato è quello del regime del commercio speciale, sono pertanto incluse le importazioni normali nonché le importazioni in regime di perfezionamento attivo e dopo perfezionamento passivo, quando l’unità rispondente acquisisce la proprietà dei beni; sono escluse dal campo di osservazione:</w:t>
      </w:r>
    </w:p>
    <w:p w14:paraId="74568F6B" w14:textId="77777777" w:rsidR="00063CE3" w:rsidRDefault="00063CE3" w:rsidP="00063CE3">
      <w:pPr>
        <w:numPr>
          <w:ilvl w:val="0"/>
          <w:numId w:val="39"/>
        </w:numPr>
        <w:spacing w:after="120"/>
        <w:ind w:left="425" w:hanging="425"/>
        <w:jc w:val="both"/>
        <w:rPr>
          <w:rFonts w:ascii="Arial" w:hAnsi="Arial" w:cs="Arial"/>
          <w:sz w:val="20"/>
          <w:szCs w:val="20"/>
        </w:rPr>
      </w:pPr>
      <w:r w:rsidRPr="000D4A0C">
        <w:rPr>
          <w:rFonts w:ascii="Arial" w:hAnsi="Arial" w:cs="Arial"/>
          <w:sz w:val="20"/>
          <w:szCs w:val="20"/>
        </w:rPr>
        <w:t>le importazioni delle famiglie, delle amministrazioni pubbliche e delle istituzioni senza scopo di lucro;</w:t>
      </w:r>
    </w:p>
    <w:p w14:paraId="37C8E885" w14:textId="77777777" w:rsidR="00063CE3" w:rsidRDefault="00063CE3" w:rsidP="00063CE3">
      <w:pPr>
        <w:numPr>
          <w:ilvl w:val="0"/>
          <w:numId w:val="39"/>
        </w:numPr>
        <w:spacing w:after="120"/>
        <w:ind w:left="425" w:hanging="425"/>
        <w:jc w:val="both"/>
        <w:rPr>
          <w:rFonts w:ascii="Arial" w:hAnsi="Arial" w:cs="Arial"/>
          <w:sz w:val="20"/>
          <w:szCs w:val="20"/>
        </w:rPr>
      </w:pPr>
      <w:r w:rsidRPr="002A34BD">
        <w:rPr>
          <w:rFonts w:ascii="Arial" w:hAnsi="Arial" w:cs="Arial"/>
          <w:sz w:val="20"/>
          <w:szCs w:val="20"/>
        </w:rPr>
        <w:t>l’importazione a fini di riparazione;</w:t>
      </w:r>
    </w:p>
    <w:p w14:paraId="318CF87B" w14:textId="77777777" w:rsidR="00063CE3" w:rsidRPr="002A34BD" w:rsidRDefault="00063CE3" w:rsidP="00063CE3">
      <w:pPr>
        <w:numPr>
          <w:ilvl w:val="0"/>
          <w:numId w:val="39"/>
        </w:numPr>
        <w:spacing w:after="120"/>
        <w:ind w:left="425" w:hanging="425"/>
        <w:jc w:val="both"/>
        <w:rPr>
          <w:rFonts w:ascii="Arial" w:hAnsi="Arial" w:cs="Arial"/>
          <w:sz w:val="20"/>
          <w:szCs w:val="20"/>
        </w:rPr>
      </w:pPr>
      <w:r w:rsidRPr="002A34BD">
        <w:rPr>
          <w:rFonts w:ascii="Arial" w:hAnsi="Arial" w:cs="Arial"/>
          <w:sz w:val="20"/>
          <w:szCs w:val="20"/>
        </w:rPr>
        <w:t>tutti i servizi correlati ai prodotti.</w:t>
      </w:r>
    </w:p>
    <w:p w14:paraId="3AB49AD0" w14:textId="258A42D7" w:rsidR="005E6F61" w:rsidRDefault="005E6F61" w:rsidP="005E6F61">
      <w:pPr>
        <w:spacing w:after="120"/>
        <w:ind w:left="426"/>
        <w:jc w:val="both"/>
        <w:rPr>
          <w:rFonts w:ascii="Arial" w:hAnsi="Arial" w:cs="Arial"/>
          <w:sz w:val="20"/>
          <w:szCs w:val="20"/>
        </w:rPr>
      </w:pPr>
    </w:p>
    <w:p w14:paraId="4432FCF5" w14:textId="1D024B10" w:rsidR="00063CE3" w:rsidRDefault="00063CE3" w:rsidP="005E6F61">
      <w:pPr>
        <w:spacing w:after="120"/>
        <w:ind w:left="426"/>
        <w:jc w:val="both"/>
        <w:rPr>
          <w:rFonts w:ascii="Arial" w:hAnsi="Arial" w:cs="Arial"/>
          <w:sz w:val="20"/>
          <w:szCs w:val="20"/>
        </w:rPr>
      </w:pPr>
    </w:p>
    <w:p w14:paraId="7C0670C9" w14:textId="48E00A1D" w:rsidR="00063CE3" w:rsidRDefault="00063CE3" w:rsidP="005E6F61">
      <w:pPr>
        <w:spacing w:after="120"/>
        <w:ind w:left="426"/>
        <w:jc w:val="both"/>
        <w:rPr>
          <w:rFonts w:ascii="Arial" w:hAnsi="Arial" w:cs="Arial"/>
          <w:sz w:val="20"/>
          <w:szCs w:val="20"/>
        </w:rPr>
      </w:pPr>
    </w:p>
    <w:p w14:paraId="55F0CC5B" w14:textId="77777777" w:rsidR="00063CE3" w:rsidRDefault="00063CE3" w:rsidP="005E6F61">
      <w:pPr>
        <w:spacing w:after="120"/>
        <w:ind w:left="426"/>
        <w:jc w:val="both"/>
        <w:rPr>
          <w:rFonts w:ascii="Arial" w:hAnsi="Arial" w:cs="Arial"/>
          <w:sz w:val="20"/>
          <w:szCs w:val="20"/>
        </w:rPr>
      </w:pPr>
    </w:p>
    <w:p w14:paraId="3B71EB90" w14:textId="77777777" w:rsidR="00063CE3" w:rsidRPr="00C9631A" w:rsidRDefault="00063CE3" w:rsidP="00063CE3">
      <w:pPr>
        <w:spacing w:after="120"/>
        <w:jc w:val="both"/>
        <w:rPr>
          <w:rFonts w:ascii="Arial" w:hAnsi="Arial" w:cs="Arial"/>
          <w:b/>
          <w:sz w:val="20"/>
          <w:szCs w:val="20"/>
        </w:rPr>
      </w:pPr>
      <w:r w:rsidRPr="00C9631A">
        <w:rPr>
          <w:rFonts w:ascii="Arial" w:hAnsi="Arial" w:cs="Arial"/>
          <w:b/>
          <w:sz w:val="20"/>
          <w:szCs w:val="20"/>
        </w:rPr>
        <w:t>Disegno di campionamento</w:t>
      </w:r>
    </w:p>
    <w:p w14:paraId="1C66D399"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La rilevazione mensile dei prezzi dei prodotti importati dall</w:t>
      </w:r>
      <w:r>
        <w:rPr>
          <w:rFonts w:ascii="Arial" w:hAnsi="Arial" w:cs="Arial"/>
          <w:sz w:val="20"/>
          <w:szCs w:val="20"/>
        </w:rPr>
        <w:t xml:space="preserve">e </w:t>
      </w:r>
      <w:r w:rsidRPr="00C9631A">
        <w:rPr>
          <w:rFonts w:ascii="Arial" w:hAnsi="Arial" w:cs="Arial"/>
          <w:sz w:val="20"/>
          <w:szCs w:val="20"/>
        </w:rPr>
        <w:t>impres</w:t>
      </w:r>
      <w:r>
        <w:rPr>
          <w:rFonts w:ascii="Arial" w:hAnsi="Arial" w:cs="Arial"/>
          <w:sz w:val="20"/>
          <w:szCs w:val="20"/>
        </w:rPr>
        <w:t xml:space="preserve">e </w:t>
      </w:r>
      <w:r w:rsidRPr="00C9631A">
        <w:rPr>
          <w:rFonts w:ascii="Arial" w:hAnsi="Arial" w:cs="Arial"/>
          <w:sz w:val="20"/>
          <w:szCs w:val="20"/>
        </w:rPr>
        <w:t xml:space="preserve">si effettua </w:t>
      </w:r>
      <w:r>
        <w:rPr>
          <w:rFonts w:ascii="Arial" w:hAnsi="Arial" w:cs="Arial"/>
          <w:sz w:val="20"/>
          <w:szCs w:val="20"/>
        </w:rPr>
        <w:t xml:space="preserve">– con riferimento alle due aree, euro e non euro – </w:t>
      </w:r>
      <w:r w:rsidRPr="00C9631A">
        <w:rPr>
          <w:rFonts w:ascii="Arial" w:hAnsi="Arial" w:cs="Arial"/>
          <w:sz w:val="20"/>
          <w:szCs w:val="20"/>
        </w:rPr>
        <w:t xml:space="preserve">sulla base di un disegno di campionamento nel quale si definiscono, relativamente </w:t>
      </w:r>
      <w:r>
        <w:rPr>
          <w:rFonts w:ascii="Arial" w:hAnsi="Arial" w:cs="Arial"/>
          <w:sz w:val="20"/>
          <w:szCs w:val="20"/>
        </w:rPr>
        <w:t>alla base di calcolo</w:t>
      </w:r>
      <w:r w:rsidRPr="00C9631A">
        <w:rPr>
          <w:rFonts w:ascii="Arial" w:hAnsi="Arial" w:cs="Arial"/>
          <w:sz w:val="20"/>
          <w:szCs w:val="20"/>
        </w:rPr>
        <w:t xml:space="preserve">, la composizione del paniere dei prodotti e la lista delle unità di rilevazione. </w:t>
      </w:r>
    </w:p>
    <w:p w14:paraId="2FD057B8"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Il paniere dei prodotti è costituito da un campione rappresentativo dei principali beni acquistati dalle imprese sul mercato estero e destinati al reimpiego nel processo di produzione (nel caso di un’impresa industriale) oppure alla vendita sul territorio nazionale o estero (nel caso di un’impresa commerciale). La selezione dei prodotti si effettua utilizzando, come informazione principale, quella proveniente dalle statistiche del commercio con l’estero (valore annuale delle importazioni a livello di merce, codificata secondo la Nomenclatura Combinata).</w:t>
      </w:r>
    </w:p>
    <w:p w14:paraId="66C1FE17" w14:textId="77777777" w:rsidR="00063CE3" w:rsidRDefault="00063CE3" w:rsidP="00063CE3">
      <w:pPr>
        <w:spacing w:after="120"/>
        <w:jc w:val="both"/>
        <w:rPr>
          <w:rFonts w:ascii="Arial" w:hAnsi="Arial" w:cs="Arial"/>
          <w:sz w:val="20"/>
          <w:szCs w:val="20"/>
        </w:rPr>
      </w:pPr>
      <w:r w:rsidRPr="00C9631A">
        <w:rPr>
          <w:rFonts w:ascii="Arial" w:hAnsi="Arial" w:cs="Arial"/>
          <w:sz w:val="20"/>
          <w:szCs w:val="20"/>
        </w:rPr>
        <w:t>La lista delle unità di rilevazione è determinata integrando le informazioni sull’interscambio commerciale con quelle contenute nell’Archivio Statistico delle Imprese Attive (Asia) dell’Istat (relativamente all’identificativo dell’impresa e all’attività econo</w:t>
      </w:r>
      <w:r>
        <w:rPr>
          <w:rFonts w:ascii="Arial" w:hAnsi="Arial" w:cs="Arial"/>
          <w:sz w:val="20"/>
          <w:szCs w:val="20"/>
        </w:rPr>
        <w:t>mica prevalente della medesima)</w:t>
      </w:r>
      <w:r w:rsidRPr="00C9631A">
        <w:rPr>
          <w:rFonts w:ascii="Arial" w:hAnsi="Arial" w:cs="Arial"/>
          <w:sz w:val="20"/>
          <w:szCs w:val="20"/>
        </w:rPr>
        <w:t xml:space="preserve"> e nell’Anagrafe Tributaria (relativamente alla corrispondenza operatore economico/partita Iva – impresa/codice fiscale). Attraverso tale link si collegano le unità di analisi (i prodotti importati) alle unità di rilevazione (le imprese importatrici).</w:t>
      </w:r>
    </w:p>
    <w:p w14:paraId="3B3DA6CD" w14:textId="77777777" w:rsidR="00063CE3" w:rsidRDefault="00063CE3" w:rsidP="00063CE3">
      <w:pPr>
        <w:spacing w:after="120"/>
        <w:jc w:val="both"/>
        <w:rPr>
          <w:rFonts w:ascii="Arial" w:hAnsi="Arial" w:cs="Arial"/>
          <w:sz w:val="20"/>
          <w:szCs w:val="20"/>
        </w:rPr>
      </w:pPr>
      <w:r>
        <w:rPr>
          <w:rFonts w:ascii="Arial" w:hAnsi="Arial" w:cs="Arial"/>
          <w:sz w:val="20"/>
          <w:szCs w:val="20"/>
        </w:rPr>
        <w:t xml:space="preserve">Nel Prospetto B viene sintetizzata la composizione imprese/prodotti/prezzi della base di calcolo </w:t>
      </w:r>
      <w:r w:rsidRPr="00F04670">
        <w:rPr>
          <w:rFonts w:ascii="Arial" w:hAnsi="Arial" w:cs="Arial"/>
          <w:sz w:val="20"/>
          <w:szCs w:val="20"/>
        </w:rPr>
        <w:t>dicembre 202</w:t>
      </w:r>
      <w:r>
        <w:rPr>
          <w:rFonts w:ascii="Arial" w:hAnsi="Arial" w:cs="Arial"/>
          <w:sz w:val="20"/>
          <w:szCs w:val="20"/>
        </w:rPr>
        <w:t>4</w:t>
      </w:r>
      <w:r w:rsidRPr="00F04670">
        <w:rPr>
          <w:rFonts w:ascii="Arial" w:hAnsi="Arial" w:cs="Arial"/>
          <w:sz w:val="20"/>
          <w:szCs w:val="20"/>
        </w:rPr>
        <w:t>, con riferimento alle tre variabili elaborate.</w:t>
      </w:r>
    </w:p>
    <w:p w14:paraId="765FF75A" w14:textId="77777777" w:rsidR="005E6F61" w:rsidRDefault="005E6F61" w:rsidP="005E6F61">
      <w:pPr>
        <w:jc w:val="both"/>
        <w:rPr>
          <w:rFonts w:ascii="Arial Narrow" w:hAnsi="Arial Narrow" w:cs="Arial"/>
          <w:b/>
          <w:color w:val="E42618"/>
          <w:sz w:val="22"/>
          <w:szCs w:val="22"/>
        </w:rPr>
      </w:pPr>
    </w:p>
    <w:p w14:paraId="749FBD01" w14:textId="77777777" w:rsidR="00063CE3" w:rsidRDefault="00063CE3" w:rsidP="00063CE3">
      <w:pPr>
        <w:jc w:val="both"/>
        <w:rPr>
          <w:rFonts w:ascii="Arial Narrow" w:hAnsi="Arial Narrow" w:cs="Arial"/>
          <w:color w:val="7F7F7F"/>
          <w:sz w:val="20"/>
          <w:szCs w:val="20"/>
        </w:rPr>
      </w:pPr>
      <w:r w:rsidRPr="00861AAF">
        <w:rPr>
          <w:rFonts w:ascii="Arial Narrow" w:hAnsi="Arial Narrow" w:cs="Arial"/>
          <w:b/>
          <w:color w:val="E42618"/>
          <w:sz w:val="22"/>
          <w:szCs w:val="22"/>
        </w:rPr>
        <w:t xml:space="preserve">PROSPETTO </w:t>
      </w:r>
      <w:r>
        <w:rPr>
          <w:rFonts w:ascii="Arial Narrow" w:hAnsi="Arial Narrow" w:cs="Arial"/>
          <w:b/>
          <w:color w:val="E42618"/>
          <w:sz w:val="22"/>
          <w:szCs w:val="22"/>
        </w:rPr>
        <w:t>B</w:t>
      </w:r>
      <w:r w:rsidRPr="00861AAF">
        <w:rPr>
          <w:rFonts w:ascii="Arial Narrow" w:hAnsi="Arial Narrow" w:cs="Arial"/>
          <w:b/>
          <w:color w:val="E42618"/>
          <w:sz w:val="22"/>
          <w:szCs w:val="22"/>
        </w:rPr>
        <w:t>.</w:t>
      </w:r>
      <w:r w:rsidRPr="00861AAF">
        <w:rPr>
          <w:rFonts w:ascii="Arial Narrow" w:hAnsi="Arial Narrow" w:cs="Arial"/>
          <w:b/>
          <w:color w:val="7F7F7F"/>
          <w:sz w:val="22"/>
          <w:szCs w:val="22"/>
        </w:rPr>
        <w:t xml:space="preserve"> PREZZI ALL</w:t>
      </w:r>
      <w:r>
        <w:rPr>
          <w:rFonts w:ascii="Arial Narrow" w:hAnsi="Arial Narrow" w:cs="Arial"/>
          <w:b/>
          <w:color w:val="7F7F7F"/>
          <w:sz w:val="22"/>
          <w:szCs w:val="22"/>
        </w:rPr>
        <w:t xml:space="preserve">’IMPORTAZIONE. </w:t>
      </w:r>
      <w:r w:rsidRPr="00832200">
        <w:rPr>
          <w:rFonts w:ascii="Arial Narrow" w:hAnsi="Arial Narrow" w:cs="Arial"/>
          <w:b/>
          <w:color w:val="7F7F7F"/>
          <w:sz w:val="22"/>
          <w:szCs w:val="22"/>
        </w:rPr>
        <w:t>N</w:t>
      </w:r>
      <w:r>
        <w:rPr>
          <w:rFonts w:ascii="Arial Narrow" w:hAnsi="Arial Narrow" w:cs="Arial"/>
          <w:b/>
          <w:color w:val="7F7F7F"/>
          <w:sz w:val="22"/>
          <w:szCs w:val="22"/>
        </w:rPr>
        <w:t>U</w:t>
      </w:r>
      <w:r w:rsidRPr="00832200">
        <w:rPr>
          <w:rFonts w:ascii="Arial Narrow" w:hAnsi="Arial Narrow" w:cs="Arial"/>
          <w:b/>
          <w:color w:val="7F7F7F"/>
          <w:sz w:val="22"/>
          <w:szCs w:val="22"/>
        </w:rPr>
        <w:t>MEROSITÀ DEL CAMPIONE DEI PRODOTTI, IMPRESE E PREZZI</w:t>
      </w:r>
    </w:p>
    <w:p w14:paraId="2F22C993" w14:textId="77777777" w:rsidR="00063CE3" w:rsidRPr="001F0B80" w:rsidRDefault="00063CE3" w:rsidP="00063CE3">
      <w:pPr>
        <w:spacing w:after="60"/>
        <w:jc w:val="both"/>
        <w:rPr>
          <w:rFonts w:ascii="Arial Narrow" w:hAnsi="Arial Narrow" w:cs="Arial"/>
          <w:color w:val="7F7F7F"/>
          <w:sz w:val="20"/>
          <w:szCs w:val="20"/>
        </w:rPr>
      </w:pPr>
      <w:r w:rsidRPr="001F0B80">
        <w:rPr>
          <w:rFonts w:ascii="Arial Narrow" w:hAnsi="Arial Narrow" w:cs="Arial"/>
          <w:color w:val="7F7F7F"/>
          <w:sz w:val="20"/>
          <w:szCs w:val="20"/>
        </w:rPr>
        <w:t xml:space="preserve">Base di calcolo </w:t>
      </w:r>
      <w:r>
        <w:rPr>
          <w:rFonts w:ascii="Arial Narrow" w:hAnsi="Arial Narrow" w:cs="Arial"/>
          <w:color w:val="7F7F7F"/>
          <w:sz w:val="20"/>
          <w:szCs w:val="20"/>
        </w:rPr>
        <w:t>d</w:t>
      </w:r>
      <w:r w:rsidRPr="00F04670">
        <w:rPr>
          <w:rFonts w:ascii="Arial Narrow" w:hAnsi="Arial Narrow" w:cs="Arial"/>
          <w:color w:val="7F7F7F"/>
          <w:sz w:val="20"/>
          <w:szCs w:val="20"/>
        </w:rPr>
        <w:t xml:space="preserve">icembre </w:t>
      </w:r>
      <w:r>
        <w:rPr>
          <w:rFonts w:ascii="Arial Narrow" w:hAnsi="Arial Narrow" w:cs="Arial"/>
          <w:color w:val="7F7F7F"/>
          <w:sz w:val="20"/>
          <w:szCs w:val="20"/>
        </w:rPr>
        <w:t>2024</w:t>
      </w:r>
    </w:p>
    <w:tbl>
      <w:tblPr>
        <w:tblW w:w="10147" w:type="dxa"/>
        <w:tblCellMar>
          <w:left w:w="70" w:type="dxa"/>
          <w:right w:w="454" w:type="dxa"/>
        </w:tblCellMar>
        <w:tblLook w:val="04A0" w:firstRow="1" w:lastRow="0" w:firstColumn="1" w:lastColumn="0" w:noHBand="0" w:noVBand="1"/>
      </w:tblPr>
      <w:tblGrid>
        <w:gridCol w:w="2551"/>
        <w:gridCol w:w="2494"/>
        <w:gridCol w:w="2551"/>
        <w:gridCol w:w="2551"/>
      </w:tblGrid>
      <w:tr w:rsidR="00063CE3" w:rsidRPr="00861AAF" w14:paraId="5D3E8918" w14:textId="77777777" w:rsidTr="00694712">
        <w:trPr>
          <w:trHeight w:val="340"/>
        </w:trPr>
        <w:tc>
          <w:tcPr>
            <w:tcW w:w="2551" w:type="dxa"/>
            <w:tcBorders>
              <w:top w:val="single" w:sz="8" w:space="0" w:color="333333"/>
              <w:left w:val="nil"/>
              <w:bottom w:val="single" w:sz="8" w:space="0" w:color="333333"/>
              <w:right w:val="nil"/>
            </w:tcBorders>
            <w:shd w:val="clear" w:color="auto" w:fill="auto"/>
            <w:vAlign w:val="center"/>
            <w:hideMark/>
          </w:tcPr>
          <w:p w14:paraId="649BC9C4" w14:textId="77777777" w:rsidR="00063CE3" w:rsidRPr="00861AAF" w:rsidRDefault="00063CE3" w:rsidP="00694712">
            <w:pPr>
              <w:rPr>
                <w:rFonts w:ascii="Arial Narrow" w:hAnsi="Arial Narrow" w:cs="Arial"/>
                <w:b/>
                <w:bCs/>
                <w:color w:val="000000"/>
                <w:sz w:val="18"/>
                <w:szCs w:val="18"/>
              </w:rPr>
            </w:pPr>
            <w:r w:rsidRPr="00861AAF">
              <w:rPr>
                <w:rFonts w:ascii="Arial Narrow" w:hAnsi="Arial Narrow" w:cs="Arial"/>
                <w:b/>
                <w:bCs/>
                <w:color w:val="000000"/>
                <w:sz w:val="18"/>
                <w:szCs w:val="18"/>
              </w:rPr>
              <w:t>UNITÀ</w:t>
            </w:r>
          </w:p>
        </w:tc>
        <w:tc>
          <w:tcPr>
            <w:tcW w:w="2494" w:type="dxa"/>
            <w:tcBorders>
              <w:top w:val="single" w:sz="8" w:space="0" w:color="333333"/>
              <w:left w:val="nil"/>
              <w:bottom w:val="single" w:sz="4" w:space="0" w:color="auto"/>
              <w:right w:val="nil"/>
            </w:tcBorders>
            <w:shd w:val="clear" w:color="000000" w:fill="E6E6E6"/>
            <w:vAlign w:val="center"/>
            <w:hideMark/>
          </w:tcPr>
          <w:p w14:paraId="47985B57" w14:textId="77777777" w:rsidR="00063CE3" w:rsidRPr="00861AAF" w:rsidRDefault="00063CE3" w:rsidP="00694712">
            <w:pPr>
              <w:jc w:val="right"/>
              <w:rPr>
                <w:rFonts w:ascii="Arial Narrow" w:hAnsi="Arial Narrow" w:cs="Arial"/>
                <w:b/>
                <w:bCs/>
                <w:color w:val="000000"/>
                <w:sz w:val="18"/>
                <w:szCs w:val="18"/>
              </w:rPr>
            </w:pPr>
            <w:r w:rsidRPr="00861AAF">
              <w:rPr>
                <w:rFonts w:ascii="Arial Narrow" w:hAnsi="Arial Narrow" w:cs="Arial"/>
                <w:b/>
                <w:bCs/>
                <w:color w:val="000000"/>
                <w:sz w:val="18"/>
                <w:szCs w:val="18"/>
              </w:rPr>
              <w:t>Totale</w:t>
            </w:r>
          </w:p>
        </w:tc>
        <w:tc>
          <w:tcPr>
            <w:tcW w:w="2551" w:type="dxa"/>
            <w:tcBorders>
              <w:top w:val="single" w:sz="8" w:space="0" w:color="333333"/>
              <w:left w:val="nil"/>
              <w:bottom w:val="single" w:sz="4" w:space="0" w:color="auto"/>
              <w:right w:val="nil"/>
            </w:tcBorders>
            <w:shd w:val="clear" w:color="auto" w:fill="auto"/>
            <w:vAlign w:val="center"/>
            <w:hideMark/>
          </w:tcPr>
          <w:p w14:paraId="3AF4EB1A" w14:textId="77777777" w:rsidR="00063CE3" w:rsidRPr="00861AAF" w:rsidRDefault="00063CE3" w:rsidP="00694712">
            <w:pPr>
              <w:jc w:val="right"/>
              <w:rPr>
                <w:rFonts w:ascii="Arial Narrow" w:hAnsi="Arial Narrow" w:cs="Arial"/>
                <w:b/>
                <w:bCs/>
                <w:color w:val="000000"/>
                <w:sz w:val="18"/>
                <w:szCs w:val="18"/>
              </w:rPr>
            </w:pPr>
            <w:r>
              <w:rPr>
                <w:rFonts w:ascii="Arial Narrow" w:hAnsi="Arial Narrow" w:cs="Arial"/>
                <w:b/>
                <w:bCs/>
                <w:color w:val="000000"/>
                <w:sz w:val="18"/>
                <w:szCs w:val="18"/>
              </w:rPr>
              <w:t>A</w:t>
            </w:r>
            <w:r w:rsidRPr="00861AAF">
              <w:rPr>
                <w:rFonts w:ascii="Arial Narrow" w:hAnsi="Arial Narrow" w:cs="Arial"/>
                <w:b/>
                <w:bCs/>
                <w:color w:val="000000"/>
                <w:sz w:val="18"/>
                <w:szCs w:val="18"/>
              </w:rPr>
              <w:t>rea euro</w:t>
            </w:r>
          </w:p>
        </w:tc>
        <w:tc>
          <w:tcPr>
            <w:tcW w:w="2551" w:type="dxa"/>
            <w:tcBorders>
              <w:top w:val="single" w:sz="8" w:space="0" w:color="333333"/>
              <w:left w:val="nil"/>
              <w:bottom w:val="single" w:sz="4" w:space="0" w:color="auto"/>
              <w:right w:val="nil"/>
            </w:tcBorders>
            <w:shd w:val="clear" w:color="000000" w:fill="E6E6E6"/>
            <w:vAlign w:val="center"/>
            <w:hideMark/>
          </w:tcPr>
          <w:p w14:paraId="60EC1DC2" w14:textId="77777777" w:rsidR="00063CE3" w:rsidRPr="00861AAF" w:rsidRDefault="00063CE3" w:rsidP="00694712">
            <w:pPr>
              <w:jc w:val="right"/>
              <w:rPr>
                <w:rFonts w:ascii="Arial Narrow" w:hAnsi="Arial Narrow" w:cs="Arial"/>
                <w:b/>
                <w:bCs/>
                <w:color w:val="000000"/>
                <w:sz w:val="18"/>
                <w:szCs w:val="18"/>
              </w:rPr>
            </w:pPr>
            <w:r>
              <w:rPr>
                <w:rFonts w:ascii="Arial Narrow" w:hAnsi="Arial Narrow" w:cs="Arial"/>
                <w:b/>
                <w:bCs/>
                <w:color w:val="000000"/>
                <w:sz w:val="18"/>
                <w:szCs w:val="18"/>
              </w:rPr>
              <w:t>A</w:t>
            </w:r>
            <w:r w:rsidRPr="00861AAF">
              <w:rPr>
                <w:rFonts w:ascii="Arial Narrow" w:hAnsi="Arial Narrow" w:cs="Arial"/>
                <w:b/>
                <w:bCs/>
                <w:color w:val="000000"/>
                <w:sz w:val="18"/>
                <w:szCs w:val="18"/>
              </w:rPr>
              <w:t>rea non euro</w:t>
            </w:r>
          </w:p>
        </w:tc>
      </w:tr>
      <w:tr w:rsidR="00063CE3" w:rsidRPr="00861AAF" w14:paraId="05D90C4C" w14:textId="77777777" w:rsidTr="00694712">
        <w:trPr>
          <w:trHeight w:val="255"/>
        </w:trPr>
        <w:tc>
          <w:tcPr>
            <w:tcW w:w="2551" w:type="dxa"/>
            <w:tcBorders>
              <w:top w:val="nil"/>
              <w:left w:val="nil"/>
              <w:bottom w:val="single" w:sz="8" w:space="0" w:color="333333"/>
              <w:right w:val="nil"/>
            </w:tcBorders>
            <w:shd w:val="clear" w:color="auto" w:fill="auto"/>
            <w:vAlign w:val="center"/>
            <w:hideMark/>
          </w:tcPr>
          <w:p w14:paraId="431E53F5" w14:textId="77777777" w:rsidR="00063CE3" w:rsidRPr="00861AAF" w:rsidRDefault="00063CE3" w:rsidP="00694712">
            <w:pPr>
              <w:rPr>
                <w:rFonts w:ascii="Arial Narrow" w:hAnsi="Arial Narrow" w:cs="Arial"/>
                <w:color w:val="000000"/>
                <w:sz w:val="18"/>
                <w:szCs w:val="18"/>
              </w:rPr>
            </w:pPr>
            <w:r w:rsidRPr="00861AAF">
              <w:rPr>
                <w:rFonts w:ascii="Arial Narrow" w:hAnsi="Arial Narrow" w:cs="Arial"/>
                <w:color w:val="000000"/>
                <w:sz w:val="18"/>
                <w:szCs w:val="18"/>
              </w:rPr>
              <w:t>Prodotti</w:t>
            </w:r>
          </w:p>
        </w:tc>
        <w:tc>
          <w:tcPr>
            <w:tcW w:w="2494" w:type="dxa"/>
            <w:tcBorders>
              <w:top w:val="single" w:sz="4" w:space="0" w:color="auto"/>
              <w:left w:val="nil"/>
              <w:bottom w:val="single" w:sz="8" w:space="0" w:color="333333"/>
              <w:right w:val="nil"/>
            </w:tcBorders>
            <w:shd w:val="clear" w:color="auto" w:fill="D9D9D9"/>
            <w:vAlign w:val="center"/>
          </w:tcPr>
          <w:p w14:paraId="7D87A99A" w14:textId="77777777" w:rsidR="00063CE3" w:rsidRPr="001F0B80" w:rsidRDefault="00063CE3" w:rsidP="00694712">
            <w:pPr>
              <w:jc w:val="right"/>
              <w:rPr>
                <w:rFonts w:ascii="Arial Narrow" w:hAnsi="Arial Narrow"/>
                <w:color w:val="000000"/>
                <w:sz w:val="18"/>
                <w:szCs w:val="18"/>
              </w:rPr>
            </w:pPr>
            <w:r w:rsidRPr="00861AAF">
              <w:rPr>
                <w:rFonts w:ascii="Arial Narrow" w:hAnsi="Arial Narrow"/>
                <w:color w:val="000000"/>
                <w:sz w:val="18"/>
                <w:szCs w:val="18"/>
              </w:rPr>
              <w:t>1.</w:t>
            </w:r>
            <w:r>
              <w:rPr>
                <w:rFonts w:ascii="Arial Narrow" w:hAnsi="Arial Narrow"/>
                <w:color w:val="000000"/>
                <w:sz w:val="18"/>
                <w:szCs w:val="18"/>
              </w:rPr>
              <w:t>279</w:t>
            </w:r>
          </w:p>
        </w:tc>
        <w:tc>
          <w:tcPr>
            <w:tcW w:w="2551" w:type="dxa"/>
            <w:tcBorders>
              <w:top w:val="single" w:sz="4" w:space="0" w:color="auto"/>
              <w:left w:val="nil"/>
              <w:bottom w:val="single" w:sz="8" w:space="0" w:color="333333"/>
              <w:right w:val="nil"/>
            </w:tcBorders>
            <w:shd w:val="clear" w:color="auto" w:fill="auto"/>
            <w:vAlign w:val="center"/>
          </w:tcPr>
          <w:p w14:paraId="588283B6" w14:textId="77777777" w:rsidR="00063CE3" w:rsidRPr="001F0B80" w:rsidRDefault="00063CE3" w:rsidP="00694712">
            <w:pPr>
              <w:jc w:val="right"/>
              <w:rPr>
                <w:rFonts w:ascii="Arial Narrow" w:hAnsi="Arial Narrow"/>
                <w:color w:val="000000"/>
                <w:sz w:val="18"/>
                <w:szCs w:val="18"/>
              </w:rPr>
            </w:pPr>
            <w:r>
              <w:rPr>
                <w:rFonts w:ascii="Arial Narrow" w:hAnsi="Arial Narrow"/>
                <w:color w:val="000000"/>
                <w:sz w:val="18"/>
                <w:szCs w:val="18"/>
              </w:rPr>
              <w:t>996</w:t>
            </w:r>
          </w:p>
        </w:tc>
        <w:tc>
          <w:tcPr>
            <w:tcW w:w="2551" w:type="dxa"/>
            <w:tcBorders>
              <w:top w:val="single" w:sz="4" w:space="0" w:color="auto"/>
              <w:left w:val="nil"/>
              <w:bottom w:val="single" w:sz="8" w:space="0" w:color="333333"/>
              <w:right w:val="nil"/>
            </w:tcBorders>
            <w:shd w:val="clear" w:color="auto" w:fill="D9D9D9"/>
            <w:vAlign w:val="center"/>
          </w:tcPr>
          <w:p w14:paraId="2203C63E" w14:textId="77777777" w:rsidR="00063CE3" w:rsidRPr="001F0B80" w:rsidRDefault="00063CE3" w:rsidP="00694712">
            <w:pPr>
              <w:jc w:val="right"/>
              <w:rPr>
                <w:rFonts w:ascii="Arial Narrow" w:hAnsi="Arial Narrow"/>
                <w:color w:val="000000"/>
                <w:sz w:val="18"/>
                <w:szCs w:val="18"/>
              </w:rPr>
            </w:pPr>
            <w:r>
              <w:rPr>
                <w:rFonts w:ascii="Arial Narrow" w:hAnsi="Arial Narrow"/>
                <w:color w:val="000000"/>
                <w:sz w:val="18"/>
                <w:szCs w:val="18"/>
              </w:rPr>
              <w:t>843</w:t>
            </w:r>
          </w:p>
        </w:tc>
      </w:tr>
      <w:tr w:rsidR="00063CE3" w:rsidRPr="00861AAF" w14:paraId="60A915D4" w14:textId="77777777" w:rsidTr="00694712">
        <w:trPr>
          <w:trHeight w:val="255"/>
        </w:trPr>
        <w:tc>
          <w:tcPr>
            <w:tcW w:w="2551" w:type="dxa"/>
            <w:tcBorders>
              <w:top w:val="nil"/>
              <w:left w:val="nil"/>
              <w:bottom w:val="single" w:sz="8" w:space="0" w:color="333333"/>
              <w:right w:val="nil"/>
            </w:tcBorders>
            <w:shd w:val="clear" w:color="auto" w:fill="auto"/>
            <w:vAlign w:val="center"/>
            <w:hideMark/>
          </w:tcPr>
          <w:p w14:paraId="72B975EE" w14:textId="77777777" w:rsidR="00063CE3" w:rsidRPr="00861AAF" w:rsidRDefault="00063CE3" w:rsidP="00694712">
            <w:pPr>
              <w:rPr>
                <w:rFonts w:ascii="Arial Narrow" w:hAnsi="Arial Narrow" w:cs="Arial"/>
                <w:color w:val="000000"/>
                <w:sz w:val="18"/>
                <w:szCs w:val="18"/>
              </w:rPr>
            </w:pPr>
            <w:r w:rsidRPr="00861AAF">
              <w:rPr>
                <w:rFonts w:ascii="Arial Narrow" w:hAnsi="Arial Narrow" w:cs="Arial"/>
                <w:color w:val="000000"/>
                <w:sz w:val="18"/>
                <w:szCs w:val="18"/>
              </w:rPr>
              <w:t>Imprese</w:t>
            </w:r>
          </w:p>
        </w:tc>
        <w:tc>
          <w:tcPr>
            <w:tcW w:w="2494" w:type="dxa"/>
            <w:tcBorders>
              <w:top w:val="nil"/>
              <w:left w:val="nil"/>
              <w:bottom w:val="single" w:sz="8" w:space="0" w:color="333333"/>
              <w:right w:val="nil"/>
            </w:tcBorders>
            <w:shd w:val="clear" w:color="auto" w:fill="D9D9D9"/>
            <w:vAlign w:val="center"/>
          </w:tcPr>
          <w:p w14:paraId="4FEE1FC0"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4.086</w:t>
            </w:r>
          </w:p>
        </w:tc>
        <w:tc>
          <w:tcPr>
            <w:tcW w:w="2551" w:type="dxa"/>
            <w:tcBorders>
              <w:top w:val="nil"/>
              <w:left w:val="nil"/>
              <w:bottom w:val="single" w:sz="8" w:space="0" w:color="333333"/>
              <w:right w:val="nil"/>
            </w:tcBorders>
            <w:shd w:val="clear" w:color="auto" w:fill="auto"/>
            <w:vAlign w:val="center"/>
          </w:tcPr>
          <w:p w14:paraId="7D44DEFD"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2.393</w:t>
            </w:r>
          </w:p>
        </w:tc>
        <w:tc>
          <w:tcPr>
            <w:tcW w:w="2551" w:type="dxa"/>
            <w:tcBorders>
              <w:top w:val="nil"/>
              <w:left w:val="nil"/>
              <w:bottom w:val="single" w:sz="8" w:space="0" w:color="333333"/>
              <w:right w:val="nil"/>
            </w:tcBorders>
            <w:shd w:val="clear" w:color="auto" w:fill="D9D9D9"/>
            <w:vAlign w:val="center"/>
          </w:tcPr>
          <w:p w14:paraId="562B92BC"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2</w:t>
            </w:r>
            <w:r w:rsidRPr="00861AAF">
              <w:rPr>
                <w:rFonts w:ascii="Arial Narrow" w:hAnsi="Arial Narrow"/>
                <w:color w:val="000000"/>
                <w:sz w:val="18"/>
                <w:szCs w:val="18"/>
              </w:rPr>
              <w:t>.</w:t>
            </w:r>
            <w:r>
              <w:rPr>
                <w:rFonts w:ascii="Arial Narrow" w:hAnsi="Arial Narrow"/>
                <w:color w:val="000000"/>
                <w:sz w:val="18"/>
                <w:szCs w:val="18"/>
              </w:rPr>
              <w:t>316</w:t>
            </w:r>
          </w:p>
        </w:tc>
      </w:tr>
      <w:tr w:rsidR="00063CE3" w:rsidRPr="00861AAF" w14:paraId="5ADF81C2" w14:textId="77777777" w:rsidTr="00694712">
        <w:trPr>
          <w:trHeight w:val="255"/>
        </w:trPr>
        <w:tc>
          <w:tcPr>
            <w:tcW w:w="2551" w:type="dxa"/>
            <w:tcBorders>
              <w:top w:val="nil"/>
              <w:left w:val="nil"/>
              <w:bottom w:val="single" w:sz="8" w:space="0" w:color="333333"/>
              <w:right w:val="nil"/>
            </w:tcBorders>
            <w:shd w:val="clear" w:color="auto" w:fill="auto"/>
            <w:vAlign w:val="center"/>
            <w:hideMark/>
          </w:tcPr>
          <w:p w14:paraId="51B7568F" w14:textId="77777777" w:rsidR="00063CE3" w:rsidRPr="00861AAF" w:rsidRDefault="00063CE3" w:rsidP="00694712">
            <w:pPr>
              <w:rPr>
                <w:rFonts w:ascii="Arial Narrow" w:hAnsi="Arial Narrow" w:cs="Arial"/>
                <w:color w:val="000000"/>
                <w:sz w:val="18"/>
                <w:szCs w:val="18"/>
              </w:rPr>
            </w:pPr>
            <w:r w:rsidRPr="00861AAF">
              <w:rPr>
                <w:rFonts w:ascii="Arial Narrow" w:hAnsi="Arial Narrow" w:cs="Arial"/>
                <w:color w:val="000000"/>
                <w:sz w:val="18"/>
                <w:szCs w:val="18"/>
              </w:rPr>
              <w:t>Prezzi</w:t>
            </w:r>
          </w:p>
        </w:tc>
        <w:tc>
          <w:tcPr>
            <w:tcW w:w="2494" w:type="dxa"/>
            <w:tcBorders>
              <w:top w:val="nil"/>
              <w:left w:val="nil"/>
              <w:bottom w:val="single" w:sz="8" w:space="0" w:color="333333"/>
              <w:right w:val="nil"/>
            </w:tcBorders>
            <w:shd w:val="clear" w:color="auto" w:fill="D9D9D9"/>
            <w:vAlign w:val="center"/>
          </w:tcPr>
          <w:p w14:paraId="01807F0D"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11.027</w:t>
            </w:r>
          </w:p>
        </w:tc>
        <w:tc>
          <w:tcPr>
            <w:tcW w:w="2551" w:type="dxa"/>
            <w:tcBorders>
              <w:top w:val="nil"/>
              <w:left w:val="nil"/>
              <w:bottom w:val="single" w:sz="8" w:space="0" w:color="333333"/>
              <w:right w:val="nil"/>
            </w:tcBorders>
            <w:shd w:val="clear" w:color="auto" w:fill="auto"/>
            <w:vAlign w:val="center"/>
          </w:tcPr>
          <w:p w14:paraId="3996B3B2"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5.836</w:t>
            </w:r>
          </w:p>
        </w:tc>
        <w:tc>
          <w:tcPr>
            <w:tcW w:w="2551" w:type="dxa"/>
            <w:tcBorders>
              <w:top w:val="nil"/>
              <w:left w:val="nil"/>
              <w:bottom w:val="single" w:sz="8" w:space="0" w:color="333333"/>
              <w:right w:val="nil"/>
            </w:tcBorders>
            <w:shd w:val="clear" w:color="auto" w:fill="D9D9D9"/>
            <w:vAlign w:val="center"/>
          </w:tcPr>
          <w:p w14:paraId="65788051" w14:textId="77777777" w:rsidR="00063CE3" w:rsidRPr="00861AAF" w:rsidRDefault="00063CE3" w:rsidP="00694712">
            <w:pPr>
              <w:jc w:val="right"/>
              <w:rPr>
                <w:rFonts w:ascii="Arial Narrow" w:hAnsi="Arial Narrow" w:cs="Arial"/>
                <w:color w:val="000000"/>
                <w:sz w:val="18"/>
                <w:szCs w:val="18"/>
              </w:rPr>
            </w:pPr>
            <w:r>
              <w:rPr>
                <w:rFonts w:ascii="Arial Narrow" w:hAnsi="Arial Narrow"/>
                <w:color w:val="000000"/>
                <w:sz w:val="18"/>
                <w:szCs w:val="18"/>
              </w:rPr>
              <w:t>5.191</w:t>
            </w:r>
          </w:p>
        </w:tc>
      </w:tr>
    </w:tbl>
    <w:p w14:paraId="4B81E39D" w14:textId="77777777" w:rsidR="00063CE3" w:rsidRDefault="00063CE3" w:rsidP="00063CE3">
      <w:pPr>
        <w:spacing w:before="120" w:after="120"/>
        <w:jc w:val="both"/>
        <w:rPr>
          <w:rFonts w:ascii="Arial" w:hAnsi="Arial" w:cs="Arial"/>
          <w:b/>
          <w:sz w:val="22"/>
          <w:szCs w:val="22"/>
        </w:rPr>
      </w:pPr>
    </w:p>
    <w:p w14:paraId="6218B45C" w14:textId="77777777" w:rsidR="00063CE3" w:rsidRPr="00C9631A" w:rsidRDefault="00063CE3" w:rsidP="00063CE3">
      <w:pPr>
        <w:spacing w:after="120"/>
        <w:jc w:val="both"/>
        <w:rPr>
          <w:rFonts w:ascii="Arial" w:hAnsi="Arial" w:cs="Arial"/>
          <w:b/>
          <w:bCs/>
          <w:sz w:val="20"/>
          <w:szCs w:val="20"/>
        </w:rPr>
      </w:pPr>
      <w:r w:rsidRPr="00C9631A">
        <w:rPr>
          <w:rFonts w:ascii="Arial" w:hAnsi="Arial" w:cs="Arial"/>
          <w:b/>
          <w:bCs/>
          <w:sz w:val="20"/>
          <w:szCs w:val="20"/>
        </w:rPr>
        <w:t>Raccolta e controllo di qualità dei dati</w:t>
      </w:r>
    </w:p>
    <w:p w14:paraId="68CC2408" w14:textId="77777777" w:rsidR="00063CE3" w:rsidRDefault="00063CE3" w:rsidP="00063CE3">
      <w:pPr>
        <w:spacing w:after="120"/>
        <w:jc w:val="both"/>
        <w:rPr>
          <w:rFonts w:ascii="Arial" w:hAnsi="Arial" w:cs="Arial"/>
          <w:bCs/>
          <w:sz w:val="20"/>
          <w:szCs w:val="20"/>
        </w:rPr>
      </w:pPr>
      <w:r w:rsidRPr="00C9631A">
        <w:rPr>
          <w:rFonts w:ascii="Arial" w:hAnsi="Arial" w:cs="Arial"/>
          <w:bCs/>
          <w:sz w:val="20"/>
          <w:szCs w:val="20"/>
        </w:rPr>
        <w:t xml:space="preserve">La raccolta delle informazioni statistiche avviene mediante auto-compilazione del questionario elettronico disponibile all’interno del Portale statistico delle imprese, il sistema introdotto dall'Istat per la semplificazione degli adempimenti statistici delle imprese coinvolte nelle rilevazioni economiche. </w:t>
      </w:r>
    </w:p>
    <w:p w14:paraId="7A8F3559" w14:textId="77777777" w:rsidR="00063CE3" w:rsidRDefault="00063CE3" w:rsidP="00063CE3">
      <w:pPr>
        <w:pStyle w:val="Testocorrente"/>
        <w:keepNext w:val="0"/>
        <w:tabs>
          <w:tab w:val="left" w:pos="0"/>
        </w:tabs>
        <w:spacing w:after="120"/>
        <w:rPr>
          <w:rFonts w:ascii="Arial" w:hAnsi="Arial" w:cs="Arial"/>
          <w:b w:val="0"/>
          <w:i w:val="0"/>
          <w:sz w:val="20"/>
          <w:lang w:val="it-IT"/>
        </w:rPr>
      </w:pPr>
      <w:r w:rsidRPr="00DB2D37">
        <w:rPr>
          <w:rFonts w:ascii="Arial" w:hAnsi="Arial" w:cs="Arial"/>
          <w:b w:val="0"/>
          <w:i w:val="0"/>
          <w:sz w:val="20"/>
          <w:lang w:val="it-IT"/>
        </w:rPr>
        <w:t>Dall’edizione 2022, l’indagine si avvale della nuova piattaforma informatica integrata (nuovo questionario, nuovo software gestionale e nuovo data base), denominata SINTESI, già in uso per la rilevazione dei prezzi alla produzione dei servizi.</w:t>
      </w:r>
    </w:p>
    <w:p w14:paraId="62FE8D7E" w14:textId="77777777" w:rsidR="00063CE3" w:rsidRDefault="00063CE3" w:rsidP="00063CE3">
      <w:pPr>
        <w:spacing w:after="120"/>
        <w:jc w:val="both"/>
        <w:rPr>
          <w:rFonts w:ascii="Arial" w:hAnsi="Arial" w:cs="Arial"/>
          <w:bCs/>
          <w:sz w:val="20"/>
          <w:szCs w:val="20"/>
        </w:rPr>
      </w:pPr>
      <w:r w:rsidRPr="00C9631A">
        <w:rPr>
          <w:rFonts w:ascii="Arial" w:hAnsi="Arial" w:cs="Arial"/>
          <w:bCs/>
          <w:sz w:val="20"/>
          <w:szCs w:val="20"/>
        </w:rPr>
        <w:t xml:space="preserve">La modalità di compilazione per via telematica favorisce la tempestività della rilevazione dei dati e la qualità delle informazioni raccolte, poiché prevede un programma di </w:t>
      </w:r>
      <w:r w:rsidRPr="00C9631A">
        <w:rPr>
          <w:rFonts w:ascii="Arial" w:hAnsi="Arial" w:cs="Arial"/>
          <w:bCs/>
          <w:i/>
          <w:sz w:val="20"/>
          <w:szCs w:val="20"/>
        </w:rPr>
        <w:t>check</w:t>
      </w:r>
      <w:r w:rsidRPr="00C9631A">
        <w:rPr>
          <w:rFonts w:ascii="Arial" w:hAnsi="Arial" w:cs="Arial"/>
          <w:bCs/>
          <w:sz w:val="20"/>
          <w:szCs w:val="20"/>
        </w:rPr>
        <w:t xml:space="preserve"> automatico che segnala direttamente al rispondente eventuali risposte incompatibili, errori di coerenza, incongruenze e omissioni, che possono essere risolti nel corso della stessa compilazione.</w:t>
      </w:r>
    </w:p>
    <w:p w14:paraId="5A8705D8" w14:textId="77777777"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 xml:space="preserve">I dati possono essere inviati dal </w:t>
      </w:r>
      <w:r>
        <w:rPr>
          <w:rFonts w:ascii="Arial" w:hAnsi="Arial" w:cs="Arial"/>
          <w:bCs/>
          <w:sz w:val="20"/>
          <w:szCs w:val="20"/>
        </w:rPr>
        <w:t>primo</w:t>
      </w:r>
      <w:r w:rsidRPr="00C9631A">
        <w:rPr>
          <w:rFonts w:ascii="Arial" w:hAnsi="Arial" w:cs="Arial"/>
          <w:bCs/>
          <w:sz w:val="20"/>
          <w:szCs w:val="20"/>
        </w:rPr>
        <w:t xml:space="preserve"> giorno dopo la fine del mese di riferimento</w:t>
      </w:r>
      <w:r>
        <w:rPr>
          <w:rFonts w:ascii="Arial" w:hAnsi="Arial" w:cs="Arial"/>
          <w:bCs/>
          <w:sz w:val="20"/>
          <w:szCs w:val="20"/>
        </w:rPr>
        <w:t xml:space="preserve"> e</w:t>
      </w:r>
      <w:r w:rsidRPr="00C9631A">
        <w:rPr>
          <w:rFonts w:ascii="Arial" w:hAnsi="Arial" w:cs="Arial"/>
          <w:bCs/>
          <w:sz w:val="20"/>
          <w:szCs w:val="20"/>
        </w:rPr>
        <w:t xml:space="preserve"> la trasmissione </w:t>
      </w:r>
      <w:r>
        <w:rPr>
          <w:rFonts w:ascii="Arial" w:hAnsi="Arial" w:cs="Arial"/>
          <w:bCs/>
          <w:sz w:val="20"/>
          <w:szCs w:val="20"/>
        </w:rPr>
        <w:t>deve essere effettuata</w:t>
      </w:r>
      <w:r w:rsidRPr="00EE3D7B">
        <w:rPr>
          <w:rFonts w:ascii="Arial" w:hAnsi="Arial" w:cs="Arial"/>
          <w:bCs/>
          <w:sz w:val="20"/>
          <w:szCs w:val="20"/>
        </w:rPr>
        <w:t xml:space="preserve"> entro le date di</w:t>
      </w:r>
      <w:r>
        <w:rPr>
          <w:rFonts w:ascii="Arial" w:hAnsi="Arial" w:cs="Arial"/>
          <w:bCs/>
          <w:sz w:val="20"/>
          <w:szCs w:val="20"/>
        </w:rPr>
        <w:t xml:space="preserve"> indicate nella lettera informativa</w:t>
      </w:r>
      <w:r w:rsidRPr="00EE3D7B">
        <w:rPr>
          <w:rFonts w:ascii="Arial" w:hAnsi="Arial" w:cs="Arial"/>
          <w:bCs/>
          <w:sz w:val="20"/>
          <w:szCs w:val="20"/>
        </w:rPr>
        <w:t xml:space="preserve"> </w:t>
      </w:r>
      <w:r w:rsidRPr="00C9631A">
        <w:rPr>
          <w:rFonts w:ascii="Arial" w:hAnsi="Arial" w:cs="Arial"/>
          <w:bCs/>
          <w:sz w:val="20"/>
          <w:szCs w:val="20"/>
        </w:rPr>
        <w:t>al fine di poter rispettare le scadenze dei regolamenti europei</w:t>
      </w:r>
      <w:r>
        <w:rPr>
          <w:rFonts w:ascii="Arial" w:hAnsi="Arial" w:cs="Arial"/>
          <w:bCs/>
          <w:sz w:val="20"/>
          <w:szCs w:val="20"/>
        </w:rPr>
        <w:t>.</w:t>
      </w:r>
      <w:r w:rsidRPr="00C9631A">
        <w:rPr>
          <w:rFonts w:ascii="Arial" w:hAnsi="Arial" w:cs="Arial"/>
          <w:bCs/>
          <w:sz w:val="20"/>
          <w:szCs w:val="20"/>
        </w:rPr>
        <w:t xml:space="preserve"> </w:t>
      </w:r>
      <w:r>
        <w:rPr>
          <w:rFonts w:ascii="Arial" w:hAnsi="Arial" w:cs="Arial"/>
          <w:bCs/>
          <w:sz w:val="20"/>
          <w:szCs w:val="20"/>
        </w:rPr>
        <w:t>S</w:t>
      </w:r>
      <w:r w:rsidRPr="00C9631A">
        <w:rPr>
          <w:rFonts w:ascii="Arial" w:hAnsi="Arial" w:cs="Arial"/>
          <w:bCs/>
          <w:sz w:val="20"/>
          <w:szCs w:val="20"/>
        </w:rPr>
        <w:t>uccessivamente sono previste operazioni di sollecito e contatto delle unità non rispondenti al fine di aumentare la copertura delle stime provvisorie e definitive.</w:t>
      </w:r>
    </w:p>
    <w:p w14:paraId="08F81EF7" w14:textId="77777777"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 xml:space="preserve">Il questionario è di tipo chiuso, riporta prestampato l’elenco dei prodotti sottoposti a osservazione; l’impresa, coerentemente con la denominazione del prodotto assegnato, individua le </w:t>
      </w:r>
      <w:r w:rsidRPr="00C9631A">
        <w:rPr>
          <w:rFonts w:ascii="Arial" w:hAnsi="Arial" w:cs="Arial"/>
          <w:bCs/>
          <w:i/>
          <w:sz w:val="20"/>
          <w:szCs w:val="20"/>
        </w:rPr>
        <w:t>tipologie di prodotto</w:t>
      </w:r>
      <w:r w:rsidRPr="00C9631A">
        <w:rPr>
          <w:rFonts w:ascii="Arial" w:hAnsi="Arial" w:cs="Arial"/>
          <w:bCs/>
          <w:sz w:val="20"/>
          <w:szCs w:val="20"/>
        </w:rPr>
        <w:t xml:space="preserve"> maggiormente rappresentative delle importazioni dell’impresa per le quali sia possibile determinare regolarmente un prezzo di </w:t>
      </w:r>
      <w:r>
        <w:rPr>
          <w:rFonts w:ascii="Arial" w:hAnsi="Arial" w:cs="Arial"/>
          <w:bCs/>
          <w:sz w:val="20"/>
          <w:szCs w:val="20"/>
        </w:rPr>
        <w:t>a</w:t>
      </w:r>
      <w:r w:rsidRPr="00C9631A">
        <w:rPr>
          <w:rFonts w:ascii="Arial" w:hAnsi="Arial" w:cs="Arial"/>
          <w:bCs/>
          <w:sz w:val="20"/>
          <w:szCs w:val="20"/>
        </w:rPr>
        <w:t xml:space="preserve">cquisto nel tempo. </w:t>
      </w:r>
    </w:p>
    <w:p w14:paraId="31C8A7FF" w14:textId="77777777" w:rsidR="00063CE3" w:rsidRPr="00F21E70" w:rsidRDefault="00063CE3" w:rsidP="00063CE3">
      <w:pPr>
        <w:spacing w:after="120"/>
        <w:jc w:val="both"/>
        <w:rPr>
          <w:rFonts w:ascii="Arial" w:hAnsi="Arial" w:cs="Arial"/>
          <w:sz w:val="20"/>
          <w:szCs w:val="20"/>
        </w:rPr>
      </w:pPr>
      <w:r w:rsidRPr="00C9631A">
        <w:rPr>
          <w:rFonts w:ascii="Arial" w:hAnsi="Arial" w:cs="Arial"/>
          <w:bCs/>
          <w:sz w:val="20"/>
          <w:szCs w:val="20"/>
        </w:rPr>
        <w:t xml:space="preserve">La variabile rilevata è il prezzo all’importazione ovvero un prezzo di acquisto di un prodotto ceduto da un operatore non residente </w:t>
      </w:r>
      <w:r>
        <w:rPr>
          <w:rFonts w:ascii="Arial" w:hAnsi="Arial" w:cs="Arial"/>
          <w:bCs/>
          <w:sz w:val="20"/>
          <w:szCs w:val="20"/>
        </w:rPr>
        <w:t xml:space="preserve">a </w:t>
      </w:r>
      <w:r w:rsidRPr="00C9631A">
        <w:rPr>
          <w:rFonts w:ascii="Arial" w:hAnsi="Arial" w:cs="Arial"/>
          <w:bCs/>
          <w:sz w:val="20"/>
          <w:szCs w:val="20"/>
        </w:rPr>
        <w:t xml:space="preserve">un’impresa residente in Italia. </w:t>
      </w:r>
      <w:r w:rsidRPr="00C9631A">
        <w:rPr>
          <w:rFonts w:ascii="Arial" w:hAnsi="Arial" w:cs="Arial"/>
          <w:sz w:val="20"/>
          <w:szCs w:val="20"/>
        </w:rPr>
        <w:t>Si tratta di un prezzo di mercato o di transazione reale, cioè un prezzo che si riferisce a un acquisto effettivamente realizzato. I prezzi sono rile</w:t>
      </w:r>
      <w:r>
        <w:rPr>
          <w:rFonts w:ascii="Arial" w:hAnsi="Arial" w:cs="Arial"/>
          <w:sz w:val="20"/>
          <w:szCs w:val="20"/>
        </w:rPr>
        <w:t xml:space="preserve">vati in euro secondo la clausola </w:t>
      </w:r>
      <w:r w:rsidRPr="00C9631A">
        <w:rPr>
          <w:rFonts w:ascii="Arial" w:hAnsi="Arial" w:cs="Arial"/>
          <w:iCs/>
          <w:sz w:val="20"/>
          <w:szCs w:val="20"/>
        </w:rPr>
        <w:t xml:space="preserve">Cif </w:t>
      </w:r>
      <w:r w:rsidRPr="00C9631A">
        <w:rPr>
          <w:rFonts w:ascii="Arial" w:hAnsi="Arial" w:cs="Arial"/>
          <w:sz w:val="20"/>
          <w:szCs w:val="20"/>
        </w:rPr>
        <w:t xml:space="preserve">(costo, assicurazione e nolo) alla frontiera nazionale; sono al netto dell'Iva e di ogni altro onere a carico dell'acquirente. </w:t>
      </w:r>
    </w:p>
    <w:p w14:paraId="79E1B94D"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 xml:space="preserve">L’importazione è il </w:t>
      </w:r>
      <w:r w:rsidRPr="00C9631A">
        <w:rPr>
          <w:rFonts w:ascii="Arial" w:hAnsi="Arial" w:cs="Arial"/>
          <w:iCs/>
          <w:sz w:val="20"/>
          <w:szCs w:val="20"/>
        </w:rPr>
        <w:t>valore della merce acquistata all’estero dalle imprese industriali e commerciali, valutato Cif e riferito ai soli regimi definitivi (cioè al netto delle importazioni temporanee e delle reimportazioni), distinto per area di importazione euro/non euro.</w:t>
      </w:r>
    </w:p>
    <w:p w14:paraId="452A90CB" w14:textId="77777777" w:rsidR="00F32299" w:rsidRDefault="00F32299" w:rsidP="00063CE3">
      <w:pPr>
        <w:spacing w:after="120"/>
        <w:jc w:val="both"/>
        <w:rPr>
          <w:rFonts w:ascii="Arial" w:hAnsi="Arial" w:cs="Arial"/>
          <w:bCs/>
          <w:sz w:val="20"/>
          <w:szCs w:val="20"/>
        </w:rPr>
      </w:pPr>
    </w:p>
    <w:p w14:paraId="1CCA37FC" w14:textId="77777777" w:rsidR="00F32299" w:rsidRDefault="00F32299" w:rsidP="00063CE3">
      <w:pPr>
        <w:spacing w:after="120"/>
        <w:jc w:val="both"/>
        <w:rPr>
          <w:rFonts w:ascii="Arial" w:hAnsi="Arial" w:cs="Arial"/>
          <w:bCs/>
          <w:sz w:val="20"/>
          <w:szCs w:val="20"/>
        </w:rPr>
      </w:pPr>
    </w:p>
    <w:p w14:paraId="638EACBE" w14:textId="32630BD8"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 xml:space="preserve">I dati raccolti sono sottoposti a un processo di controllo e correzione con integrazione delle mancate risposte. In particolare, si verifica la compatibilità dei valori con l’informazione richiesta (prezzo all’importazione), la coerenza intertemporale dei dati, la presenza di valori anomali; la validazione dei dati può richiedere il ritorno sul rispondente al fine di sanare i problemi rilevati. </w:t>
      </w:r>
      <w:r w:rsidRPr="00B91362">
        <w:rPr>
          <w:rFonts w:ascii="Arial" w:hAnsi="Arial" w:cs="Arial"/>
          <w:bCs/>
          <w:sz w:val="20"/>
          <w:szCs w:val="20"/>
        </w:rPr>
        <w:t>I dati mancanti sono imputati per variazione media delle quotazioni fornite dalle imprese rispondenti (donatori)</w:t>
      </w:r>
      <w:r w:rsidRPr="00C9631A">
        <w:rPr>
          <w:rFonts w:ascii="Arial" w:hAnsi="Arial" w:cs="Arial"/>
          <w:bCs/>
          <w:sz w:val="20"/>
          <w:szCs w:val="20"/>
        </w:rPr>
        <w:t>.</w:t>
      </w:r>
    </w:p>
    <w:p w14:paraId="7385D2E8" w14:textId="77777777" w:rsidR="00063CE3" w:rsidRDefault="00063CE3" w:rsidP="00063CE3">
      <w:pPr>
        <w:spacing w:after="120"/>
        <w:jc w:val="both"/>
        <w:rPr>
          <w:rFonts w:ascii="Arial" w:hAnsi="Arial" w:cs="Arial"/>
          <w:bCs/>
          <w:sz w:val="20"/>
          <w:szCs w:val="20"/>
        </w:rPr>
      </w:pPr>
      <w:r w:rsidRPr="00C9631A">
        <w:rPr>
          <w:rFonts w:ascii="Arial" w:hAnsi="Arial" w:cs="Arial"/>
          <w:bCs/>
          <w:sz w:val="20"/>
          <w:szCs w:val="20"/>
        </w:rPr>
        <w:t>I dati raccolti mensilmente sono elaborati sotto forma di numeri indici di prezzo e sono diffusi in forma aggregata.</w:t>
      </w:r>
    </w:p>
    <w:p w14:paraId="6FF8FEF9" w14:textId="77777777" w:rsidR="00063CE3" w:rsidRDefault="00063CE3" w:rsidP="00063CE3">
      <w:pPr>
        <w:spacing w:after="120"/>
        <w:jc w:val="both"/>
        <w:rPr>
          <w:rFonts w:ascii="Arial" w:hAnsi="Arial" w:cs="Arial"/>
          <w:bCs/>
          <w:sz w:val="20"/>
          <w:szCs w:val="20"/>
        </w:rPr>
      </w:pPr>
      <w:r w:rsidRPr="00E06401">
        <w:rPr>
          <w:rFonts w:ascii="Arial" w:hAnsi="Arial" w:cs="Arial"/>
          <w:sz w:val="20"/>
          <w:szCs w:val="20"/>
        </w:rPr>
        <w:t>A partire dal mese di gennaio 2022 è stata implementata una nuova metodologia di calcolo degli indici dei prezzi all’importazione per alcuni prodotti energetici che si basa sulle informazioni mensili desunte dai dati di commercio con l’estero.</w:t>
      </w:r>
    </w:p>
    <w:p w14:paraId="0C7C0698" w14:textId="77777777" w:rsidR="005E6F61" w:rsidRDefault="005E6F61" w:rsidP="005E6F61">
      <w:pPr>
        <w:spacing w:after="120"/>
        <w:jc w:val="both"/>
        <w:rPr>
          <w:rFonts w:ascii="Arial" w:hAnsi="Arial" w:cs="Arial"/>
          <w:b/>
          <w:sz w:val="20"/>
          <w:szCs w:val="20"/>
        </w:rPr>
      </w:pPr>
    </w:p>
    <w:p w14:paraId="1F7FD678" w14:textId="77777777" w:rsidR="00063CE3" w:rsidRDefault="00063CE3" w:rsidP="00063CE3">
      <w:pPr>
        <w:spacing w:after="120"/>
        <w:jc w:val="both"/>
        <w:rPr>
          <w:rFonts w:ascii="Arial" w:hAnsi="Arial" w:cs="Arial"/>
          <w:b/>
          <w:sz w:val="20"/>
          <w:szCs w:val="20"/>
        </w:rPr>
      </w:pPr>
      <w:r>
        <w:rPr>
          <w:rFonts w:ascii="Arial" w:hAnsi="Arial" w:cs="Arial"/>
          <w:b/>
          <w:sz w:val="20"/>
          <w:szCs w:val="20"/>
        </w:rPr>
        <w:t xml:space="preserve">Metodologia di calcolo del sistema </w:t>
      </w:r>
      <w:r w:rsidRPr="00C9631A">
        <w:rPr>
          <w:rFonts w:ascii="Arial" w:hAnsi="Arial" w:cs="Arial"/>
          <w:b/>
          <w:sz w:val="20"/>
          <w:szCs w:val="20"/>
        </w:rPr>
        <w:t>degli indici</w:t>
      </w:r>
    </w:p>
    <w:p w14:paraId="06536E46" w14:textId="77777777" w:rsidR="00063CE3" w:rsidRDefault="00063CE3" w:rsidP="00063CE3">
      <w:pPr>
        <w:spacing w:after="120"/>
        <w:jc w:val="both"/>
        <w:rPr>
          <w:rFonts w:ascii="Arial" w:hAnsi="Arial" w:cs="Arial"/>
          <w:spacing w:val="-4"/>
          <w:sz w:val="20"/>
          <w:szCs w:val="20"/>
        </w:rPr>
      </w:pPr>
      <w:r>
        <w:rPr>
          <w:rFonts w:ascii="Arial" w:hAnsi="Arial" w:cs="Arial"/>
          <w:sz w:val="20"/>
          <w:szCs w:val="20"/>
        </w:rPr>
        <w:t>A partire dai</w:t>
      </w:r>
      <w:r w:rsidRPr="0095685A">
        <w:rPr>
          <w:rFonts w:ascii="Arial" w:hAnsi="Arial" w:cs="Arial"/>
          <w:sz w:val="20"/>
          <w:szCs w:val="20"/>
        </w:rPr>
        <w:t xml:space="preserve"> dati riferiti a gennaio 2022, gli indici dei prezzi all’importazione sono calcolati con il metodo del concatenamento annuale su base mensile</w:t>
      </w:r>
      <w:r>
        <w:rPr>
          <w:rFonts w:ascii="Arial" w:hAnsi="Arial" w:cs="Arial"/>
          <w:sz w:val="20"/>
          <w:szCs w:val="20"/>
        </w:rPr>
        <w:t>; fino</w:t>
      </w:r>
      <w:r w:rsidRPr="00335F92">
        <w:rPr>
          <w:rFonts w:ascii="Arial" w:hAnsi="Arial" w:cs="Arial"/>
          <w:spacing w:val="-4"/>
          <w:sz w:val="20"/>
          <w:szCs w:val="20"/>
        </w:rPr>
        <w:t xml:space="preserve"> a dicembre 2021 erano indici in base fissa. </w:t>
      </w:r>
      <w:r>
        <w:rPr>
          <w:rFonts w:ascii="Arial" w:hAnsi="Arial" w:cs="Arial"/>
          <w:spacing w:val="-4"/>
          <w:sz w:val="20"/>
          <w:szCs w:val="20"/>
        </w:rPr>
        <w:t>Da marzo 2025, con la diffusione dei dati riferiti a gennaio, gli indici dei prezzi all’importazione sono elaborati in base di calcolo dicembre 2024 e diffusi in base di riferimento 2021.</w:t>
      </w:r>
    </w:p>
    <w:p w14:paraId="49BA1B24" w14:textId="77777777" w:rsidR="00063CE3" w:rsidRPr="00994100" w:rsidRDefault="00063CE3" w:rsidP="00063CE3">
      <w:pPr>
        <w:spacing w:after="120"/>
        <w:jc w:val="both"/>
        <w:rPr>
          <w:rFonts w:ascii="Arial" w:hAnsi="Arial" w:cs="Arial"/>
          <w:sz w:val="20"/>
          <w:szCs w:val="20"/>
        </w:rPr>
      </w:pPr>
      <w:r>
        <w:rPr>
          <w:rFonts w:ascii="Arial" w:hAnsi="Arial" w:cs="Arial"/>
          <w:sz w:val="20"/>
          <w:szCs w:val="20"/>
        </w:rPr>
        <w:t>Il sistema degli indici dei prezzi all’importazione è costituito da due variabili rilevate – riferite all’Area euro e all’Area non euro – e da una variabile di sintesi – totale (Area euro più Area non euro).</w:t>
      </w:r>
    </w:p>
    <w:p w14:paraId="3751552C" w14:textId="77777777" w:rsidR="00063CE3" w:rsidRPr="00942E72" w:rsidRDefault="00063CE3" w:rsidP="00063CE3">
      <w:pPr>
        <w:spacing w:after="120"/>
        <w:jc w:val="both"/>
        <w:rPr>
          <w:rFonts w:ascii="Arial" w:hAnsi="Arial" w:cs="Arial"/>
          <w:sz w:val="20"/>
          <w:szCs w:val="20"/>
        </w:rPr>
      </w:pPr>
      <w:r>
        <w:rPr>
          <w:rFonts w:ascii="Arial" w:hAnsi="Arial" w:cs="Arial"/>
          <w:sz w:val="20"/>
          <w:szCs w:val="20"/>
        </w:rPr>
        <w:t>Per le variabili rilevate, l</w:t>
      </w:r>
      <w:r w:rsidRPr="00994100">
        <w:rPr>
          <w:rFonts w:ascii="Arial" w:hAnsi="Arial" w:cs="Arial"/>
          <w:sz w:val="20"/>
          <w:szCs w:val="20"/>
        </w:rPr>
        <w:t xml:space="preserve">a procedura di calcolo è articolata in tre livelli: nel primo si definiscono i prezzi relativi (rapporti tra i prezzi correnti e quelli </w:t>
      </w:r>
      <w:r w:rsidRPr="00F04670">
        <w:rPr>
          <w:rFonts w:ascii="Arial" w:hAnsi="Arial" w:cs="Arial"/>
          <w:sz w:val="20"/>
          <w:szCs w:val="20"/>
        </w:rPr>
        <w:t>base dicembre 202</w:t>
      </w:r>
      <w:r>
        <w:rPr>
          <w:rFonts w:ascii="Arial" w:hAnsi="Arial" w:cs="Arial"/>
          <w:sz w:val="20"/>
          <w:szCs w:val="20"/>
        </w:rPr>
        <w:t>4</w:t>
      </w:r>
      <w:r w:rsidRPr="00F04670">
        <w:rPr>
          <w:rFonts w:ascii="Arial" w:hAnsi="Arial" w:cs="Arial"/>
          <w:sz w:val="20"/>
          <w:szCs w:val="20"/>
        </w:rPr>
        <w:t>). Nel</w:t>
      </w:r>
      <w:r w:rsidRPr="00994100">
        <w:rPr>
          <w:rFonts w:ascii="Arial" w:hAnsi="Arial" w:cs="Arial"/>
          <w:sz w:val="20"/>
          <w:szCs w:val="20"/>
        </w:rPr>
        <w:t xml:space="preserve"> secondo, si aggregano in media geometrica semplice i prezzi relativi associati ai prodotti. Nel terzo si aggregano in media aritmetica ponderata gli indici dei sotto-aggregati, dai </w:t>
      </w:r>
      <w:r w:rsidRPr="00942E72">
        <w:rPr>
          <w:rFonts w:ascii="Arial" w:hAnsi="Arial" w:cs="Arial"/>
          <w:sz w:val="20"/>
          <w:szCs w:val="20"/>
        </w:rPr>
        <w:t xml:space="preserve">prodotti all’indice generale (formula tipo Laspeyres concatenato). </w:t>
      </w:r>
      <w:r>
        <w:rPr>
          <w:rFonts w:ascii="Arial" w:hAnsi="Arial" w:cs="Arial"/>
          <w:sz w:val="20"/>
          <w:szCs w:val="20"/>
        </w:rPr>
        <w:t xml:space="preserve">Ottenuti gli indici </w:t>
      </w:r>
      <w:r w:rsidRPr="00942E72">
        <w:rPr>
          <w:rFonts w:ascii="Arial" w:hAnsi="Arial" w:cs="Arial"/>
          <w:sz w:val="20"/>
          <w:szCs w:val="20"/>
        </w:rPr>
        <w:t>in base di calcolo, quell</w:t>
      </w:r>
      <w:r>
        <w:rPr>
          <w:rFonts w:ascii="Arial" w:hAnsi="Arial" w:cs="Arial"/>
          <w:sz w:val="20"/>
          <w:szCs w:val="20"/>
        </w:rPr>
        <w:t>i</w:t>
      </w:r>
      <w:r w:rsidRPr="00942E72">
        <w:rPr>
          <w:rFonts w:ascii="Arial" w:hAnsi="Arial" w:cs="Arial"/>
          <w:sz w:val="20"/>
          <w:szCs w:val="20"/>
        </w:rPr>
        <w:t xml:space="preserve"> in base di riferimento si deriva</w:t>
      </w:r>
      <w:r>
        <w:rPr>
          <w:rFonts w:ascii="Arial" w:hAnsi="Arial" w:cs="Arial"/>
          <w:sz w:val="20"/>
          <w:szCs w:val="20"/>
        </w:rPr>
        <w:t>no</w:t>
      </w:r>
      <w:r w:rsidRPr="00942E72">
        <w:rPr>
          <w:rFonts w:ascii="Arial" w:hAnsi="Arial" w:cs="Arial"/>
          <w:sz w:val="20"/>
          <w:szCs w:val="20"/>
        </w:rPr>
        <w:t xml:space="preserve"> con la formula di concatenamento. Gli indici sono concatenati a partire dagli aggregati a 4 cifre Ateco 2007.</w:t>
      </w:r>
    </w:p>
    <w:p w14:paraId="463D517A" w14:textId="77777777" w:rsidR="00063CE3" w:rsidRDefault="00063CE3" w:rsidP="00063CE3">
      <w:pPr>
        <w:spacing w:after="120"/>
        <w:jc w:val="both"/>
        <w:rPr>
          <w:rFonts w:ascii="Arial" w:hAnsi="Arial" w:cs="Arial"/>
          <w:sz w:val="20"/>
          <w:szCs w:val="20"/>
        </w:rPr>
      </w:pPr>
      <w:r w:rsidRPr="00942E72">
        <w:rPr>
          <w:rFonts w:ascii="Arial" w:hAnsi="Arial" w:cs="Arial"/>
          <w:sz w:val="20"/>
          <w:szCs w:val="20"/>
        </w:rPr>
        <w:t>Gli indici in base di riferimento dell</w:t>
      </w:r>
      <w:r>
        <w:rPr>
          <w:rFonts w:ascii="Arial" w:hAnsi="Arial" w:cs="Arial"/>
          <w:sz w:val="20"/>
          <w:szCs w:val="20"/>
        </w:rPr>
        <w:t>a variabile di sintesi</w:t>
      </w:r>
      <w:r w:rsidRPr="00942E72">
        <w:rPr>
          <w:rFonts w:ascii="Arial" w:hAnsi="Arial" w:cs="Arial"/>
          <w:sz w:val="20"/>
          <w:szCs w:val="20"/>
        </w:rPr>
        <w:t xml:space="preserve"> si definiscono a partire dalla media aritmetica ponderata degli indici in base di calcolo delle variabili rilevate, utilizzando – per ciascun aggregato – un coefficiente di ponderazione derivato dai pesi assoluti. </w:t>
      </w:r>
    </w:p>
    <w:p w14:paraId="41F59A95" w14:textId="77777777" w:rsidR="005E6F61" w:rsidRDefault="005E6F61" w:rsidP="005E6F61">
      <w:pPr>
        <w:spacing w:after="120"/>
        <w:jc w:val="both"/>
        <w:rPr>
          <w:rFonts w:ascii="Arial" w:hAnsi="Arial" w:cs="Arial"/>
          <w:color w:val="000000"/>
          <w:sz w:val="20"/>
          <w:szCs w:val="20"/>
        </w:rPr>
      </w:pPr>
    </w:p>
    <w:p w14:paraId="32908177" w14:textId="77777777" w:rsidR="00063CE3" w:rsidRPr="00C9631A" w:rsidRDefault="00063CE3" w:rsidP="00063CE3">
      <w:pPr>
        <w:spacing w:after="120"/>
        <w:jc w:val="both"/>
        <w:rPr>
          <w:rFonts w:ascii="Arial" w:hAnsi="Arial" w:cs="Arial"/>
          <w:b/>
          <w:sz w:val="20"/>
          <w:szCs w:val="20"/>
        </w:rPr>
      </w:pPr>
      <w:r w:rsidRPr="00C9631A">
        <w:rPr>
          <w:rFonts w:ascii="Arial" w:hAnsi="Arial" w:cs="Arial"/>
          <w:b/>
          <w:sz w:val="20"/>
          <w:szCs w:val="20"/>
        </w:rPr>
        <w:t>Struttura di ponderazione</w:t>
      </w:r>
    </w:p>
    <w:p w14:paraId="6CC37115"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 sistemi di ponderazione degli indici dei prezzi dei prodotti industriali importati dalle imprese (Area euro e Area non euro) sono determinati utilizzando le informazioni desumibili dalle statistiche del commercio con l’estero.</w:t>
      </w:r>
    </w:p>
    <w:p w14:paraId="20D61BCB" w14:textId="1B66C0C2"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 xml:space="preserve">La variabile utilizzata per la costruzione del sistema di ponderazione (a partire dalle voci di prodotto sino al totale dell’industria) è il valore annuale delle importazioni di prodotti industriali realizzato </w:t>
      </w:r>
      <w:r w:rsidRPr="00276690">
        <w:rPr>
          <w:rFonts w:ascii="Arial" w:hAnsi="Arial" w:cs="Arial"/>
          <w:sz w:val="20"/>
          <w:szCs w:val="20"/>
        </w:rPr>
        <w:t>nell’anno 202</w:t>
      </w:r>
      <w:r w:rsidR="00276690" w:rsidRPr="00276690">
        <w:rPr>
          <w:rFonts w:ascii="Arial" w:hAnsi="Arial" w:cs="Arial"/>
          <w:sz w:val="20"/>
          <w:szCs w:val="20"/>
        </w:rPr>
        <w:t>2</w:t>
      </w:r>
      <w:r w:rsidRPr="00276690">
        <w:rPr>
          <w:rFonts w:ascii="Arial" w:hAnsi="Arial" w:cs="Arial"/>
          <w:sz w:val="20"/>
          <w:szCs w:val="20"/>
        </w:rPr>
        <w:t xml:space="preserve"> nell’Area euro e nell’Area non euro, misurato dalle rilevazioni del commercio con l’estero a livello di merce (ovvero 8 cifre della Nomenclatura Combinata espressa secondo la classificazione CPA) per area di importazione (euro e non euro). I valori 202</w:t>
      </w:r>
      <w:r w:rsidR="00276690" w:rsidRPr="00276690">
        <w:rPr>
          <w:rFonts w:ascii="Arial" w:hAnsi="Arial" w:cs="Arial"/>
          <w:sz w:val="20"/>
          <w:szCs w:val="20"/>
        </w:rPr>
        <w:t>2</w:t>
      </w:r>
      <w:r w:rsidRPr="00276690">
        <w:rPr>
          <w:rFonts w:ascii="Arial" w:hAnsi="Arial" w:cs="Arial"/>
          <w:sz w:val="20"/>
          <w:szCs w:val="20"/>
        </w:rPr>
        <w:t xml:space="preserve"> sono stati attualizzati al mese di dicembre 2024.</w:t>
      </w:r>
    </w:p>
    <w:p w14:paraId="50F4FEDB"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 valori riferiti alle statistiche del commercio con l’estero - espressi inizialmente secondo i codici della Nomenclatura Combinata - sono riportati alla codifica della classificazione ProdCom (nelle prime 4 cifre derivata dalla Ateco 2007) mediante le tavole di corrispondenza messe a punto da Eurostat.</w:t>
      </w:r>
    </w:p>
    <w:p w14:paraId="61E1F5AB"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Per l’indice all’importazione totale (sintesi delle due aree), la struttura di ponderazione è definita per ciascun livello di aggregazione settoriale sulla base dei pesi relativi delle due aree.</w:t>
      </w:r>
    </w:p>
    <w:p w14:paraId="349A805B"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 prodotti inclusi nel campione hanno pesi rappresentativi anche dei prodotti simili non selezionati e i loro indici sono espressi secondo la classificazione Ateco 2007.</w:t>
      </w:r>
    </w:p>
    <w:p w14:paraId="263AF7BB" w14:textId="77777777" w:rsidR="00063CE3" w:rsidRDefault="00063CE3" w:rsidP="00063CE3">
      <w:pPr>
        <w:spacing w:after="120"/>
        <w:jc w:val="both"/>
        <w:rPr>
          <w:rFonts w:ascii="Arial" w:hAnsi="Arial" w:cs="Arial"/>
          <w:b/>
          <w:bCs/>
          <w:sz w:val="20"/>
          <w:szCs w:val="20"/>
        </w:rPr>
      </w:pPr>
    </w:p>
    <w:p w14:paraId="3B1862F8" w14:textId="77777777" w:rsidR="00063CE3" w:rsidRPr="00C9631A" w:rsidRDefault="00063CE3" w:rsidP="00063CE3">
      <w:pPr>
        <w:spacing w:after="120"/>
        <w:jc w:val="both"/>
        <w:rPr>
          <w:rFonts w:ascii="Arial" w:hAnsi="Arial" w:cs="Arial"/>
          <w:b/>
          <w:bCs/>
          <w:sz w:val="20"/>
          <w:szCs w:val="20"/>
        </w:rPr>
      </w:pPr>
      <w:r w:rsidRPr="00C9631A">
        <w:rPr>
          <w:rFonts w:ascii="Arial" w:hAnsi="Arial" w:cs="Arial"/>
          <w:b/>
          <w:bCs/>
          <w:sz w:val="20"/>
          <w:szCs w:val="20"/>
        </w:rPr>
        <w:t>Riservatezza</w:t>
      </w:r>
    </w:p>
    <w:p w14:paraId="31998E59" w14:textId="77777777"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 xml:space="preserve">I dati raccolti nell’ambito </w:t>
      </w:r>
      <w:r w:rsidRPr="00E660CB">
        <w:rPr>
          <w:rFonts w:ascii="Arial" w:hAnsi="Arial" w:cs="Arial"/>
          <w:bCs/>
          <w:sz w:val="20"/>
          <w:szCs w:val="20"/>
        </w:rPr>
        <w:t>della Rilevazione dei prezzi all’importazione</w:t>
      </w:r>
      <w:r w:rsidRPr="00C9631A">
        <w:rPr>
          <w:rFonts w:ascii="Arial" w:hAnsi="Arial" w:cs="Arial"/>
          <w:bCs/>
          <w:sz w:val="20"/>
          <w:szCs w:val="20"/>
        </w:rPr>
        <w:t xml:space="preserve"> sono tutelati dal segreto statistico (art. 9 d.lgs. n. 322/89) e sottoposti alla normativa relativa alla protezione e al trattamento dei dati personali (d.lgs. 30 giugno 2003, n. 196).</w:t>
      </w:r>
    </w:p>
    <w:p w14:paraId="6A7E006A" w14:textId="3DCA8944" w:rsidR="005E6F61" w:rsidRDefault="005E6F61" w:rsidP="00851050">
      <w:pPr>
        <w:spacing w:after="120"/>
        <w:jc w:val="both"/>
        <w:rPr>
          <w:rFonts w:ascii="Arial" w:hAnsi="Arial" w:cs="Arial"/>
          <w:b/>
          <w:bCs/>
          <w:sz w:val="21"/>
          <w:szCs w:val="21"/>
        </w:rPr>
      </w:pPr>
    </w:p>
    <w:p w14:paraId="1E00D397" w14:textId="72652396" w:rsidR="005E6F61" w:rsidRDefault="005E6F61" w:rsidP="00851050">
      <w:pPr>
        <w:spacing w:after="120"/>
        <w:jc w:val="both"/>
        <w:rPr>
          <w:rFonts w:ascii="Arial" w:hAnsi="Arial" w:cs="Arial"/>
          <w:b/>
          <w:bCs/>
          <w:sz w:val="21"/>
          <w:szCs w:val="21"/>
        </w:rPr>
      </w:pPr>
    </w:p>
    <w:p w14:paraId="2D1329C1" w14:textId="201BF98D" w:rsidR="00361F76" w:rsidRDefault="00361F76" w:rsidP="00851050">
      <w:pPr>
        <w:spacing w:after="120"/>
        <w:jc w:val="both"/>
        <w:rPr>
          <w:rFonts w:ascii="Arial" w:hAnsi="Arial" w:cs="Arial"/>
          <w:b/>
          <w:bCs/>
          <w:sz w:val="21"/>
          <w:szCs w:val="21"/>
        </w:rPr>
      </w:pPr>
    </w:p>
    <w:p w14:paraId="6C415C81" w14:textId="77777777" w:rsidR="00361F76" w:rsidRDefault="00361F76" w:rsidP="00851050">
      <w:pPr>
        <w:spacing w:after="120"/>
        <w:jc w:val="both"/>
        <w:rPr>
          <w:rFonts w:ascii="Arial" w:hAnsi="Arial" w:cs="Arial"/>
          <w:b/>
          <w:bCs/>
          <w:sz w:val="21"/>
          <w:szCs w:val="21"/>
        </w:rPr>
      </w:pPr>
    </w:p>
    <w:p w14:paraId="7FFF5A95" w14:textId="77777777" w:rsidR="00063CE3" w:rsidRPr="001971DE" w:rsidRDefault="00063CE3" w:rsidP="00063CE3">
      <w:pPr>
        <w:spacing w:after="120"/>
        <w:jc w:val="both"/>
        <w:rPr>
          <w:rFonts w:ascii="Arial" w:hAnsi="Arial" w:cs="Arial"/>
          <w:b/>
          <w:bCs/>
          <w:sz w:val="21"/>
          <w:szCs w:val="21"/>
        </w:rPr>
      </w:pPr>
      <w:r w:rsidRPr="001971DE">
        <w:rPr>
          <w:rFonts w:ascii="Arial" w:hAnsi="Arial" w:cs="Arial"/>
          <w:b/>
          <w:bCs/>
          <w:sz w:val="21"/>
          <w:szCs w:val="21"/>
        </w:rPr>
        <w:t>Commercio estero e prezzi all’import: la diffusione dei dati</w:t>
      </w:r>
    </w:p>
    <w:p w14:paraId="0242F121" w14:textId="77777777" w:rsidR="00063CE3" w:rsidRPr="00C9631A" w:rsidRDefault="00063CE3" w:rsidP="00063CE3">
      <w:pPr>
        <w:spacing w:after="120"/>
        <w:jc w:val="both"/>
        <w:rPr>
          <w:rFonts w:ascii="Arial" w:hAnsi="Arial" w:cs="Arial"/>
          <w:b/>
          <w:sz w:val="20"/>
          <w:szCs w:val="20"/>
        </w:rPr>
      </w:pPr>
      <w:r w:rsidRPr="00C9631A">
        <w:rPr>
          <w:rFonts w:ascii="Arial" w:hAnsi="Arial" w:cs="Arial"/>
          <w:b/>
          <w:sz w:val="20"/>
          <w:szCs w:val="20"/>
        </w:rPr>
        <w:t>Tempestività del rilascio e revisione dei dati</w:t>
      </w:r>
    </w:p>
    <w:p w14:paraId="5D294126" w14:textId="77777777" w:rsidR="00063CE3" w:rsidRPr="00C9631A" w:rsidRDefault="00063CE3" w:rsidP="00063CE3">
      <w:pPr>
        <w:spacing w:after="120"/>
        <w:jc w:val="both"/>
        <w:rPr>
          <w:rFonts w:ascii="Arial" w:hAnsi="Arial" w:cs="Arial"/>
          <w:bCs/>
          <w:sz w:val="20"/>
          <w:szCs w:val="20"/>
        </w:rPr>
      </w:pPr>
      <w:r w:rsidRPr="00C9631A">
        <w:rPr>
          <w:rFonts w:ascii="Arial" w:hAnsi="Arial" w:cs="Arial"/>
          <w:sz w:val="20"/>
          <w:szCs w:val="20"/>
        </w:rPr>
        <w:t>I dati sono pubblicati a 45 giorni dal mese di riferimento.</w:t>
      </w:r>
      <w:r w:rsidRPr="00C9631A">
        <w:rPr>
          <w:rFonts w:ascii="Arial" w:hAnsi="Arial" w:cs="Arial"/>
          <w:bCs/>
          <w:sz w:val="20"/>
          <w:szCs w:val="20"/>
        </w:rPr>
        <w:t xml:space="preserve"> Il </w:t>
      </w:r>
      <w:hyperlink r:id="rId47" w:history="1">
        <w:r w:rsidRPr="00E660CB">
          <w:rPr>
            <w:rStyle w:val="Collegamentoipertestuale"/>
            <w:rFonts w:ascii="Arial" w:hAnsi="Arial" w:cs="Arial"/>
            <w:bCs/>
            <w:sz w:val="20"/>
            <w:szCs w:val="20"/>
          </w:rPr>
          <w:t>calendario della diffusione</w:t>
        </w:r>
      </w:hyperlink>
      <w:r w:rsidRPr="00C9631A">
        <w:rPr>
          <w:rFonts w:ascii="Arial" w:hAnsi="Arial" w:cs="Arial"/>
          <w:bCs/>
          <w:sz w:val="20"/>
          <w:szCs w:val="20"/>
        </w:rPr>
        <w:t xml:space="preserve"> è definito annualmente e pubblicato sul sito web dell’Istituto</w:t>
      </w:r>
      <w:r>
        <w:rPr>
          <w:rFonts w:ascii="Arial" w:hAnsi="Arial" w:cs="Arial"/>
          <w:bCs/>
          <w:sz w:val="20"/>
          <w:szCs w:val="20"/>
        </w:rPr>
        <w:t>.</w:t>
      </w:r>
    </w:p>
    <w:p w14:paraId="12B5378F"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 xml:space="preserve">Al momento della prima pubblicazione, i dati di commercio estero sono di natura provvisoria e sono soggetti a una prima revisione nel mese successivo, al fine di incorporare ulteriori informazioni che si rendono disponibili successivamente alla loro diffusione, per essere definitivamente consolidati nel mese di novembre dell’anno seguente. </w:t>
      </w:r>
    </w:p>
    <w:p w14:paraId="4D2130E1" w14:textId="77777777" w:rsidR="00063CE3" w:rsidRPr="00C9631A" w:rsidRDefault="00063CE3" w:rsidP="00063CE3">
      <w:pPr>
        <w:spacing w:after="120"/>
        <w:jc w:val="both"/>
        <w:rPr>
          <w:rFonts w:ascii="Arial" w:hAnsi="Arial" w:cs="Arial"/>
          <w:sz w:val="20"/>
          <w:szCs w:val="20"/>
        </w:rPr>
      </w:pPr>
      <w:r w:rsidRPr="00C9631A">
        <w:rPr>
          <w:rFonts w:ascii="Arial" w:hAnsi="Arial" w:cs="Arial"/>
          <w:bCs/>
          <w:sz w:val="20"/>
          <w:szCs w:val="20"/>
        </w:rPr>
        <w:t>I dati definitivi dei prezzi all’import vengono invece diffusi dopo 75 giorni</w:t>
      </w:r>
      <w:r>
        <w:rPr>
          <w:rFonts w:ascii="Arial" w:hAnsi="Arial" w:cs="Arial"/>
          <w:bCs/>
          <w:sz w:val="20"/>
          <w:szCs w:val="20"/>
        </w:rPr>
        <w:t xml:space="preserve">, nel rispetto delle </w:t>
      </w:r>
      <w:r w:rsidRPr="00C9631A">
        <w:rPr>
          <w:rFonts w:ascii="Arial" w:hAnsi="Arial" w:cs="Arial"/>
          <w:bCs/>
          <w:sz w:val="20"/>
          <w:szCs w:val="20"/>
        </w:rPr>
        <w:t xml:space="preserve">condizioni richieste da Eurostat. </w:t>
      </w:r>
    </w:p>
    <w:p w14:paraId="0D5D0FF8"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 xml:space="preserve">Per </w:t>
      </w:r>
      <w:r>
        <w:rPr>
          <w:rFonts w:ascii="Arial" w:hAnsi="Arial" w:cs="Arial"/>
          <w:sz w:val="20"/>
          <w:szCs w:val="20"/>
        </w:rPr>
        <w:t>ulteriori</w:t>
      </w:r>
      <w:r w:rsidRPr="00C9631A">
        <w:rPr>
          <w:rFonts w:ascii="Arial" w:hAnsi="Arial" w:cs="Arial"/>
          <w:sz w:val="20"/>
          <w:szCs w:val="20"/>
        </w:rPr>
        <w:t xml:space="preserve"> informazioni </w:t>
      </w:r>
      <w:r>
        <w:rPr>
          <w:rFonts w:ascii="Arial" w:hAnsi="Arial" w:cs="Arial"/>
          <w:sz w:val="20"/>
          <w:szCs w:val="20"/>
        </w:rPr>
        <w:t xml:space="preserve">consultare </w:t>
      </w:r>
      <w:r w:rsidRPr="00C9631A">
        <w:rPr>
          <w:rFonts w:ascii="Arial" w:hAnsi="Arial" w:cs="Arial"/>
          <w:sz w:val="20"/>
          <w:szCs w:val="20"/>
        </w:rPr>
        <w:t xml:space="preserve">la </w:t>
      </w:r>
      <w:hyperlink r:id="rId48" w:history="1">
        <w:r w:rsidRPr="00C9631A">
          <w:rPr>
            <w:rStyle w:val="Collegamentoipertestuale"/>
            <w:rFonts w:ascii="Arial" w:hAnsi="Arial" w:cs="Arial"/>
            <w:sz w:val="20"/>
            <w:szCs w:val="20"/>
          </w:rPr>
          <w:t>scheda</w:t>
        </w:r>
      </w:hyperlink>
      <w:r w:rsidRPr="00C9631A">
        <w:rPr>
          <w:rFonts w:ascii="Arial" w:hAnsi="Arial" w:cs="Arial"/>
          <w:sz w:val="20"/>
          <w:szCs w:val="20"/>
        </w:rPr>
        <w:t xml:space="preserve"> </w:t>
      </w:r>
      <w:r>
        <w:rPr>
          <w:rFonts w:ascii="Arial" w:hAnsi="Arial" w:cs="Arial"/>
          <w:sz w:val="20"/>
          <w:szCs w:val="20"/>
        </w:rPr>
        <w:t xml:space="preserve">dedicata </w:t>
      </w:r>
      <w:r w:rsidRPr="00C9631A">
        <w:rPr>
          <w:rFonts w:ascii="Arial" w:hAnsi="Arial" w:cs="Arial"/>
          <w:sz w:val="20"/>
          <w:szCs w:val="20"/>
        </w:rPr>
        <w:t>alle politiche di revisione degli indicatori del commercio con l’estero e prezzi all’import.</w:t>
      </w:r>
    </w:p>
    <w:p w14:paraId="463A439B" w14:textId="77777777" w:rsidR="00063CE3" w:rsidRDefault="00063CE3" w:rsidP="00063CE3">
      <w:pPr>
        <w:spacing w:after="120"/>
        <w:jc w:val="both"/>
        <w:rPr>
          <w:rFonts w:ascii="Arial" w:hAnsi="Arial" w:cs="Arial"/>
          <w:b/>
          <w:sz w:val="20"/>
          <w:szCs w:val="20"/>
        </w:rPr>
      </w:pPr>
    </w:p>
    <w:p w14:paraId="44407916" w14:textId="77777777" w:rsidR="00063CE3" w:rsidRPr="00C9631A" w:rsidRDefault="00063CE3" w:rsidP="00063CE3">
      <w:pPr>
        <w:spacing w:after="120"/>
        <w:jc w:val="both"/>
        <w:rPr>
          <w:rFonts w:ascii="Arial" w:hAnsi="Arial" w:cs="Arial"/>
          <w:b/>
          <w:sz w:val="20"/>
          <w:szCs w:val="20"/>
        </w:rPr>
      </w:pPr>
      <w:r w:rsidRPr="00C9631A">
        <w:rPr>
          <w:rFonts w:ascii="Arial" w:hAnsi="Arial" w:cs="Arial"/>
          <w:b/>
          <w:sz w:val="20"/>
          <w:szCs w:val="20"/>
        </w:rPr>
        <w:t>I canali di diffusione dei dati statistici</w:t>
      </w:r>
    </w:p>
    <w:p w14:paraId="78720A6B" w14:textId="77777777"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I dati sono diffusi simultaneamente a tutte le parti interessate mediante il comunicato stampa mensile - la Statistica Flash “Commercio con l’estero e prezzi all’import dei prodotti industriali” – pubblicato sul sito web dell’Istituto:</w:t>
      </w:r>
    </w:p>
    <w:p w14:paraId="4A06AB5F" w14:textId="77777777" w:rsidR="00063CE3" w:rsidRPr="00C9631A" w:rsidRDefault="00B30D64" w:rsidP="00063CE3">
      <w:pPr>
        <w:pStyle w:val="Paragrafoelenco"/>
        <w:numPr>
          <w:ilvl w:val="0"/>
          <w:numId w:val="34"/>
        </w:numPr>
        <w:tabs>
          <w:tab w:val="clear" w:pos="426"/>
        </w:tabs>
        <w:ind w:left="426"/>
        <w:rPr>
          <w:rFonts w:ascii="Arial" w:hAnsi="Arial" w:cs="Arial"/>
          <w:sz w:val="20"/>
          <w:szCs w:val="20"/>
        </w:rPr>
      </w:pPr>
      <w:hyperlink r:id="rId49" w:history="1">
        <w:r w:rsidR="00063CE3" w:rsidRPr="00C9631A">
          <w:rPr>
            <w:rStyle w:val="Collegamentoipertestuale"/>
            <w:rFonts w:ascii="Arial" w:hAnsi="Arial" w:cs="Arial"/>
            <w:sz w:val="20"/>
            <w:szCs w:val="20"/>
          </w:rPr>
          <w:t>Commercio estero e prezzi all’import</w:t>
        </w:r>
      </w:hyperlink>
    </w:p>
    <w:p w14:paraId="7CE94921" w14:textId="77777777" w:rsidR="00063CE3" w:rsidRPr="00C9631A" w:rsidRDefault="00063CE3" w:rsidP="00063CE3">
      <w:pPr>
        <w:spacing w:after="120"/>
        <w:jc w:val="both"/>
        <w:rPr>
          <w:rFonts w:ascii="Arial" w:hAnsi="Arial" w:cs="Arial"/>
          <w:bCs/>
          <w:sz w:val="20"/>
          <w:szCs w:val="20"/>
        </w:rPr>
      </w:pPr>
      <w:r w:rsidRPr="00C9631A">
        <w:rPr>
          <w:rFonts w:ascii="Arial" w:hAnsi="Arial" w:cs="Arial"/>
          <w:bCs/>
          <w:sz w:val="20"/>
          <w:szCs w:val="20"/>
        </w:rPr>
        <w:t>Le serie storiche aggiornate sono pubblicate in allegato al comunicato stampa.</w:t>
      </w:r>
    </w:p>
    <w:p w14:paraId="1CA76D3A" w14:textId="77777777" w:rsidR="00063CE3" w:rsidRPr="00C9631A" w:rsidRDefault="00063CE3" w:rsidP="00063CE3">
      <w:pPr>
        <w:jc w:val="both"/>
        <w:rPr>
          <w:rFonts w:ascii="Arial" w:hAnsi="Arial" w:cs="Arial"/>
          <w:sz w:val="20"/>
          <w:szCs w:val="20"/>
        </w:rPr>
      </w:pPr>
      <w:r w:rsidRPr="00C9631A">
        <w:rPr>
          <w:rFonts w:ascii="Arial" w:hAnsi="Arial" w:cs="Arial"/>
          <w:sz w:val="20"/>
          <w:szCs w:val="20"/>
        </w:rPr>
        <w:t>Ulteriori comunicati stampa sul commercio estero:</w:t>
      </w:r>
    </w:p>
    <w:p w14:paraId="5E1615D2" w14:textId="77777777" w:rsidR="00063CE3" w:rsidRPr="00C9631A" w:rsidRDefault="00B30D64" w:rsidP="00063CE3">
      <w:pPr>
        <w:pStyle w:val="Paragrafoelenco"/>
        <w:numPr>
          <w:ilvl w:val="0"/>
          <w:numId w:val="34"/>
        </w:numPr>
        <w:tabs>
          <w:tab w:val="clear" w:pos="426"/>
        </w:tabs>
        <w:spacing w:before="120"/>
        <w:ind w:left="425" w:hanging="357"/>
        <w:rPr>
          <w:rFonts w:ascii="Arial" w:hAnsi="Arial" w:cs="Arial"/>
          <w:sz w:val="20"/>
          <w:szCs w:val="20"/>
        </w:rPr>
      </w:pPr>
      <w:hyperlink r:id="rId50" w:history="1">
        <w:r w:rsidR="00063CE3" w:rsidRPr="00C9631A">
          <w:rPr>
            <w:rStyle w:val="Collegamentoipertestuale"/>
            <w:rFonts w:ascii="Arial" w:hAnsi="Arial" w:cs="Arial"/>
            <w:sz w:val="20"/>
            <w:szCs w:val="20"/>
          </w:rPr>
          <w:t>Commercio estero con i paesi extra UE</w:t>
        </w:r>
      </w:hyperlink>
    </w:p>
    <w:p w14:paraId="10500BA2" w14:textId="77777777" w:rsidR="00063CE3" w:rsidRPr="00C9631A" w:rsidRDefault="00B30D64" w:rsidP="00063CE3">
      <w:pPr>
        <w:pStyle w:val="Paragrafoelenco"/>
        <w:numPr>
          <w:ilvl w:val="0"/>
          <w:numId w:val="34"/>
        </w:numPr>
        <w:tabs>
          <w:tab w:val="clear" w:pos="426"/>
        </w:tabs>
        <w:spacing w:before="240"/>
        <w:ind w:left="426"/>
        <w:rPr>
          <w:rFonts w:ascii="Arial" w:hAnsi="Arial" w:cs="Arial"/>
          <w:sz w:val="20"/>
          <w:szCs w:val="20"/>
        </w:rPr>
      </w:pPr>
      <w:hyperlink r:id="rId51" w:history="1">
        <w:r w:rsidR="00063CE3" w:rsidRPr="00C9631A">
          <w:rPr>
            <w:rStyle w:val="Collegamentoipertestuale"/>
            <w:rFonts w:ascii="Arial" w:hAnsi="Arial" w:cs="Arial"/>
            <w:sz w:val="20"/>
            <w:szCs w:val="20"/>
          </w:rPr>
          <w:t>Le esportazioni delle regioni italiane</w:t>
        </w:r>
      </w:hyperlink>
    </w:p>
    <w:p w14:paraId="69DB005E" w14:textId="77777777" w:rsidR="00063CE3" w:rsidRPr="00C9631A" w:rsidRDefault="00063CE3" w:rsidP="00063CE3">
      <w:pPr>
        <w:spacing w:after="120"/>
        <w:jc w:val="both"/>
        <w:rPr>
          <w:rFonts w:ascii="Arial" w:hAnsi="Arial" w:cs="Arial"/>
          <w:bCs/>
          <w:sz w:val="20"/>
          <w:szCs w:val="20"/>
        </w:rPr>
      </w:pPr>
      <w:r>
        <w:rPr>
          <w:rFonts w:ascii="Arial" w:hAnsi="Arial" w:cs="Arial"/>
          <w:bCs/>
          <w:sz w:val="20"/>
          <w:szCs w:val="20"/>
        </w:rPr>
        <w:t>I</w:t>
      </w:r>
      <w:r w:rsidRPr="00C9631A">
        <w:rPr>
          <w:rFonts w:ascii="Arial" w:hAnsi="Arial" w:cs="Arial"/>
          <w:bCs/>
          <w:sz w:val="20"/>
          <w:szCs w:val="20"/>
        </w:rPr>
        <w:t xml:space="preserve"> dati sono trasmessi mensilmente ad Eurostat e consultabili all’indirizzo </w:t>
      </w:r>
      <w:hyperlink r:id="rId52" w:history="1">
        <w:r w:rsidRPr="00C9631A">
          <w:rPr>
            <w:rFonts w:ascii="Arial" w:hAnsi="Arial" w:cs="Arial"/>
            <w:bCs/>
            <w:color w:val="0000FF"/>
            <w:sz w:val="20"/>
            <w:szCs w:val="20"/>
            <w:u w:val="single"/>
          </w:rPr>
          <w:t>http://ec.europa.eu/eurostat/data/database</w:t>
        </w:r>
      </w:hyperlink>
      <w:r w:rsidRPr="00C9631A">
        <w:rPr>
          <w:rFonts w:ascii="Arial" w:hAnsi="Arial" w:cs="Arial"/>
          <w:bCs/>
          <w:sz w:val="20"/>
          <w:szCs w:val="20"/>
        </w:rPr>
        <w:t xml:space="preserve"> (Tema </w:t>
      </w:r>
      <w:r w:rsidRPr="00C9631A">
        <w:rPr>
          <w:rFonts w:ascii="Arial" w:hAnsi="Arial" w:cs="Arial"/>
          <w:bCs/>
          <w:i/>
          <w:sz w:val="20"/>
          <w:szCs w:val="20"/>
        </w:rPr>
        <w:t>Industry, trade and services</w:t>
      </w:r>
      <w:r w:rsidRPr="00C9631A">
        <w:rPr>
          <w:rFonts w:ascii="Arial" w:hAnsi="Arial" w:cs="Arial"/>
          <w:bCs/>
          <w:sz w:val="20"/>
          <w:szCs w:val="20"/>
        </w:rPr>
        <w:t xml:space="preserve">, argomento </w:t>
      </w:r>
      <w:r w:rsidRPr="00C9631A">
        <w:rPr>
          <w:rFonts w:ascii="Arial" w:hAnsi="Arial" w:cs="Arial"/>
          <w:bCs/>
          <w:i/>
          <w:sz w:val="20"/>
          <w:szCs w:val="20"/>
        </w:rPr>
        <w:t>Short-term business statistics (sts)</w:t>
      </w:r>
      <w:r w:rsidRPr="00C9631A">
        <w:rPr>
          <w:rFonts w:ascii="Arial" w:hAnsi="Arial" w:cs="Arial"/>
          <w:bCs/>
          <w:sz w:val="20"/>
          <w:szCs w:val="20"/>
        </w:rPr>
        <w:t>).</w:t>
      </w:r>
    </w:p>
    <w:p w14:paraId="11AA1109" w14:textId="77777777" w:rsidR="00063CE3" w:rsidRPr="00C9631A" w:rsidRDefault="00063CE3" w:rsidP="00063CE3">
      <w:pPr>
        <w:spacing w:after="120"/>
        <w:jc w:val="both"/>
        <w:rPr>
          <w:rFonts w:ascii="Arial" w:hAnsi="Arial" w:cs="Arial"/>
          <w:sz w:val="20"/>
          <w:szCs w:val="20"/>
        </w:rPr>
      </w:pPr>
      <w:r w:rsidRPr="00C9631A">
        <w:rPr>
          <w:rFonts w:ascii="Arial" w:hAnsi="Arial" w:cs="Arial"/>
          <w:sz w:val="20"/>
          <w:szCs w:val="20"/>
        </w:rPr>
        <w:t>I dati di commercio estero sono disponibili su Coeweb, il data</w:t>
      </w:r>
      <w:r>
        <w:rPr>
          <w:rFonts w:ascii="Arial" w:hAnsi="Arial" w:cs="Arial"/>
          <w:sz w:val="20"/>
          <w:szCs w:val="20"/>
        </w:rPr>
        <w:t xml:space="preserve"> </w:t>
      </w:r>
      <w:r w:rsidRPr="00C9631A">
        <w:rPr>
          <w:rFonts w:ascii="Arial" w:hAnsi="Arial" w:cs="Arial"/>
          <w:sz w:val="20"/>
          <w:szCs w:val="20"/>
        </w:rPr>
        <w:t>warehouse completamente dedicato alle statistiche del commercio con l'estero, nel mese successivo all’uscita del comunicato. La banca dati fornisce, con cadenza mensile, un ricco patrimonio informativo sui flussi commerciali dell'Italia con il resto del mondo e contiene informazioni e serie storiche a partire dal 1991.</w:t>
      </w:r>
      <w:r>
        <w:rPr>
          <w:rFonts w:ascii="Arial" w:hAnsi="Arial" w:cs="Arial"/>
          <w:sz w:val="20"/>
          <w:szCs w:val="20"/>
        </w:rPr>
        <w:t xml:space="preserve"> Gli indici dei valori medi unitari e dei volumi del commercio estero nella base di riferimento 2021=100 sono disponibili a partire da gennaio 1996.</w:t>
      </w:r>
    </w:p>
    <w:p w14:paraId="445C358D" w14:textId="77777777" w:rsidR="00063CE3" w:rsidRDefault="00063CE3" w:rsidP="00063CE3">
      <w:pPr>
        <w:spacing w:after="120"/>
        <w:jc w:val="both"/>
        <w:rPr>
          <w:rStyle w:val="markedcontent"/>
          <w:rFonts w:ascii="Arial" w:hAnsi="Arial" w:cs="Arial"/>
          <w:sz w:val="20"/>
          <w:szCs w:val="20"/>
        </w:rPr>
      </w:pPr>
      <w:r w:rsidRPr="003D689D">
        <w:rPr>
          <w:rStyle w:val="markedcontent"/>
          <w:rFonts w:ascii="Arial" w:hAnsi="Arial" w:cs="Arial"/>
          <w:sz w:val="20"/>
          <w:szCs w:val="20"/>
        </w:rPr>
        <w:t>Le serie</w:t>
      </w:r>
      <w:r>
        <w:rPr>
          <w:rStyle w:val="markedcontent"/>
          <w:rFonts w:ascii="Arial" w:hAnsi="Arial" w:cs="Arial"/>
          <w:sz w:val="20"/>
          <w:szCs w:val="20"/>
        </w:rPr>
        <w:t xml:space="preserve"> aggiornate</w:t>
      </w:r>
      <w:r w:rsidRPr="003D689D">
        <w:rPr>
          <w:rStyle w:val="markedcontent"/>
          <w:rFonts w:ascii="Arial" w:hAnsi="Arial" w:cs="Arial"/>
          <w:sz w:val="20"/>
          <w:szCs w:val="20"/>
        </w:rPr>
        <w:t xml:space="preserve"> </w:t>
      </w:r>
      <w:r>
        <w:rPr>
          <w:rStyle w:val="markedcontent"/>
          <w:rFonts w:ascii="Arial" w:hAnsi="Arial" w:cs="Arial"/>
          <w:sz w:val="20"/>
          <w:szCs w:val="20"/>
        </w:rPr>
        <w:t xml:space="preserve">degli indici dei prezzi all’importazione </w:t>
      </w:r>
      <w:r w:rsidRPr="003D689D">
        <w:rPr>
          <w:rStyle w:val="markedcontent"/>
          <w:rFonts w:ascii="Arial" w:hAnsi="Arial" w:cs="Arial"/>
          <w:sz w:val="20"/>
          <w:szCs w:val="20"/>
        </w:rPr>
        <w:t>sono pubblicate, in concomitanza con la diffusione del comunicato stampa, sulla banca dati dell’istituto (</w:t>
      </w:r>
      <w:hyperlink r:id="rId53" w:history="1">
        <w:r w:rsidRPr="003D689D">
          <w:rPr>
            <w:rStyle w:val="Collegamentoipertestuale"/>
            <w:rFonts w:ascii="Arial" w:hAnsi="Arial" w:cs="Arial"/>
            <w:sz w:val="20"/>
            <w:szCs w:val="20"/>
          </w:rPr>
          <w:t>IstatData</w:t>
        </w:r>
      </w:hyperlink>
      <w:r w:rsidRPr="003D689D">
        <w:rPr>
          <w:rStyle w:val="Collegamentoipertestuale"/>
          <w:rFonts w:ascii="Arial" w:hAnsi="Arial" w:cs="Arial"/>
          <w:sz w:val="20"/>
          <w:szCs w:val="20"/>
        </w:rPr>
        <w:t>)</w:t>
      </w:r>
      <w:r w:rsidRPr="003D689D">
        <w:rPr>
          <w:rStyle w:val="markedcontent"/>
          <w:rFonts w:ascii="Arial" w:hAnsi="Arial" w:cs="Arial"/>
          <w:sz w:val="20"/>
          <w:szCs w:val="20"/>
        </w:rPr>
        <w:t xml:space="preserve"> all’interno de</w:t>
      </w:r>
      <w:r>
        <w:rPr>
          <w:rStyle w:val="markedcontent"/>
          <w:rFonts w:ascii="Arial" w:hAnsi="Arial" w:cs="Arial"/>
          <w:sz w:val="20"/>
          <w:szCs w:val="20"/>
        </w:rPr>
        <w:t>l</w:t>
      </w:r>
      <w:r w:rsidRPr="003D689D">
        <w:rPr>
          <w:rStyle w:val="markedcontent"/>
          <w:rFonts w:ascii="Arial" w:hAnsi="Arial" w:cs="Arial"/>
          <w:sz w:val="20"/>
          <w:szCs w:val="20"/>
        </w:rPr>
        <w:t xml:space="preserve"> tema Prezzi</w:t>
      </w:r>
      <w:r>
        <w:rPr>
          <w:rStyle w:val="markedcontent"/>
          <w:rFonts w:ascii="Arial" w:hAnsi="Arial" w:cs="Arial"/>
          <w:sz w:val="20"/>
          <w:szCs w:val="20"/>
        </w:rPr>
        <w:t xml:space="preserve"> - </w:t>
      </w:r>
      <w:hyperlink r:id="rId54" w:anchor="/it/dw/categories/IT1,Z0400PRI,1.0/DCSC_PREIMPIND" w:history="1">
        <w:r>
          <w:rPr>
            <w:rStyle w:val="Collegamentoipertestuale"/>
            <w:rFonts w:ascii="Arial" w:hAnsi="Arial" w:cs="Arial"/>
            <w:sz w:val="20"/>
            <w:szCs w:val="20"/>
          </w:rPr>
          <w:t>Indici dei pre</w:t>
        </w:r>
        <w:r w:rsidRPr="00D15739">
          <w:rPr>
            <w:rStyle w:val="Collegamentoipertestuale"/>
            <w:rFonts w:ascii="Arial" w:hAnsi="Arial" w:cs="Arial"/>
            <w:sz w:val="20"/>
            <w:szCs w:val="20"/>
          </w:rPr>
          <w:t>zzi all’importazione</w:t>
        </w:r>
      </w:hyperlink>
      <w:r>
        <w:rPr>
          <w:rStyle w:val="markedcontent"/>
          <w:rFonts w:ascii="Arial" w:hAnsi="Arial" w:cs="Arial"/>
          <w:sz w:val="20"/>
          <w:szCs w:val="20"/>
        </w:rPr>
        <w:t xml:space="preserve">. </w:t>
      </w:r>
      <w:r w:rsidRPr="003D689D">
        <w:rPr>
          <w:rStyle w:val="markedcontent"/>
          <w:rFonts w:ascii="Arial" w:hAnsi="Arial" w:cs="Arial"/>
          <w:sz w:val="20"/>
          <w:szCs w:val="20"/>
        </w:rPr>
        <w:t xml:space="preserve">Le serie </w:t>
      </w:r>
      <w:r>
        <w:rPr>
          <w:rStyle w:val="markedcontent"/>
          <w:rFonts w:ascii="Arial" w:hAnsi="Arial" w:cs="Arial"/>
          <w:sz w:val="20"/>
          <w:szCs w:val="20"/>
        </w:rPr>
        <w:t xml:space="preserve">degli indici </w:t>
      </w:r>
      <w:r w:rsidRPr="003D689D">
        <w:rPr>
          <w:rStyle w:val="markedcontent"/>
          <w:rFonts w:ascii="Arial" w:hAnsi="Arial" w:cs="Arial"/>
          <w:sz w:val="20"/>
          <w:szCs w:val="20"/>
        </w:rPr>
        <w:t>nella base di riferimento</w:t>
      </w:r>
      <w:r>
        <w:rPr>
          <w:rStyle w:val="markedcontent"/>
          <w:rFonts w:ascii="Arial" w:hAnsi="Arial" w:cs="Arial"/>
          <w:sz w:val="20"/>
          <w:szCs w:val="20"/>
        </w:rPr>
        <w:t xml:space="preserve"> 2021=100</w:t>
      </w:r>
      <w:r w:rsidRPr="003D689D">
        <w:rPr>
          <w:rStyle w:val="markedcontent"/>
          <w:rFonts w:ascii="Arial" w:hAnsi="Arial" w:cs="Arial"/>
          <w:sz w:val="20"/>
          <w:szCs w:val="20"/>
        </w:rPr>
        <w:t xml:space="preserve"> sono disponibili a partire da gennaio 2005.</w:t>
      </w:r>
      <w:r>
        <w:rPr>
          <w:rStyle w:val="markedcontent"/>
          <w:rFonts w:ascii="Arial" w:hAnsi="Arial" w:cs="Arial"/>
          <w:sz w:val="20"/>
          <w:szCs w:val="20"/>
        </w:rPr>
        <w:t xml:space="preserve"> </w:t>
      </w:r>
    </w:p>
    <w:p w14:paraId="207F2D4E" w14:textId="77777777" w:rsidR="00063CE3" w:rsidRPr="00FF3A5E" w:rsidRDefault="00063CE3" w:rsidP="00063CE3">
      <w:pPr>
        <w:spacing w:after="120"/>
        <w:jc w:val="both"/>
        <w:rPr>
          <w:rFonts w:ascii="Arial" w:hAnsi="Arial" w:cs="Arial"/>
          <w:sz w:val="20"/>
          <w:szCs w:val="20"/>
        </w:rPr>
      </w:pPr>
    </w:p>
    <w:p w14:paraId="49F9BCF6" w14:textId="77777777" w:rsidR="00063CE3" w:rsidRPr="00C9631A" w:rsidRDefault="00063CE3" w:rsidP="00063CE3">
      <w:pPr>
        <w:spacing w:after="120"/>
        <w:jc w:val="both"/>
        <w:rPr>
          <w:rFonts w:ascii="Arial" w:hAnsi="Arial" w:cs="Arial"/>
          <w:b/>
          <w:bCs/>
          <w:sz w:val="20"/>
          <w:szCs w:val="20"/>
        </w:rPr>
      </w:pPr>
      <w:r w:rsidRPr="00C9631A">
        <w:rPr>
          <w:rFonts w:ascii="Arial" w:hAnsi="Arial" w:cs="Arial"/>
          <w:b/>
          <w:bCs/>
          <w:sz w:val="20"/>
          <w:szCs w:val="20"/>
        </w:rPr>
        <w:t>Approfondimenti</w:t>
      </w:r>
    </w:p>
    <w:p w14:paraId="0CD308FB" w14:textId="77777777" w:rsidR="00063CE3" w:rsidRPr="00C9631A" w:rsidRDefault="00B30D64" w:rsidP="00063CE3">
      <w:pPr>
        <w:numPr>
          <w:ilvl w:val="0"/>
          <w:numId w:val="36"/>
        </w:numPr>
        <w:spacing w:after="120"/>
        <w:ind w:left="284" w:hanging="284"/>
        <w:jc w:val="both"/>
        <w:rPr>
          <w:rFonts w:ascii="Arial" w:hAnsi="Arial" w:cs="Arial"/>
          <w:sz w:val="20"/>
          <w:szCs w:val="20"/>
        </w:rPr>
      </w:pPr>
      <w:hyperlink r:id="rId55" w:history="1">
        <w:r w:rsidR="00063CE3" w:rsidRPr="00C9631A">
          <w:rPr>
            <w:rStyle w:val="Collegamentoipertestuale"/>
            <w:rFonts w:ascii="Arial" w:hAnsi="Arial" w:cs="Arial"/>
            <w:sz w:val="20"/>
            <w:szCs w:val="20"/>
          </w:rPr>
          <w:t>Nota Informativa</w:t>
        </w:r>
      </w:hyperlink>
      <w:r w:rsidR="00063CE3" w:rsidRPr="00C9631A">
        <w:rPr>
          <w:rFonts w:ascii="Arial" w:hAnsi="Arial" w:cs="Arial"/>
          <w:sz w:val="20"/>
          <w:szCs w:val="20"/>
        </w:rPr>
        <w:t xml:space="preserve"> sulle caratteristiche dei nuovi indici del commercio con l’estero del 25/02/2008.</w:t>
      </w:r>
    </w:p>
    <w:p w14:paraId="170C2FF8" w14:textId="77777777" w:rsidR="00063CE3" w:rsidRDefault="00B30D64" w:rsidP="00063CE3">
      <w:pPr>
        <w:numPr>
          <w:ilvl w:val="0"/>
          <w:numId w:val="36"/>
        </w:numPr>
        <w:spacing w:after="120"/>
        <w:ind w:left="284" w:hanging="284"/>
        <w:jc w:val="both"/>
        <w:rPr>
          <w:rFonts w:ascii="Arial" w:hAnsi="Arial" w:cs="Arial"/>
          <w:sz w:val="20"/>
          <w:szCs w:val="20"/>
        </w:rPr>
      </w:pPr>
      <w:hyperlink r:id="rId56" w:history="1">
        <w:r w:rsidR="00063CE3" w:rsidRPr="00C9631A">
          <w:rPr>
            <w:rStyle w:val="Collegamentoipertestuale"/>
            <w:rFonts w:ascii="Arial" w:hAnsi="Arial" w:cs="Arial"/>
            <w:sz w:val="20"/>
            <w:szCs w:val="20"/>
          </w:rPr>
          <w:t>Nota informativa</w:t>
        </w:r>
      </w:hyperlink>
      <w:r w:rsidR="00063CE3" w:rsidRPr="00C9631A">
        <w:rPr>
          <w:rFonts w:ascii="Arial" w:hAnsi="Arial" w:cs="Arial"/>
          <w:sz w:val="20"/>
          <w:szCs w:val="20"/>
        </w:rPr>
        <w:t xml:space="preserve"> sul nuovo sistema di produzione delle statistiche sugli scambi con l’estero di gas naturale ed energia elettrica del 15/11/2011.</w:t>
      </w:r>
    </w:p>
    <w:p w14:paraId="49990C11" w14:textId="77777777" w:rsidR="00063CE3" w:rsidRDefault="00B30D64" w:rsidP="00063CE3">
      <w:pPr>
        <w:numPr>
          <w:ilvl w:val="0"/>
          <w:numId w:val="36"/>
        </w:numPr>
        <w:spacing w:after="120"/>
        <w:ind w:left="284" w:hanging="284"/>
        <w:jc w:val="both"/>
        <w:rPr>
          <w:rFonts w:ascii="Arial" w:hAnsi="Arial" w:cs="Arial"/>
          <w:sz w:val="20"/>
          <w:szCs w:val="20"/>
        </w:rPr>
      </w:pPr>
      <w:hyperlink r:id="rId57" w:history="1">
        <w:r w:rsidR="00063CE3" w:rsidRPr="00C9631A">
          <w:rPr>
            <w:rStyle w:val="Collegamentoipertestuale"/>
            <w:rFonts w:ascii="Arial" w:hAnsi="Arial" w:cs="Arial"/>
            <w:sz w:val="20"/>
            <w:szCs w:val="20"/>
          </w:rPr>
          <w:t>Nota informativa</w:t>
        </w:r>
      </w:hyperlink>
      <w:r w:rsidR="00063CE3" w:rsidRPr="00C9631A">
        <w:rPr>
          <w:rFonts w:ascii="Arial" w:hAnsi="Arial" w:cs="Arial"/>
          <w:sz w:val="20"/>
          <w:szCs w:val="20"/>
        </w:rPr>
        <w:t xml:space="preserve"> sull’avvio della rilevazione</w:t>
      </w:r>
      <w:r w:rsidR="00063CE3">
        <w:rPr>
          <w:rFonts w:ascii="Arial" w:hAnsi="Arial" w:cs="Arial"/>
          <w:sz w:val="20"/>
          <w:szCs w:val="20"/>
        </w:rPr>
        <w:t xml:space="preserve"> dei prezzi all’import,</w:t>
      </w:r>
      <w:r w:rsidR="00063CE3" w:rsidRPr="00C9631A">
        <w:rPr>
          <w:rFonts w:ascii="Arial" w:hAnsi="Arial" w:cs="Arial"/>
          <w:sz w:val="20"/>
          <w:szCs w:val="20"/>
        </w:rPr>
        <w:t xml:space="preserve"> del 24/02/2014. </w:t>
      </w:r>
    </w:p>
    <w:p w14:paraId="0F70D340" w14:textId="7B14216F" w:rsidR="00063CE3" w:rsidRPr="00052EEF" w:rsidRDefault="00B30D64" w:rsidP="00063CE3">
      <w:pPr>
        <w:numPr>
          <w:ilvl w:val="0"/>
          <w:numId w:val="36"/>
        </w:numPr>
        <w:spacing w:after="120"/>
        <w:ind w:left="284" w:hanging="284"/>
        <w:jc w:val="both"/>
        <w:rPr>
          <w:rFonts w:ascii="Arial" w:hAnsi="Arial" w:cs="Arial"/>
          <w:b/>
          <w:sz w:val="20"/>
          <w:szCs w:val="20"/>
        </w:rPr>
      </w:pPr>
      <w:hyperlink r:id="rId58" w:history="1">
        <w:r w:rsidR="00063CE3" w:rsidRPr="008A6D09">
          <w:rPr>
            <w:rStyle w:val="Collegamentoipertestuale"/>
            <w:rFonts w:ascii="Arial" w:hAnsi="Arial" w:cs="Arial"/>
            <w:sz w:val="20"/>
            <w:szCs w:val="20"/>
          </w:rPr>
          <w:t>Nota informativa</w:t>
        </w:r>
      </w:hyperlink>
      <w:r w:rsidR="00063CE3" w:rsidRPr="00C9631A">
        <w:rPr>
          <w:rFonts w:ascii="Arial" w:hAnsi="Arial" w:cs="Arial"/>
          <w:sz w:val="20"/>
          <w:szCs w:val="20"/>
        </w:rPr>
        <w:t xml:space="preserve"> sulla ricostruzione delle serie storiche </w:t>
      </w:r>
      <w:r w:rsidR="00063CE3">
        <w:rPr>
          <w:rFonts w:ascii="Arial" w:hAnsi="Arial" w:cs="Arial"/>
          <w:sz w:val="20"/>
          <w:szCs w:val="20"/>
        </w:rPr>
        <w:t xml:space="preserve">degli indici dei prezzi all’import </w:t>
      </w:r>
      <w:r w:rsidR="00063CE3" w:rsidRPr="00C9631A">
        <w:rPr>
          <w:rFonts w:ascii="Arial" w:hAnsi="Arial" w:cs="Arial"/>
          <w:sz w:val="20"/>
          <w:szCs w:val="20"/>
        </w:rPr>
        <w:t>per il periodo 2005</w:t>
      </w:r>
      <w:r w:rsidR="00AD0824">
        <w:rPr>
          <w:rFonts w:ascii="Arial" w:hAnsi="Arial" w:cs="Arial"/>
          <w:sz w:val="20"/>
          <w:szCs w:val="20"/>
        </w:rPr>
        <w:t>-</w:t>
      </w:r>
      <w:r w:rsidR="00063CE3" w:rsidRPr="00C9631A">
        <w:rPr>
          <w:rFonts w:ascii="Arial" w:hAnsi="Arial" w:cs="Arial"/>
          <w:sz w:val="20"/>
          <w:szCs w:val="20"/>
        </w:rPr>
        <w:t>2009, del 16/10/2015.</w:t>
      </w:r>
    </w:p>
    <w:p w14:paraId="76650761" w14:textId="77777777" w:rsidR="00063CE3" w:rsidRPr="00222CB7" w:rsidRDefault="00B30D64" w:rsidP="00063CE3">
      <w:pPr>
        <w:numPr>
          <w:ilvl w:val="0"/>
          <w:numId w:val="36"/>
        </w:numPr>
        <w:spacing w:after="120"/>
        <w:ind w:left="284" w:hanging="284"/>
        <w:jc w:val="both"/>
        <w:rPr>
          <w:rFonts w:ascii="Arial" w:hAnsi="Arial" w:cs="Arial"/>
          <w:sz w:val="20"/>
          <w:szCs w:val="20"/>
        </w:rPr>
      </w:pPr>
      <w:hyperlink r:id="rId59" w:history="1">
        <w:r w:rsidR="00063CE3" w:rsidRPr="00222CB7">
          <w:rPr>
            <w:rStyle w:val="Collegamentoipertestuale"/>
            <w:rFonts w:ascii="Arial" w:hAnsi="Arial" w:cs="Arial"/>
            <w:sz w:val="20"/>
            <w:szCs w:val="20"/>
          </w:rPr>
          <w:t>Nota informativa</w:t>
        </w:r>
      </w:hyperlink>
      <w:r w:rsidR="00063CE3" w:rsidRPr="00222CB7">
        <w:rPr>
          <w:rFonts w:ascii="Arial" w:hAnsi="Arial" w:cs="Arial"/>
          <w:sz w:val="20"/>
          <w:szCs w:val="20"/>
        </w:rPr>
        <w:t xml:space="preserve"> sulla nuova base 2015</w:t>
      </w:r>
      <w:r w:rsidR="00063CE3">
        <w:rPr>
          <w:rFonts w:ascii="Arial" w:hAnsi="Arial" w:cs="Arial"/>
          <w:sz w:val="20"/>
          <w:szCs w:val="20"/>
        </w:rPr>
        <w:t xml:space="preserve"> degli indici dei prezzi all’import</w:t>
      </w:r>
      <w:r w:rsidR="00063CE3" w:rsidRPr="00222CB7">
        <w:rPr>
          <w:rFonts w:ascii="Arial" w:hAnsi="Arial" w:cs="Arial"/>
          <w:sz w:val="20"/>
          <w:szCs w:val="20"/>
        </w:rPr>
        <w:t>, del 17/05/2018.</w:t>
      </w:r>
    </w:p>
    <w:p w14:paraId="1CD8F8DF" w14:textId="77777777" w:rsidR="00063CE3" w:rsidRDefault="00B30D64" w:rsidP="00063CE3">
      <w:pPr>
        <w:numPr>
          <w:ilvl w:val="0"/>
          <w:numId w:val="36"/>
        </w:numPr>
        <w:spacing w:after="120"/>
        <w:ind w:left="284" w:hanging="284"/>
        <w:jc w:val="both"/>
        <w:rPr>
          <w:rFonts w:ascii="Arial" w:hAnsi="Arial" w:cs="Arial"/>
          <w:sz w:val="20"/>
          <w:szCs w:val="20"/>
        </w:rPr>
      </w:pPr>
      <w:hyperlink r:id="rId60" w:history="1">
        <w:r w:rsidR="00063CE3" w:rsidRPr="00DD73E1">
          <w:rPr>
            <w:rStyle w:val="Collegamentoipertestuale"/>
            <w:rFonts w:ascii="Arial" w:hAnsi="Arial" w:cs="Arial"/>
            <w:sz w:val="20"/>
            <w:szCs w:val="20"/>
          </w:rPr>
          <w:t>Nota informativa</w:t>
        </w:r>
      </w:hyperlink>
      <w:r w:rsidR="00063CE3" w:rsidRPr="00DD73E1">
        <w:rPr>
          <w:rFonts w:ascii="Arial" w:hAnsi="Arial" w:cs="Arial"/>
          <w:sz w:val="20"/>
          <w:szCs w:val="20"/>
        </w:rPr>
        <w:t xml:space="preserve"> sulla revisione dei dati di commercio estero per il periodo 2019, gennaio-maggio 2020.</w:t>
      </w:r>
    </w:p>
    <w:p w14:paraId="4AD03464" w14:textId="77777777" w:rsidR="00063CE3" w:rsidRDefault="00B30D64" w:rsidP="00063CE3">
      <w:pPr>
        <w:numPr>
          <w:ilvl w:val="0"/>
          <w:numId w:val="36"/>
        </w:numPr>
        <w:spacing w:after="120"/>
        <w:ind w:left="284" w:hanging="284"/>
        <w:jc w:val="both"/>
        <w:rPr>
          <w:rFonts w:ascii="Arial" w:hAnsi="Arial" w:cs="Arial"/>
          <w:sz w:val="20"/>
          <w:szCs w:val="20"/>
        </w:rPr>
      </w:pPr>
      <w:hyperlink r:id="rId61" w:history="1">
        <w:r w:rsidR="00063CE3" w:rsidRPr="00DD3140">
          <w:rPr>
            <w:rStyle w:val="Collegamentoipertestuale"/>
            <w:rFonts w:ascii="Arial" w:hAnsi="Arial" w:cs="Arial"/>
            <w:sz w:val="20"/>
            <w:szCs w:val="20"/>
          </w:rPr>
          <w:t>Nota informativa</w:t>
        </w:r>
      </w:hyperlink>
      <w:r w:rsidR="00063CE3">
        <w:rPr>
          <w:rFonts w:ascii="Arial" w:hAnsi="Arial" w:cs="Arial"/>
          <w:sz w:val="20"/>
          <w:szCs w:val="20"/>
        </w:rPr>
        <w:t xml:space="preserve"> </w:t>
      </w:r>
      <w:r w:rsidR="00063CE3" w:rsidRPr="00A75BFB">
        <w:rPr>
          <w:rFonts w:ascii="Arial" w:hAnsi="Arial" w:cs="Arial"/>
          <w:sz w:val="20"/>
          <w:szCs w:val="20"/>
        </w:rPr>
        <w:t>sul passaggio da indici a base fissa a indici concatenati per i prezzi all’import</w:t>
      </w:r>
      <w:r w:rsidR="00063CE3" w:rsidRPr="00222CB7">
        <w:rPr>
          <w:rFonts w:ascii="Arial" w:hAnsi="Arial" w:cs="Arial"/>
          <w:sz w:val="20"/>
          <w:szCs w:val="20"/>
        </w:rPr>
        <w:t xml:space="preserve">, del </w:t>
      </w:r>
      <w:r w:rsidR="00063CE3">
        <w:rPr>
          <w:rFonts w:ascii="Arial" w:hAnsi="Arial" w:cs="Arial"/>
          <w:sz w:val="20"/>
          <w:szCs w:val="20"/>
        </w:rPr>
        <w:t>20/04/2022</w:t>
      </w:r>
      <w:r w:rsidR="00063CE3" w:rsidRPr="00222CB7">
        <w:rPr>
          <w:rFonts w:ascii="Arial" w:hAnsi="Arial" w:cs="Arial"/>
          <w:sz w:val="20"/>
          <w:szCs w:val="20"/>
        </w:rPr>
        <w:t>.</w:t>
      </w:r>
    </w:p>
    <w:p w14:paraId="3076AEB4" w14:textId="1B988EE3" w:rsidR="00063CE3" w:rsidRDefault="00B30D64" w:rsidP="00063CE3">
      <w:pPr>
        <w:numPr>
          <w:ilvl w:val="0"/>
          <w:numId w:val="36"/>
        </w:numPr>
        <w:spacing w:after="120"/>
        <w:ind w:left="284" w:hanging="284"/>
        <w:jc w:val="both"/>
        <w:rPr>
          <w:rFonts w:ascii="Arial" w:hAnsi="Arial" w:cs="Arial"/>
          <w:sz w:val="20"/>
          <w:szCs w:val="20"/>
        </w:rPr>
      </w:pPr>
      <w:hyperlink r:id="rId62" w:history="1">
        <w:r w:rsidR="00063CE3" w:rsidRPr="00FF3A5E">
          <w:rPr>
            <w:rStyle w:val="Collegamentoipertestuale"/>
            <w:rFonts w:ascii="Arial" w:hAnsi="Arial" w:cs="Arial"/>
            <w:sz w:val="20"/>
            <w:szCs w:val="20"/>
          </w:rPr>
          <w:t>Nota informativa</w:t>
        </w:r>
      </w:hyperlink>
      <w:r w:rsidR="00063CE3">
        <w:rPr>
          <w:rFonts w:ascii="Arial" w:hAnsi="Arial" w:cs="Arial"/>
          <w:sz w:val="20"/>
          <w:szCs w:val="20"/>
        </w:rPr>
        <w:t xml:space="preserve"> sulla b</w:t>
      </w:r>
      <w:r w:rsidR="00063CE3" w:rsidRPr="00A360E9">
        <w:rPr>
          <w:rFonts w:ascii="Arial" w:hAnsi="Arial" w:cs="Arial"/>
          <w:sz w:val="20"/>
          <w:szCs w:val="20"/>
        </w:rPr>
        <w:t xml:space="preserve">ase di calcolo </w:t>
      </w:r>
      <w:r w:rsidR="00063CE3">
        <w:rPr>
          <w:rFonts w:ascii="Arial" w:hAnsi="Arial" w:cs="Arial"/>
          <w:sz w:val="20"/>
          <w:szCs w:val="20"/>
        </w:rPr>
        <w:t>d</w:t>
      </w:r>
      <w:r w:rsidR="00063CE3" w:rsidRPr="00A360E9">
        <w:rPr>
          <w:rFonts w:ascii="Arial" w:hAnsi="Arial" w:cs="Arial"/>
          <w:sz w:val="20"/>
          <w:szCs w:val="20"/>
        </w:rPr>
        <w:t>icembre 2022</w:t>
      </w:r>
      <w:r w:rsidR="00063CE3">
        <w:rPr>
          <w:rFonts w:ascii="Arial" w:hAnsi="Arial" w:cs="Arial"/>
          <w:sz w:val="20"/>
          <w:szCs w:val="20"/>
        </w:rPr>
        <w:t xml:space="preserve"> degli indici dei prezzi all’import, del 18</w:t>
      </w:r>
      <w:r w:rsidR="00E65A55">
        <w:rPr>
          <w:rFonts w:ascii="Arial" w:hAnsi="Arial" w:cs="Arial"/>
          <w:sz w:val="20"/>
          <w:szCs w:val="20"/>
        </w:rPr>
        <w:t>/04/</w:t>
      </w:r>
      <w:r w:rsidR="00063CE3">
        <w:rPr>
          <w:rFonts w:ascii="Arial" w:hAnsi="Arial" w:cs="Arial"/>
          <w:sz w:val="20"/>
          <w:szCs w:val="20"/>
        </w:rPr>
        <w:t>2023.</w:t>
      </w:r>
    </w:p>
    <w:p w14:paraId="54190914" w14:textId="32B40B4D" w:rsidR="00063CE3" w:rsidRDefault="00B30D64" w:rsidP="00063CE3">
      <w:pPr>
        <w:numPr>
          <w:ilvl w:val="0"/>
          <w:numId w:val="36"/>
        </w:numPr>
        <w:spacing w:after="120"/>
        <w:ind w:left="284" w:hanging="284"/>
        <w:jc w:val="both"/>
        <w:rPr>
          <w:rFonts w:ascii="Arial" w:hAnsi="Arial" w:cs="Arial"/>
          <w:sz w:val="20"/>
          <w:szCs w:val="20"/>
        </w:rPr>
      </w:pPr>
      <w:hyperlink r:id="rId63" w:history="1">
        <w:r w:rsidR="00063CE3" w:rsidRPr="009C4E6C">
          <w:rPr>
            <w:rStyle w:val="Collegamentoipertestuale"/>
            <w:rFonts w:ascii="Arial" w:hAnsi="Arial" w:cs="Arial"/>
            <w:sz w:val="20"/>
            <w:szCs w:val="20"/>
          </w:rPr>
          <w:t>Nota informativa</w:t>
        </w:r>
      </w:hyperlink>
      <w:r w:rsidR="00063CE3">
        <w:rPr>
          <w:rFonts w:ascii="Arial" w:hAnsi="Arial" w:cs="Arial"/>
          <w:sz w:val="20"/>
          <w:szCs w:val="20"/>
        </w:rPr>
        <w:t xml:space="preserve"> sulla base di riferimento 2021 e la base di calcolo dicembre 2023 degli indici dei prezzi all’import, del 16</w:t>
      </w:r>
      <w:r w:rsidR="00E65A55">
        <w:rPr>
          <w:rFonts w:ascii="Arial" w:hAnsi="Arial" w:cs="Arial"/>
          <w:sz w:val="20"/>
          <w:szCs w:val="20"/>
        </w:rPr>
        <w:t>/04/</w:t>
      </w:r>
      <w:r w:rsidR="00063CE3">
        <w:rPr>
          <w:rFonts w:ascii="Arial" w:hAnsi="Arial" w:cs="Arial"/>
          <w:sz w:val="20"/>
          <w:szCs w:val="20"/>
        </w:rPr>
        <w:t>2024.</w:t>
      </w:r>
    </w:p>
    <w:p w14:paraId="5F7E2E5D" w14:textId="259F3A25" w:rsidR="00063CE3" w:rsidRPr="00222CB7" w:rsidRDefault="00063CE3" w:rsidP="00063CE3">
      <w:pPr>
        <w:numPr>
          <w:ilvl w:val="0"/>
          <w:numId w:val="36"/>
        </w:numPr>
        <w:spacing w:after="120"/>
        <w:ind w:left="284" w:hanging="284"/>
        <w:jc w:val="both"/>
        <w:rPr>
          <w:rFonts w:ascii="Arial" w:hAnsi="Arial" w:cs="Arial"/>
          <w:sz w:val="20"/>
          <w:szCs w:val="20"/>
        </w:rPr>
      </w:pPr>
      <w:r>
        <w:rPr>
          <w:rFonts w:ascii="Arial" w:hAnsi="Arial" w:cs="Arial"/>
          <w:sz w:val="20"/>
          <w:szCs w:val="20"/>
        </w:rPr>
        <w:t>Nota informativa sulla base di calcolo dicembre 2024 degli indici dei prezzi al</w:t>
      </w:r>
      <w:r w:rsidR="00E65A55">
        <w:rPr>
          <w:rFonts w:ascii="Arial" w:hAnsi="Arial" w:cs="Arial"/>
          <w:sz w:val="20"/>
          <w:szCs w:val="20"/>
        </w:rPr>
        <w:t>l’import, del 18/03/</w:t>
      </w:r>
      <w:r>
        <w:rPr>
          <w:rFonts w:ascii="Arial" w:hAnsi="Arial" w:cs="Arial"/>
          <w:sz w:val="20"/>
          <w:szCs w:val="20"/>
        </w:rPr>
        <w:t>2025.</w:t>
      </w:r>
    </w:p>
    <w:p w14:paraId="4F7371D5" w14:textId="77777777" w:rsidR="001C0874" w:rsidRDefault="001C0874" w:rsidP="00220D58">
      <w:pPr>
        <w:pStyle w:val="NormaleWeb"/>
        <w:spacing w:before="120" w:beforeAutospacing="0" w:after="120" w:afterAutospacing="0"/>
        <w:rPr>
          <w:rFonts w:ascii="Arial" w:hAnsi="Arial" w:cs="Arial"/>
          <w:bCs/>
          <w:color w:val="CD242F"/>
          <w:sz w:val="36"/>
          <w:szCs w:val="36"/>
        </w:rPr>
      </w:pPr>
    </w:p>
    <w:p w14:paraId="1AE2C914" w14:textId="77777777" w:rsidR="00501E02" w:rsidRPr="002300D8" w:rsidRDefault="00501E02" w:rsidP="00220D58">
      <w:pPr>
        <w:pStyle w:val="NormaleWeb"/>
        <w:spacing w:before="120" w:beforeAutospacing="0" w:after="120" w:afterAutospacing="0"/>
        <w:rPr>
          <w:rFonts w:ascii="Arial" w:hAnsi="Arial" w:cs="Arial"/>
          <w:color w:val="CD242F"/>
          <w:sz w:val="36"/>
          <w:szCs w:val="36"/>
        </w:rPr>
      </w:pPr>
      <w:r w:rsidRPr="002300D8">
        <w:rPr>
          <w:rFonts w:ascii="Arial" w:hAnsi="Arial" w:cs="Arial"/>
          <w:bCs/>
          <w:color w:val="CD242F"/>
          <w:sz w:val="36"/>
          <w:szCs w:val="36"/>
        </w:rPr>
        <w:t>Per chiarimenti tecnici e metodologici</w:t>
      </w:r>
    </w:p>
    <w:tbl>
      <w:tblPr>
        <w:tblW w:w="9814" w:type="dxa"/>
        <w:tblBorders>
          <w:top w:val="dotted" w:sz="4" w:space="0" w:color="808080"/>
        </w:tblBorders>
        <w:tblLook w:val="04A0" w:firstRow="1" w:lastRow="0" w:firstColumn="1" w:lastColumn="0" w:noHBand="0" w:noVBand="1"/>
      </w:tblPr>
      <w:tblGrid>
        <w:gridCol w:w="2835"/>
        <w:gridCol w:w="6979"/>
      </w:tblGrid>
      <w:tr w:rsidR="00501E02" w:rsidRPr="00E655EB" w14:paraId="49587C2E" w14:textId="77777777" w:rsidTr="002C489F">
        <w:trPr>
          <w:trHeight w:val="166"/>
        </w:trPr>
        <w:tc>
          <w:tcPr>
            <w:tcW w:w="9814" w:type="dxa"/>
            <w:gridSpan w:val="2"/>
            <w:shd w:val="clear" w:color="auto" w:fill="auto"/>
            <w:tcMar>
              <w:top w:w="170" w:type="dxa"/>
              <w:left w:w="0" w:type="dxa"/>
              <w:right w:w="0" w:type="dxa"/>
            </w:tcMar>
          </w:tcPr>
          <w:p w14:paraId="0948CFCC" w14:textId="77777777" w:rsidR="00501E02" w:rsidRPr="00E30D50" w:rsidRDefault="00501E02" w:rsidP="002C489F">
            <w:pPr>
              <w:pStyle w:val="NormaleWeb"/>
              <w:rPr>
                <w:rFonts w:ascii="Arial" w:hAnsi="Arial" w:cs="Arial"/>
                <w:b/>
              </w:rPr>
            </w:pPr>
            <w:r w:rsidRPr="00E30D50">
              <w:rPr>
                <w:rFonts w:ascii="Arial" w:hAnsi="Arial" w:cs="Arial"/>
                <w:b/>
                <w:bCs/>
              </w:rPr>
              <w:t>Commercio con l’estero</w:t>
            </w:r>
          </w:p>
        </w:tc>
      </w:tr>
      <w:tr w:rsidR="00501E02" w:rsidRPr="00075400" w14:paraId="7D9F31E8" w14:textId="77777777" w:rsidTr="002C489F">
        <w:trPr>
          <w:trHeight w:val="1134"/>
        </w:trPr>
        <w:tc>
          <w:tcPr>
            <w:tcW w:w="2835" w:type="dxa"/>
            <w:shd w:val="clear" w:color="auto" w:fill="auto"/>
            <w:tcMar>
              <w:top w:w="170" w:type="dxa"/>
              <w:left w:w="0" w:type="dxa"/>
              <w:right w:w="0" w:type="dxa"/>
            </w:tcMar>
          </w:tcPr>
          <w:p w14:paraId="62A0DDF4" w14:textId="77777777" w:rsidR="00501E02" w:rsidRPr="00E655EB" w:rsidRDefault="00501E02" w:rsidP="002C489F">
            <w:pPr>
              <w:pStyle w:val="NormaleWeb"/>
              <w:spacing w:beforeAutospacing="0" w:after="120" w:afterAutospacing="0"/>
              <w:rPr>
                <w:rFonts w:ascii="Arial" w:hAnsi="Arial" w:cs="Arial"/>
                <w:b/>
                <w:bCs/>
                <w:color w:val="CD242F"/>
                <w:sz w:val="22"/>
                <w:szCs w:val="22"/>
              </w:rPr>
            </w:pPr>
            <w:r>
              <w:rPr>
                <w:rFonts w:ascii="Arial" w:hAnsi="Arial" w:cs="Arial"/>
                <w:b/>
                <w:bCs/>
                <w:color w:val="CD242F"/>
                <w:sz w:val="22"/>
                <w:szCs w:val="22"/>
              </w:rPr>
              <w:t>Maria Serena Causo</w:t>
            </w:r>
          </w:p>
          <w:p w14:paraId="506FD366" w14:textId="77777777" w:rsidR="00501E02" w:rsidRPr="00E655EB" w:rsidRDefault="00501E02" w:rsidP="002C489F">
            <w:pPr>
              <w:pStyle w:val="NormaleWeb"/>
              <w:spacing w:beforeAutospacing="0" w:afterAutospacing="0"/>
              <w:rPr>
                <w:rFonts w:ascii="Arial" w:hAnsi="Arial" w:cs="Arial"/>
                <w:color w:val="000000"/>
              </w:rPr>
            </w:pPr>
            <w:r w:rsidRPr="00E655EB">
              <w:rPr>
                <w:rFonts w:ascii="Arial" w:hAnsi="Arial" w:cs="Arial"/>
                <w:color w:val="000000"/>
              </w:rPr>
              <w:t>tel.</w:t>
            </w:r>
            <w:r>
              <w:rPr>
                <w:rFonts w:ascii="Arial" w:hAnsi="Arial" w:cs="Arial"/>
                <w:color w:val="000000"/>
              </w:rPr>
              <w:t xml:space="preserve"> +39 </w:t>
            </w:r>
            <w:r w:rsidRPr="00E655EB">
              <w:rPr>
                <w:rFonts w:ascii="Arial" w:hAnsi="Arial" w:cs="Arial"/>
                <w:color w:val="000000"/>
              </w:rPr>
              <w:t>06 4673.</w:t>
            </w:r>
            <w:r>
              <w:rPr>
                <w:rFonts w:ascii="Arial" w:hAnsi="Arial" w:cs="Arial"/>
                <w:color w:val="000000"/>
              </w:rPr>
              <w:t>6651</w:t>
            </w:r>
          </w:p>
          <w:p w14:paraId="6D0DD043" w14:textId="77777777" w:rsidR="00501E02" w:rsidRPr="00E655EB" w:rsidRDefault="00B30D64" w:rsidP="002C489F">
            <w:pPr>
              <w:pStyle w:val="NormaleWeb"/>
              <w:spacing w:beforeAutospacing="0" w:after="120" w:afterAutospacing="0"/>
              <w:rPr>
                <w:rFonts w:ascii="Arial" w:hAnsi="Arial" w:cs="Arial"/>
                <w:color w:val="000000"/>
              </w:rPr>
            </w:pPr>
            <w:hyperlink r:id="rId64" w:history="1">
              <w:r w:rsidR="00501E02" w:rsidRPr="003E2D10">
                <w:rPr>
                  <w:rStyle w:val="Collegamentoipertestuale"/>
                  <w:rFonts w:ascii="Arial" w:hAnsi="Arial" w:cs="Arial"/>
                </w:rPr>
                <w:t>causo@istat.it</w:t>
              </w:r>
            </w:hyperlink>
          </w:p>
        </w:tc>
        <w:tc>
          <w:tcPr>
            <w:tcW w:w="6979" w:type="dxa"/>
            <w:shd w:val="clear" w:color="auto" w:fill="auto"/>
            <w:tcMar>
              <w:top w:w="170" w:type="dxa"/>
              <w:left w:w="0" w:type="dxa"/>
              <w:right w:w="0" w:type="dxa"/>
            </w:tcMar>
          </w:tcPr>
          <w:p w14:paraId="45FB7CDF" w14:textId="77777777" w:rsidR="00501E02" w:rsidRPr="00E655EB" w:rsidRDefault="00154152" w:rsidP="002C489F">
            <w:pPr>
              <w:pStyle w:val="NormaleWeb"/>
              <w:spacing w:beforeAutospacing="0" w:after="120" w:afterAutospacing="0"/>
              <w:rPr>
                <w:rFonts w:ascii="Arial" w:hAnsi="Arial" w:cs="Arial"/>
                <w:color w:val="CD242F"/>
              </w:rPr>
            </w:pPr>
            <w:r>
              <w:rPr>
                <w:rFonts w:ascii="Arial" w:hAnsi="Arial" w:cs="Arial"/>
                <w:b/>
                <w:bCs/>
                <w:color w:val="CD242F"/>
                <w:sz w:val="22"/>
                <w:szCs w:val="22"/>
              </w:rPr>
              <w:t>Cristina Lanzi</w:t>
            </w:r>
          </w:p>
          <w:p w14:paraId="5BF24B74" w14:textId="77777777" w:rsidR="00501E02" w:rsidRPr="009211C5" w:rsidRDefault="00501E02" w:rsidP="00075400">
            <w:pPr>
              <w:pStyle w:val="NormaleWeb"/>
              <w:spacing w:beforeAutospacing="0" w:after="120" w:afterAutospacing="0"/>
              <w:rPr>
                <w:rFonts w:ascii="Arial" w:hAnsi="Arial" w:cs="Arial"/>
              </w:rPr>
            </w:pPr>
            <w:r w:rsidRPr="009211C5">
              <w:rPr>
                <w:rFonts w:ascii="Arial" w:hAnsi="Arial" w:cs="Arial"/>
                <w:color w:val="000000"/>
              </w:rPr>
              <w:t>tel. +39 06 4673.6</w:t>
            </w:r>
            <w:r w:rsidR="00154152" w:rsidRPr="009211C5">
              <w:rPr>
                <w:rFonts w:ascii="Arial" w:hAnsi="Arial" w:cs="Arial"/>
                <w:color w:val="000000"/>
              </w:rPr>
              <w:t>688</w:t>
            </w:r>
            <w:r w:rsidRPr="009211C5">
              <w:rPr>
                <w:rFonts w:ascii="Arial" w:hAnsi="Arial" w:cs="Arial"/>
                <w:color w:val="000000"/>
              </w:rPr>
              <w:br/>
            </w:r>
            <w:hyperlink r:id="rId65" w:history="1">
              <w:r w:rsidR="00075400" w:rsidRPr="009211C5">
                <w:rPr>
                  <w:rStyle w:val="Collegamentoipertestuale"/>
                  <w:rFonts w:ascii="Arial" w:hAnsi="Arial" w:cs="Arial"/>
                </w:rPr>
                <w:t>crlanzi@istat.it</w:t>
              </w:r>
            </w:hyperlink>
          </w:p>
          <w:p w14:paraId="7945962D" w14:textId="77777777" w:rsidR="00075400" w:rsidRPr="009211C5" w:rsidRDefault="00075400" w:rsidP="00075400">
            <w:pPr>
              <w:pStyle w:val="NormaleWeb"/>
              <w:spacing w:beforeAutospacing="0" w:after="120" w:afterAutospacing="0"/>
              <w:rPr>
                <w:rFonts w:ascii="Arial" w:hAnsi="Arial" w:cs="Arial"/>
                <w:color w:val="000000"/>
              </w:rPr>
            </w:pPr>
          </w:p>
        </w:tc>
      </w:tr>
      <w:tr w:rsidR="00501E02" w:rsidRPr="00E655EB" w14:paraId="4AB6540D" w14:textId="77777777" w:rsidTr="002C489F">
        <w:trPr>
          <w:trHeight w:val="294"/>
        </w:trPr>
        <w:tc>
          <w:tcPr>
            <w:tcW w:w="9814" w:type="dxa"/>
            <w:gridSpan w:val="2"/>
            <w:shd w:val="clear" w:color="auto" w:fill="auto"/>
            <w:tcMar>
              <w:top w:w="170" w:type="dxa"/>
              <w:left w:w="0" w:type="dxa"/>
              <w:right w:w="0" w:type="dxa"/>
            </w:tcMar>
          </w:tcPr>
          <w:p w14:paraId="5F4A9155" w14:textId="77777777" w:rsidR="00501E02" w:rsidRPr="00E30D50" w:rsidRDefault="00501E02" w:rsidP="002C489F">
            <w:pPr>
              <w:pStyle w:val="NormaleWeb"/>
              <w:rPr>
                <w:rFonts w:ascii="Arial" w:hAnsi="Arial" w:cs="Arial"/>
                <w:b/>
                <w:bCs/>
                <w:sz w:val="22"/>
                <w:szCs w:val="22"/>
              </w:rPr>
            </w:pPr>
            <w:r w:rsidRPr="00E30D50">
              <w:rPr>
                <w:rFonts w:ascii="Arial" w:hAnsi="Arial" w:cs="Arial"/>
                <w:b/>
                <w:bCs/>
              </w:rPr>
              <w:t>Prezzi all’import</w:t>
            </w:r>
          </w:p>
        </w:tc>
      </w:tr>
      <w:tr w:rsidR="00501E02" w14:paraId="67692EA0" w14:textId="77777777" w:rsidTr="002C489F">
        <w:trPr>
          <w:trHeight w:val="1134"/>
        </w:trPr>
        <w:tc>
          <w:tcPr>
            <w:tcW w:w="2835" w:type="dxa"/>
            <w:tcBorders>
              <w:top w:val="dotted" w:sz="4" w:space="0" w:color="808080"/>
              <w:left w:val="nil"/>
              <w:bottom w:val="nil"/>
              <w:right w:val="nil"/>
            </w:tcBorders>
            <w:tcMar>
              <w:top w:w="170" w:type="dxa"/>
              <w:left w:w="0" w:type="dxa"/>
              <w:bottom w:w="0" w:type="dxa"/>
              <w:right w:w="0" w:type="dxa"/>
            </w:tcMar>
            <w:hideMark/>
          </w:tcPr>
          <w:p w14:paraId="4FC35F52" w14:textId="77777777" w:rsidR="00501E02" w:rsidRDefault="00501E02" w:rsidP="002C489F">
            <w:pPr>
              <w:pStyle w:val="NormaleWeb"/>
              <w:spacing w:beforeAutospacing="0" w:afterAutospacing="0" w:line="276" w:lineRule="auto"/>
              <w:rPr>
                <w:rFonts w:ascii="Arial" w:hAnsi="Arial" w:cs="Arial"/>
                <w:b/>
                <w:bCs/>
                <w:color w:val="CD242F"/>
                <w:sz w:val="22"/>
                <w:szCs w:val="22"/>
                <w:lang w:eastAsia="en-US"/>
              </w:rPr>
            </w:pPr>
            <w:r>
              <w:rPr>
                <w:rFonts w:ascii="Arial" w:hAnsi="Arial" w:cs="Arial"/>
                <w:b/>
                <w:bCs/>
                <w:color w:val="CD242F"/>
                <w:sz w:val="22"/>
                <w:szCs w:val="22"/>
                <w:lang w:eastAsia="en-US"/>
              </w:rPr>
              <w:t>Em</w:t>
            </w:r>
            <w:r w:rsidR="0079370D">
              <w:rPr>
                <w:rFonts w:ascii="Arial" w:hAnsi="Arial" w:cs="Arial"/>
                <w:b/>
                <w:bCs/>
                <w:color w:val="CD242F"/>
                <w:sz w:val="22"/>
                <w:szCs w:val="22"/>
                <w:lang w:eastAsia="en-US"/>
              </w:rPr>
              <w:t>anuela</w:t>
            </w:r>
            <w:r>
              <w:rPr>
                <w:rFonts w:ascii="Arial" w:hAnsi="Arial" w:cs="Arial"/>
                <w:b/>
                <w:bCs/>
                <w:color w:val="CD242F"/>
                <w:sz w:val="22"/>
                <w:szCs w:val="22"/>
                <w:lang w:eastAsia="en-US"/>
              </w:rPr>
              <w:t xml:space="preserve"> </w:t>
            </w:r>
            <w:r w:rsidR="0079370D">
              <w:rPr>
                <w:rFonts w:ascii="Arial" w:hAnsi="Arial" w:cs="Arial"/>
                <w:b/>
                <w:bCs/>
                <w:color w:val="CD242F"/>
                <w:sz w:val="22"/>
                <w:szCs w:val="22"/>
                <w:lang w:eastAsia="en-US"/>
              </w:rPr>
              <w:t>Valci</w:t>
            </w:r>
          </w:p>
          <w:p w14:paraId="152CBC83" w14:textId="77777777" w:rsidR="00501E02" w:rsidRDefault="00501E02" w:rsidP="002C489F">
            <w:pPr>
              <w:pStyle w:val="NormaleWeb"/>
              <w:spacing w:beforeAutospacing="0" w:afterAutospacing="0" w:line="276" w:lineRule="auto"/>
              <w:rPr>
                <w:rFonts w:ascii="Arial" w:hAnsi="Arial" w:cs="Arial"/>
                <w:color w:val="000000"/>
                <w:lang w:eastAsia="en-US"/>
              </w:rPr>
            </w:pPr>
            <w:r>
              <w:rPr>
                <w:rFonts w:ascii="Arial" w:hAnsi="Arial" w:cs="Arial"/>
                <w:color w:val="000000"/>
                <w:lang w:eastAsia="en-US"/>
              </w:rPr>
              <w:t>tel. +39 06 4673.6</w:t>
            </w:r>
            <w:r w:rsidR="0079370D">
              <w:rPr>
                <w:rFonts w:ascii="Arial" w:hAnsi="Arial" w:cs="Arial"/>
                <w:color w:val="000000"/>
                <w:lang w:eastAsia="en-US"/>
              </w:rPr>
              <w:t>206</w:t>
            </w:r>
          </w:p>
          <w:p w14:paraId="70489A65" w14:textId="77777777" w:rsidR="00501E02" w:rsidRDefault="00B30D64" w:rsidP="0079370D">
            <w:pPr>
              <w:pStyle w:val="NormaleWeb"/>
              <w:spacing w:beforeAutospacing="0" w:afterAutospacing="0" w:line="276" w:lineRule="auto"/>
              <w:rPr>
                <w:rFonts w:ascii="Arial" w:hAnsi="Arial" w:cs="Arial"/>
                <w:b/>
                <w:bCs/>
                <w:color w:val="CD242F"/>
                <w:sz w:val="22"/>
                <w:szCs w:val="22"/>
                <w:lang w:eastAsia="en-US"/>
              </w:rPr>
            </w:pPr>
            <w:hyperlink r:id="rId66" w:history="1">
              <w:r w:rsidR="0079370D" w:rsidRPr="00B7769D">
                <w:rPr>
                  <w:rStyle w:val="Collegamentoipertestuale"/>
                  <w:rFonts w:ascii="Arial" w:hAnsi="Arial" w:cs="Arial"/>
                  <w:lang w:eastAsia="en-US"/>
                </w:rPr>
                <w:t>valci@istat.it</w:t>
              </w:r>
            </w:hyperlink>
          </w:p>
        </w:tc>
        <w:tc>
          <w:tcPr>
            <w:tcW w:w="6979" w:type="dxa"/>
            <w:tcBorders>
              <w:top w:val="dotted" w:sz="4" w:space="0" w:color="808080"/>
              <w:left w:val="nil"/>
              <w:bottom w:val="nil"/>
              <w:right w:val="nil"/>
            </w:tcBorders>
            <w:tcMar>
              <w:top w:w="170" w:type="dxa"/>
              <w:left w:w="0" w:type="dxa"/>
              <w:bottom w:w="0" w:type="dxa"/>
              <w:right w:w="0" w:type="dxa"/>
            </w:tcMar>
            <w:hideMark/>
          </w:tcPr>
          <w:p w14:paraId="2C58065C" w14:textId="77777777" w:rsidR="00501E02" w:rsidRDefault="00501E02" w:rsidP="002C489F">
            <w:pPr>
              <w:pStyle w:val="NormaleWeb"/>
              <w:spacing w:beforeAutospacing="0" w:afterAutospacing="0" w:line="276" w:lineRule="auto"/>
              <w:rPr>
                <w:rFonts w:ascii="Arial" w:hAnsi="Arial" w:cs="Arial"/>
                <w:b/>
                <w:bCs/>
                <w:color w:val="CD242F"/>
                <w:sz w:val="22"/>
                <w:szCs w:val="22"/>
                <w:lang w:eastAsia="en-US"/>
              </w:rPr>
            </w:pPr>
            <w:r>
              <w:rPr>
                <w:rFonts w:ascii="Arial" w:hAnsi="Arial" w:cs="Arial"/>
                <w:b/>
                <w:bCs/>
                <w:color w:val="CD242F"/>
                <w:sz w:val="22"/>
                <w:szCs w:val="22"/>
                <w:lang w:eastAsia="en-US"/>
              </w:rPr>
              <w:t>Lorenzo D’Orazio</w:t>
            </w:r>
          </w:p>
          <w:p w14:paraId="47F8C007" w14:textId="77777777" w:rsidR="00501E02" w:rsidRDefault="00501E02" w:rsidP="002C489F">
            <w:pPr>
              <w:pStyle w:val="NormaleWeb"/>
              <w:spacing w:beforeAutospacing="0" w:afterAutospacing="0" w:line="276" w:lineRule="auto"/>
              <w:rPr>
                <w:rFonts w:ascii="Arial" w:hAnsi="Arial" w:cs="Arial"/>
                <w:color w:val="000000"/>
                <w:lang w:eastAsia="en-US"/>
              </w:rPr>
            </w:pPr>
            <w:r>
              <w:rPr>
                <w:rFonts w:ascii="Arial" w:hAnsi="Arial" w:cs="Arial"/>
                <w:color w:val="000000"/>
                <w:lang w:eastAsia="en-US"/>
              </w:rPr>
              <w:t>tel. +39 06 4673.6281</w:t>
            </w:r>
          </w:p>
          <w:p w14:paraId="2CEBA6C2" w14:textId="77777777" w:rsidR="00501E02" w:rsidRDefault="00B30D64" w:rsidP="002C489F">
            <w:pPr>
              <w:pStyle w:val="NormaleWeb"/>
              <w:spacing w:beforeAutospacing="0" w:afterAutospacing="0" w:line="276" w:lineRule="auto"/>
              <w:rPr>
                <w:rFonts w:ascii="Arial" w:hAnsi="Arial" w:cs="Arial"/>
                <w:b/>
                <w:bCs/>
                <w:color w:val="CD242F"/>
                <w:sz w:val="22"/>
                <w:szCs w:val="22"/>
                <w:lang w:eastAsia="en-US"/>
              </w:rPr>
            </w:pPr>
            <w:hyperlink r:id="rId67" w:history="1">
              <w:r w:rsidR="00501E02" w:rsidRPr="00B86CCC">
                <w:rPr>
                  <w:rStyle w:val="Collegamentoipertestuale"/>
                  <w:rFonts w:ascii="Arial" w:hAnsi="Arial" w:cs="Arial"/>
                  <w:lang w:eastAsia="en-US"/>
                </w:rPr>
                <w:t>lodorazi@istat.it</w:t>
              </w:r>
            </w:hyperlink>
          </w:p>
        </w:tc>
      </w:tr>
    </w:tbl>
    <w:p w14:paraId="492E9B46" w14:textId="6BA05618" w:rsidR="00257DC4" w:rsidRPr="00397FAC" w:rsidRDefault="00257DC4" w:rsidP="00257DC4">
      <w:pPr>
        <w:spacing w:after="120"/>
        <w:rPr>
          <w:rFonts w:ascii="Arial" w:hAnsi="Arial" w:cs="Arial"/>
          <w:b/>
          <w:szCs w:val="28"/>
        </w:rPr>
      </w:pPr>
    </w:p>
    <w:sectPr w:rsidR="00257DC4" w:rsidRPr="00397FAC" w:rsidSect="00F01533">
      <w:headerReference w:type="default" r:id="rId68"/>
      <w:pgSz w:w="11907" w:h="16840" w:code="9"/>
      <w:pgMar w:top="1534" w:right="851" w:bottom="680" w:left="851" w:header="567" w:footer="567"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BD9978" w14:textId="77777777" w:rsidR="00B30D64" w:rsidRDefault="00B30D64">
      <w:r>
        <w:separator/>
      </w:r>
    </w:p>
  </w:endnote>
  <w:endnote w:type="continuationSeparator" w:id="0">
    <w:p w14:paraId="5567DA01" w14:textId="77777777" w:rsidR="00B30D64" w:rsidRDefault="00B30D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Roman">
    <w:altName w:val="Times New Roman"/>
    <w:charset w:val="00"/>
    <w:family w:val="auto"/>
    <w:pitch w:val="variable"/>
    <w:sig w:usb0="00000001"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09AA0A" w14:textId="55328A75" w:rsidR="00560DE1" w:rsidRPr="002548DD" w:rsidRDefault="00560DE1" w:rsidP="002548DD">
    <w:pPr>
      <w:pStyle w:val="Pidipagina"/>
      <w:ind w:left="1560"/>
      <w:rPr>
        <w:rFonts w:ascii="Calibri" w:hAnsi="Calibri"/>
      </w:rPr>
    </w:pPr>
    <w:r w:rsidRPr="00AA5409">
      <w:rPr>
        <w:rFonts w:ascii="Calibri" w:hAnsi="Calibri"/>
        <w:b/>
        <w:noProof/>
        <w:color w:val="E42618"/>
        <w:szCs w:val="28"/>
      </w:rPr>
      <w:drawing>
        <wp:anchor distT="0" distB="0" distL="114300" distR="114300" simplePos="0" relativeHeight="251656192" behindDoc="0" locked="0" layoutInCell="1" allowOverlap="1" wp14:anchorId="119F3A6B" wp14:editId="2490C402">
          <wp:simplePos x="0" y="0"/>
          <wp:positionH relativeFrom="column">
            <wp:posOffset>13335</wp:posOffset>
          </wp:positionH>
          <wp:positionV relativeFrom="paragraph">
            <wp:posOffset>-50800</wp:posOffset>
          </wp:positionV>
          <wp:extent cx="943610" cy="390525"/>
          <wp:effectExtent l="0" t="0" r="0" b="0"/>
          <wp:wrapNone/>
          <wp:docPr id="12" name="Immagine 8" descr="Descrizione: Logo a color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8" descr="Descrizione: Logo a color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3610" cy="390525"/>
                  </a:xfrm>
                  <a:prstGeom prst="rect">
                    <a:avLst/>
                  </a:prstGeom>
                  <a:noFill/>
                </pic:spPr>
              </pic:pic>
            </a:graphicData>
          </a:graphic>
        </wp:anchor>
      </w:drawing>
    </w:r>
    <w:r w:rsidRPr="00AA5409">
      <w:rPr>
        <w:rStyle w:val="Numeropagina"/>
        <w:rFonts w:ascii="Calibri" w:hAnsi="Calibri"/>
        <w:b/>
        <w:color w:val="E42618"/>
        <w:szCs w:val="28"/>
      </w:rPr>
      <w:t>|</w:t>
    </w:r>
    <w:r>
      <w:rPr>
        <w:rStyle w:val="Numeropagina"/>
        <w:rFonts w:ascii="Calibri" w:hAnsi="Calibri"/>
        <w:color w:val="E31C18"/>
        <w:sz w:val="28"/>
        <w:szCs w:val="28"/>
      </w:rPr>
      <w:t xml:space="preserve"> </w:t>
    </w:r>
    <w:r w:rsidRPr="00AA5409">
      <w:rPr>
        <w:rFonts w:ascii="Calibri" w:hAnsi="Calibri" w:cs="Arial"/>
        <w:color w:val="5F5F5F"/>
      </w:rPr>
      <w:fldChar w:fldCharType="begin"/>
    </w:r>
    <w:r w:rsidRPr="00AA5409">
      <w:rPr>
        <w:rFonts w:ascii="Calibri" w:hAnsi="Calibri" w:cs="Arial"/>
        <w:color w:val="5F5F5F"/>
      </w:rPr>
      <w:instrText>PAGE   \* MERGEFORMAT</w:instrText>
    </w:r>
    <w:r w:rsidRPr="00AA5409">
      <w:rPr>
        <w:rFonts w:ascii="Calibri" w:hAnsi="Calibri" w:cs="Arial"/>
        <w:color w:val="5F5F5F"/>
      </w:rPr>
      <w:fldChar w:fldCharType="separate"/>
    </w:r>
    <w:r w:rsidR="00292EFC">
      <w:rPr>
        <w:rFonts w:ascii="Calibri" w:hAnsi="Calibri" w:cs="Arial"/>
        <w:noProof/>
        <w:color w:val="5F5F5F"/>
      </w:rPr>
      <w:t>2</w:t>
    </w:r>
    <w:r w:rsidRPr="00AA5409">
      <w:rPr>
        <w:rFonts w:ascii="Calibri" w:hAnsi="Calibri" w:cs="Arial"/>
        <w:color w:val="5F5F5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E6CA420" w14:textId="77777777" w:rsidR="00B30D64" w:rsidRDefault="00B30D64">
      <w:r>
        <w:separator/>
      </w:r>
    </w:p>
  </w:footnote>
  <w:footnote w:type="continuationSeparator" w:id="0">
    <w:p w14:paraId="466B991D" w14:textId="77777777" w:rsidR="00B30D64" w:rsidRDefault="00B30D64">
      <w:r>
        <w:continuationSeparator/>
      </w:r>
    </w:p>
  </w:footnote>
  <w:footnote w:id="1">
    <w:p w14:paraId="66BEB521" w14:textId="77777777" w:rsidR="00560DE1" w:rsidRPr="00E74CD4" w:rsidRDefault="00560DE1" w:rsidP="00501E02">
      <w:pPr>
        <w:pStyle w:val="Testonotaapidipagina"/>
        <w:jc w:val="both"/>
        <w:rPr>
          <w:rFonts w:ascii="Arial Narrow" w:hAnsi="Arial Narrow"/>
          <w:sz w:val="15"/>
          <w:szCs w:val="15"/>
        </w:rPr>
      </w:pPr>
      <w:r w:rsidRPr="00AF0A9F">
        <w:rPr>
          <w:rFonts w:ascii="Arial Narrow" w:hAnsi="Arial Narrow" w:cs="Arial"/>
          <w:sz w:val="15"/>
          <w:szCs w:val="15"/>
          <w:vertAlign w:val="superscript"/>
        </w:rPr>
        <w:footnoteRef/>
      </w:r>
      <w:r w:rsidRPr="00E74CD4">
        <w:rPr>
          <w:rFonts w:ascii="Arial Narrow" w:hAnsi="Arial Narrow" w:cs="Arial"/>
          <w:sz w:val="15"/>
          <w:szCs w:val="15"/>
        </w:rPr>
        <w:t xml:space="preserve"> I</w:t>
      </w:r>
      <w:r>
        <w:rPr>
          <w:rFonts w:ascii="Arial Narrow" w:hAnsi="Arial Narrow" w:cs="Arial"/>
          <w:sz w:val="15"/>
          <w:szCs w:val="15"/>
        </w:rPr>
        <w:t>n conseguenza dell’innalzamento della soglia di esenzione introdotto a partire da gennaio 2022, il</w:t>
      </w:r>
      <w:r w:rsidRPr="00E74CD4">
        <w:rPr>
          <w:rFonts w:ascii="Arial Narrow" w:hAnsi="Arial Narrow" w:cs="Arial"/>
          <w:sz w:val="15"/>
          <w:szCs w:val="15"/>
        </w:rPr>
        <w:t xml:space="preserve"> numero degli operatori tenuti a presentare il modello mensile Intrastat per gli acquisti </w:t>
      </w:r>
      <w:r>
        <w:rPr>
          <w:rFonts w:ascii="Arial Narrow" w:hAnsi="Arial Narrow" w:cs="Arial"/>
          <w:sz w:val="15"/>
          <w:szCs w:val="15"/>
        </w:rPr>
        <w:t>passa a</w:t>
      </w:r>
      <w:r w:rsidRPr="00E74CD4">
        <w:rPr>
          <w:rFonts w:ascii="Arial Narrow" w:hAnsi="Arial Narrow" w:cs="Arial"/>
          <w:sz w:val="15"/>
          <w:szCs w:val="15"/>
        </w:rPr>
        <w:t xml:space="preserve"> </w:t>
      </w:r>
      <w:r>
        <w:rPr>
          <w:rFonts w:ascii="Arial Narrow" w:hAnsi="Arial Narrow" w:cs="Arial"/>
          <w:sz w:val="15"/>
          <w:szCs w:val="15"/>
        </w:rPr>
        <w:t xml:space="preserve">14.000 </w:t>
      </w:r>
      <w:r w:rsidRPr="00E74CD4">
        <w:rPr>
          <w:rFonts w:ascii="Arial Narrow" w:hAnsi="Arial Narrow" w:cs="Arial"/>
          <w:sz w:val="15"/>
          <w:szCs w:val="15"/>
        </w:rPr>
        <w:t xml:space="preserve">rispetto ai </w:t>
      </w:r>
      <w:r>
        <w:rPr>
          <w:rFonts w:ascii="Arial Narrow" w:hAnsi="Arial Narrow" w:cs="Arial"/>
          <w:sz w:val="15"/>
          <w:szCs w:val="15"/>
        </w:rPr>
        <w:t>18.</w:t>
      </w:r>
      <w:r w:rsidRPr="00D42794">
        <w:rPr>
          <w:rFonts w:ascii="Arial Narrow" w:hAnsi="Arial Narrow" w:cs="Arial"/>
          <w:sz w:val="15"/>
          <w:szCs w:val="15"/>
        </w:rPr>
        <w:t>000</w:t>
      </w:r>
      <w:r>
        <w:rPr>
          <w:rFonts w:ascii="Arial Narrow" w:hAnsi="Arial Narrow" w:cs="Arial"/>
          <w:sz w:val="15"/>
          <w:szCs w:val="15"/>
        </w:rPr>
        <w:t xml:space="preserve"> soggetti obbligati del 2021</w:t>
      </w:r>
      <w:r w:rsidRPr="00E74CD4">
        <w:rPr>
          <w:rFonts w:ascii="Arial Narrow" w:hAnsi="Arial Narrow" w:cs="Arial"/>
          <w:sz w:val="15"/>
          <w:szCs w:val="15"/>
        </w:rPr>
        <w:t>.</w:t>
      </w:r>
      <w:r w:rsidRPr="00E74CD4">
        <w:rPr>
          <w:rFonts w:ascii="Arial Narrow" w:hAnsi="Arial Narrow"/>
          <w:sz w:val="15"/>
          <w:szCs w:val="15"/>
        </w:rPr>
        <w:t xml:space="preserve"> </w:t>
      </w:r>
    </w:p>
  </w:footnote>
  <w:footnote w:id="2">
    <w:p w14:paraId="3D3794FF" w14:textId="77777777" w:rsidR="00560DE1" w:rsidRPr="00E74CD4" w:rsidRDefault="00560DE1" w:rsidP="00501E02">
      <w:pPr>
        <w:pStyle w:val="Testonotaapidipagina"/>
        <w:jc w:val="both"/>
        <w:rPr>
          <w:rFonts w:ascii="Arial Narrow" w:hAnsi="Arial Narrow" w:cs="Arial"/>
          <w:sz w:val="15"/>
          <w:szCs w:val="15"/>
        </w:rPr>
      </w:pPr>
      <w:r w:rsidRPr="00E74CD4">
        <w:rPr>
          <w:rStyle w:val="Rimandonotaapidipagina"/>
          <w:rFonts w:ascii="Arial Narrow" w:hAnsi="Arial Narrow"/>
          <w:sz w:val="15"/>
          <w:szCs w:val="15"/>
        </w:rPr>
        <w:footnoteRef/>
      </w:r>
      <w:r w:rsidRPr="00E74CD4">
        <w:rPr>
          <w:rFonts w:ascii="Arial Narrow" w:hAnsi="Arial Narrow"/>
          <w:sz w:val="15"/>
          <w:szCs w:val="15"/>
        </w:rPr>
        <w:t xml:space="preserve"> </w:t>
      </w:r>
      <w:r w:rsidRPr="00E74CD4">
        <w:rPr>
          <w:rFonts w:ascii="Arial Narrow" w:hAnsi="Arial Narrow" w:cs="Arial"/>
          <w:sz w:val="15"/>
          <w:szCs w:val="15"/>
        </w:rPr>
        <w:t>Le serie storiche dei valori di importazioni ed esportazioni per RPI sono state ricostruite e possono, quindi, differire da quelle precedentemente pubblicate.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D0815D" w14:textId="77777777" w:rsidR="00560DE1" w:rsidRPr="009E5F03" w:rsidRDefault="00560DE1" w:rsidP="009E5F03">
    <w:pPr>
      <w:pStyle w:val="Intestazione"/>
    </w:pPr>
    <w:r>
      <w:rPr>
        <w:noProof/>
      </w:rPr>
      <mc:AlternateContent>
        <mc:Choice Requires="wps">
          <w:drawing>
            <wp:anchor distT="0" distB="0" distL="114300" distR="114300" simplePos="0" relativeHeight="251657216" behindDoc="0" locked="0" layoutInCell="1" allowOverlap="1" wp14:anchorId="49A8D2FB" wp14:editId="6CB2B8C7">
              <wp:simplePos x="0" y="0"/>
              <wp:positionH relativeFrom="column">
                <wp:posOffset>552450</wp:posOffset>
              </wp:positionH>
              <wp:positionV relativeFrom="paragraph">
                <wp:posOffset>65405</wp:posOffset>
              </wp:positionV>
              <wp:extent cx="1824355" cy="390525"/>
              <wp:effectExtent l="0" t="0" r="4445" b="0"/>
              <wp:wrapNone/>
              <wp:docPr id="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4355" cy="390525"/>
                      </a:xfrm>
                      <a:prstGeom prst="rect">
                        <a:avLst/>
                      </a:prstGeom>
                      <a:solidFill>
                        <a:srgbClr val="FFFFFF"/>
                      </a:solidFill>
                      <a:ln w="9525">
                        <a:solidFill>
                          <a:srgbClr val="FFFFFF"/>
                        </a:solidFill>
                        <a:miter lim="800000"/>
                        <a:headEnd/>
                        <a:tailEnd/>
                      </a:ln>
                    </wps:spPr>
                    <wps:txbx>
                      <w:txbxContent>
                        <w:p w14:paraId="6CE78992" w14:textId="77777777" w:rsidR="00560DE1" w:rsidRPr="000F5A7E" w:rsidRDefault="00560DE1" w:rsidP="00862146">
                          <w:pPr>
                            <w:pStyle w:val="Intestazione"/>
                            <w:spacing w:line="200" w:lineRule="exact"/>
                            <w:rPr>
                              <w:rFonts w:ascii="Arial Narrow" w:hAnsi="Arial Narrow"/>
                              <w:b/>
                              <w:color w:val="808080"/>
                              <w:sz w:val="20"/>
                            </w:rPr>
                          </w:pPr>
                          <w:r w:rsidRPr="000F5A7E">
                            <w:rPr>
                              <w:rFonts w:ascii="Arial Narrow" w:hAnsi="Arial Narrow"/>
                              <w:b/>
                              <w:color w:val="808080"/>
                              <w:sz w:val="20"/>
                            </w:rPr>
                            <w:t>COMMERCIO ESTERO E PREZZI ALL’IMPORT</w:t>
                          </w:r>
                        </w:p>
                        <w:p w14:paraId="09959FBA" w14:textId="77777777" w:rsidR="00560DE1" w:rsidRPr="00E26DB7" w:rsidRDefault="00560DE1" w:rsidP="00862146">
                          <w:pPr>
                            <w:pStyle w:val="Intestazione"/>
                            <w:spacing w:line="200" w:lineRule="exact"/>
                            <w:rPr>
                              <w:rFonts w:ascii="Arial Narrow" w:hAnsi="Arial Narrow"/>
                              <w:b/>
                              <w:color w:val="5F5F5F"/>
                            </w:rPr>
                          </w:pP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49A8D2FB" id="_x0000_t202" coordsize="21600,21600" o:spt="202" path="m,l,21600r21600,l21600,xe">
              <v:stroke joinstyle="miter"/>
              <v:path gradientshapeok="t" o:connecttype="rect"/>
            </v:shapetype>
            <v:shape id="_x0000_s1028" type="#_x0000_t202" style="position:absolute;margin-left:43.5pt;margin-top:5.15pt;width:143.65pt;height:30.7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" strokecolor="white">
              <v:textbox style="mso-fit-shape-to-text:t" inset="0,0,0,0">
                <w:txbxContent>
                  <w:p w14:paraId="6CE78992" w14:textId="77777777" w:rsidR="00560DE1" w:rsidRPr="000F5A7E" w:rsidRDefault="00560DE1" w:rsidP="00862146">
                    <w:pPr>
                      <w:pStyle w:val="Intestazione"/>
                      <w:spacing w:line="200" w:lineRule="exact"/>
                      <w:rPr>
                        <w:rFonts w:ascii="Arial Narrow" w:hAnsi="Arial Narrow"/>
                        <w:b/>
                        <w:color w:val="808080"/>
                        <w:sz w:val="20"/>
                      </w:rPr>
                    </w:pPr>
                    <w:r w:rsidRPr="000F5A7E">
                      <w:rPr>
                        <w:rFonts w:ascii="Arial Narrow" w:hAnsi="Arial Narrow"/>
                        <w:b/>
                        <w:color w:val="808080"/>
                        <w:sz w:val="20"/>
                      </w:rPr>
                      <w:t>COMMERCIO ESTERO E PREZZI ALL’IMPORT</w:t>
                    </w:r>
                  </w:p>
                  <w:p w14:paraId="09959FBA" w14:textId="77777777" w:rsidR="00560DE1" w:rsidRPr="00E26DB7" w:rsidRDefault="00560DE1" w:rsidP="00862146">
                    <w:pPr>
                      <w:pStyle w:val="Intestazione"/>
                      <w:spacing w:line="200" w:lineRule="exact"/>
                      <w:rPr>
                        <w:rFonts w:ascii="Arial Narrow" w:hAnsi="Arial Narrow"/>
                        <w:b/>
                        <w:color w:val="5F5F5F"/>
                      </w:rPr>
                    </w:pPr>
                  </w:p>
                </w:txbxContent>
              </v:textbox>
            </v:shape>
          </w:pict>
        </mc:Fallback>
      </mc:AlternateContent>
    </w:r>
    <w:r>
      <w:rPr>
        <w:noProof/>
      </w:rPr>
      <w:drawing>
        <wp:inline distT="0" distB="0" distL="0" distR="0" wp14:anchorId="1F67A314" wp14:editId="65E8089C">
          <wp:extent cx="6477000" cy="581025"/>
          <wp:effectExtent l="0" t="0" r="0" b="0"/>
          <wp:docPr id="8" name="Immagine 8" descr="iconeComunicatiRosso-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coneComunicatiRosso-0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58102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6FD973" w14:textId="77777777" w:rsidR="00560DE1" w:rsidRDefault="00560DE1" w:rsidP="004342C5">
    <w:pPr>
      <w:pStyle w:val="Intestazione"/>
      <w:rPr>
        <w:sz w:val="20"/>
        <w:szCs w:val="20"/>
      </w:rPr>
    </w:pPr>
    <w:r>
      <w:rPr>
        <w:noProof/>
      </w:rPr>
      <w:drawing>
        <wp:anchor distT="0" distB="0" distL="114300" distR="114300" simplePos="0" relativeHeight="251665408" behindDoc="0" locked="0" layoutInCell="1" allowOverlap="1" wp14:anchorId="60BC4FD9" wp14:editId="335030D8">
          <wp:simplePos x="0" y="0"/>
          <wp:positionH relativeFrom="column">
            <wp:posOffset>15875</wp:posOffset>
          </wp:positionH>
          <wp:positionV relativeFrom="paragraph">
            <wp:posOffset>-138430</wp:posOffset>
          </wp:positionV>
          <wp:extent cx="5332730" cy="1137920"/>
          <wp:effectExtent l="0" t="0" r="1270" b="5080"/>
          <wp:wrapNone/>
          <wp:docPr id="25" name="Immagine 25" descr="iconeComunicatiRosso-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magine 6" descr="iconeComunicatiRosso-01"/>
                  <pic:cNvPicPr>
                    <a:picLocks noChangeArrowheads="1"/>
                  </pic:cNvPicPr>
                </pic:nvPicPr>
                <pic:blipFill>
                  <a:blip r:embed="rId1">
                    <a:extLst>
                      <a:ext uri="{28A0092B-C50C-407E-A947-70E740481C1C}">
                        <a14:useLocalDpi xmlns:a14="http://schemas.microsoft.com/office/drawing/2010/main" val="0"/>
                      </a:ext>
                    </a:extLst>
                  </a:blip>
                  <a:srcRect l="5" t="-12706" r="16052" b="7286"/>
                  <a:stretch>
                    <a:fillRect/>
                  </a:stretch>
                </pic:blipFill>
                <pic:spPr bwMode="auto">
                  <a:xfrm>
                    <a:off x="0" y="0"/>
                    <a:ext cx="5332730" cy="1137920"/>
                  </a:xfrm>
                  <a:prstGeom prst="rect">
                    <a:avLst/>
                  </a:prstGeom>
                  <a:noFill/>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4294967295" distB="4294967295" distL="114300" distR="114300" simplePos="0" relativeHeight="251664384" behindDoc="0" locked="0" layoutInCell="1" allowOverlap="1" wp14:anchorId="266E8F5C" wp14:editId="7A7E7B6F">
              <wp:simplePos x="0" y="0"/>
              <wp:positionH relativeFrom="column">
                <wp:posOffset>0</wp:posOffset>
              </wp:positionH>
              <wp:positionV relativeFrom="paragraph">
                <wp:posOffset>1082039</wp:posOffset>
              </wp:positionV>
              <wp:extent cx="6414770" cy="0"/>
              <wp:effectExtent l="0" t="0" r="24130" b="19050"/>
              <wp:wrapNone/>
              <wp:docPr id="37" name="Connettore diritto 3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414770" cy="0"/>
                      </a:xfrm>
                      <a:prstGeom prst="line">
                        <a:avLst/>
                      </a:prstGeom>
                      <a:noFill/>
                      <a:ln w="9525" cap="flat" cmpd="sng" algn="ctr">
                        <a:solidFill>
                          <a:sysClr val="window" lastClr="FFFFFF">
                            <a:lumMod val="50000"/>
                          </a:sysClr>
                        </a:solidFill>
                        <a:prstDash val="solid"/>
                        <a:miter lim="800000"/>
                      </a:ln>
                      <a:effectLst/>
                    </wps:spPr>
                    <wps:bodyPr/>
                  </wps:wsp>
                </a:graphicData>
              </a:graphic>
              <wp14:sizeRelH relativeFrom="margin">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du="http://schemas.microsoft.com/office/word/2023/wordml/word16du">
          <w:pict>
            <v:line w14:anchorId="4BFE6213" id="Connettore diritto 37" o:spid="_x0000_s1026" style="position:absolute;z-index:2516643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0,85.2pt" to="505.1pt,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" strokecolor="#7f7f7f">
              <v:stroke joinstyle="miter"/>
              <o:lock v:ext="edit" shapetype="f"/>
            </v:line>
          </w:pict>
        </mc:Fallback>
      </mc:AlternateContent>
    </w:r>
  </w:p>
  <w:p w14:paraId="12F5D21E" w14:textId="77777777" w:rsidR="00560DE1" w:rsidRPr="004342C5" w:rsidRDefault="00560DE1" w:rsidP="004342C5">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1126AF" w14:textId="77777777" w:rsidR="00560DE1" w:rsidRPr="009E5F03" w:rsidRDefault="00560DE1" w:rsidP="009E5F03">
    <w:pPr>
      <w:pStyle w:val="Intestazione"/>
    </w:pPr>
    <w:r>
      <w:rPr>
        <w:noProof/>
      </w:rPr>
      <mc:AlternateContent>
        <mc:Choice Requires="wps">
          <w:drawing>
            <wp:anchor distT="0" distB="0" distL="114300" distR="114300" simplePos="0" relativeHeight="251659264" behindDoc="0" locked="0" layoutInCell="1" allowOverlap="1" wp14:anchorId="6152484F" wp14:editId="2CACE9A0">
              <wp:simplePos x="0" y="0"/>
              <wp:positionH relativeFrom="column">
                <wp:posOffset>536575</wp:posOffset>
              </wp:positionH>
              <wp:positionV relativeFrom="paragraph">
                <wp:posOffset>60960</wp:posOffset>
              </wp:positionV>
              <wp:extent cx="1752600" cy="390525"/>
              <wp:effectExtent l="0" t="0" r="0" b="0"/>
              <wp:wrapNone/>
              <wp:docPr id="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390525"/>
                      </a:xfrm>
                      <a:prstGeom prst="rect">
                        <a:avLst/>
                      </a:prstGeom>
                      <a:solidFill>
                        <a:srgbClr val="FFFFFF"/>
                      </a:solidFill>
                      <a:ln w="9525">
                        <a:solidFill>
                          <a:srgbClr val="FFFFFF"/>
                        </a:solidFill>
                        <a:miter lim="800000"/>
                        <a:headEnd/>
                        <a:tailEnd/>
                      </a:ln>
                    </wps:spPr>
                    <wps:txbx>
                      <w:txbxContent>
                        <w:p w14:paraId="1C63DD11" w14:textId="77777777" w:rsidR="00560DE1" w:rsidRPr="000F5A7E" w:rsidRDefault="00560DE1" w:rsidP="00B72ADE">
                          <w:pPr>
                            <w:pStyle w:val="Intestazione"/>
                            <w:spacing w:line="200" w:lineRule="exact"/>
                            <w:rPr>
                              <w:rFonts w:ascii="Arial Narrow" w:hAnsi="Arial Narrow"/>
                              <w:b/>
                              <w:color w:val="808080"/>
                              <w:sz w:val="20"/>
                            </w:rPr>
                          </w:pPr>
                          <w:r w:rsidRPr="000F5A7E">
                            <w:rPr>
                              <w:rFonts w:ascii="Arial Narrow" w:hAnsi="Arial Narrow"/>
                              <w:b/>
                              <w:color w:val="808080"/>
                              <w:sz w:val="20"/>
                            </w:rPr>
                            <w:t>COMMERCIO ESTERO E PREZZI ALL’IMPORT</w:t>
                          </w:r>
                        </w:p>
                        <w:p w14:paraId="3E24A92C" w14:textId="77777777" w:rsidR="00560DE1" w:rsidRPr="0017508C" w:rsidRDefault="00560DE1" w:rsidP="00B249D0">
                          <w:pPr>
                            <w:pStyle w:val="Intestazione"/>
                            <w:spacing w:line="200" w:lineRule="exact"/>
                            <w:rPr>
                              <w:rFonts w:ascii="Arial Narrow" w:hAnsi="Arial Narrow"/>
                              <w:b/>
                              <w:color w:val="999999"/>
                            </w:rPr>
                          </w:pP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152484F" id="_x0000_t202" coordsize="21600,21600" o:spt="202" path="m,l,21600r21600,l21600,xe">
              <v:stroke joinstyle="miter"/>
              <v:path gradientshapeok="t" o:connecttype="rect"/>
            </v:shapetype>
            <v:shape id="_x0000_s1029" type="#_x0000_t202" style="position:absolute;margin-left:42.25pt;margin-top:4.8pt;width:138pt;height:30.7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" strokecolor="white">
              <v:textbox style="mso-fit-shape-to-text:t" inset="0,0,0,0">
                <w:txbxContent>
                  <w:p w14:paraId="1C63DD11" w14:textId="77777777" w:rsidR="00560DE1" w:rsidRPr="000F5A7E" w:rsidRDefault="00560DE1" w:rsidP="00B72ADE">
                    <w:pPr>
                      <w:pStyle w:val="Intestazione"/>
                      <w:spacing w:line="200" w:lineRule="exact"/>
                      <w:rPr>
                        <w:rFonts w:ascii="Arial Narrow" w:hAnsi="Arial Narrow"/>
                        <w:b/>
                        <w:color w:val="808080"/>
                        <w:sz w:val="20"/>
                      </w:rPr>
                    </w:pPr>
                    <w:r w:rsidRPr="000F5A7E">
                      <w:rPr>
                        <w:rFonts w:ascii="Arial Narrow" w:hAnsi="Arial Narrow"/>
                        <w:b/>
                        <w:color w:val="808080"/>
                        <w:sz w:val="20"/>
                      </w:rPr>
                      <w:t>COMMERCIO ESTERO E PREZZI ALL’IMPORT</w:t>
                    </w:r>
                  </w:p>
                  <w:p w14:paraId="3E24A92C" w14:textId="77777777" w:rsidR="00560DE1" w:rsidRPr="0017508C" w:rsidRDefault="00560DE1" w:rsidP="00B249D0">
                    <w:pPr>
                      <w:pStyle w:val="Intestazione"/>
                      <w:spacing w:line="200" w:lineRule="exact"/>
                      <w:rPr>
                        <w:rFonts w:ascii="Arial Narrow" w:hAnsi="Arial Narrow"/>
                        <w:b/>
                        <w:color w:val="999999"/>
                      </w:rPr>
                    </w:pPr>
                  </w:p>
                </w:txbxContent>
              </v:textbox>
            </v:shape>
          </w:pict>
        </mc:Fallback>
      </mc:AlternateContent>
    </w:r>
    <w:r w:rsidRPr="00287543">
      <w:rPr>
        <w:noProof/>
      </w:rPr>
      <w:drawing>
        <wp:inline distT="0" distB="0" distL="0" distR="0" wp14:anchorId="008B5A53" wp14:editId="7D14C24B">
          <wp:extent cx="6477000" cy="590550"/>
          <wp:effectExtent l="0" t="0" r="0" b="0"/>
          <wp:docPr id="7" name="Immagine 7" descr="iconeComunicatiRosso-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coneComunicatiRosso-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590550"/>
                  </a:xfrm>
                  <a:prstGeom prst="rect">
                    <a:avLst/>
                  </a:prstGeom>
                  <a:noFill/>
                  <a:ln>
                    <a:noFill/>
                  </a:ln>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D111C6" w14:textId="77777777" w:rsidR="00560DE1" w:rsidRPr="009E5F03" w:rsidRDefault="00560DE1" w:rsidP="009E5F03">
    <w:pPr>
      <w:pStyle w:val="Intestazione"/>
    </w:pPr>
    <w:r>
      <w:rPr>
        <w:noProof/>
      </w:rPr>
      <mc:AlternateContent>
        <mc:Choice Requires="wps">
          <w:drawing>
            <wp:anchor distT="0" distB="0" distL="114300" distR="114300" simplePos="0" relativeHeight="251660288" behindDoc="0" locked="0" layoutInCell="1" allowOverlap="1" wp14:anchorId="206EB488" wp14:editId="52107908">
              <wp:simplePos x="0" y="0"/>
              <wp:positionH relativeFrom="column">
                <wp:posOffset>536575</wp:posOffset>
              </wp:positionH>
              <wp:positionV relativeFrom="paragraph">
                <wp:posOffset>60960</wp:posOffset>
              </wp:positionV>
              <wp:extent cx="1752600" cy="263525"/>
              <wp:effectExtent l="0" t="0" r="0" b="3810"/>
              <wp:wrapNone/>
              <wp:docPr id="3"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263525"/>
                      </a:xfrm>
                      <a:prstGeom prst="rect">
                        <a:avLst/>
                      </a:prstGeom>
                      <a:solidFill>
                        <a:srgbClr val="FFFFFF"/>
                      </a:solidFill>
                      <a:ln w="9525">
                        <a:solidFill>
                          <a:srgbClr val="FFFFFF"/>
                        </a:solidFill>
                        <a:miter lim="800000"/>
                        <a:headEnd/>
                        <a:tailEnd/>
                      </a:ln>
                    </wps:spPr>
                    <wps:txbx>
                      <w:txbxContent>
                        <w:p w14:paraId="445FA78B" w14:textId="77777777" w:rsidR="00560DE1" w:rsidRPr="00E74CD4" w:rsidRDefault="00560DE1" w:rsidP="00B249D0">
                          <w:pPr>
                            <w:pStyle w:val="Intestazione"/>
                            <w:spacing w:line="200" w:lineRule="exact"/>
                            <w:rPr>
                              <w:rFonts w:ascii="Arial Narrow" w:hAnsi="Arial Narrow"/>
                              <w:b/>
                              <w:color w:val="808080"/>
                              <w:sz w:val="20"/>
                              <w:szCs w:val="20"/>
                            </w:rPr>
                          </w:pPr>
                          <w:r w:rsidRPr="00E74CD4">
                            <w:rPr>
                              <w:rFonts w:ascii="Arial Narrow" w:hAnsi="Arial Narrow"/>
                              <w:b/>
                              <w:color w:val="808080"/>
                              <w:sz w:val="20"/>
                              <w:szCs w:val="20"/>
                            </w:rPr>
                            <w:t>COMMERCIO ESTERO E PREZZI ALL’IMPORT</w:t>
                          </w:r>
                        </w:p>
                      </w:txbxContent>
                    </wps:txbx>
                    <wps:bodyPr rot="0" vert="horz" wrap="square" lIns="0" tIns="0" rIns="0" bIns="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206EB488" id="_x0000_t202" coordsize="21600,21600" o:spt="202" path="m,l,21600r21600,l21600,xe">
              <v:stroke joinstyle="miter"/>
              <v:path gradientshapeok="t" o:connecttype="rect"/>
            </v:shapetype>
            <v:shape id="_x0000_s1030" type="#_x0000_t202" style="position:absolute;margin-left:42.25pt;margin-top:4.8pt;width:138pt;height:2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" strokecolor="white">
              <v:textbox style="mso-fit-shape-to-text:t" inset="0,0,0,0">
                <w:txbxContent>
                  <w:p w14:paraId="445FA78B" w14:textId="77777777" w:rsidR="00560DE1" w:rsidRPr="00E74CD4" w:rsidRDefault="00560DE1" w:rsidP="00B249D0">
                    <w:pPr>
                      <w:pStyle w:val="Intestazione"/>
                      <w:spacing w:line="200" w:lineRule="exact"/>
                      <w:rPr>
                        <w:rFonts w:ascii="Arial Narrow" w:hAnsi="Arial Narrow"/>
                        <w:b/>
                        <w:color w:val="808080"/>
                        <w:sz w:val="20"/>
                        <w:szCs w:val="20"/>
                      </w:rPr>
                    </w:pPr>
                    <w:r w:rsidRPr="00E74CD4">
                      <w:rPr>
                        <w:rFonts w:ascii="Arial Narrow" w:hAnsi="Arial Narrow"/>
                        <w:b/>
                        <w:color w:val="808080"/>
                        <w:sz w:val="20"/>
                        <w:szCs w:val="20"/>
                      </w:rPr>
                      <w:t>COMMERCIO ESTERO E PREZZI ALL’IMPORT</w:t>
                    </w:r>
                  </w:p>
                </w:txbxContent>
              </v:textbox>
            </v:shape>
          </w:pict>
        </mc:Fallback>
      </mc:AlternateContent>
    </w:r>
    <w:r>
      <w:rPr>
        <w:noProof/>
      </w:rPr>
      <w:drawing>
        <wp:inline distT="0" distB="0" distL="0" distR="0" wp14:anchorId="5D000783" wp14:editId="652D2419">
          <wp:extent cx="6477000" cy="590550"/>
          <wp:effectExtent l="0" t="0" r="0" b="0"/>
          <wp:docPr id="21" name="Immagine 21" descr="iconeComunicati-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coneComunicati-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590550"/>
                  </a:xfrm>
                  <a:prstGeom prst="rect">
                    <a:avLst/>
                  </a:prstGeom>
                  <a:noFill/>
                  <a:ln>
                    <a:noFill/>
                  </a:ln>
                </pic:spPr>
              </pic:pic>
            </a:graphicData>
          </a:graphic>
        </wp:inline>
      </w:drawing>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A47F92" w14:textId="77777777" w:rsidR="00560DE1" w:rsidRPr="009E5F03" w:rsidRDefault="00560DE1" w:rsidP="009E5F03">
    <w:pPr>
      <w:pStyle w:val="Intestazione"/>
    </w:pPr>
    <w:r>
      <w:rPr>
        <w:noProof/>
      </w:rPr>
      <mc:AlternateContent>
        <mc:Choice Requires="wps">
          <w:drawing>
            <wp:anchor distT="0" distB="0" distL="114300" distR="114300" simplePos="0" relativeHeight="251655168" behindDoc="0" locked="0" layoutInCell="1" allowOverlap="1" wp14:anchorId="0FCEC86C" wp14:editId="0AEB9BF2">
              <wp:simplePos x="0" y="0"/>
              <wp:positionH relativeFrom="column">
                <wp:posOffset>536575</wp:posOffset>
              </wp:positionH>
              <wp:positionV relativeFrom="paragraph">
                <wp:posOffset>60960</wp:posOffset>
              </wp:positionV>
              <wp:extent cx="1965325" cy="390525"/>
              <wp:effectExtent l="0" t="0" r="0" b="0"/>
              <wp:wrapNone/>
              <wp:docPr id="2"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325" cy="390525"/>
                      </a:xfrm>
                      <a:prstGeom prst="rect">
                        <a:avLst/>
                      </a:prstGeom>
                      <a:solidFill>
                        <a:srgbClr val="FFFFFF"/>
                      </a:solidFill>
                      <a:ln w="9525">
                        <a:solidFill>
                          <a:srgbClr val="FFFFFF"/>
                        </a:solidFill>
                        <a:miter lim="800000"/>
                        <a:headEnd/>
                        <a:tailEnd/>
                      </a:ln>
                    </wps:spPr>
                    <wps:txbx>
                      <w:txbxContent>
                        <w:p w14:paraId="5C302E2E" w14:textId="77777777" w:rsidR="00560DE1" w:rsidRPr="00E74CD4" w:rsidRDefault="00560DE1" w:rsidP="00B72ADE">
                          <w:pPr>
                            <w:pStyle w:val="Intestazione"/>
                            <w:spacing w:line="200" w:lineRule="exact"/>
                            <w:rPr>
                              <w:rFonts w:ascii="Arial Narrow" w:hAnsi="Arial Narrow"/>
                              <w:b/>
                              <w:color w:val="808080"/>
                              <w:sz w:val="20"/>
                            </w:rPr>
                          </w:pPr>
                          <w:r w:rsidRPr="00E74CD4">
                            <w:rPr>
                              <w:rFonts w:ascii="Arial Narrow" w:hAnsi="Arial Narrow"/>
                              <w:b/>
                              <w:color w:val="808080"/>
                              <w:sz w:val="20"/>
                            </w:rPr>
                            <w:t>COMMERCIO ESTERO E PREZZI ALL’IMPORT</w:t>
                          </w:r>
                        </w:p>
                        <w:p w14:paraId="3F688901" w14:textId="77777777" w:rsidR="00560DE1" w:rsidRPr="00B81D29" w:rsidRDefault="00560DE1" w:rsidP="00B249D0">
                          <w:pPr>
                            <w:pStyle w:val="Intestazione"/>
                            <w:spacing w:line="200" w:lineRule="exact"/>
                            <w:rPr>
                              <w:rFonts w:ascii="Arial Narrow" w:hAnsi="Arial Narrow"/>
                              <w:b/>
                              <w:color w:val="808080"/>
                            </w:rPr>
                          </w:pP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FCEC86C" id="_x0000_t202" coordsize="21600,21600" o:spt="202" path="m,l,21600r21600,l21600,xe">
              <v:stroke joinstyle="miter"/>
              <v:path gradientshapeok="t" o:connecttype="rect"/>
            </v:shapetype>
            <v:shape id="_x0000_s1031" type="#_x0000_t202" style="position:absolute;margin-left:42.25pt;margin-top:4.8pt;width:154.75pt;height:30.75pt;z-index:2516551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" strokecolor="white">
              <v:textbox style="mso-fit-shape-to-text:t" inset="0,0,0,0">
                <w:txbxContent>
                  <w:p w14:paraId="5C302E2E" w14:textId="77777777" w:rsidR="00560DE1" w:rsidRPr="00E74CD4" w:rsidRDefault="00560DE1" w:rsidP="00B72ADE">
                    <w:pPr>
                      <w:pStyle w:val="Intestazione"/>
                      <w:spacing w:line="200" w:lineRule="exact"/>
                      <w:rPr>
                        <w:rFonts w:ascii="Arial Narrow" w:hAnsi="Arial Narrow"/>
                        <w:b/>
                        <w:color w:val="808080"/>
                        <w:sz w:val="20"/>
                      </w:rPr>
                    </w:pPr>
                    <w:r w:rsidRPr="00E74CD4">
                      <w:rPr>
                        <w:rFonts w:ascii="Arial Narrow" w:hAnsi="Arial Narrow"/>
                        <w:b/>
                        <w:color w:val="808080"/>
                        <w:sz w:val="20"/>
                      </w:rPr>
                      <w:t>COMMERCIO ESTERO E PREZZI ALL’IMPORT</w:t>
                    </w:r>
                  </w:p>
                  <w:p w14:paraId="3F688901" w14:textId="77777777" w:rsidR="00560DE1" w:rsidRPr="00B81D29" w:rsidRDefault="00560DE1" w:rsidP="00B249D0">
                    <w:pPr>
                      <w:pStyle w:val="Intestazione"/>
                      <w:spacing w:line="200" w:lineRule="exact"/>
                      <w:rPr>
                        <w:rFonts w:ascii="Arial Narrow" w:hAnsi="Arial Narrow"/>
                        <w:b/>
                        <w:color w:val="808080"/>
                      </w:rPr>
                    </w:pPr>
                  </w:p>
                </w:txbxContent>
              </v:textbox>
            </v:shape>
          </w:pict>
        </mc:Fallback>
      </mc:AlternateContent>
    </w:r>
    <w:r w:rsidRPr="00670D3C">
      <w:rPr>
        <w:noProof/>
      </w:rPr>
      <w:drawing>
        <wp:inline distT="0" distB="0" distL="0" distR="0" wp14:anchorId="0BCA5C0C" wp14:editId="6D39F69F">
          <wp:extent cx="6477000" cy="590550"/>
          <wp:effectExtent l="0" t="0" r="0" b="0"/>
          <wp:docPr id="22" name="Immagine 22" descr="iconeComunicatiRosso-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coneComunicatiRosso-0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590550"/>
                  </a:xfrm>
                  <a:prstGeom prst="rect">
                    <a:avLst/>
                  </a:prstGeom>
                  <a:noFill/>
                  <a:ln>
                    <a:noFill/>
                  </a:ln>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B99FC9" w14:textId="77777777" w:rsidR="00560DE1" w:rsidRPr="009E5F03" w:rsidRDefault="00560DE1" w:rsidP="009E5F03">
    <w:pPr>
      <w:pStyle w:val="Intestazione"/>
    </w:pPr>
    <w:r>
      <w:rPr>
        <w:noProof/>
      </w:rPr>
      <mc:AlternateContent>
        <mc:Choice Requires="wps">
          <w:drawing>
            <wp:anchor distT="0" distB="0" distL="114300" distR="114300" simplePos="0" relativeHeight="251667456" behindDoc="0" locked="0" layoutInCell="1" allowOverlap="1" wp14:anchorId="63B72FCA" wp14:editId="05B1464E">
              <wp:simplePos x="0" y="0"/>
              <wp:positionH relativeFrom="column">
                <wp:posOffset>536575</wp:posOffset>
              </wp:positionH>
              <wp:positionV relativeFrom="paragraph">
                <wp:posOffset>60960</wp:posOffset>
              </wp:positionV>
              <wp:extent cx="1965325" cy="390525"/>
              <wp:effectExtent l="0" t="0" r="0" b="0"/>
              <wp:wrapNone/>
              <wp:docPr id="10"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65325" cy="390525"/>
                      </a:xfrm>
                      <a:prstGeom prst="rect">
                        <a:avLst/>
                      </a:prstGeom>
                      <a:solidFill>
                        <a:srgbClr val="FFFFFF"/>
                      </a:solidFill>
                      <a:ln w="9525">
                        <a:solidFill>
                          <a:srgbClr val="FFFFFF"/>
                        </a:solidFill>
                        <a:miter lim="800000"/>
                        <a:headEnd/>
                        <a:tailEnd/>
                      </a:ln>
                    </wps:spPr>
                    <wps:txbx>
                      <w:txbxContent>
                        <w:p w14:paraId="0C2E14BC" w14:textId="77777777" w:rsidR="00560DE1" w:rsidRPr="00E74CD4" w:rsidRDefault="00560DE1" w:rsidP="00B72ADE">
                          <w:pPr>
                            <w:pStyle w:val="Intestazione"/>
                            <w:spacing w:line="200" w:lineRule="exact"/>
                            <w:rPr>
                              <w:rFonts w:ascii="Arial Narrow" w:hAnsi="Arial Narrow"/>
                              <w:b/>
                              <w:color w:val="808080"/>
                              <w:sz w:val="20"/>
                            </w:rPr>
                          </w:pPr>
                          <w:r w:rsidRPr="00E74CD4">
                            <w:rPr>
                              <w:rFonts w:ascii="Arial Narrow" w:hAnsi="Arial Narrow"/>
                              <w:b/>
                              <w:color w:val="808080"/>
                              <w:sz w:val="20"/>
                            </w:rPr>
                            <w:t>COMMERCIO ESTERO E PREZZI ALL’IMPORT</w:t>
                          </w:r>
                        </w:p>
                        <w:p w14:paraId="5EDE31B5" w14:textId="77777777" w:rsidR="00560DE1" w:rsidRPr="00B81D29" w:rsidRDefault="00560DE1" w:rsidP="00B249D0">
                          <w:pPr>
                            <w:pStyle w:val="Intestazione"/>
                            <w:spacing w:line="200" w:lineRule="exact"/>
                            <w:rPr>
                              <w:rFonts w:ascii="Arial Narrow" w:hAnsi="Arial Narrow"/>
                              <w:b/>
                              <w:color w:val="808080"/>
                            </w:rPr>
                          </w:pPr>
                        </w:p>
                      </w:txbxContent>
                    </wps:txbx>
                    <wps:bodyPr rot="0" vert="horz" wrap="square" lIns="0" tIns="0" rIns="0" bIns="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63B72FCA" id="_x0000_t202" coordsize="21600,21600" o:spt="202" path="m,l,21600r21600,l21600,xe">
              <v:stroke joinstyle="miter"/>
              <v:path gradientshapeok="t" o:connecttype="rect"/>
            </v:shapetype>
            <v:shape id="_x0000_s1032" type="#_x0000_t202" style="position:absolute;margin-left:42.25pt;margin-top:4.8pt;width:154.75pt;height:30.75pt;z-index:2516674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" strokecolor="white">
              <v:textbox style="mso-fit-shape-to-text:t" inset="0,0,0,0">
                <w:txbxContent>
                  <w:p w14:paraId="0C2E14BC" w14:textId="77777777" w:rsidR="00FE2840" w:rsidRPr="00E74CD4" w:rsidRDefault="00FE2840" w:rsidP="00B72ADE">
                    <w:pPr>
                      <w:pStyle w:val="Intestazione"/>
                      <w:spacing w:line="200" w:lineRule="exact"/>
                      <w:rPr>
                        <w:rFonts w:ascii="Arial Narrow" w:hAnsi="Arial Narrow"/>
                        <w:b/>
                        <w:color w:val="808080"/>
                        <w:sz w:val="20"/>
                      </w:rPr>
                    </w:pPr>
                    <w:r w:rsidRPr="00E74CD4">
                      <w:rPr>
                        <w:rFonts w:ascii="Arial Narrow" w:hAnsi="Arial Narrow"/>
                        <w:b/>
                        <w:color w:val="808080"/>
                        <w:sz w:val="20"/>
                      </w:rPr>
                      <w:t>COMMERCIO ESTERO E PREZZI ALL’IMPORT</w:t>
                    </w:r>
                  </w:p>
                  <w:p w14:paraId="5EDE31B5" w14:textId="77777777" w:rsidR="00FE2840" w:rsidRPr="00B81D29" w:rsidRDefault="00FE2840" w:rsidP="00B249D0">
                    <w:pPr>
                      <w:pStyle w:val="Intestazione"/>
                      <w:spacing w:line="200" w:lineRule="exact"/>
                      <w:rPr>
                        <w:rFonts w:ascii="Arial Narrow" w:hAnsi="Arial Narrow"/>
                        <w:b/>
                        <w:color w:val="808080"/>
                      </w:rPr>
                    </w:pPr>
                  </w:p>
                </w:txbxContent>
              </v:textbox>
            </v:shape>
          </w:pict>
        </mc:Fallback>
      </mc:AlternateContent>
    </w:r>
    <w:r w:rsidRPr="0052352C">
      <w:rPr>
        <w:noProof/>
      </w:rPr>
      <w:drawing>
        <wp:inline distT="0" distB="0" distL="0" distR="0" wp14:anchorId="7CE2E3B7" wp14:editId="2746EB54">
          <wp:extent cx="6477000" cy="590550"/>
          <wp:effectExtent l="0" t="0" r="0" b="0"/>
          <wp:docPr id="13" name="Immagine 13" descr="iconeComunicatiRosso-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coneComunicatiRosso-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0" cy="5905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8.45pt;height:8.45pt" o:bullet="t">
        <v:imagedata r:id="rId1" o:title=""/>
      </v:shape>
    </w:pict>
  </w:numPicBullet>
  <w:numPicBullet w:numPicBulletId="1">
    <w:pict>
      <v:shape w14:anchorId="64504443" id="_x0000_i1029" type="#_x0000_t75" style="width:4.5pt;height:7.2pt" o:bullet="t">
        <v:imagedata r:id="rId2" o:title=""/>
      </v:shape>
    </w:pict>
  </w:numPicBullet>
  <w:abstractNum w:abstractNumId="0" w15:restartNumberingAfterBreak="0">
    <w:nsid w:val="FFFFFF1D"/>
    <w:multiLevelType w:val="multilevel"/>
    <w:tmpl w:val="F1A4DCE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622D62"/>
    <w:multiLevelType w:val="hybridMultilevel"/>
    <w:tmpl w:val="2EA4AA2A"/>
    <w:lvl w:ilvl="0" w:tplc="7FE041A6">
      <w:start w:val="1"/>
      <w:numFmt w:val="bullet"/>
      <w:lvlText w:val=""/>
      <w:lvlJc w:val="left"/>
      <w:pPr>
        <w:ind w:left="720" w:hanging="360"/>
      </w:pPr>
      <w:rPr>
        <w:rFonts w:ascii="Wingdings" w:hAnsi="Wingdings" w:hint="default"/>
        <w:b/>
        <w:i w:val="0"/>
        <w:color w:val="FF0000"/>
        <w:sz w:val="18"/>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26E56C4"/>
    <w:multiLevelType w:val="hybridMultilevel"/>
    <w:tmpl w:val="AB00ACB0"/>
    <w:lvl w:ilvl="0" w:tplc="723CD9BA">
      <w:start w:val="1"/>
      <w:numFmt w:val="bullet"/>
      <w:lvlText w:val=""/>
      <w:lvlPicBulletId w:val="1"/>
      <w:lvlJc w:val="left"/>
      <w:pPr>
        <w:ind w:left="2534" w:hanging="360"/>
      </w:pPr>
      <w:rPr>
        <w:rFonts w:ascii="Symbol" w:hAnsi="Symbol" w:hint="default"/>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abstractNum w:abstractNumId="3" w15:restartNumberingAfterBreak="0">
    <w:nsid w:val="034C35E9"/>
    <w:multiLevelType w:val="hybridMultilevel"/>
    <w:tmpl w:val="30AE0F20"/>
    <w:lvl w:ilvl="0" w:tplc="833AC850">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03B30D2B"/>
    <w:multiLevelType w:val="hybridMultilevel"/>
    <w:tmpl w:val="5CEC454A"/>
    <w:lvl w:ilvl="0" w:tplc="785E333E">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3E056BD"/>
    <w:multiLevelType w:val="hybridMultilevel"/>
    <w:tmpl w:val="93188842"/>
    <w:lvl w:ilvl="0" w:tplc="04100017">
      <w:start w:val="1"/>
      <w:numFmt w:val="lowerLetter"/>
      <w:lvlText w:val="%1)"/>
      <w:lvlJc w:val="left"/>
      <w:pPr>
        <w:ind w:left="2517" w:hanging="360"/>
      </w:pPr>
    </w:lvl>
    <w:lvl w:ilvl="1" w:tplc="04100003" w:tentative="1">
      <w:start w:val="1"/>
      <w:numFmt w:val="bullet"/>
      <w:lvlText w:val="o"/>
      <w:lvlJc w:val="left"/>
      <w:pPr>
        <w:ind w:left="3237" w:hanging="360"/>
      </w:pPr>
      <w:rPr>
        <w:rFonts w:ascii="Courier New" w:hAnsi="Courier New" w:cs="Courier New" w:hint="default"/>
      </w:rPr>
    </w:lvl>
    <w:lvl w:ilvl="2" w:tplc="04100005" w:tentative="1">
      <w:start w:val="1"/>
      <w:numFmt w:val="bullet"/>
      <w:lvlText w:val=""/>
      <w:lvlJc w:val="left"/>
      <w:pPr>
        <w:ind w:left="3957" w:hanging="360"/>
      </w:pPr>
      <w:rPr>
        <w:rFonts w:ascii="Wingdings" w:hAnsi="Wingdings" w:hint="default"/>
      </w:rPr>
    </w:lvl>
    <w:lvl w:ilvl="3" w:tplc="04100001" w:tentative="1">
      <w:start w:val="1"/>
      <w:numFmt w:val="bullet"/>
      <w:lvlText w:val=""/>
      <w:lvlJc w:val="left"/>
      <w:pPr>
        <w:ind w:left="4677" w:hanging="360"/>
      </w:pPr>
      <w:rPr>
        <w:rFonts w:ascii="Symbol" w:hAnsi="Symbol" w:hint="default"/>
      </w:rPr>
    </w:lvl>
    <w:lvl w:ilvl="4" w:tplc="04100003" w:tentative="1">
      <w:start w:val="1"/>
      <w:numFmt w:val="bullet"/>
      <w:lvlText w:val="o"/>
      <w:lvlJc w:val="left"/>
      <w:pPr>
        <w:ind w:left="5397" w:hanging="360"/>
      </w:pPr>
      <w:rPr>
        <w:rFonts w:ascii="Courier New" w:hAnsi="Courier New" w:cs="Courier New" w:hint="default"/>
      </w:rPr>
    </w:lvl>
    <w:lvl w:ilvl="5" w:tplc="04100005" w:tentative="1">
      <w:start w:val="1"/>
      <w:numFmt w:val="bullet"/>
      <w:lvlText w:val=""/>
      <w:lvlJc w:val="left"/>
      <w:pPr>
        <w:ind w:left="6117" w:hanging="360"/>
      </w:pPr>
      <w:rPr>
        <w:rFonts w:ascii="Wingdings" w:hAnsi="Wingdings" w:hint="default"/>
      </w:rPr>
    </w:lvl>
    <w:lvl w:ilvl="6" w:tplc="04100001" w:tentative="1">
      <w:start w:val="1"/>
      <w:numFmt w:val="bullet"/>
      <w:lvlText w:val=""/>
      <w:lvlJc w:val="left"/>
      <w:pPr>
        <w:ind w:left="6837" w:hanging="360"/>
      </w:pPr>
      <w:rPr>
        <w:rFonts w:ascii="Symbol" w:hAnsi="Symbol" w:hint="default"/>
      </w:rPr>
    </w:lvl>
    <w:lvl w:ilvl="7" w:tplc="04100003" w:tentative="1">
      <w:start w:val="1"/>
      <w:numFmt w:val="bullet"/>
      <w:lvlText w:val="o"/>
      <w:lvlJc w:val="left"/>
      <w:pPr>
        <w:ind w:left="7557" w:hanging="360"/>
      </w:pPr>
      <w:rPr>
        <w:rFonts w:ascii="Courier New" w:hAnsi="Courier New" w:cs="Courier New" w:hint="default"/>
      </w:rPr>
    </w:lvl>
    <w:lvl w:ilvl="8" w:tplc="04100005" w:tentative="1">
      <w:start w:val="1"/>
      <w:numFmt w:val="bullet"/>
      <w:lvlText w:val=""/>
      <w:lvlJc w:val="left"/>
      <w:pPr>
        <w:ind w:left="8277" w:hanging="360"/>
      </w:pPr>
      <w:rPr>
        <w:rFonts w:ascii="Wingdings" w:hAnsi="Wingdings" w:hint="default"/>
      </w:rPr>
    </w:lvl>
  </w:abstractNum>
  <w:abstractNum w:abstractNumId="6" w15:restartNumberingAfterBreak="0">
    <w:nsid w:val="056C3596"/>
    <w:multiLevelType w:val="multilevel"/>
    <w:tmpl w:val="98E2AEF0"/>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7" w15:restartNumberingAfterBreak="0">
    <w:nsid w:val="059315D3"/>
    <w:multiLevelType w:val="hybridMultilevel"/>
    <w:tmpl w:val="EF400274"/>
    <w:lvl w:ilvl="0" w:tplc="8CAC103E">
      <w:start w:val="1"/>
      <w:numFmt w:val="bullet"/>
      <w:lvlText w:val=""/>
      <w:lvlPicBulletId w:val="1"/>
      <w:lvlJc w:val="left"/>
      <w:pPr>
        <w:tabs>
          <w:tab w:val="num" w:pos="720"/>
        </w:tabs>
        <w:ind w:left="720" w:hanging="360"/>
      </w:pPr>
      <w:rPr>
        <w:rFonts w:ascii="Symbol" w:hAnsi="Symbol" w:hint="default"/>
      </w:rPr>
    </w:lvl>
    <w:lvl w:ilvl="1" w:tplc="950A23AE" w:tentative="1">
      <w:start w:val="1"/>
      <w:numFmt w:val="bullet"/>
      <w:lvlText w:val=""/>
      <w:lvlJc w:val="left"/>
      <w:pPr>
        <w:tabs>
          <w:tab w:val="num" w:pos="1440"/>
        </w:tabs>
        <w:ind w:left="1440" w:hanging="360"/>
      </w:pPr>
      <w:rPr>
        <w:rFonts w:ascii="Symbol" w:hAnsi="Symbol" w:hint="default"/>
      </w:rPr>
    </w:lvl>
    <w:lvl w:ilvl="2" w:tplc="10E0DD76" w:tentative="1">
      <w:start w:val="1"/>
      <w:numFmt w:val="bullet"/>
      <w:lvlText w:val=""/>
      <w:lvlJc w:val="left"/>
      <w:pPr>
        <w:tabs>
          <w:tab w:val="num" w:pos="2160"/>
        </w:tabs>
        <w:ind w:left="2160" w:hanging="360"/>
      </w:pPr>
      <w:rPr>
        <w:rFonts w:ascii="Symbol" w:hAnsi="Symbol" w:hint="default"/>
      </w:rPr>
    </w:lvl>
    <w:lvl w:ilvl="3" w:tplc="A5229CBE" w:tentative="1">
      <w:start w:val="1"/>
      <w:numFmt w:val="bullet"/>
      <w:lvlText w:val=""/>
      <w:lvlJc w:val="left"/>
      <w:pPr>
        <w:tabs>
          <w:tab w:val="num" w:pos="2880"/>
        </w:tabs>
        <w:ind w:left="2880" w:hanging="360"/>
      </w:pPr>
      <w:rPr>
        <w:rFonts w:ascii="Symbol" w:hAnsi="Symbol" w:hint="default"/>
      </w:rPr>
    </w:lvl>
    <w:lvl w:ilvl="4" w:tplc="BD863054" w:tentative="1">
      <w:start w:val="1"/>
      <w:numFmt w:val="bullet"/>
      <w:lvlText w:val=""/>
      <w:lvlJc w:val="left"/>
      <w:pPr>
        <w:tabs>
          <w:tab w:val="num" w:pos="3600"/>
        </w:tabs>
        <w:ind w:left="3600" w:hanging="360"/>
      </w:pPr>
      <w:rPr>
        <w:rFonts w:ascii="Symbol" w:hAnsi="Symbol" w:hint="default"/>
      </w:rPr>
    </w:lvl>
    <w:lvl w:ilvl="5" w:tplc="6046C154" w:tentative="1">
      <w:start w:val="1"/>
      <w:numFmt w:val="bullet"/>
      <w:lvlText w:val=""/>
      <w:lvlJc w:val="left"/>
      <w:pPr>
        <w:tabs>
          <w:tab w:val="num" w:pos="4320"/>
        </w:tabs>
        <w:ind w:left="4320" w:hanging="360"/>
      </w:pPr>
      <w:rPr>
        <w:rFonts w:ascii="Symbol" w:hAnsi="Symbol" w:hint="default"/>
      </w:rPr>
    </w:lvl>
    <w:lvl w:ilvl="6" w:tplc="377ACC06" w:tentative="1">
      <w:start w:val="1"/>
      <w:numFmt w:val="bullet"/>
      <w:lvlText w:val=""/>
      <w:lvlJc w:val="left"/>
      <w:pPr>
        <w:tabs>
          <w:tab w:val="num" w:pos="5040"/>
        </w:tabs>
        <w:ind w:left="5040" w:hanging="360"/>
      </w:pPr>
      <w:rPr>
        <w:rFonts w:ascii="Symbol" w:hAnsi="Symbol" w:hint="default"/>
      </w:rPr>
    </w:lvl>
    <w:lvl w:ilvl="7" w:tplc="8D744430" w:tentative="1">
      <w:start w:val="1"/>
      <w:numFmt w:val="bullet"/>
      <w:lvlText w:val=""/>
      <w:lvlJc w:val="left"/>
      <w:pPr>
        <w:tabs>
          <w:tab w:val="num" w:pos="5760"/>
        </w:tabs>
        <w:ind w:left="5760" w:hanging="360"/>
      </w:pPr>
      <w:rPr>
        <w:rFonts w:ascii="Symbol" w:hAnsi="Symbol" w:hint="default"/>
      </w:rPr>
    </w:lvl>
    <w:lvl w:ilvl="8" w:tplc="49A80EFA" w:tentative="1">
      <w:start w:val="1"/>
      <w:numFmt w:val="bullet"/>
      <w:lvlText w:val=""/>
      <w:lvlJc w:val="left"/>
      <w:pPr>
        <w:tabs>
          <w:tab w:val="num" w:pos="6480"/>
        </w:tabs>
        <w:ind w:left="6480" w:hanging="360"/>
      </w:pPr>
      <w:rPr>
        <w:rFonts w:ascii="Symbol" w:hAnsi="Symbol" w:hint="default"/>
      </w:rPr>
    </w:lvl>
  </w:abstractNum>
  <w:abstractNum w:abstractNumId="8" w15:restartNumberingAfterBreak="0">
    <w:nsid w:val="083B7600"/>
    <w:multiLevelType w:val="hybridMultilevel"/>
    <w:tmpl w:val="857A09D8"/>
    <w:lvl w:ilvl="0" w:tplc="04100017">
      <w:start w:val="1"/>
      <w:numFmt w:val="lowerLetter"/>
      <w:lvlText w:val="%1)"/>
      <w:lvlJc w:val="left"/>
      <w:pPr>
        <w:ind w:left="2517" w:hanging="360"/>
      </w:pPr>
    </w:lvl>
    <w:lvl w:ilvl="1" w:tplc="04100003" w:tentative="1">
      <w:start w:val="1"/>
      <w:numFmt w:val="bullet"/>
      <w:lvlText w:val="o"/>
      <w:lvlJc w:val="left"/>
      <w:pPr>
        <w:ind w:left="3237" w:hanging="360"/>
      </w:pPr>
      <w:rPr>
        <w:rFonts w:ascii="Courier New" w:hAnsi="Courier New" w:cs="Courier New" w:hint="default"/>
      </w:rPr>
    </w:lvl>
    <w:lvl w:ilvl="2" w:tplc="04100005" w:tentative="1">
      <w:start w:val="1"/>
      <w:numFmt w:val="bullet"/>
      <w:lvlText w:val=""/>
      <w:lvlJc w:val="left"/>
      <w:pPr>
        <w:ind w:left="3957" w:hanging="360"/>
      </w:pPr>
      <w:rPr>
        <w:rFonts w:ascii="Wingdings" w:hAnsi="Wingdings" w:hint="default"/>
      </w:rPr>
    </w:lvl>
    <w:lvl w:ilvl="3" w:tplc="04100001" w:tentative="1">
      <w:start w:val="1"/>
      <w:numFmt w:val="bullet"/>
      <w:lvlText w:val=""/>
      <w:lvlJc w:val="left"/>
      <w:pPr>
        <w:ind w:left="4677" w:hanging="360"/>
      </w:pPr>
      <w:rPr>
        <w:rFonts w:ascii="Symbol" w:hAnsi="Symbol" w:hint="default"/>
      </w:rPr>
    </w:lvl>
    <w:lvl w:ilvl="4" w:tplc="04100003" w:tentative="1">
      <w:start w:val="1"/>
      <w:numFmt w:val="bullet"/>
      <w:lvlText w:val="o"/>
      <w:lvlJc w:val="left"/>
      <w:pPr>
        <w:ind w:left="5397" w:hanging="360"/>
      </w:pPr>
      <w:rPr>
        <w:rFonts w:ascii="Courier New" w:hAnsi="Courier New" w:cs="Courier New" w:hint="default"/>
      </w:rPr>
    </w:lvl>
    <w:lvl w:ilvl="5" w:tplc="04100005" w:tentative="1">
      <w:start w:val="1"/>
      <w:numFmt w:val="bullet"/>
      <w:lvlText w:val=""/>
      <w:lvlJc w:val="left"/>
      <w:pPr>
        <w:ind w:left="6117" w:hanging="360"/>
      </w:pPr>
      <w:rPr>
        <w:rFonts w:ascii="Wingdings" w:hAnsi="Wingdings" w:hint="default"/>
      </w:rPr>
    </w:lvl>
    <w:lvl w:ilvl="6" w:tplc="04100001" w:tentative="1">
      <w:start w:val="1"/>
      <w:numFmt w:val="bullet"/>
      <w:lvlText w:val=""/>
      <w:lvlJc w:val="left"/>
      <w:pPr>
        <w:ind w:left="6837" w:hanging="360"/>
      </w:pPr>
      <w:rPr>
        <w:rFonts w:ascii="Symbol" w:hAnsi="Symbol" w:hint="default"/>
      </w:rPr>
    </w:lvl>
    <w:lvl w:ilvl="7" w:tplc="04100003" w:tentative="1">
      <w:start w:val="1"/>
      <w:numFmt w:val="bullet"/>
      <w:lvlText w:val="o"/>
      <w:lvlJc w:val="left"/>
      <w:pPr>
        <w:ind w:left="7557" w:hanging="360"/>
      </w:pPr>
      <w:rPr>
        <w:rFonts w:ascii="Courier New" w:hAnsi="Courier New" w:cs="Courier New" w:hint="default"/>
      </w:rPr>
    </w:lvl>
    <w:lvl w:ilvl="8" w:tplc="04100005" w:tentative="1">
      <w:start w:val="1"/>
      <w:numFmt w:val="bullet"/>
      <w:lvlText w:val=""/>
      <w:lvlJc w:val="left"/>
      <w:pPr>
        <w:ind w:left="8277" w:hanging="360"/>
      </w:pPr>
      <w:rPr>
        <w:rFonts w:ascii="Wingdings" w:hAnsi="Wingdings" w:hint="default"/>
      </w:rPr>
    </w:lvl>
  </w:abstractNum>
  <w:abstractNum w:abstractNumId="9" w15:restartNumberingAfterBreak="0">
    <w:nsid w:val="08BF3BFF"/>
    <w:multiLevelType w:val="hybridMultilevel"/>
    <w:tmpl w:val="625CFFF6"/>
    <w:lvl w:ilvl="0" w:tplc="723CD9BA">
      <w:start w:val="1"/>
      <w:numFmt w:val="bullet"/>
      <w:lvlText w:val=""/>
      <w:lvlPicBulletId w:val="1"/>
      <w:lvlJc w:val="left"/>
      <w:pPr>
        <w:ind w:left="2534" w:hanging="360"/>
      </w:pPr>
      <w:rPr>
        <w:rFonts w:ascii="Symbol" w:hAnsi="Symbol" w:hint="default"/>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abstractNum w:abstractNumId="10" w15:restartNumberingAfterBreak="0">
    <w:nsid w:val="09B04BFB"/>
    <w:multiLevelType w:val="hybridMultilevel"/>
    <w:tmpl w:val="41BE7B76"/>
    <w:lvl w:ilvl="0" w:tplc="C8782680">
      <w:start w:val="1"/>
      <w:numFmt w:val="bullet"/>
      <w:lvlText w:val=""/>
      <w:lvlJc w:val="left"/>
      <w:pPr>
        <w:ind w:left="360" w:hanging="360"/>
      </w:pPr>
      <w:rPr>
        <w:rFonts w:ascii="Wingdings" w:hAnsi="Wingdings" w:hint="default"/>
        <w:color w:val="E42618"/>
        <w:sz w:val="21"/>
        <w:szCs w:val="21"/>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09EC4AD0"/>
    <w:multiLevelType w:val="multilevel"/>
    <w:tmpl w:val="781664CC"/>
    <w:lvl w:ilvl="0">
      <w:start w:val="1"/>
      <w:numFmt w:val="lowerLetter"/>
      <w:lvlText w:val="(%1)"/>
      <w:lvlJc w:val="left"/>
      <w:pPr>
        <w:tabs>
          <w:tab w:val="num" w:pos="360"/>
        </w:tabs>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AB86367"/>
    <w:multiLevelType w:val="hybridMultilevel"/>
    <w:tmpl w:val="4FFCC8FE"/>
    <w:lvl w:ilvl="0" w:tplc="723CD9BA">
      <w:start w:val="1"/>
      <w:numFmt w:val="bullet"/>
      <w:lvlText w:val=""/>
      <w:lvlPicBulletId w:val="1"/>
      <w:lvlJc w:val="left"/>
      <w:pPr>
        <w:ind w:left="2534" w:hanging="360"/>
      </w:pPr>
      <w:rPr>
        <w:rFonts w:ascii="Symbol" w:hAnsi="Symbol" w:hint="default"/>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abstractNum w:abstractNumId="13" w15:restartNumberingAfterBreak="0">
    <w:nsid w:val="0B643584"/>
    <w:multiLevelType w:val="hybridMultilevel"/>
    <w:tmpl w:val="51E2D8B6"/>
    <w:lvl w:ilvl="0" w:tplc="46243AC4">
      <w:start w:val="1"/>
      <w:numFmt w:val="lowerLetter"/>
      <w:lvlText w:val="%1)"/>
      <w:lvlJc w:val="left"/>
      <w:pPr>
        <w:ind w:left="2517" w:hanging="360"/>
      </w:pPr>
      <w:rPr>
        <w:rFonts w:ascii="Arial" w:eastAsia="Times New Roman" w:hAnsi="Arial" w:cs="Arial"/>
      </w:rPr>
    </w:lvl>
    <w:lvl w:ilvl="1" w:tplc="04100003" w:tentative="1">
      <w:start w:val="1"/>
      <w:numFmt w:val="bullet"/>
      <w:lvlText w:val="o"/>
      <w:lvlJc w:val="left"/>
      <w:pPr>
        <w:ind w:left="3237" w:hanging="360"/>
      </w:pPr>
      <w:rPr>
        <w:rFonts w:ascii="Courier New" w:hAnsi="Courier New" w:cs="Courier New" w:hint="default"/>
      </w:rPr>
    </w:lvl>
    <w:lvl w:ilvl="2" w:tplc="04100005" w:tentative="1">
      <w:start w:val="1"/>
      <w:numFmt w:val="bullet"/>
      <w:lvlText w:val=""/>
      <w:lvlJc w:val="left"/>
      <w:pPr>
        <w:ind w:left="3957" w:hanging="360"/>
      </w:pPr>
      <w:rPr>
        <w:rFonts w:ascii="Wingdings" w:hAnsi="Wingdings" w:hint="default"/>
      </w:rPr>
    </w:lvl>
    <w:lvl w:ilvl="3" w:tplc="04100001" w:tentative="1">
      <w:start w:val="1"/>
      <w:numFmt w:val="bullet"/>
      <w:lvlText w:val=""/>
      <w:lvlJc w:val="left"/>
      <w:pPr>
        <w:ind w:left="4677" w:hanging="360"/>
      </w:pPr>
      <w:rPr>
        <w:rFonts w:ascii="Symbol" w:hAnsi="Symbol" w:hint="default"/>
      </w:rPr>
    </w:lvl>
    <w:lvl w:ilvl="4" w:tplc="04100003" w:tentative="1">
      <w:start w:val="1"/>
      <w:numFmt w:val="bullet"/>
      <w:lvlText w:val="o"/>
      <w:lvlJc w:val="left"/>
      <w:pPr>
        <w:ind w:left="5397" w:hanging="360"/>
      </w:pPr>
      <w:rPr>
        <w:rFonts w:ascii="Courier New" w:hAnsi="Courier New" w:cs="Courier New" w:hint="default"/>
      </w:rPr>
    </w:lvl>
    <w:lvl w:ilvl="5" w:tplc="04100005" w:tentative="1">
      <w:start w:val="1"/>
      <w:numFmt w:val="bullet"/>
      <w:lvlText w:val=""/>
      <w:lvlJc w:val="left"/>
      <w:pPr>
        <w:ind w:left="6117" w:hanging="360"/>
      </w:pPr>
      <w:rPr>
        <w:rFonts w:ascii="Wingdings" w:hAnsi="Wingdings" w:hint="default"/>
      </w:rPr>
    </w:lvl>
    <w:lvl w:ilvl="6" w:tplc="04100001" w:tentative="1">
      <w:start w:val="1"/>
      <w:numFmt w:val="bullet"/>
      <w:lvlText w:val=""/>
      <w:lvlJc w:val="left"/>
      <w:pPr>
        <w:ind w:left="6837" w:hanging="360"/>
      </w:pPr>
      <w:rPr>
        <w:rFonts w:ascii="Symbol" w:hAnsi="Symbol" w:hint="default"/>
      </w:rPr>
    </w:lvl>
    <w:lvl w:ilvl="7" w:tplc="04100003" w:tentative="1">
      <w:start w:val="1"/>
      <w:numFmt w:val="bullet"/>
      <w:lvlText w:val="o"/>
      <w:lvlJc w:val="left"/>
      <w:pPr>
        <w:ind w:left="7557" w:hanging="360"/>
      </w:pPr>
      <w:rPr>
        <w:rFonts w:ascii="Courier New" w:hAnsi="Courier New" w:cs="Courier New" w:hint="default"/>
      </w:rPr>
    </w:lvl>
    <w:lvl w:ilvl="8" w:tplc="04100005" w:tentative="1">
      <w:start w:val="1"/>
      <w:numFmt w:val="bullet"/>
      <w:lvlText w:val=""/>
      <w:lvlJc w:val="left"/>
      <w:pPr>
        <w:ind w:left="8277" w:hanging="360"/>
      </w:pPr>
      <w:rPr>
        <w:rFonts w:ascii="Wingdings" w:hAnsi="Wingdings" w:hint="default"/>
      </w:rPr>
    </w:lvl>
  </w:abstractNum>
  <w:abstractNum w:abstractNumId="14" w15:restartNumberingAfterBreak="0">
    <w:nsid w:val="0CE739D6"/>
    <w:multiLevelType w:val="hybridMultilevel"/>
    <w:tmpl w:val="2C004114"/>
    <w:lvl w:ilvl="0" w:tplc="FFFFFFFF">
      <w:start w:val="1"/>
      <w:numFmt w:val="bullet"/>
      <w:lvlText w:val=""/>
      <w:lvlJc w:val="left"/>
      <w:pPr>
        <w:tabs>
          <w:tab w:val="num" w:pos="340"/>
        </w:tabs>
        <w:ind w:left="0" w:firstLine="0"/>
      </w:pPr>
      <w:rPr>
        <w:rFonts w:ascii="Wingdings" w:hAnsi="Wingdings" w:hint="default"/>
        <w:b w:val="0"/>
        <w:i w:val="0"/>
        <w:color w:val="FF0000"/>
        <w:spacing w:val="0"/>
        <w:sz w:val="24"/>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D407BCC"/>
    <w:multiLevelType w:val="hybridMultilevel"/>
    <w:tmpl w:val="F20AF4D8"/>
    <w:lvl w:ilvl="0" w:tplc="5270E3B4">
      <w:start w:val="1"/>
      <w:numFmt w:val="lowerLetter"/>
      <w:lvlText w:val="(%1)"/>
      <w:lvlJc w:val="left"/>
      <w:pPr>
        <w:ind w:left="2174" w:hanging="360"/>
      </w:pPr>
      <w:rPr>
        <w:rFonts w:hint="default"/>
      </w:rPr>
    </w:lvl>
    <w:lvl w:ilvl="1" w:tplc="04100019" w:tentative="1">
      <w:start w:val="1"/>
      <w:numFmt w:val="lowerLetter"/>
      <w:lvlText w:val="%2."/>
      <w:lvlJc w:val="left"/>
      <w:pPr>
        <w:ind w:left="2894" w:hanging="360"/>
      </w:pPr>
    </w:lvl>
    <w:lvl w:ilvl="2" w:tplc="0410001B" w:tentative="1">
      <w:start w:val="1"/>
      <w:numFmt w:val="lowerRoman"/>
      <w:lvlText w:val="%3."/>
      <w:lvlJc w:val="right"/>
      <w:pPr>
        <w:ind w:left="3614" w:hanging="180"/>
      </w:pPr>
    </w:lvl>
    <w:lvl w:ilvl="3" w:tplc="0410000F" w:tentative="1">
      <w:start w:val="1"/>
      <w:numFmt w:val="decimal"/>
      <w:lvlText w:val="%4."/>
      <w:lvlJc w:val="left"/>
      <w:pPr>
        <w:ind w:left="4334" w:hanging="360"/>
      </w:pPr>
    </w:lvl>
    <w:lvl w:ilvl="4" w:tplc="04100019" w:tentative="1">
      <w:start w:val="1"/>
      <w:numFmt w:val="lowerLetter"/>
      <w:lvlText w:val="%5."/>
      <w:lvlJc w:val="left"/>
      <w:pPr>
        <w:ind w:left="5054" w:hanging="360"/>
      </w:pPr>
    </w:lvl>
    <w:lvl w:ilvl="5" w:tplc="0410001B" w:tentative="1">
      <w:start w:val="1"/>
      <w:numFmt w:val="lowerRoman"/>
      <w:lvlText w:val="%6."/>
      <w:lvlJc w:val="right"/>
      <w:pPr>
        <w:ind w:left="5774" w:hanging="180"/>
      </w:pPr>
    </w:lvl>
    <w:lvl w:ilvl="6" w:tplc="0410000F" w:tentative="1">
      <w:start w:val="1"/>
      <w:numFmt w:val="decimal"/>
      <w:lvlText w:val="%7."/>
      <w:lvlJc w:val="left"/>
      <w:pPr>
        <w:ind w:left="6494" w:hanging="360"/>
      </w:pPr>
    </w:lvl>
    <w:lvl w:ilvl="7" w:tplc="04100019" w:tentative="1">
      <w:start w:val="1"/>
      <w:numFmt w:val="lowerLetter"/>
      <w:lvlText w:val="%8."/>
      <w:lvlJc w:val="left"/>
      <w:pPr>
        <w:ind w:left="7214" w:hanging="360"/>
      </w:pPr>
    </w:lvl>
    <w:lvl w:ilvl="8" w:tplc="0410001B" w:tentative="1">
      <w:start w:val="1"/>
      <w:numFmt w:val="lowerRoman"/>
      <w:lvlText w:val="%9."/>
      <w:lvlJc w:val="right"/>
      <w:pPr>
        <w:ind w:left="7934" w:hanging="180"/>
      </w:pPr>
    </w:lvl>
  </w:abstractNum>
  <w:abstractNum w:abstractNumId="16" w15:restartNumberingAfterBreak="0">
    <w:nsid w:val="0E172E02"/>
    <w:multiLevelType w:val="hybridMultilevel"/>
    <w:tmpl w:val="98E2AEF0"/>
    <w:lvl w:ilvl="0" w:tplc="A8762A92">
      <w:start w:val="1"/>
      <w:numFmt w:val="bullet"/>
      <w:lvlText w:val=""/>
      <w:lvlPicBulletId w:val="0"/>
      <w:lvlJc w:val="left"/>
      <w:pPr>
        <w:tabs>
          <w:tab w:val="num" w:pos="720"/>
        </w:tabs>
        <w:ind w:left="720" w:hanging="360"/>
      </w:pPr>
      <w:rPr>
        <w:rFonts w:ascii="Symbol" w:hAnsi="Symbol" w:hint="default"/>
      </w:rPr>
    </w:lvl>
    <w:lvl w:ilvl="1" w:tplc="6D6EAF6E">
      <w:start w:val="1"/>
      <w:numFmt w:val="bullet"/>
      <w:lvlText w:val=""/>
      <w:lvlJc w:val="left"/>
      <w:pPr>
        <w:tabs>
          <w:tab w:val="num" w:pos="1440"/>
        </w:tabs>
        <w:ind w:left="1440" w:hanging="360"/>
      </w:pPr>
      <w:rPr>
        <w:rFonts w:ascii="Symbol" w:hAnsi="Symbol" w:hint="default"/>
      </w:rPr>
    </w:lvl>
    <w:lvl w:ilvl="2" w:tplc="7A64CB7E" w:tentative="1">
      <w:start w:val="1"/>
      <w:numFmt w:val="bullet"/>
      <w:lvlText w:val=""/>
      <w:lvlJc w:val="left"/>
      <w:pPr>
        <w:tabs>
          <w:tab w:val="num" w:pos="2160"/>
        </w:tabs>
        <w:ind w:left="2160" w:hanging="360"/>
      </w:pPr>
      <w:rPr>
        <w:rFonts w:ascii="Symbol" w:hAnsi="Symbol" w:hint="default"/>
      </w:rPr>
    </w:lvl>
    <w:lvl w:ilvl="3" w:tplc="19A2BEA6" w:tentative="1">
      <w:start w:val="1"/>
      <w:numFmt w:val="bullet"/>
      <w:lvlText w:val=""/>
      <w:lvlJc w:val="left"/>
      <w:pPr>
        <w:tabs>
          <w:tab w:val="num" w:pos="2880"/>
        </w:tabs>
        <w:ind w:left="2880" w:hanging="360"/>
      </w:pPr>
      <w:rPr>
        <w:rFonts w:ascii="Symbol" w:hAnsi="Symbol" w:hint="default"/>
      </w:rPr>
    </w:lvl>
    <w:lvl w:ilvl="4" w:tplc="7A906554" w:tentative="1">
      <w:start w:val="1"/>
      <w:numFmt w:val="bullet"/>
      <w:lvlText w:val=""/>
      <w:lvlJc w:val="left"/>
      <w:pPr>
        <w:tabs>
          <w:tab w:val="num" w:pos="3600"/>
        </w:tabs>
        <w:ind w:left="3600" w:hanging="360"/>
      </w:pPr>
      <w:rPr>
        <w:rFonts w:ascii="Symbol" w:hAnsi="Symbol" w:hint="default"/>
      </w:rPr>
    </w:lvl>
    <w:lvl w:ilvl="5" w:tplc="DF94CC1E" w:tentative="1">
      <w:start w:val="1"/>
      <w:numFmt w:val="bullet"/>
      <w:lvlText w:val=""/>
      <w:lvlJc w:val="left"/>
      <w:pPr>
        <w:tabs>
          <w:tab w:val="num" w:pos="4320"/>
        </w:tabs>
        <w:ind w:left="4320" w:hanging="360"/>
      </w:pPr>
      <w:rPr>
        <w:rFonts w:ascii="Symbol" w:hAnsi="Symbol" w:hint="default"/>
      </w:rPr>
    </w:lvl>
    <w:lvl w:ilvl="6" w:tplc="10AAB236" w:tentative="1">
      <w:start w:val="1"/>
      <w:numFmt w:val="bullet"/>
      <w:lvlText w:val=""/>
      <w:lvlJc w:val="left"/>
      <w:pPr>
        <w:tabs>
          <w:tab w:val="num" w:pos="5040"/>
        </w:tabs>
        <w:ind w:left="5040" w:hanging="360"/>
      </w:pPr>
      <w:rPr>
        <w:rFonts w:ascii="Symbol" w:hAnsi="Symbol" w:hint="default"/>
      </w:rPr>
    </w:lvl>
    <w:lvl w:ilvl="7" w:tplc="387E825A" w:tentative="1">
      <w:start w:val="1"/>
      <w:numFmt w:val="bullet"/>
      <w:lvlText w:val=""/>
      <w:lvlJc w:val="left"/>
      <w:pPr>
        <w:tabs>
          <w:tab w:val="num" w:pos="5760"/>
        </w:tabs>
        <w:ind w:left="5760" w:hanging="360"/>
      </w:pPr>
      <w:rPr>
        <w:rFonts w:ascii="Symbol" w:hAnsi="Symbol" w:hint="default"/>
      </w:rPr>
    </w:lvl>
    <w:lvl w:ilvl="8" w:tplc="4A643362"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1C24545E"/>
    <w:multiLevelType w:val="hybridMultilevel"/>
    <w:tmpl w:val="2BE66A3A"/>
    <w:lvl w:ilvl="0" w:tplc="6888BADE">
      <w:start w:val="1"/>
      <w:numFmt w:val="bullet"/>
      <w:lvlText w:val=""/>
      <w:lvlJc w:val="left"/>
      <w:pPr>
        <w:tabs>
          <w:tab w:val="num" w:pos="340"/>
        </w:tabs>
      </w:pPr>
      <w:rPr>
        <w:rFonts w:ascii="Webdings" w:hAnsi="Webdings" w:hint="default"/>
        <w:b w:val="0"/>
        <w:i w:val="0"/>
        <w:color w:val="E42618"/>
        <w:spacing w:val="0"/>
        <w:sz w:val="24"/>
        <w:szCs w:val="18"/>
      </w:rPr>
    </w:lvl>
    <w:lvl w:ilvl="1" w:tplc="E8FCC02E">
      <w:start w:val="1"/>
      <w:numFmt w:val="bullet"/>
      <w:lvlText w:val="o"/>
      <w:lvlJc w:val="left"/>
      <w:pPr>
        <w:tabs>
          <w:tab w:val="num" w:pos="1440"/>
        </w:tabs>
        <w:ind w:left="1440" w:hanging="360"/>
      </w:pPr>
      <w:rPr>
        <w:rFonts w:ascii="Courier New" w:hAnsi="Courier New"/>
      </w:rPr>
    </w:lvl>
    <w:lvl w:ilvl="2" w:tplc="57B2E412">
      <w:start w:val="1"/>
      <w:numFmt w:val="bullet"/>
      <w:lvlText w:val=""/>
      <w:lvlJc w:val="left"/>
      <w:pPr>
        <w:tabs>
          <w:tab w:val="num" w:pos="2160"/>
        </w:tabs>
        <w:ind w:left="2160" w:hanging="360"/>
      </w:pPr>
      <w:rPr>
        <w:rFonts w:ascii="Wingdings" w:hAnsi="Wingdings"/>
      </w:rPr>
    </w:lvl>
    <w:lvl w:ilvl="3" w:tplc="31BA2B30">
      <w:start w:val="1"/>
      <w:numFmt w:val="bullet"/>
      <w:lvlText w:val=""/>
      <w:lvlJc w:val="left"/>
      <w:pPr>
        <w:tabs>
          <w:tab w:val="num" w:pos="2880"/>
        </w:tabs>
        <w:ind w:left="2880" w:hanging="360"/>
      </w:pPr>
      <w:rPr>
        <w:rFonts w:ascii="Symbol" w:hAnsi="Symbol"/>
      </w:rPr>
    </w:lvl>
    <w:lvl w:ilvl="4" w:tplc="2C2276D6">
      <w:start w:val="1"/>
      <w:numFmt w:val="bullet"/>
      <w:lvlText w:val="o"/>
      <w:lvlJc w:val="left"/>
      <w:pPr>
        <w:tabs>
          <w:tab w:val="num" w:pos="3600"/>
        </w:tabs>
        <w:ind w:left="3600" w:hanging="360"/>
      </w:pPr>
      <w:rPr>
        <w:rFonts w:ascii="Courier New" w:hAnsi="Courier New"/>
      </w:rPr>
    </w:lvl>
    <w:lvl w:ilvl="5" w:tplc="85BACC6E">
      <w:start w:val="1"/>
      <w:numFmt w:val="bullet"/>
      <w:lvlText w:val=""/>
      <w:lvlJc w:val="left"/>
      <w:pPr>
        <w:tabs>
          <w:tab w:val="num" w:pos="4320"/>
        </w:tabs>
        <w:ind w:left="4320" w:hanging="360"/>
      </w:pPr>
      <w:rPr>
        <w:rFonts w:ascii="Wingdings" w:hAnsi="Wingdings"/>
      </w:rPr>
    </w:lvl>
    <w:lvl w:ilvl="6" w:tplc="1F3EF924">
      <w:start w:val="1"/>
      <w:numFmt w:val="bullet"/>
      <w:lvlText w:val=""/>
      <w:lvlJc w:val="left"/>
      <w:pPr>
        <w:tabs>
          <w:tab w:val="num" w:pos="5040"/>
        </w:tabs>
        <w:ind w:left="5040" w:hanging="360"/>
      </w:pPr>
      <w:rPr>
        <w:rFonts w:ascii="Symbol" w:hAnsi="Symbol"/>
      </w:rPr>
    </w:lvl>
    <w:lvl w:ilvl="7" w:tplc="6D82A608">
      <w:start w:val="1"/>
      <w:numFmt w:val="bullet"/>
      <w:lvlText w:val="o"/>
      <w:lvlJc w:val="left"/>
      <w:pPr>
        <w:tabs>
          <w:tab w:val="num" w:pos="5760"/>
        </w:tabs>
        <w:ind w:left="5760" w:hanging="360"/>
      </w:pPr>
      <w:rPr>
        <w:rFonts w:ascii="Courier New" w:hAnsi="Courier New"/>
      </w:rPr>
    </w:lvl>
    <w:lvl w:ilvl="8" w:tplc="11E84114">
      <w:start w:val="1"/>
      <w:numFmt w:val="bullet"/>
      <w:lvlText w:val=""/>
      <w:lvlJc w:val="left"/>
      <w:pPr>
        <w:tabs>
          <w:tab w:val="num" w:pos="6480"/>
        </w:tabs>
        <w:ind w:left="6480" w:hanging="360"/>
      </w:pPr>
      <w:rPr>
        <w:rFonts w:ascii="Wingdings" w:hAnsi="Wingdings"/>
      </w:rPr>
    </w:lvl>
  </w:abstractNum>
  <w:abstractNum w:abstractNumId="18" w15:restartNumberingAfterBreak="0">
    <w:nsid w:val="1C424650"/>
    <w:multiLevelType w:val="hybridMultilevel"/>
    <w:tmpl w:val="4FC00012"/>
    <w:lvl w:ilvl="0" w:tplc="086C8314">
      <w:start w:val="1"/>
      <w:numFmt w:val="bullet"/>
      <w:lvlText w:val=""/>
      <w:lvlJc w:val="left"/>
      <w:pPr>
        <w:tabs>
          <w:tab w:val="num" w:pos="340"/>
        </w:tabs>
        <w:ind w:left="0" w:firstLine="0"/>
      </w:pPr>
      <w:rPr>
        <w:rFonts w:ascii="Wingdings" w:hAnsi="Wingdings" w:hint="default"/>
        <w:b w:val="0"/>
        <w:i w:val="0"/>
        <w:color w:val="E42618"/>
        <w:spacing w:val="0"/>
        <w:sz w:val="26"/>
        <w:szCs w:val="18"/>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F343AE3"/>
    <w:multiLevelType w:val="hybridMultilevel"/>
    <w:tmpl w:val="6EC29A46"/>
    <w:lvl w:ilvl="0" w:tplc="DB7A5FB8">
      <w:start w:val="1"/>
      <w:numFmt w:val="lowerLetter"/>
      <w:lvlText w:val="%1)"/>
      <w:lvlJc w:val="left"/>
      <w:pPr>
        <w:ind w:left="2174" w:hanging="360"/>
      </w:pPr>
      <w:rPr>
        <w:rFonts w:hint="default"/>
      </w:rPr>
    </w:lvl>
    <w:lvl w:ilvl="1" w:tplc="04100019" w:tentative="1">
      <w:start w:val="1"/>
      <w:numFmt w:val="lowerLetter"/>
      <w:lvlText w:val="%2."/>
      <w:lvlJc w:val="left"/>
      <w:pPr>
        <w:ind w:left="2894" w:hanging="360"/>
      </w:pPr>
    </w:lvl>
    <w:lvl w:ilvl="2" w:tplc="0410001B" w:tentative="1">
      <w:start w:val="1"/>
      <w:numFmt w:val="lowerRoman"/>
      <w:lvlText w:val="%3."/>
      <w:lvlJc w:val="right"/>
      <w:pPr>
        <w:ind w:left="3614" w:hanging="180"/>
      </w:pPr>
    </w:lvl>
    <w:lvl w:ilvl="3" w:tplc="0410000F" w:tentative="1">
      <w:start w:val="1"/>
      <w:numFmt w:val="decimal"/>
      <w:lvlText w:val="%4."/>
      <w:lvlJc w:val="left"/>
      <w:pPr>
        <w:ind w:left="4334" w:hanging="360"/>
      </w:pPr>
    </w:lvl>
    <w:lvl w:ilvl="4" w:tplc="04100019" w:tentative="1">
      <w:start w:val="1"/>
      <w:numFmt w:val="lowerLetter"/>
      <w:lvlText w:val="%5."/>
      <w:lvlJc w:val="left"/>
      <w:pPr>
        <w:ind w:left="5054" w:hanging="360"/>
      </w:pPr>
    </w:lvl>
    <w:lvl w:ilvl="5" w:tplc="0410001B" w:tentative="1">
      <w:start w:val="1"/>
      <w:numFmt w:val="lowerRoman"/>
      <w:lvlText w:val="%6."/>
      <w:lvlJc w:val="right"/>
      <w:pPr>
        <w:ind w:left="5774" w:hanging="180"/>
      </w:pPr>
    </w:lvl>
    <w:lvl w:ilvl="6" w:tplc="0410000F" w:tentative="1">
      <w:start w:val="1"/>
      <w:numFmt w:val="decimal"/>
      <w:lvlText w:val="%7."/>
      <w:lvlJc w:val="left"/>
      <w:pPr>
        <w:ind w:left="6494" w:hanging="360"/>
      </w:pPr>
    </w:lvl>
    <w:lvl w:ilvl="7" w:tplc="04100019" w:tentative="1">
      <w:start w:val="1"/>
      <w:numFmt w:val="lowerLetter"/>
      <w:lvlText w:val="%8."/>
      <w:lvlJc w:val="left"/>
      <w:pPr>
        <w:ind w:left="7214" w:hanging="360"/>
      </w:pPr>
    </w:lvl>
    <w:lvl w:ilvl="8" w:tplc="0410001B" w:tentative="1">
      <w:start w:val="1"/>
      <w:numFmt w:val="lowerRoman"/>
      <w:lvlText w:val="%9."/>
      <w:lvlJc w:val="right"/>
      <w:pPr>
        <w:ind w:left="7934" w:hanging="180"/>
      </w:pPr>
    </w:lvl>
  </w:abstractNum>
  <w:abstractNum w:abstractNumId="20" w15:restartNumberingAfterBreak="0">
    <w:nsid w:val="21557202"/>
    <w:multiLevelType w:val="hybridMultilevel"/>
    <w:tmpl w:val="0A3276F0"/>
    <w:lvl w:ilvl="0" w:tplc="0410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27D531E"/>
    <w:multiLevelType w:val="hybridMultilevel"/>
    <w:tmpl w:val="73003C7A"/>
    <w:lvl w:ilvl="0" w:tplc="7FE041A6">
      <w:start w:val="1"/>
      <w:numFmt w:val="bullet"/>
      <w:lvlText w:val=""/>
      <w:lvlJc w:val="left"/>
      <w:pPr>
        <w:ind w:left="2534" w:hanging="360"/>
      </w:pPr>
      <w:rPr>
        <w:rFonts w:ascii="Wingdings" w:hAnsi="Wingdings" w:hint="default"/>
        <w:b/>
        <w:i w:val="0"/>
        <w:color w:val="FF0000"/>
        <w:sz w:val="18"/>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abstractNum w:abstractNumId="22" w15:restartNumberingAfterBreak="0">
    <w:nsid w:val="29FC5E71"/>
    <w:multiLevelType w:val="multilevel"/>
    <w:tmpl w:val="98E2AEF0"/>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308A6599"/>
    <w:multiLevelType w:val="hybridMultilevel"/>
    <w:tmpl w:val="B76E8456"/>
    <w:lvl w:ilvl="0" w:tplc="2B42CDCC">
      <w:start w:val="1"/>
      <w:numFmt w:val="bullet"/>
      <w:lvlText w:val=""/>
      <w:lvlJc w:val="left"/>
      <w:pPr>
        <w:tabs>
          <w:tab w:val="num" w:pos="340"/>
        </w:tabs>
      </w:pPr>
      <w:rPr>
        <w:rFonts w:ascii="Wingdings" w:hAnsi="Wingdings" w:hint="default"/>
        <w:b w:val="0"/>
        <w:i w:val="0"/>
        <w:color w:val="FF0000"/>
        <w:spacing w:val="0"/>
        <w:sz w:val="26"/>
      </w:rPr>
    </w:lvl>
    <w:lvl w:ilvl="1" w:tplc="BEA8D876">
      <w:start w:val="1"/>
      <w:numFmt w:val="bullet"/>
      <w:lvlText w:val="o"/>
      <w:lvlJc w:val="left"/>
      <w:pPr>
        <w:tabs>
          <w:tab w:val="num" w:pos="1440"/>
        </w:tabs>
        <w:ind w:left="1440" w:hanging="360"/>
      </w:pPr>
      <w:rPr>
        <w:rFonts w:ascii="Courier New" w:hAnsi="Courier New" w:hint="default"/>
      </w:rPr>
    </w:lvl>
    <w:lvl w:ilvl="2" w:tplc="CA689E7A">
      <w:start w:val="1"/>
      <w:numFmt w:val="bullet"/>
      <w:lvlText w:val=""/>
      <w:lvlJc w:val="left"/>
      <w:pPr>
        <w:tabs>
          <w:tab w:val="num" w:pos="2160"/>
        </w:tabs>
        <w:ind w:left="2160" w:hanging="360"/>
      </w:pPr>
      <w:rPr>
        <w:rFonts w:ascii="Wingdings" w:hAnsi="Wingdings" w:hint="default"/>
      </w:rPr>
    </w:lvl>
    <w:lvl w:ilvl="3" w:tplc="1B16916C">
      <w:start w:val="1"/>
      <w:numFmt w:val="bullet"/>
      <w:lvlText w:val=""/>
      <w:lvlJc w:val="left"/>
      <w:pPr>
        <w:tabs>
          <w:tab w:val="num" w:pos="2880"/>
        </w:tabs>
        <w:ind w:left="2880" w:hanging="360"/>
      </w:pPr>
      <w:rPr>
        <w:rFonts w:ascii="Symbol" w:hAnsi="Symbol" w:hint="default"/>
      </w:rPr>
    </w:lvl>
    <w:lvl w:ilvl="4" w:tplc="8584BC78">
      <w:start w:val="1"/>
      <w:numFmt w:val="bullet"/>
      <w:lvlText w:val="o"/>
      <w:lvlJc w:val="left"/>
      <w:pPr>
        <w:tabs>
          <w:tab w:val="num" w:pos="3600"/>
        </w:tabs>
        <w:ind w:left="3600" w:hanging="360"/>
      </w:pPr>
      <w:rPr>
        <w:rFonts w:ascii="Courier New" w:hAnsi="Courier New" w:hint="default"/>
      </w:rPr>
    </w:lvl>
    <w:lvl w:ilvl="5" w:tplc="FE628432">
      <w:start w:val="1"/>
      <w:numFmt w:val="bullet"/>
      <w:lvlText w:val=""/>
      <w:lvlJc w:val="left"/>
      <w:pPr>
        <w:tabs>
          <w:tab w:val="num" w:pos="4320"/>
        </w:tabs>
        <w:ind w:left="4320" w:hanging="360"/>
      </w:pPr>
      <w:rPr>
        <w:rFonts w:ascii="Wingdings" w:hAnsi="Wingdings" w:hint="default"/>
      </w:rPr>
    </w:lvl>
    <w:lvl w:ilvl="6" w:tplc="DA4E5C98">
      <w:start w:val="1"/>
      <w:numFmt w:val="bullet"/>
      <w:lvlText w:val=""/>
      <w:lvlJc w:val="left"/>
      <w:pPr>
        <w:tabs>
          <w:tab w:val="num" w:pos="5040"/>
        </w:tabs>
        <w:ind w:left="5040" w:hanging="360"/>
      </w:pPr>
      <w:rPr>
        <w:rFonts w:ascii="Symbol" w:hAnsi="Symbol" w:hint="default"/>
      </w:rPr>
    </w:lvl>
    <w:lvl w:ilvl="7" w:tplc="CF50E1B2">
      <w:start w:val="1"/>
      <w:numFmt w:val="bullet"/>
      <w:lvlText w:val="o"/>
      <w:lvlJc w:val="left"/>
      <w:pPr>
        <w:tabs>
          <w:tab w:val="num" w:pos="5760"/>
        </w:tabs>
        <w:ind w:left="5760" w:hanging="360"/>
      </w:pPr>
      <w:rPr>
        <w:rFonts w:ascii="Courier New" w:hAnsi="Courier New" w:hint="default"/>
      </w:rPr>
    </w:lvl>
    <w:lvl w:ilvl="8" w:tplc="E9CCC43E">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2133F22"/>
    <w:multiLevelType w:val="hybridMultilevel"/>
    <w:tmpl w:val="07B4D620"/>
    <w:lvl w:ilvl="0" w:tplc="894A4710">
      <w:start w:val="1"/>
      <w:numFmt w:val="lowerLetter"/>
      <w:lvlText w:val="(%1)"/>
      <w:lvlJc w:val="left"/>
      <w:pPr>
        <w:tabs>
          <w:tab w:val="num" w:pos="2202"/>
        </w:tabs>
        <w:ind w:left="2202" w:hanging="360"/>
      </w:pPr>
      <w:rPr>
        <w:rFonts w:hint="default"/>
      </w:rPr>
    </w:lvl>
    <w:lvl w:ilvl="1" w:tplc="04100019" w:tentative="1">
      <w:start w:val="1"/>
      <w:numFmt w:val="lowerLetter"/>
      <w:lvlText w:val="%2."/>
      <w:lvlJc w:val="left"/>
      <w:pPr>
        <w:tabs>
          <w:tab w:val="num" w:pos="2922"/>
        </w:tabs>
        <w:ind w:left="2922" w:hanging="360"/>
      </w:pPr>
    </w:lvl>
    <w:lvl w:ilvl="2" w:tplc="0410001B" w:tentative="1">
      <w:start w:val="1"/>
      <w:numFmt w:val="lowerRoman"/>
      <w:lvlText w:val="%3."/>
      <w:lvlJc w:val="right"/>
      <w:pPr>
        <w:tabs>
          <w:tab w:val="num" w:pos="3642"/>
        </w:tabs>
        <w:ind w:left="3642" w:hanging="180"/>
      </w:pPr>
    </w:lvl>
    <w:lvl w:ilvl="3" w:tplc="0410000F" w:tentative="1">
      <w:start w:val="1"/>
      <w:numFmt w:val="decimal"/>
      <w:lvlText w:val="%4."/>
      <w:lvlJc w:val="left"/>
      <w:pPr>
        <w:tabs>
          <w:tab w:val="num" w:pos="4362"/>
        </w:tabs>
        <w:ind w:left="4362" w:hanging="360"/>
      </w:pPr>
    </w:lvl>
    <w:lvl w:ilvl="4" w:tplc="04100019" w:tentative="1">
      <w:start w:val="1"/>
      <w:numFmt w:val="lowerLetter"/>
      <w:lvlText w:val="%5."/>
      <w:lvlJc w:val="left"/>
      <w:pPr>
        <w:tabs>
          <w:tab w:val="num" w:pos="5082"/>
        </w:tabs>
        <w:ind w:left="5082" w:hanging="360"/>
      </w:pPr>
    </w:lvl>
    <w:lvl w:ilvl="5" w:tplc="0410001B" w:tentative="1">
      <w:start w:val="1"/>
      <w:numFmt w:val="lowerRoman"/>
      <w:lvlText w:val="%6."/>
      <w:lvlJc w:val="right"/>
      <w:pPr>
        <w:tabs>
          <w:tab w:val="num" w:pos="5802"/>
        </w:tabs>
        <w:ind w:left="5802" w:hanging="180"/>
      </w:pPr>
    </w:lvl>
    <w:lvl w:ilvl="6" w:tplc="0410000F" w:tentative="1">
      <w:start w:val="1"/>
      <w:numFmt w:val="decimal"/>
      <w:lvlText w:val="%7."/>
      <w:lvlJc w:val="left"/>
      <w:pPr>
        <w:tabs>
          <w:tab w:val="num" w:pos="6522"/>
        </w:tabs>
        <w:ind w:left="6522" w:hanging="360"/>
      </w:pPr>
    </w:lvl>
    <w:lvl w:ilvl="7" w:tplc="04100019" w:tentative="1">
      <w:start w:val="1"/>
      <w:numFmt w:val="lowerLetter"/>
      <w:lvlText w:val="%8."/>
      <w:lvlJc w:val="left"/>
      <w:pPr>
        <w:tabs>
          <w:tab w:val="num" w:pos="7242"/>
        </w:tabs>
        <w:ind w:left="7242" w:hanging="360"/>
      </w:pPr>
    </w:lvl>
    <w:lvl w:ilvl="8" w:tplc="0410001B" w:tentative="1">
      <w:start w:val="1"/>
      <w:numFmt w:val="lowerRoman"/>
      <w:lvlText w:val="%9."/>
      <w:lvlJc w:val="right"/>
      <w:pPr>
        <w:tabs>
          <w:tab w:val="num" w:pos="7962"/>
        </w:tabs>
        <w:ind w:left="7962" w:hanging="180"/>
      </w:pPr>
    </w:lvl>
  </w:abstractNum>
  <w:abstractNum w:abstractNumId="25" w15:restartNumberingAfterBreak="0">
    <w:nsid w:val="32534E50"/>
    <w:multiLevelType w:val="hybridMultilevel"/>
    <w:tmpl w:val="143823E6"/>
    <w:lvl w:ilvl="0" w:tplc="D72441C4">
      <w:start w:val="1"/>
      <w:numFmt w:val="bullet"/>
      <w:lvlText w:val=""/>
      <w:lvlJc w:val="left"/>
      <w:pPr>
        <w:tabs>
          <w:tab w:val="num" w:pos="720"/>
        </w:tabs>
        <w:ind w:left="720" w:hanging="360"/>
      </w:pPr>
      <w:rPr>
        <w:rFonts w:ascii="Symbol" w:hAnsi="Symbol"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6" w15:restartNumberingAfterBreak="0">
    <w:nsid w:val="33D95BC4"/>
    <w:multiLevelType w:val="hybridMultilevel"/>
    <w:tmpl w:val="A086B6BA"/>
    <w:lvl w:ilvl="0" w:tplc="973C3CC0">
      <w:start w:val="1"/>
      <w:numFmt w:val="lowerLetter"/>
      <w:lvlText w:val="(%1)"/>
      <w:lvlJc w:val="left"/>
      <w:pPr>
        <w:ind w:left="420" w:hanging="360"/>
      </w:pPr>
      <w:rPr>
        <w:rFonts w:ascii="Arial Narrow" w:hAnsi="Arial Narrow" w:hint="default"/>
        <w:sz w:val="15"/>
        <w:szCs w:val="15"/>
      </w:rPr>
    </w:lvl>
    <w:lvl w:ilvl="1" w:tplc="04100019" w:tentative="1">
      <w:start w:val="1"/>
      <w:numFmt w:val="lowerLetter"/>
      <w:lvlText w:val="%2."/>
      <w:lvlJc w:val="left"/>
      <w:pPr>
        <w:ind w:left="1140" w:hanging="360"/>
      </w:pPr>
    </w:lvl>
    <w:lvl w:ilvl="2" w:tplc="0410001B" w:tentative="1">
      <w:start w:val="1"/>
      <w:numFmt w:val="lowerRoman"/>
      <w:lvlText w:val="%3."/>
      <w:lvlJc w:val="right"/>
      <w:pPr>
        <w:ind w:left="1860" w:hanging="180"/>
      </w:pPr>
    </w:lvl>
    <w:lvl w:ilvl="3" w:tplc="0410000F" w:tentative="1">
      <w:start w:val="1"/>
      <w:numFmt w:val="decimal"/>
      <w:lvlText w:val="%4."/>
      <w:lvlJc w:val="left"/>
      <w:pPr>
        <w:ind w:left="2580" w:hanging="360"/>
      </w:pPr>
    </w:lvl>
    <w:lvl w:ilvl="4" w:tplc="04100019" w:tentative="1">
      <w:start w:val="1"/>
      <w:numFmt w:val="lowerLetter"/>
      <w:lvlText w:val="%5."/>
      <w:lvlJc w:val="left"/>
      <w:pPr>
        <w:ind w:left="3300" w:hanging="360"/>
      </w:pPr>
    </w:lvl>
    <w:lvl w:ilvl="5" w:tplc="0410001B" w:tentative="1">
      <w:start w:val="1"/>
      <w:numFmt w:val="lowerRoman"/>
      <w:lvlText w:val="%6."/>
      <w:lvlJc w:val="right"/>
      <w:pPr>
        <w:ind w:left="4020" w:hanging="180"/>
      </w:pPr>
    </w:lvl>
    <w:lvl w:ilvl="6" w:tplc="0410000F" w:tentative="1">
      <w:start w:val="1"/>
      <w:numFmt w:val="decimal"/>
      <w:lvlText w:val="%7."/>
      <w:lvlJc w:val="left"/>
      <w:pPr>
        <w:ind w:left="4740" w:hanging="360"/>
      </w:pPr>
    </w:lvl>
    <w:lvl w:ilvl="7" w:tplc="04100019" w:tentative="1">
      <w:start w:val="1"/>
      <w:numFmt w:val="lowerLetter"/>
      <w:lvlText w:val="%8."/>
      <w:lvlJc w:val="left"/>
      <w:pPr>
        <w:ind w:left="5460" w:hanging="360"/>
      </w:pPr>
    </w:lvl>
    <w:lvl w:ilvl="8" w:tplc="0410001B" w:tentative="1">
      <w:start w:val="1"/>
      <w:numFmt w:val="lowerRoman"/>
      <w:lvlText w:val="%9."/>
      <w:lvlJc w:val="right"/>
      <w:pPr>
        <w:ind w:left="6180" w:hanging="180"/>
      </w:pPr>
    </w:lvl>
  </w:abstractNum>
  <w:abstractNum w:abstractNumId="27" w15:restartNumberingAfterBreak="0">
    <w:nsid w:val="34CC2B15"/>
    <w:multiLevelType w:val="hybridMultilevel"/>
    <w:tmpl w:val="968862AE"/>
    <w:lvl w:ilvl="0" w:tplc="723CD9BA">
      <w:start w:val="1"/>
      <w:numFmt w:val="bullet"/>
      <w:lvlText w:val=""/>
      <w:lvlPicBulletId w:val="1"/>
      <w:lvlJc w:val="left"/>
      <w:pPr>
        <w:ind w:left="2534" w:hanging="360"/>
      </w:pPr>
      <w:rPr>
        <w:rFonts w:ascii="Symbol" w:hAnsi="Symbol" w:hint="default"/>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abstractNum w:abstractNumId="28" w15:restartNumberingAfterBreak="0">
    <w:nsid w:val="3B126581"/>
    <w:multiLevelType w:val="hybridMultilevel"/>
    <w:tmpl w:val="3EDCEA5C"/>
    <w:lvl w:ilvl="0" w:tplc="723CD9BA">
      <w:start w:val="1"/>
      <w:numFmt w:val="bullet"/>
      <w:lvlText w:val=""/>
      <w:lvlPicBulletId w:val="1"/>
      <w:lvlJc w:val="left"/>
      <w:pPr>
        <w:tabs>
          <w:tab w:val="num" w:pos="720"/>
        </w:tabs>
        <w:ind w:left="720" w:hanging="360"/>
      </w:pPr>
      <w:rPr>
        <w:rFonts w:ascii="Symbol" w:hAnsi="Symbol" w:hint="default"/>
      </w:rPr>
    </w:lvl>
    <w:lvl w:ilvl="1" w:tplc="F08261B2" w:tentative="1">
      <w:start w:val="1"/>
      <w:numFmt w:val="bullet"/>
      <w:lvlText w:val=""/>
      <w:lvlJc w:val="left"/>
      <w:pPr>
        <w:tabs>
          <w:tab w:val="num" w:pos="1440"/>
        </w:tabs>
        <w:ind w:left="1440" w:hanging="360"/>
      </w:pPr>
      <w:rPr>
        <w:rFonts w:ascii="Symbol" w:hAnsi="Symbol" w:hint="default"/>
      </w:rPr>
    </w:lvl>
    <w:lvl w:ilvl="2" w:tplc="6414E90C" w:tentative="1">
      <w:start w:val="1"/>
      <w:numFmt w:val="bullet"/>
      <w:lvlText w:val=""/>
      <w:lvlJc w:val="left"/>
      <w:pPr>
        <w:tabs>
          <w:tab w:val="num" w:pos="2160"/>
        </w:tabs>
        <w:ind w:left="2160" w:hanging="360"/>
      </w:pPr>
      <w:rPr>
        <w:rFonts w:ascii="Symbol" w:hAnsi="Symbol" w:hint="default"/>
      </w:rPr>
    </w:lvl>
    <w:lvl w:ilvl="3" w:tplc="35F41C48" w:tentative="1">
      <w:start w:val="1"/>
      <w:numFmt w:val="bullet"/>
      <w:lvlText w:val=""/>
      <w:lvlJc w:val="left"/>
      <w:pPr>
        <w:tabs>
          <w:tab w:val="num" w:pos="2880"/>
        </w:tabs>
        <w:ind w:left="2880" w:hanging="360"/>
      </w:pPr>
      <w:rPr>
        <w:rFonts w:ascii="Symbol" w:hAnsi="Symbol" w:hint="default"/>
      </w:rPr>
    </w:lvl>
    <w:lvl w:ilvl="4" w:tplc="76DC5C08" w:tentative="1">
      <w:start w:val="1"/>
      <w:numFmt w:val="bullet"/>
      <w:lvlText w:val=""/>
      <w:lvlJc w:val="left"/>
      <w:pPr>
        <w:tabs>
          <w:tab w:val="num" w:pos="3600"/>
        </w:tabs>
        <w:ind w:left="3600" w:hanging="360"/>
      </w:pPr>
      <w:rPr>
        <w:rFonts w:ascii="Symbol" w:hAnsi="Symbol" w:hint="default"/>
      </w:rPr>
    </w:lvl>
    <w:lvl w:ilvl="5" w:tplc="078CC066" w:tentative="1">
      <w:start w:val="1"/>
      <w:numFmt w:val="bullet"/>
      <w:lvlText w:val=""/>
      <w:lvlJc w:val="left"/>
      <w:pPr>
        <w:tabs>
          <w:tab w:val="num" w:pos="4320"/>
        </w:tabs>
        <w:ind w:left="4320" w:hanging="360"/>
      </w:pPr>
      <w:rPr>
        <w:rFonts w:ascii="Symbol" w:hAnsi="Symbol" w:hint="default"/>
      </w:rPr>
    </w:lvl>
    <w:lvl w:ilvl="6" w:tplc="993C39C0" w:tentative="1">
      <w:start w:val="1"/>
      <w:numFmt w:val="bullet"/>
      <w:lvlText w:val=""/>
      <w:lvlJc w:val="left"/>
      <w:pPr>
        <w:tabs>
          <w:tab w:val="num" w:pos="5040"/>
        </w:tabs>
        <w:ind w:left="5040" w:hanging="360"/>
      </w:pPr>
      <w:rPr>
        <w:rFonts w:ascii="Symbol" w:hAnsi="Symbol" w:hint="default"/>
      </w:rPr>
    </w:lvl>
    <w:lvl w:ilvl="7" w:tplc="0EB0D25C" w:tentative="1">
      <w:start w:val="1"/>
      <w:numFmt w:val="bullet"/>
      <w:lvlText w:val=""/>
      <w:lvlJc w:val="left"/>
      <w:pPr>
        <w:tabs>
          <w:tab w:val="num" w:pos="5760"/>
        </w:tabs>
        <w:ind w:left="5760" w:hanging="360"/>
      </w:pPr>
      <w:rPr>
        <w:rFonts w:ascii="Symbol" w:hAnsi="Symbol" w:hint="default"/>
      </w:rPr>
    </w:lvl>
    <w:lvl w:ilvl="8" w:tplc="B874B23E"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3F8F0948"/>
    <w:multiLevelType w:val="multilevel"/>
    <w:tmpl w:val="98E2AEF0"/>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30" w15:restartNumberingAfterBreak="0">
    <w:nsid w:val="403F6CFD"/>
    <w:multiLevelType w:val="hybridMultilevel"/>
    <w:tmpl w:val="DB5CFE1A"/>
    <w:lvl w:ilvl="0" w:tplc="A8762A92">
      <w:start w:val="1"/>
      <w:numFmt w:val="bullet"/>
      <w:lvlText w:val=""/>
      <w:lvlPicBulletId w:val="0"/>
      <w:lvlJc w:val="left"/>
      <w:pPr>
        <w:ind w:left="360"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31" w15:restartNumberingAfterBreak="0">
    <w:nsid w:val="46526AED"/>
    <w:multiLevelType w:val="hybridMultilevel"/>
    <w:tmpl w:val="F10A9D34"/>
    <w:lvl w:ilvl="0" w:tplc="680C282C">
      <w:start w:val="1"/>
      <w:numFmt w:val="bullet"/>
      <w:lvlText w:val="n"/>
      <w:lvlJc w:val="left"/>
      <w:pPr>
        <w:tabs>
          <w:tab w:val="num" w:pos="360"/>
        </w:tabs>
        <w:ind w:left="360" w:hanging="360"/>
      </w:pPr>
      <w:rPr>
        <w:rFonts w:ascii="Wingdings" w:hAnsi="Wingdings" w:hint="default"/>
        <w:color w:val="E42618"/>
        <w:sz w:val="24"/>
        <w:szCs w:val="24"/>
      </w:rPr>
    </w:lvl>
    <w:lvl w:ilvl="1" w:tplc="E7AC5A20">
      <w:start w:val="1"/>
      <w:numFmt w:val="bullet"/>
      <w:lvlText w:val=""/>
      <w:lvlJc w:val="left"/>
      <w:pPr>
        <w:tabs>
          <w:tab w:val="num" w:pos="1440"/>
        </w:tabs>
        <w:ind w:left="1440" w:hanging="360"/>
      </w:pPr>
      <w:rPr>
        <w:rFonts w:ascii="Symbol" w:hAnsi="Symbol"/>
      </w:rPr>
    </w:lvl>
    <w:lvl w:ilvl="2" w:tplc="050AAA86">
      <w:start w:val="1"/>
      <w:numFmt w:val="bullet"/>
      <w:lvlText w:val=""/>
      <w:lvlJc w:val="left"/>
      <w:pPr>
        <w:tabs>
          <w:tab w:val="num" w:pos="2160"/>
        </w:tabs>
        <w:ind w:left="2160" w:hanging="360"/>
      </w:pPr>
      <w:rPr>
        <w:rFonts w:ascii="Symbol" w:hAnsi="Symbol"/>
      </w:rPr>
    </w:lvl>
    <w:lvl w:ilvl="3" w:tplc="8B3E2E4E">
      <w:start w:val="1"/>
      <w:numFmt w:val="bullet"/>
      <w:lvlText w:val=""/>
      <w:lvlJc w:val="left"/>
      <w:pPr>
        <w:tabs>
          <w:tab w:val="num" w:pos="2880"/>
        </w:tabs>
        <w:ind w:left="2880" w:hanging="360"/>
      </w:pPr>
      <w:rPr>
        <w:rFonts w:ascii="Symbol" w:hAnsi="Symbol"/>
      </w:rPr>
    </w:lvl>
    <w:lvl w:ilvl="4" w:tplc="D36450B0">
      <w:start w:val="1"/>
      <w:numFmt w:val="bullet"/>
      <w:lvlText w:val=""/>
      <w:lvlJc w:val="left"/>
      <w:pPr>
        <w:tabs>
          <w:tab w:val="num" w:pos="3600"/>
        </w:tabs>
        <w:ind w:left="3600" w:hanging="360"/>
      </w:pPr>
      <w:rPr>
        <w:rFonts w:ascii="Symbol" w:hAnsi="Symbol"/>
      </w:rPr>
    </w:lvl>
    <w:lvl w:ilvl="5" w:tplc="EB62B692">
      <w:start w:val="1"/>
      <w:numFmt w:val="bullet"/>
      <w:lvlText w:val=""/>
      <w:lvlJc w:val="left"/>
      <w:pPr>
        <w:tabs>
          <w:tab w:val="num" w:pos="4320"/>
        </w:tabs>
        <w:ind w:left="4320" w:hanging="360"/>
      </w:pPr>
      <w:rPr>
        <w:rFonts w:ascii="Symbol" w:hAnsi="Symbol"/>
      </w:rPr>
    </w:lvl>
    <w:lvl w:ilvl="6" w:tplc="A796B456">
      <w:start w:val="1"/>
      <w:numFmt w:val="bullet"/>
      <w:lvlText w:val=""/>
      <w:lvlJc w:val="left"/>
      <w:pPr>
        <w:tabs>
          <w:tab w:val="num" w:pos="5040"/>
        </w:tabs>
        <w:ind w:left="5040" w:hanging="360"/>
      </w:pPr>
      <w:rPr>
        <w:rFonts w:ascii="Symbol" w:hAnsi="Symbol"/>
      </w:rPr>
    </w:lvl>
    <w:lvl w:ilvl="7" w:tplc="F144444C">
      <w:start w:val="1"/>
      <w:numFmt w:val="bullet"/>
      <w:lvlText w:val=""/>
      <w:lvlJc w:val="left"/>
      <w:pPr>
        <w:tabs>
          <w:tab w:val="num" w:pos="5760"/>
        </w:tabs>
        <w:ind w:left="5760" w:hanging="360"/>
      </w:pPr>
      <w:rPr>
        <w:rFonts w:ascii="Symbol" w:hAnsi="Symbol"/>
      </w:rPr>
    </w:lvl>
    <w:lvl w:ilvl="8" w:tplc="AC58295C">
      <w:start w:val="1"/>
      <w:numFmt w:val="bullet"/>
      <w:lvlText w:val=""/>
      <w:lvlJc w:val="left"/>
      <w:pPr>
        <w:tabs>
          <w:tab w:val="num" w:pos="6480"/>
        </w:tabs>
        <w:ind w:left="6480" w:hanging="360"/>
      </w:pPr>
      <w:rPr>
        <w:rFonts w:ascii="Symbol" w:hAnsi="Symbol"/>
      </w:rPr>
    </w:lvl>
  </w:abstractNum>
  <w:abstractNum w:abstractNumId="32" w15:restartNumberingAfterBreak="0">
    <w:nsid w:val="4B7641BD"/>
    <w:multiLevelType w:val="hybridMultilevel"/>
    <w:tmpl w:val="6ADE222C"/>
    <w:lvl w:ilvl="0" w:tplc="723CD9BA">
      <w:start w:val="1"/>
      <w:numFmt w:val="bullet"/>
      <w:lvlText w:val=""/>
      <w:lvlPicBulletId w:val="1"/>
      <w:lvlJc w:val="left"/>
      <w:pPr>
        <w:ind w:left="2563" w:hanging="360"/>
      </w:pPr>
      <w:rPr>
        <w:rFonts w:ascii="Symbol" w:hAnsi="Symbol" w:hint="default"/>
      </w:rPr>
    </w:lvl>
    <w:lvl w:ilvl="1" w:tplc="08090003" w:tentative="1">
      <w:start w:val="1"/>
      <w:numFmt w:val="bullet"/>
      <w:lvlText w:val="o"/>
      <w:lvlJc w:val="left"/>
      <w:pPr>
        <w:ind w:left="3283" w:hanging="360"/>
      </w:pPr>
      <w:rPr>
        <w:rFonts w:ascii="Courier New" w:hAnsi="Courier New" w:cs="Courier New" w:hint="default"/>
      </w:rPr>
    </w:lvl>
    <w:lvl w:ilvl="2" w:tplc="08090005" w:tentative="1">
      <w:start w:val="1"/>
      <w:numFmt w:val="bullet"/>
      <w:lvlText w:val=""/>
      <w:lvlJc w:val="left"/>
      <w:pPr>
        <w:ind w:left="4003" w:hanging="360"/>
      </w:pPr>
      <w:rPr>
        <w:rFonts w:ascii="Wingdings" w:hAnsi="Wingdings" w:hint="default"/>
      </w:rPr>
    </w:lvl>
    <w:lvl w:ilvl="3" w:tplc="08090001" w:tentative="1">
      <w:start w:val="1"/>
      <w:numFmt w:val="bullet"/>
      <w:lvlText w:val=""/>
      <w:lvlJc w:val="left"/>
      <w:pPr>
        <w:ind w:left="4723" w:hanging="360"/>
      </w:pPr>
      <w:rPr>
        <w:rFonts w:ascii="Symbol" w:hAnsi="Symbol" w:hint="default"/>
      </w:rPr>
    </w:lvl>
    <w:lvl w:ilvl="4" w:tplc="08090003" w:tentative="1">
      <w:start w:val="1"/>
      <w:numFmt w:val="bullet"/>
      <w:lvlText w:val="o"/>
      <w:lvlJc w:val="left"/>
      <w:pPr>
        <w:ind w:left="5443" w:hanging="360"/>
      </w:pPr>
      <w:rPr>
        <w:rFonts w:ascii="Courier New" w:hAnsi="Courier New" w:cs="Courier New" w:hint="default"/>
      </w:rPr>
    </w:lvl>
    <w:lvl w:ilvl="5" w:tplc="08090005" w:tentative="1">
      <w:start w:val="1"/>
      <w:numFmt w:val="bullet"/>
      <w:lvlText w:val=""/>
      <w:lvlJc w:val="left"/>
      <w:pPr>
        <w:ind w:left="6163" w:hanging="360"/>
      </w:pPr>
      <w:rPr>
        <w:rFonts w:ascii="Wingdings" w:hAnsi="Wingdings" w:hint="default"/>
      </w:rPr>
    </w:lvl>
    <w:lvl w:ilvl="6" w:tplc="08090001" w:tentative="1">
      <w:start w:val="1"/>
      <w:numFmt w:val="bullet"/>
      <w:lvlText w:val=""/>
      <w:lvlJc w:val="left"/>
      <w:pPr>
        <w:ind w:left="6883" w:hanging="360"/>
      </w:pPr>
      <w:rPr>
        <w:rFonts w:ascii="Symbol" w:hAnsi="Symbol" w:hint="default"/>
      </w:rPr>
    </w:lvl>
    <w:lvl w:ilvl="7" w:tplc="08090003" w:tentative="1">
      <w:start w:val="1"/>
      <w:numFmt w:val="bullet"/>
      <w:lvlText w:val="o"/>
      <w:lvlJc w:val="left"/>
      <w:pPr>
        <w:ind w:left="7603" w:hanging="360"/>
      </w:pPr>
      <w:rPr>
        <w:rFonts w:ascii="Courier New" w:hAnsi="Courier New" w:cs="Courier New" w:hint="default"/>
      </w:rPr>
    </w:lvl>
    <w:lvl w:ilvl="8" w:tplc="08090005" w:tentative="1">
      <w:start w:val="1"/>
      <w:numFmt w:val="bullet"/>
      <w:lvlText w:val=""/>
      <w:lvlJc w:val="left"/>
      <w:pPr>
        <w:ind w:left="8323" w:hanging="360"/>
      </w:pPr>
      <w:rPr>
        <w:rFonts w:ascii="Wingdings" w:hAnsi="Wingdings" w:hint="default"/>
      </w:rPr>
    </w:lvl>
  </w:abstractNum>
  <w:abstractNum w:abstractNumId="33" w15:restartNumberingAfterBreak="0">
    <w:nsid w:val="52F30A1F"/>
    <w:multiLevelType w:val="hybridMultilevel"/>
    <w:tmpl w:val="02607124"/>
    <w:lvl w:ilvl="0" w:tplc="04090001">
      <w:start w:val="1"/>
      <w:numFmt w:val="bullet"/>
      <w:lvlText w:val=""/>
      <w:lvlJc w:val="left"/>
      <w:pPr>
        <w:ind w:left="2534" w:hanging="360"/>
      </w:pPr>
      <w:rPr>
        <w:rFonts w:ascii="Symbol" w:hAnsi="Symbol" w:hint="default"/>
      </w:rPr>
    </w:lvl>
    <w:lvl w:ilvl="1" w:tplc="04090003" w:tentative="1">
      <w:start w:val="1"/>
      <w:numFmt w:val="bullet"/>
      <w:lvlText w:val="o"/>
      <w:lvlJc w:val="left"/>
      <w:pPr>
        <w:ind w:left="3254" w:hanging="360"/>
      </w:pPr>
      <w:rPr>
        <w:rFonts w:ascii="Courier New" w:hAnsi="Courier New" w:cs="Courier New" w:hint="default"/>
      </w:rPr>
    </w:lvl>
    <w:lvl w:ilvl="2" w:tplc="04090005" w:tentative="1">
      <w:start w:val="1"/>
      <w:numFmt w:val="bullet"/>
      <w:lvlText w:val=""/>
      <w:lvlJc w:val="left"/>
      <w:pPr>
        <w:ind w:left="3974" w:hanging="360"/>
      </w:pPr>
      <w:rPr>
        <w:rFonts w:ascii="Wingdings" w:hAnsi="Wingdings" w:hint="default"/>
      </w:rPr>
    </w:lvl>
    <w:lvl w:ilvl="3" w:tplc="04090001" w:tentative="1">
      <w:start w:val="1"/>
      <w:numFmt w:val="bullet"/>
      <w:lvlText w:val=""/>
      <w:lvlJc w:val="left"/>
      <w:pPr>
        <w:ind w:left="4694" w:hanging="360"/>
      </w:pPr>
      <w:rPr>
        <w:rFonts w:ascii="Symbol" w:hAnsi="Symbol" w:hint="default"/>
      </w:rPr>
    </w:lvl>
    <w:lvl w:ilvl="4" w:tplc="04090003" w:tentative="1">
      <w:start w:val="1"/>
      <w:numFmt w:val="bullet"/>
      <w:lvlText w:val="o"/>
      <w:lvlJc w:val="left"/>
      <w:pPr>
        <w:ind w:left="5414" w:hanging="360"/>
      </w:pPr>
      <w:rPr>
        <w:rFonts w:ascii="Courier New" w:hAnsi="Courier New" w:cs="Courier New" w:hint="default"/>
      </w:rPr>
    </w:lvl>
    <w:lvl w:ilvl="5" w:tplc="04090005" w:tentative="1">
      <w:start w:val="1"/>
      <w:numFmt w:val="bullet"/>
      <w:lvlText w:val=""/>
      <w:lvlJc w:val="left"/>
      <w:pPr>
        <w:ind w:left="6134" w:hanging="360"/>
      </w:pPr>
      <w:rPr>
        <w:rFonts w:ascii="Wingdings" w:hAnsi="Wingdings" w:hint="default"/>
      </w:rPr>
    </w:lvl>
    <w:lvl w:ilvl="6" w:tplc="04090001" w:tentative="1">
      <w:start w:val="1"/>
      <w:numFmt w:val="bullet"/>
      <w:lvlText w:val=""/>
      <w:lvlJc w:val="left"/>
      <w:pPr>
        <w:ind w:left="6854" w:hanging="360"/>
      </w:pPr>
      <w:rPr>
        <w:rFonts w:ascii="Symbol" w:hAnsi="Symbol" w:hint="default"/>
      </w:rPr>
    </w:lvl>
    <w:lvl w:ilvl="7" w:tplc="04090003" w:tentative="1">
      <w:start w:val="1"/>
      <w:numFmt w:val="bullet"/>
      <w:lvlText w:val="o"/>
      <w:lvlJc w:val="left"/>
      <w:pPr>
        <w:ind w:left="7574" w:hanging="360"/>
      </w:pPr>
      <w:rPr>
        <w:rFonts w:ascii="Courier New" w:hAnsi="Courier New" w:cs="Courier New" w:hint="default"/>
      </w:rPr>
    </w:lvl>
    <w:lvl w:ilvl="8" w:tplc="04090005" w:tentative="1">
      <w:start w:val="1"/>
      <w:numFmt w:val="bullet"/>
      <w:lvlText w:val=""/>
      <w:lvlJc w:val="left"/>
      <w:pPr>
        <w:ind w:left="8294" w:hanging="360"/>
      </w:pPr>
      <w:rPr>
        <w:rFonts w:ascii="Wingdings" w:hAnsi="Wingdings" w:hint="default"/>
      </w:rPr>
    </w:lvl>
  </w:abstractNum>
  <w:abstractNum w:abstractNumId="34" w15:restartNumberingAfterBreak="0">
    <w:nsid w:val="549A678C"/>
    <w:multiLevelType w:val="hybridMultilevel"/>
    <w:tmpl w:val="7EFE57B6"/>
    <w:lvl w:ilvl="0" w:tplc="7ED098F6">
      <w:start w:val="1"/>
      <w:numFmt w:val="lowerLetter"/>
      <w:lvlText w:val="%1)"/>
      <w:lvlJc w:val="left"/>
      <w:pPr>
        <w:ind w:left="251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15:restartNumberingAfterBreak="0">
    <w:nsid w:val="620E061A"/>
    <w:multiLevelType w:val="multilevel"/>
    <w:tmpl w:val="A14EDF6A"/>
    <w:lvl w:ilvl="0">
      <w:start w:val="1"/>
      <w:numFmt w:val="lowerLetter"/>
      <w:lvlText w:val="(%1)"/>
      <w:lvlJc w:val="left"/>
      <w:pPr>
        <w:tabs>
          <w:tab w:val="num" w:pos="1980"/>
        </w:tabs>
        <w:ind w:left="198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6D53A64"/>
    <w:multiLevelType w:val="hybridMultilevel"/>
    <w:tmpl w:val="E73EDCB6"/>
    <w:lvl w:ilvl="0" w:tplc="723CD9BA">
      <w:start w:val="1"/>
      <w:numFmt w:val="bullet"/>
      <w:lvlText w:val=""/>
      <w:lvlPicBulletId w:val="1"/>
      <w:lvlJc w:val="left"/>
      <w:pPr>
        <w:tabs>
          <w:tab w:val="num" w:pos="720"/>
        </w:tabs>
        <w:ind w:left="720" w:hanging="360"/>
      </w:pPr>
      <w:rPr>
        <w:rFonts w:ascii="Symbol" w:hAnsi="Symbol" w:hint="default"/>
      </w:rPr>
    </w:lvl>
    <w:lvl w:ilvl="1" w:tplc="58A4F34A" w:tentative="1">
      <w:start w:val="1"/>
      <w:numFmt w:val="bullet"/>
      <w:lvlText w:val=""/>
      <w:lvlJc w:val="left"/>
      <w:pPr>
        <w:tabs>
          <w:tab w:val="num" w:pos="1440"/>
        </w:tabs>
        <w:ind w:left="1440" w:hanging="360"/>
      </w:pPr>
      <w:rPr>
        <w:rFonts w:ascii="Symbol" w:hAnsi="Symbol" w:hint="default"/>
      </w:rPr>
    </w:lvl>
    <w:lvl w:ilvl="2" w:tplc="10282158" w:tentative="1">
      <w:start w:val="1"/>
      <w:numFmt w:val="bullet"/>
      <w:lvlText w:val=""/>
      <w:lvlJc w:val="left"/>
      <w:pPr>
        <w:tabs>
          <w:tab w:val="num" w:pos="2160"/>
        </w:tabs>
        <w:ind w:left="2160" w:hanging="360"/>
      </w:pPr>
      <w:rPr>
        <w:rFonts w:ascii="Symbol" w:hAnsi="Symbol" w:hint="default"/>
      </w:rPr>
    </w:lvl>
    <w:lvl w:ilvl="3" w:tplc="9C6C8776" w:tentative="1">
      <w:start w:val="1"/>
      <w:numFmt w:val="bullet"/>
      <w:lvlText w:val=""/>
      <w:lvlJc w:val="left"/>
      <w:pPr>
        <w:tabs>
          <w:tab w:val="num" w:pos="2880"/>
        </w:tabs>
        <w:ind w:left="2880" w:hanging="360"/>
      </w:pPr>
      <w:rPr>
        <w:rFonts w:ascii="Symbol" w:hAnsi="Symbol" w:hint="default"/>
      </w:rPr>
    </w:lvl>
    <w:lvl w:ilvl="4" w:tplc="539C2334" w:tentative="1">
      <w:start w:val="1"/>
      <w:numFmt w:val="bullet"/>
      <w:lvlText w:val=""/>
      <w:lvlJc w:val="left"/>
      <w:pPr>
        <w:tabs>
          <w:tab w:val="num" w:pos="3600"/>
        </w:tabs>
        <w:ind w:left="3600" w:hanging="360"/>
      </w:pPr>
      <w:rPr>
        <w:rFonts w:ascii="Symbol" w:hAnsi="Symbol" w:hint="default"/>
      </w:rPr>
    </w:lvl>
    <w:lvl w:ilvl="5" w:tplc="E6ECA502" w:tentative="1">
      <w:start w:val="1"/>
      <w:numFmt w:val="bullet"/>
      <w:lvlText w:val=""/>
      <w:lvlJc w:val="left"/>
      <w:pPr>
        <w:tabs>
          <w:tab w:val="num" w:pos="4320"/>
        </w:tabs>
        <w:ind w:left="4320" w:hanging="360"/>
      </w:pPr>
      <w:rPr>
        <w:rFonts w:ascii="Symbol" w:hAnsi="Symbol" w:hint="default"/>
      </w:rPr>
    </w:lvl>
    <w:lvl w:ilvl="6" w:tplc="BF40799E" w:tentative="1">
      <w:start w:val="1"/>
      <w:numFmt w:val="bullet"/>
      <w:lvlText w:val=""/>
      <w:lvlJc w:val="left"/>
      <w:pPr>
        <w:tabs>
          <w:tab w:val="num" w:pos="5040"/>
        </w:tabs>
        <w:ind w:left="5040" w:hanging="360"/>
      </w:pPr>
      <w:rPr>
        <w:rFonts w:ascii="Symbol" w:hAnsi="Symbol" w:hint="default"/>
      </w:rPr>
    </w:lvl>
    <w:lvl w:ilvl="7" w:tplc="3502FF1A" w:tentative="1">
      <w:start w:val="1"/>
      <w:numFmt w:val="bullet"/>
      <w:lvlText w:val=""/>
      <w:lvlJc w:val="left"/>
      <w:pPr>
        <w:tabs>
          <w:tab w:val="num" w:pos="5760"/>
        </w:tabs>
        <w:ind w:left="5760" w:hanging="360"/>
      </w:pPr>
      <w:rPr>
        <w:rFonts w:ascii="Symbol" w:hAnsi="Symbol" w:hint="default"/>
      </w:rPr>
    </w:lvl>
    <w:lvl w:ilvl="8" w:tplc="3312820E"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71F92649"/>
    <w:multiLevelType w:val="hybridMultilevel"/>
    <w:tmpl w:val="1644907C"/>
    <w:lvl w:ilvl="0" w:tplc="0410000B">
      <w:start w:val="1"/>
      <w:numFmt w:val="bullet"/>
      <w:lvlText w:val=""/>
      <w:lvlJc w:val="left"/>
      <w:pPr>
        <w:ind w:left="644" w:hanging="360"/>
      </w:pPr>
      <w:rPr>
        <w:rFonts w:ascii="Wingdings" w:hAnsi="Wingdings" w:hint="default"/>
      </w:rPr>
    </w:lvl>
    <w:lvl w:ilvl="1" w:tplc="04100003" w:tentative="1">
      <w:start w:val="1"/>
      <w:numFmt w:val="bullet"/>
      <w:lvlText w:val="o"/>
      <w:lvlJc w:val="left"/>
      <w:pPr>
        <w:ind w:left="1364" w:hanging="360"/>
      </w:pPr>
      <w:rPr>
        <w:rFonts w:ascii="Courier New" w:hAnsi="Courier New" w:cs="Courier New" w:hint="default"/>
      </w:rPr>
    </w:lvl>
    <w:lvl w:ilvl="2" w:tplc="04100005" w:tentative="1">
      <w:start w:val="1"/>
      <w:numFmt w:val="bullet"/>
      <w:lvlText w:val=""/>
      <w:lvlJc w:val="left"/>
      <w:pPr>
        <w:ind w:left="2084" w:hanging="360"/>
      </w:pPr>
      <w:rPr>
        <w:rFonts w:ascii="Wingdings" w:hAnsi="Wingdings" w:hint="default"/>
      </w:rPr>
    </w:lvl>
    <w:lvl w:ilvl="3" w:tplc="04100001" w:tentative="1">
      <w:start w:val="1"/>
      <w:numFmt w:val="bullet"/>
      <w:lvlText w:val=""/>
      <w:lvlJc w:val="left"/>
      <w:pPr>
        <w:ind w:left="2804" w:hanging="360"/>
      </w:pPr>
      <w:rPr>
        <w:rFonts w:ascii="Symbol" w:hAnsi="Symbol" w:hint="default"/>
      </w:rPr>
    </w:lvl>
    <w:lvl w:ilvl="4" w:tplc="04100003" w:tentative="1">
      <w:start w:val="1"/>
      <w:numFmt w:val="bullet"/>
      <w:lvlText w:val="o"/>
      <w:lvlJc w:val="left"/>
      <w:pPr>
        <w:ind w:left="3524" w:hanging="360"/>
      </w:pPr>
      <w:rPr>
        <w:rFonts w:ascii="Courier New" w:hAnsi="Courier New" w:cs="Courier New" w:hint="default"/>
      </w:rPr>
    </w:lvl>
    <w:lvl w:ilvl="5" w:tplc="04100005" w:tentative="1">
      <w:start w:val="1"/>
      <w:numFmt w:val="bullet"/>
      <w:lvlText w:val=""/>
      <w:lvlJc w:val="left"/>
      <w:pPr>
        <w:ind w:left="4244" w:hanging="360"/>
      </w:pPr>
      <w:rPr>
        <w:rFonts w:ascii="Wingdings" w:hAnsi="Wingdings" w:hint="default"/>
      </w:rPr>
    </w:lvl>
    <w:lvl w:ilvl="6" w:tplc="04100001" w:tentative="1">
      <w:start w:val="1"/>
      <w:numFmt w:val="bullet"/>
      <w:lvlText w:val=""/>
      <w:lvlJc w:val="left"/>
      <w:pPr>
        <w:ind w:left="4964" w:hanging="360"/>
      </w:pPr>
      <w:rPr>
        <w:rFonts w:ascii="Symbol" w:hAnsi="Symbol" w:hint="default"/>
      </w:rPr>
    </w:lvl>
    <w:lvl w:ilvl="7" w:tplc="04100003" w:tentative="1">
      <w:start w:val="1"/>
      <w:numFmt w:val="bullet"/>
      <w:lvlText w:val="o"/>
      <w:lvlJc w:val="left"/>
      <w:pPr>
        <w:ind w:left="5684" w:hanging="360"/>
      </w:pPr>
      <w:rPr>
        <w:rFonts w:ascii="Courier New" w:hAnsi="Courier New" w:cs="Courier New" w:hint="default"/>
      </w:rPr>
    </w:lvl>
    <w:lvl w:ilvl="8" w:tplc="04100005" w:tentative="1">
      <w:start w:val="1"/>
      <w:numFmt w:val="bullet"/>
      <w:lvlText w:val=""/>
      <w:lvlJc w:val="left"/>
      <w:pPr>
        <w:ind w:left="6404" w:hanging="360"/>
      </w:pPr>
      <w:rPr>
        <w:rFonts w:ascii="Wingdings" w:hAnsi="Wingdings" w:hint="default"/>
      </w:rPr>
    </w:lvl>
  </w:abstractNum>
  <w:abstractNum w:abstractNumId="38" w15:restartNumberingAfterBreak="0">
    <w:nsid w:val="72F1680C"/>
    <w:multiLevelType w:val="hybridMultilevel"/>
    <w:tmpl w:val="D9427482"/>
    <w:lvl w:ilvl="0" w:tplc="723CD9BA">
      <w:start w:val="1"/>
      <w:numFmt w:val="bullet"/>
      <w:lvlText w:val=""/>
      <w:lvlPicBulletId w:val="1"/>
      <w:lvlJc w:val="left"/>
      <w:pPr>
        <w:ind w:left="2534" w:hanging="360"/>
      </w:pPr>
      <w:rPr>
        <w:rFonts w:ascii="Symbol" w:hAnsi="Symbol" w:hint="default"/>
      </w:rPr>
    </w:lvl>
    <w:lvl w:ilvl="1" w:tplc="04100003" w:tentative="1">
      <w:start w:val="1"/>
      <w:numFmt w:val="bullet"/>
      <w:lvlText w:val="o"/>
      <w:lvlJc w:val="left"/>
      <w:pPr>
        <w:ind w:left="3254" w:hanging="360"/>
      </w:pPr>
      <w:rPr>
        <w:rFonts w:ascii="Courier New" w:hAnsi="Courier New" w:cs="Courier New" w:hint="default"/>
      </w:rPr>
    </w:lvl>
    <w:lvl w:ilvl="2" w:tplc="04100005" w:tentative="1">
      <w:start w:val="1"/>
      <w:numFmt w:val="bullet"/>
      <w:lvlText w:val=""/>
      <w:lvlJc w:val="left"/>
      <w:pPr>
        <w:ind w:left="3974" w:hanging="360"/>
      </w:pPr>
      <w:rPr>
        <w:rFonts w:ascii="Wingdings" w:hAnsi="Wingdings" w:hint="default"/>
      </w:rPr>
    </w:lvl>
    <w:lvl w:ilvl="3" w:tplc="04100001" w:tentative="1">
      <w:start w:val="1"/>
      <w:numFmt w:val="bullet"/>
      <w:lvlText w:val=""/>
      <w:lvlJc w:val="left"/>
      <w:pPr>
        <w:ind w:left="4694" w:hanging="360"/>
      </w:pPr>
      <w:rPr>
        <w:rFonts w:ascii="Symbol" w:hAnsi="Symbol" w:hint="default"/>
      </w:rPr>
    </w:lvl>
    <w:lvl w:ilvl="4" w:tplc="04100003" w:tentative="1">
      <w:start w:val="1"/>
      <w:numFmt w:val="bullet"/>
      <w:lvlText w:val="o"/>
      <w:lvlJc w:val="left"/>
      <w:pPr>
        <w:ind w:left="5414" w:hanging="360"/>
      </w:pPr>
      <w:rPr>
        <w:rFonts w:ascii="Courier New" w:hAnsi="Courier New" w:cs="Courier New" w:hint="default"/>
      </w:rPr>
    </w:lvl>
    <w:lvl w:ilvl="5" w:tplc="04100005" w:tentative="1">
      <w:start w:val="1"/>
      <w:numFmt w:val="bullet"/>
      <w:lvlText w:val=""/>
      <w:lvlJc w:val="left"/>
      <w:pPr>
        <w:ind w:left="6134" w:hanging="360"/>
      </w:pPr>
      <w:rPr>
        <w:rFonts w:ascii="Wingdings" w:hAnsi="Wingdings" w:hint="default"/>
      </w:rPr>
    </w:lvl>
    <w:lvl w:ilvl="6" w:tplc="04100001" w:tentative="1">
      <w:start w:val="1"/>
      <w:numFmt w:val="bullet"/>
      <w:lvlText w:val=""/>
      <w:lvlJc w:val="left"/>
      <w:pPr>
        <w:ind w:left="6854" w:hanging="360"/>
      </w:pPr>
      <w:rPr>
        <w:rFonts w:ascii="Symbol" w:hAnsi="Symbol" w:hint="default"/>
      </w:rPr>
    </w:lvl>
    <w:lvl w:ilvl="7" w:tplc="04100003" w:tentative="1">
      <w:start w:val="1"/>
      <w:numFmt w:val="bullet"/>
      <w:lvlText w:val="o"/>
      <w:lvlJc w:val="left"/>
      <w:pPr>
        <w:ind w:left="7574" w:hanging="360"/>
      </w:pPr>
      <w:rPr>
        <w:rFonts w:ascii="Courier New" w:hAnsi="Courier New" w:cs="Courier New" w:hint="default"/>
      </w:rPr>
    </w:lvl>
    <w:lvl w:ilvl="8" w:tplc="04100005" w:tentative="1">
      <w:start w:val="1"/>
      <w:numFmt w:val="bullet"/>
      <w:lvlText w:val=""/>
      <w:lvlJc w:val="left"/>
      <w:pPr>
        <w:ind w:left="8294" w:hanging="360"/>
      </w:pPr>
      <w:rPr>
        <w:rFonts w:ascii="Wingdings" w:hAnsi="Wingdings" w:hint="default"/>
      </w:rPr>
    </w:lvl>
  </w:abstractNum>
  <w:num w:numId="1">
    <w:abstractNumId w:val="16"/>
  </w:num>
  <w:num w:numId="2">
    <w:abstractNumId w:val="28"/>
  </w:num>
  <w:num w:numId="3">
    <w:abstractNumId w:val="32"/>
  </w:num>
  <w:num w:numId="4">
    <w:abstractNumId w:val="7"/>
  </w:num>
  <w:num w:numId="5">
    <w:abstractNumId w:val="21"/>
  </w:num>
  <w:num w:numId="6">
    <w:abstractNumId w:val="6"/>
  </w:num>
  <w:num w:numId="7">
    <w:abstractNumId w:val="0"/>
  </w:num>
  <w:num w:numId="8">
    <w:abstractNumId w:val="22"/>
  </w:num>
  <w:num w:numId="9">
    <w:abstractNumId w:val="29"/>
  </w:num>
  <w:num w:numId="10">
    <w:abstractNumId w:val="12"/>
  </w:num>
  <w:num w:numId="11">
    <w:abstractNumId w:val="27"/>
  </w:num>
  <w:num w:numId="12">
    <w:abstractNumId w:val="2"/>
  </w:num>
  <w:num w:numId="13">
    <w:abstractNumId w:val="36"/>
  </w:num>
  <w:num w:numId="14">
    <w:abstractNumId w:val="9"/>
  </w:num>
  <w:num w:numId="15">
    <w:abstractNumId w:val="38"/>
  </w:num>
  <w:num w:numId="16">
    <w:abstractNumId w:val="14"/>
  </w:num>
  <w:num w:numId="17">
    <w:abstractNumId w:val="25"/>
  </w:num>
  <w:num w:numId="18">
    <w:abstractNumId w:val="1"/>
  </w:num>
  <w:num w:numId="19">
    <w:abstractNumId w:val="18"/>
  </w:num>
  <w:num w:numId="20">
    <w:abstractNumId w:val="31"/>
  </w:num>
  <w:num w:numId="21">
    <w:abstractNumId w:val="10"/>
  </w:num>
  <w:num w:numId="22">
    <w:abstractNumId w:val="30"/>
  </w:num>
  <w:num w:numId="23">
    <w:abstractNumId w:val="35"/>
  </w:num>
  <w:num w:numId="24">
    <w:abstractNumId w:val="24"/>
  </w:num>
  <w:num w:numId="25">
    <w:abstractNumId w:val="11"/>
  </w:num>
  <w:num w:numId="2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23"/>
  </w:num>
  <w:num w:numId="29">
    <w:abstractNumId w:val="15"/>
  </w:num>
  <w:num w:numId="30">
    <w:abstractNumId w:val="13"/>
  </w:num>
  <w:num w:numId="31">
    <w:abstractNumId w:val="5"/>
  </w:num>
  <w:num w:numId="32">
    <w:abstractNumId w:val="37"/>
  </w:num>
  <w:num w:numId="33">
    <w:abstractNumId w:val="8"/>
  </w:num>
  <w:num w:numId="34">
    <w:abstractNumId w:val="33"/>
  </w:num>
  <w:num w:numId="35">
    <w:abstractNumId w:val="17"/>
  </w:num>
  <w:num w:numId="36">
    <w:abstractNumId w:val="20"/>
  </w:num>
  <w:num w:numId="37">
    <w:abstractNumId w:val="4"/>
  </w:num>
  <w:num w:numId="38">
    <w:abstractNumId w:val="26"/>
  </w:num>
  <w:num w:numId="39">
    <w:abstractNumId w:val="34"/>
  </w:num>
  <w:num w:numId="40">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activeWritingStyle w:appName="MSWord" w:lang="it-IT" w:vendorID="64" w:dllVersion="6" w:nlCheck="1" w:checkStyle="0"/>
  <w:activeWritingStyle w:appName="MSWord" w:lang="en-GB" w:vendorID="64" w:dllVersion="6" w:nlCheck="1" w:checkStyle="0"/>
  <w:activeWritingStyle w:appName="MSWord" w:lang="en-US" w:vendorID="64" w:dllVersion="6" w:nlCheck="1" w:checkStyle="0"/>
  <w:activeWritingStyle w:appName="MSWord" w:lang="it-IT" w:vendorID="64" w:dllVersion="0" w:nlCheck="1" w:checkStyle="0"/>
  <w:activeWritingStyle w:appName="MSWord" w:lang="en-US" w:vendorID="64" w:dllVersion="0" w:nlCheck="1" w:checkStyle="0"/>
  <w:activeWritingStyle w:appName="MSWord" w:lang="en-GB" w:vendorID="64" w:dllVersion="0" w:nlCheck="1" w:checkStyle="0"/>
  <w:activeWritingStyle w:appName="MSWord" w:lang="it-IT" w:vendorID="64" w:dllVersion="4096" w:nlCheck="1" w:checkStyle="0"/>
  <w:activeWritingStyle w:appName="MSWord" w:lang="en-GB" w:vendorID="64" w:dllVersion="4096" w:nlCheck="1" w:checkStyle="0"/>
  <w:activeWritingStyle w:appName="MSWord" w:lang="en-US" w:vendorID="64" w:dllVersion="4096" w:nlCheck="1" w:checkStyle="0"/>
  <w:activeWritingStyle w:appName="MSWord" w:lang="it-IT" w:vendorID="64" w:dllVersion="131078" w:nlCheck="1" w:checkStyle="0"/>
  <w:activeWritingStyle w:appName="MSWord" w:lang="en-US" w:vendorID="64" w:dllVersion="131078" w:nlCheck="1" w:checkStyle="0"/>
  <w:activeWritingStyle w:appName="MSWord" w:lang="en-GB"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24"/>
  <w:hyphenationZone w:val="283"/>
  <w:drawingGridHorizontalSpacing w:val="120"/>
  <w:drawingGridVerticalSpacing w:val="120"/>
  <w:displayHorizontalDrawingGridEvery w:val="0"/>
  <w:displayVerticalDrawingGridEvery w:val="3"/>
  <w:doNotUseMarginsForDrawingGridOrigin/>
  <w:doNotShadeFormData/>
  <w:characterSpacingControl w:val="compressPunctuation"/>
  <w:noLineBreaksAfter w:lang="ja-JP" w:val="$([\egikmoqsuwy{¢’"/>
  <w:noLineBreaksBefore w:lang="ja-JP" w:val="!%),.:;?@ABCDEFGHIJKRSTUX[]bfhjlnprtvxz}¡£¤¥§¨©ª«¬­®¯°ÁÞßáãåìñŒŸŽƒ–‘‚“‡•…‹"/>
  <w:doNotValidateAgainstSchema/>
  <w:doNotDemarcateInvalidXml/>
  <w:hdrShapeDefaults>
    <o:shapedefaults v:ext="edit" spidmax="2049" style="mso-position-horizontal:center;mso-width-percent:400;mso-height-percent:200;mso-width-relative:margin;mso-height-relative:margin" fillcolor="white">
      <v:fill color="white"/>
      <v:textbox style="mso-fit-shape-to-text: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C7E"/>
    <w:rsid w:val="0000001C"/>
    <w:rsid w:val="000000E6"/>
    <w:rsid w:val="00000148"/>
    <w:rsid w:val="00000726"/>
    <w:rsid w:val="00000728"/>
    <w:rsid w:val="000008B7"/>
    <w:rsid w:val="00000A07"/>
    <w:rsid w:val="00000A85"/>
    <w:rsid w:val="00000B94"/>
    <w:rsid w:val="00001548"/>
    <w:rsid w:val="000015D1"/>
    <w:rsid w:val="00001605"/>
    <w:rsid w:val="00001C85"/>
    <w:rsid w:val="000020B7"/>
    <w:rsid w:val="00002228"/>
    <w:rsid w:val="0000242C"/>
    <w:rsid w:val="000026DF"/>
    <w:rsid w:val="00002996"/>
    <w:rsid w:val="00002F2D"/>
    <w:rsid w:val="000034C8"/>
    <w:rsid w:val="00003834"/>
    <w:rsid w:val="000039B0"/>
    <w:rsid w:val="00003AAA"/>
    <w:rsid w:val="00003AB5"/>
    <w:rsid w:val="00003AD9"/>
    <w:rsid w:val="00003F46"/>
    <w:rsid w:val="00003F7B"/>
    <w:rsid w:val="0000405E"/>
    <w:rsid w:val="000041BD"/>
    <w:rsid w:val="000043D5"/>
    <w:rsid w:val="00004550"/>
    <w:rsid w:val="00004794"/>
    <w:rsid w:val="00004970"/>
    <w:rsid w:val="000049DD"/>
    <w:rsid w:val="00004CF5"/>
    <w:rsid w:val="00004D99"/>
    <w:rsid w:val="00004DDD"/>
    <w:rsid w:val="00004DF3"/>
    <w:rsid w:val="00004E38"/>
    <w:rsid w:val="0000500C"/>
    <w:rsid w:val="000054F2"/>
    <w:rsid w:val="0000586C"/>
    <w:rsid w:val="00005A6B"/>
    <w:rsid w:val="00006709"/>
    <w:rsid w:val="0000683C"/>
    <w:rsid w:val="000068CA"/>
    <w:rsid w:val="00006A17"/>
    <w:rsid w:val="00006D62"/>
    <w:rsid w:val="00006DB7"/>
    <w:rsid w:val="00006E53"/>
    <w:rsid w:val="00007042"/>
    <w:rsid w:val="0000740E"/>
    <w:rsid w:val="000077FA"/>
    <w:rsid w:val="00007876"/>
    <w:rsid w:val="00010006"/>
    <w:rsid w:val="00010041"/>
    <w:rsid w:val="000101B6"/>
    <w:rsid w:val="0001021B"/>
    <w:rsid w:val="0001028F"/>
    <w:rsid w:val="000102D5"/>
    <w:rsid w:val="00010573"/>
    <w:rsid w:val="0001089C"/>
    <w:rsid w:val="000108ED"/>
    <w:rsid w:val="00010957"/>
    <w:rsid w:val="0001097F"/>
    <w:rsid w:val="000109E3"/>
    <w:rsid w:val="00010A46"/>
    <w:rsid w:val="00010B15"/>
    <w:rsid w:val="00010B3C"/>
    <w:rsid w:val="00010B8D"/>
    <w:rsid w:val="00010C7B"/>
    <w:rsid w:val="00010D06"/>
    <w:rsid w:val="00010EDF"/>
    <w:rsid w:val="00011087"/>
    <w:rsid w:val="000111F6"/>
    <w:rsid w:val="00011270"/>
    <w:rsid w:val="000113F8"/>
    <w:rsid w:val="00011473"/>
    <w:rsid w:val="00011610"/>
    <w:rsid w:val="0001181A"/>
    <w:rsid w:val="000119A0"/>
    <w:rsid w:val="00011A51"/>
    <w:rsid w:val="00011DC6"/>
    <w:rsid w:val="00011EAF"/>
    <w:rsid w:val="00011F76"/>
    <w:rsid w:val="00012191"/>
    <w:rsid w:val="00012364"/>
    <w:rsid w:val="0001244E"/>
    <w:rsid w:val="00012499"/>
    <w:rsid w:val="0001282E"/>
    <w:rsid w:val="0001283C"/>
    <w:rsid w:val="0001287A"/>
    <w:rsid w:val="00012A11"/>
    <w:rsid w:val="00012D38"/>
    <w:rsid w:val="00012FD3"/>
    <w:rsid w:val="0001319C"/>
    <w:rsid w:val="000134A3"/>
    <w:rsid w:val="0001357A"/>
    <w:rsid w:val="000135AB"/>
    <w:rsid w:val="00013751"/>
    <w:rsid w:val="00013995"/>
    <w:rsid w:val="00013A1E"/>
    <w:rsid w:val="00013F41"/>
    <w:rsid w:val="00014269"/>
    <w:rsid w:val="0001426C"/>
    <w:rsid w:val="000142DC"/>
    <w:rsid w:val="000143E3"/>
    <w:rsid w:val="000146B3"/>
    <w:rsid w:val="00014863"/>
    <w:rsid w:val="00014927"/>
    <w:rsid w:val="0001494F"/>
    <w:rsid w:val="000152B4"/>
    <w:rsid w:val="00015517"/>
    <w:rsid w:val="0001561A"/>
    <w:rsid w:val="00015A70"/>
    <w:rsid w:val="00015D22"/>
    <w:rsid w:val="00015DAF"/>
    <w:rsid w:val="00015EAD"/>
    <w:rsid w:val="00016024"/>
    <w:rsid w:val="0001638E"/>
    <w:rsid w:val="0001654F"/>
    <w:rsid w:val="000167F5"/>
    <w:rsid w:val="00016974"/>
    <w:rsid w:val="00016B13"/>
    <w:rsid w:val="00016C00"/>
    <w:rsid w:val="00016C6A"/>
    <w:rsid w:val="00016D99"/>
    <w:rsid w:val="000172A0"/>
    <w:rsid w:val="00017353"/>
    <w:rsid w:val="0001745D"/>
    <w:rsid w:val="00017951"/>
    <w:rsid w:val="000204CC"/>
    <w:rsid w:val="000204D8"/>
    <w:rsid w:val="000205CA"/>
    <w:rsid w:val="0002065A"/>
    <w:rsid w:val="000208F9"/>
    <w:rsid w:val="000211AD"/>
    <w:rsid w:val="000213E2"/>
    <w:rsid w:val="00021652"/>
    <w:rsid w:val="0002181D"/>
    <w:rsid w:val="00021B34"/>
    <w:rsid w:val="00021BD3"/>
    <w:rsid w:val="00022197"/>
    <w:rsid w:val="00022763"/>
    <w:rsid w:val="000228CB"/>
    <w:rsid w:val="00022F64"/>
    <w:rsid w:val="000233BC"/>
    <w:rsid w:val="000235E9"/>
    <w:rsid w:val="000235FB"/>
    <w:rsid w:val="00023D90"/>
    <w:rsid w:val="00024050"/>
    <w:rsid w:val="000241B7"/>
    <w:rsid w:val="00024474"/>
    <w:rsid w:val="000246BC"/>
    <w:rsid w:val="00024BDA"/>
    <w:rsid w:val="00024DBE"/>
    <w:rsid w:val="000250BC"/>
    <w:rsid w:val="0002515C"/>
    <w:rsid w:val="0002519B"/>
    <w:rsid w:val="00025294"/>
    <w:rsid w:val="000253FD"/>
    <w:rsid w:val="000254AC"/>
    <w:rsid w:val="0002574E"/>
    <w:rsid w:val="000257C6"/>
    <w:rsid w:val="00025822"/>
    <w:rsid w:val="00025AA7"/>
    <w:rsid w:val="00025C48"/>
    <w:rsid w:val="00026495"/>
    <w:rsid w:val="000266A7"/>
    <w:rsid w:val="00026D8A"/>
    <w:rsid w:val="000271F4"/>
    <w:rsid w:val="00027DD9"/>
    <w:rsid w:val="00027F95"/>
    <w:rsid w:val="00027FBC"/>
    <w:rsid w:val="00030313"/>
    <w:rsid w:val="000305B0"/>
    <w:rsid w:val="00030816"/>
    <w:rsid w:val="00030AB8"/>
    <w:rsid w:val="00030BEE"/>
    <w:rsid w:val="00030C3A"/>
    <w:rsid w:val="00030D02"/>
    <w:rsid w:val="00030DD9"/>
    <w:rsid w:val="0003114F"/>
    <w:rsid w:val="00031258"/>
    <w:rsid w:val="00031311"/>
    <w:rsid w:val="000317E1"/>
    <w:rsid w:val="00031864"/>
    <w:rsid w:val="00031934"/>
    <w:rsid w:val="00031C2E"/>
    <w:rsid w:val="00031E4E"/>
    <w:rsid w:val="000320B7"/>
    <w:rsid w:val="00032111"/>
    <w:rsid w:val="0003211D"/>
    <w:rsid w:val="0003236F"/>
    <w:rsid w:val="0003282C"/>
    <w:rsid w:val="00032A4E"/>
    <w:rsid w:val="00032BB1"/>
    <w:rsid w:val="00033432"/>
    <w:rsid w:val="00033801"/>
    <w:rsid w:val="0003391B"/>
    <w:rsid w:val="000344D7"/>
    <w:rsid w:val="00034CCB"/>
    <w:rsid w:val="00034D9C"/>
    <w:rsid w:val="00034E73"/>
    <w:rsid w:val="00034F28"/>
    <w:rsid w:val="0003502D"/>
    <w:rsid w:val="000350E3"/>
    <w:rsid w:val="00035164"/>
    <w:rsid w:val="0003517C"/>
    <w:rsid w:val="000352CC"/>
    <w:rsid w:val="00035555"/>
    <w:rsid w:val="00035837"/>
    <w:rsid w:val="0003608C"/>
    <w:rsid w:val="0003629C"/>
    <w:rsid w:val="000363D3"/>
    <w:rsid w:val="000366BA"/>
    <w:rsid w:val="000366E1"/>
    <w:rsid w:val="00036A4D"/>
    <w:rsid w:val="0003704B"/>
    <w:rsid w:val="00037BBD"/>
    <w:rsid w:val="00037C54"/>
    <w:rsid w:val="00037F26"/>
    <w:rsid w:val="0004002D"/>
    <w:rsid w:val="00040033"/>
    <w:rsid w:val="000400B4"/>
    <w:rsid w:val="000402DE"/>
    <w:rsid w:val="00040574"/>
    <w:rsid w:val="00040619"/>
    <w:rsid w:val="000408F2"/>
    <w:rsid w:val="00041081"/>
    <w:rsid w:val="000410DD"/>
    <w:rsid w:val="00041445"/>
    <w:rsid w:val="000418D6"/>
    <w:rsid w:val="00041D3A"/>
    <w:rsid w:val="00041D56"/>
    <w:rsid w:val="00041DD2"/>
    <w:rsid w:val="00041DDD"/>
    <w:rsid w:val="00041DEF"/>
    <w:rsid w:val="000420ED"/>
    <w:rsid w:val="00042480"/>
    <w:rsid w:val="0004257E"/>
    <w:rsid w:val="000425DB"/>
    <w:rsid w:val="00042B16"/>
    <w:rsid w:val="00042D21"/>
    <w:rsid w:val="00042E71"/>
    <w:rsid w:val="00042F77"/>
    <w:rsid w:val="000433C2"/>
    <w:rsid w:val="0004346C"/>
    <w:rsid w:val="000437DE"/>
    <w:rsid w:val="00043842"/>
    <w:rsid w:val="00043C45"/>
    <w:rsid w:val="00043C67"/>
    <w:rsid w:val="00043F9E"/>
    <w:rsid w:val="0004409E"/>
    <w:rsid w:val="000445F5"/>
    <w:rsid w:val="0004471F"/>
    <w:rsid w:val="00044806"/>
    <w:rsid w:val="00044845"/>
    <w:rsid w:val="0004496E"/>
    <w:rsid w:val="00044B3D"/>
    <w:rsid w:val="00044BA2"/>
    <w:rsid w:val="00044D3A"/>
    <w:rsid w:val="00044FB9"/>
    <w:rsid w:val="0004504F"/>
    <w:rsid w:val="000450EF"/>
    <w:rsid w:val="000452A7"/>
    <w:rsid w:val="000455A6"/>
    <w:rsid w:val="00045656"/>
    <w:rsid w:val="000456DB"/>
    <w:rsid w:val="000457A7"/>
    <w:rsid w:val="00045A88"/>
    <w:rsid w:val="00045BC9"/>
    <w:rsid w:val="000461A8"/>
    <w:rsid w:val="000462ED"/>
    <w:rsid w:val="00046401"/>
    <w:rsid w:val="00046645"/>
    <w:rsid w:val="00046668"/>
    <w:rsid w:val="00046881"/>
    <w:rsid w:val="00046950"/>
    <w:rsid w:val="00046AF5"/>
    <w:rsid w:val="00046F8A"/>
    <w:rsid w:val="0004702D"/>
    <w:rsid w:val="0004724D"/>
    <w:rsid w:val="0004729C"/>
    <w:rsid w:val="000474A3"/>
    <w:rsid w:val="000474EA"/>
    <w:rsid w:val="000478B7"/>
    <w:rsid w:val="000478E6"/>
    <w:rsid w:val="0004797F"/>
    <w:rsid w:val="000479D4"/>
    <w:rsid w:val="00047CCE"/>
    <w:rsid w:val="00047E42"/>
    <w:rsid w:val="00047EA6"/>
    <w:rsid w:val="00050117"/>
    <w:rsid w:val="00050441"/>
    <w:rsid w:val="00050489"/>
    <w:rsid w:val="00050496"/>
    <w:rsid w:val="000506A1"/>
    <w:rsid w:val="000508D1"/>
    <w:rsid w:val="0005099B"/>
    <w:rsid w:val="00050B87"/>
    <w:rsid w:val="00050EB7"/>
    <w:rsid w:val="00051081"/>
    <w:rsid w:val="000512D1"/>
    <w:rsid w:val="0005132D"/>
    <w:rsid w:val="0005149E"/>
    <w:rsid w:val="0005182E"/>
    <w:rsid w:val="00051CCA"/>
    <w:rsid w:val="00051D92"/>
    <w:rsid w:val="00051E6A"/>
    <w:rsid w:val="00051FC2"/>
    <w:rsid w:val="000525CE"/>
    <w:rsid w:val="00052A04"/>
    <w:rsid w:val="00052D6F"/>
    <w:rsid w:val="00052EEF"/>
    <w:rsid w:val="0005317F"/>
    <w:rsid w:val="00053471"/>
    <w:rsid w:val="000537BB"/>
    <w:rsid w:val="00053850"/>
    <w:rsid w:val="000538A1"/>
    <w:rsid w:val="000541C7"/>
    <w:rsid w:val="000543DB"/>
    <w:rsid w:val="00054481"/>
    <w:rsid w:val="00054645"/>
    <w:rsid w:val="00054A4F"/>
    <w:rsid w:val="00054ACA"/>
    <w:rsid w:val="00054B66"/>
    <w:rsid w:val="00054E68"/>
    <w:rsid w:val="00054F6F"/>
    <w:rsid w:val="0005548B"/>
    <w:rsid w:val="0005548D"/>
    <w:rsid w:val="000557ED"/>
    <w:rsid w:val="00055990"/>
    <w:rsid w:val="00055CB6"/>
    <w:rsid w:val="00055E26"/>
    <w:rsid w:val="00056137"/>
    <w:rsid w:val="00056138"/>
    <w:rsid w:val="000565A3"/>
    <w:rsid w:val="00056612"/>
    <w:rsid w:val="00056635"/>
    <w:rsid w:val="000567BC"/>
    <w:rsid w:val="000569E0"/>
    <w:rsid w:val="00056DA9"/>
    <w:rsid w:val="00056EEF"/>
    <w:rsid w:val="00057588"/>
    <w:rsid w:val="00057640"/>
    <w:rsid w:val="000578A2"/>
    <w:rsid w:val="00057CB1"/>
    <w:rsid w:val="00060045"/>
    <w:rsid w:val="00060073"/>
    <w:rsid w:val="00060194"/>
    <w:rsid w:val="0006043F"/>
    <w:rsid w:val="000605F5"/>
    <w:rsid w:val="0006068C"/>
    <w:rsid w:val="00060769"/>
    <w:rsid w:val="000607A6"/>
    <w:rsid w:val="00061253"/>
    <w:rsid w:val="00061378"/>
    <w:rsid w:val="0006148E"/>
    <w:rsid w:val="00061580"/>
    <w:rsid w:val="000617F3"/>
    <w:rsid w:val="000617FF"/>
    <w:rsid w:val="00061BEA"/>
    <w:rsid w:val="00061DC7"/>
    <w:rsid w:val="00061E48"/>
    <w:rsid w:val="00061E67"/>
    <w:rsid w:val="00061EE4"/>
    <w:rsid w:val="00061FD0"/>
    <w:rsid w:val="00061FDE"/>
    <w:rsid w:val="000620FB"/>
    <w:rsid w:val="000621DF"/>
    <w:rsid w:val="00062354"/>
    <w:rsid w:val="00062437"/>
    <w:rsid w:val="000626C4"/>
    <w:rsid w:val="00062926"/>
    <w:rsid w:val="000629AB"/>
    <w:rsid w:val="00062C7C"/>
    <w:rsid w:val="00062E45"/>
    <w:rsid w:val="00063308"/>
    <w:rsid w:val="000635F7"/>
    <w:rsid w:val="00063CE3"/>
    <w:rsid w:val="00063D28"/>
    <w:rsid w:val="000641F8"/>
    <w:rsid w:val="000643F7"/>
    <w:rsid w:val="00064404"/>
    <w:rsid w:val="000646B8"/>
    <w:rsid w:val="00064827"/>
    <w:rsid w:val="00064936"/>
    <w:rsid w:val="00064E2A"/>
    <w:rsid w:val="00064F58"/>
    <w:rsid w:val="00065001"/>
    <w:rsid w:val="000651DE"/>
    <w:rsid w:val="00065319"/>
    <w:rsid w:val="0006537C"/>
    <w:rsid w:val="000653E1"/>
    <w:rsid w:val="00065467"/>
    <w:rsid w:val="00065496"/>
    <w:rsid w:val="000657E2"/>
    <w:rsid w:val="00065B83"/>
    <w:rsid w:val="00065C66"/>
    <w:rsid w:val="000662FB"/>
    <w:rsid w:val="0006665B"/>
    <w:rsid w:val="0006690F"/>
    <w:rsid w:val="0006714F"/>
    <w:rsid w:val="00067188"/>
    <w:rsid w:val="00067292"/>
    <w:rsid w:val="00067430"/>
    <w:rsid w:val="000674B5"/>
    <w:rsid w:val="0006757F"/>
    <w:rsid w:val="00067A64"/>
    <w:rsid w:val="00067AB5"/>
    <w:rsid w:val="00067F81"/>
    <w:rsid w:val="00070718"/>
    <w:rsid w:val="0007076D"/>
    <w:rsid w:val="000708D3"/>
    <w:rsid w:val="00070B2A"/>
    <w:rsid w:val="00070E18"/>
    <w:rsid w:val="00070F2A"/>
    <w:rsid w:val="00071A4B"/>
    <w:rsid w:val="00071DBD"/>
    <w:rsid w:val="00071EFA"/>
    <w:rsid w:val="00072096"/>
    <w:rsid w:val="000720F5"/>
    <w:rsid w:val="000720F8"/>
    <w:rsid w:val="00072142"/>
    <w:rsid w:val="00072181"/>
    <w:rsid w:val="000724FA"/>
    <w:rsid w:val="00072711"/>
    <w:rsid w:val="00072728"/>
    <w:rsid w:val="000727B5"/>
    <w:rsid w:val="00072B3F"/>
    <w:rsid w:val="00072BE2"/>
    <w:rsid w:val="00072C03"/>
    <w:rsid w:val="00072DD4"/>
    <w:rsid w:val="00073223"/>
    <w:rsid w:val="000732DF"/>
    <w:rsid w:val="000732FD"/>
    <w:rsid w:val="0007358E"/>
    <w:rsid w:val="0007363E"/>
    <w:rsid w:val="00073792"/>
    <w:rsid w:val="00073872"/>
    <w:rsid w:val="00073A89"/>
    <w:rsid w:val="00073CEC"/>
    <w:rsid w:val="00073D34"/>
    <w:rsid w:val="00073F42"/>
    <w:rsid w:val="00073FA9"/>
    <w:rsid w:val="0007431D"/>
    <w:rsid w:val="00074665"/>
    <w:rsid w:val="000746D5"/>
    <w:rsid w:val="00074709"/>
    <w:rsid w:val="000749B9"/>
    <w:rsid w:val="00074D11"/>
    <w:rsid w:val="00074DA1"/>
    <w:rsid w:val="00075400"/>
    <w:rsid w:val="000754FC"/>
    <w:rsid w:val="000755F9"/>
    <w:rsid w:val="000756DF"/>
    <w:rsid w:val="00075941"/>
    <w:rsid w:val="00075CC6"/>
    <w:rsid w:val="00075E7A"/>
    <w:rsid w:val="0007633F"/>
    <w:rsid w:val="000764A2"/>
    <w:rsid w:val="0007650D"/>
    <w:rsid w:val="000765B6"/>
    <w:rsid w:val="00076C27"/>
    <w:rsid w:val="00076D5D"/>
    <w:rsid w:val="00076DE8"/>
    <w:rsid w:val="0007706A"/>
    <w:rsid w:val="00077534"/>
    <w:rsid w:val="0007754A"/>
    <w:rsid w:val="00077592"/>
    <w:rsid w:val="0007778B"/>
    <w:rsid w:val="000778A2"/>
    <w:rsid w:val="00077E7D"/>
    <w:rsid w:val="00080146"/>
    <w:rsid w:val="00080263"/>
    <w:rsid w:val="000803AD"/>
    <w:rsid w:val="000806D4"/>
    <w:rsid w:val="00080736"/>
    <w:rsid w:val="00080844"/>
    <w:rsid w:val="000808E3"/>
    <w:rsid w:val="00080B60"/>
    <w:rsid w:val="00080F62"/>
    <w:rsid w:val="00080FAA"/>
    <w:rsid w:val="000811D8"/>
    <w:rsid w:val="000817F5"/>
    <w:rsid w:val="000818DD"/>
    <w:rsid w:val="000819D4"/>
    <w:rsid w:val="000828E6"/>
    <w:rsid w:val="000829B6"/>
    <w:rsid w:val="000829D1"/>
    <w:rsid w:val="00082A62"/>
    <w:rsid w:val="00082D10"/>
    <w:rsid w:val="00082E1E"/>
    <w:rsid w:val="00082E1F"/>
    <w:rsid w:val="00082E97"/>
    <w:rsid w:val="00083173"/>
    <w:rsid w:val="00083421"/>
    <w:rsid w:val="00083429"/>
    <w:rsid w:val="00083FA8"/>
    <w:rsid w:val="00083FE3"/>
    <w:rsid w:val="00084018"/>
    <w:rsid w:val="0008411D"/>
    <w:rsid w:val="00084387"/>
    <w:rsid w:val="00084761"/>
    <w:rsid w:val="000849DF"/>
    <w:rsid w:val="00084AF6"/>
    <w:rsid w:val="00084E02"/>
    <w:rsid w:val="00084EA2"/>
    <w:rsid w:val="00084EE6"/>
    <w:rsid w:val="00084F63"/>
    <w:rsid w:val="00085050"/>
    <w:rsid w:val="0008506C"/>
    <w:rsid w:val="0008524E"/>
    <w:rsid w:val="0008527C"/>
    <w:rsid w:val="000852BA"/>
    <w:rsid w:val="0008545A"/>
    <w:rsid w:val="000857C5"/>
    <w:rsid w:val="00085AC2"/>
    <w:rsid w:val="00085AFD"/>
    <w:rsid w:val="00085BC7"/>
    <w:rsid w:val="00085C22"/>
    <w:rsid w:val="00085C51"/>
    <w:rsid w:val="00085D7F"/>
    <w:rsid w:val="00085E26"/>
    <w:rsid w:val="0008600B"/>
    <w:rsid w:val="0008600F"/>
    <w:rsid w:val="00086154"/>
    <w:rsid w:val="0008674D"/>
    <w:rsid w:val="000868F5"/>
    <w:rsid w:val="00086ACE"/>
    <w:rsid w:val="00086C43"/>
    <w:rsid w:val="00086C83"/>
    <w:rsid w:val="000873CD"/>
    <w:rsid w:val="000873E7"/>
    <w:rsid w:val="000876D8"/>
    <w:rsid w:val="000876FA"/>
    <w:rsid w:val="00087774"/>
    <w:rsid w:val="00087BB3"/>
    <w:rsid w:val="00087C9E"/>
    <w:rsid w:val="0009016A"/>
    <w:rsid w:val="000901BC"/>
    <w:rsid w:val="0009086B"/>
    <w:rsid w:val="000909B9"/>
    <w:rsid w:val="00090A07"/>
    <w:rsid w:val="00090A82"/>
    <w:rsid w:val="00090B9F"/>
    <w:rsid w:val="00090D41"/>
    <w:rsid w:val="00090D6C"/>
    <w:rsid w:val="00090DE6"/>
    <w:rsid w:val="00090F1B"/>
    <w:rsid w:val="00090FDD"/>
    <w:rsid w:val="0009127D"/>
    <w:rsid w:val="00091382"/>
    <w:rsid w:val="0009146F"/>
    <w:rsid w:val="000917F4"/>
    <w:rsid w:val="00091839"/>
    <w:rsid w:val="00091AA3"/>
    <w:rsid w:val="00091AAC"/>
    <w:rsid w:val="00091AFB"/>
    <w:rsid w:val="00091D57"/>
    <w:rsid w:val="00092358"/>
    <w:rsid w:val="00092391"/>
    <w:rsid w:val="000924A8"/>
    <w:rsid w:val="000924D4"/>
    <w:rsid w:val="00092823"/>
    <w:rsid w:val="00092C29"/>
    <w:rsid w:val="00093042"/>
    <w:rsid w:val="00093540"/>
    <w:rsid w:val="0009393D"/>
    <w:rsid w:val="000939A5"/>
    <w:rsid w:val="00093A74"/>
    <w:rsid w:val="00093DB0"/>
    <w:rsid w:val="0009434D"/>
    <w:rsid w:val="00094463"/>
    <w:rsid w:val="00094B3C"/>
    <w:rsid w:val="00094CB4"/>
    <w:rsid w:val="000951A2"/>
    <w:rsid w:val="00095213"/>
    <w:rsid w:val="0009529B"/>
    <w:rsid w:val="00095528"/>
    <w:rsid w:val="00095538"/>
    <w:rsid w:val="00095ABF"/>
    <w:rsid w:val="00096313"/>
    <w:rsid w:val="00096371"/>
    <w:rsid w:val="000964A7"/>
    <w:rsid w:val="0009657B"/>
    <w:rsid w:val="00096705"/>
    <w:rsid w:val="00096954"/>
    <w:rsid w:val="00096C13"/>
    <w:rsid w:val="00096DB8"/>
    <w:rsid w:val="0009700D"/>
    <w:rsid w:val="00097014"/>
    <w:rsid w:val="0009719A"/>
    <w:rsid w:val="0009723F"/>
    <w:rsid w:val="000972EF"/>
    <w:rsid w:val="000977C6"/>
    <w:rsid w:val="00097C94"/>
    <w:rsid w:val="000A085E"/>
    <w:rsid w:val="000A0936"/>
    <w:rsid w:val="000A09E7"/>
    <w:rsid w:val="000A0AC7"/>
    <w:rsid w:val="000A0D56"/>
    <w:rsid w:val="000A0D76"/>
    <w:rsid w:val="000A0DC1"/>
    <w:rsid w:val="000A0F77"/>
    <w:rsid w:val="000A1070"/>
    <w:rsid w:val="000A10AB"/>
    <w:rsid w:val="000A123E"/>
    <w:rsid w:val="000A1285"/>
    <w:rsid w:val="000A169F"/>
    <w:rsid w:val="000A1D68"/>
    <w:rsid w:val="000A2640"/>
    <w:rsid w:val="000A27BB"/>
    <w:rsid w:val="000A29A5"/>
    <w:rsid w:val="000A2EB6"/>
    <w:rsid w:val="000A2EFD"/>
    <w:rsid w:val="000A32BD"/>
    <w:rsid w:val="000A353C"/>
    <w:rsid w:val="000A3E31"/>
    <w:rsid w:val="000A3EBA"/>
    <w:rsid w:val="000A4087"/>
    <w:rsid w:val="000A40C6"/>
    <w:rsid w:val="000A40FD"/>
    <w:rsid w:val="000A4124"/>
    <w:rsid w:val="000A4139"/>
    <w:rsid w:val="000A46FA"/>
    <w:rsid w:val="000A4871"/>
    <w:rsid w:val="000A4E9A"/>
    <w:rsid w:val="000A510B"/>
    <w:rsid w:val="000A52C2"/>
    <w:rsid w:val="000A5314"/>
    <w:rsid w:val="000A539F"/>
    <w:rsid w:val="000A5A83"/>
    <w:rsid w:val="000A5D8F"/>
    <w:rsid w:val="000A5D99"/>
    <w:rsid w:val="000A6163"/>
    <w:rsid w:val="000A630E"/>
    <w:rsid w:val="000A63AD"/>
    <w:rsid w:val="000A6591"/>
    <w:rsid w:val="000A677A"/>
    <w:rsid w:val="000A69D2"/>
    <w:rsid w:val="000A73EA"/>
    <w:rsid w:val="000A77D6"/>
    <w:rsid w:val="000A78EC"/>
    <w:rsid w:val="000A7A98"/>
    <w:rsid w:val="000A7B77"/>
    <w:rsid w:val="000A7C4C"/>
    <w:rsid w:val="000A7CF9"/>
    <w:rsid w:val="000A7D15"/>
    <w:rsid w:val="000A7D4B"/>
    <w:rsid w:val="000A7F51"/>
    <w:rsid w:val="000B01FA"/>
    <w:rsid w:val="000B022B"/>
    <w:rsid w:val="000B02ED"/>
    <w:rsid w:val="000B0543"/>
    <w:rsid w:val="000B06A7"/>
    <w:rsid w:val="000B0B48"/>
    <w:rsid w:val="000B0DCE"/>
    <w:rsid w:val="000B14E7"/>
    <w:rsid w:val="000B1BA4"/>
    <w:rsid w:val="000B1CD4"/>
    <w:rsid w:val="000B1F20"/>
    <w:rsid w:val="000B1F2B"/>
    <w:rsid w:val="000B20D4"/>
    <w:rsid w:val="000B2213"/>
    <w:rsid w:val="000B233D"/>
    <w:rsid w:val="000B27E0"/>
    <w:rsid w:val="000B2A82"/>
    <w:rsid w:val="000B2AAC"/>
    <w:rsid w:val="000B2B3C"/>
    <w:rsid w:val="000B2CD6"/>
    <w:rsid w:val="000B2FC3"/>
    <w:rsid w:val="000B32C5"/>
    <w:rsid w:val="000B32E4"/>
    <w:rsid w:val="000B3304"/>
    <w:rsid w:val="000B3667"/>
    <w:rsid w:val="000B38EA"/>
    <w:rsid w:val="000B3C3F"/>
    <w:rsid w:val="000B3D51"/>
    <w:rsid w:val="000B3EAD"/>
    <w:rsid w:val="000B3F89"/>
    <w:rsid w:val="000B4C37"/>
    <w:rsid w:val="000B4C82"/>
    <w:rsid w:val="000B4EE9"/>
    <w:rsid w:val="000B50E7"/>
    <w:rsid w:val="000B515A"/>
    <w:rsid w:val="000B51E7"/>
    <w:rsid w:val="000B53F2"/>
    <w:rsid w:val="000B56C0"/>
    <w:rsid w:val="000B57DB"/>
    <w:rsid w:val="000B5A90"/>
    <w:rsid w:val="000B5B83"/>
    <w:rsid w:val="000B5DC1"/>
    <w:rsid w:val="000B5F3D"/>
    <w:rsid w:val="000B5FA3"/>
    <w:rsid w:val="000B60D2"/>
    <w:rsid w:val="000B6575"/>
    <w:rsid w:val="000B6801"/>
    <w:rsid w:val="000B6A87"/>
    <w:rsid w:val="000B6B12"/>
    <w:rsid w:val="000B6C6C"/>
    <w:rsid w:val="000B6CD3"/>
    <w:rsid w:val="000B6D0F"/>
    <w:rsid w:val="000B6E6D"/>
    <w:rsid w:val="000B72E0"/>
    <w:rsid w:val="000B7600"/>
    <w:rsid w:val="000B7664"/>
    <w:rsid w:val="000B7680"/>
    <w:rsid w:val="000B7989"/>
    <w:rsid w:val="000B7AE5"/>
    <w:rsid w:val="000B7BEC"/>
    <w:rsid w:val="000B7E0D"/>
    <w:rsid w:val="000C01F6"/>
    <w:rsid w:val="000C0226"/>
    <w:rsid w:val="000C023A"/>
    <w:rsid w:val="000C0726"/>
    <w:rsid w:val="000C076E"/>
    <w:rsid w:val="000C07C1"/>
    <w:rsid w:val="000C099C"/>
    <w:rsid w:val="000C0A33"/>
    <w:rsid w:val="000C0F55"/>
    <w:rsid w:val="000C1097"/>
    <w:rsid w:val="000C139B"/>
    <w:rsid w:val="000C140B"/>
    <w:rsid w:val="000C15E3"/>
    <w:rsid w:val="000C1C3E"/>
    <w:rsid w:val="000C1CE8"/>
    <w:rsid w:val="000C233C"/>
    <w:rsid w:val="000C24DA"/>
    <w:rsid w:val="000C25D8"/>
    <w:rsid w:val="000C267B"/>
    <w:rsid w:val="000C2980"/>
    <w:rsid w:val="000C2FB7"/>
    <w:rsid w:val="000C30CB"/>
    <w:rsid w:val="000C35FB"/>
    <w:rsid w:val="000C3630"/>
    <w:rsid w:val="000C3830"/>
    <w:rsid w:val="000C399A"/>
    <w:rsid w:val="000C39B4"/>
    <w:rsid w:val="000C3AD0"/>
    <w:rsid w:val="000C3DA5"/>
    <w:rsid w:val="000C42ED"/>
    <w:rsid w:val="000C4457"/>
    <w:rsid w:val="000C4589"/>
    <w:rsid w:val="000C4689"/>
    <w:rsid w:val="000C4738"/>
    <w:rsid w:val="000C4968"/>
    <w:rsid w:val="000C4CC0"/>
    <w:rsid w:val="000C4D5C"/>
    <w:rsid w:val="000C4D8E"/>
    <w:rsid w:val="000C5202"/>
    <w:rsid w:val="000C53F5"/>
    <w:rsid w:val="000C5564"/>
    <w:rsid w:val="000C55DB"/>
    <w:rsid w:val="000C5602"/>
    <w:rsid w:val="000C584E"/>
    <w:rsid w:val="000C59C4"/>
    <w:rsid w:val="000C5B36"/>
    <w:rsid w:val="000C5D65"/>
    <w:rsid w:val="000C627A"/>
    <w:rsid w:val="000C6F05"/>
    <w:rsid w:val="000C71C5"/>
    <w:rsid w:val="000C727A"/>
    <w:rsid w:val="000C730E"/>
    <w:rsid w:val="000C7450"/>
    <w:rsid w:val="000C7697"/>
    <w:rsid w:val="000C76DA"/>
    <w:rsid w:val="000C789E"/>
    <w:rsid w:val="000C79D0"/>
    <w:rsid w:val="000C7ABE"/>
    <w:rsid w:val="000C7B4C"/>
    <w:rsid w:val="000C7D70"/>
    <w:rsid w:val="000C7EF4"/>
    <w:rsid w:val="000D0459"/>
    <w:rsid w:val="000D06D9"/>
    <w:rsid w:val="000D072A"/>
    <w:rsid w:val="000D09C3"/>
    <w:rsid w:val="000D0B34"/>
    <w:rsid w:val="000D0EC2"/>
    <w:rsid w:val="000D0F51"/>
    <w:rsid w:val="000D0F9C"/>
    <w:rsid w:val="000D1221"/>
    <w:rsid w:val="000D17A9"/>
    <w:rsid w:val="000D1B06"/>
    <w:rsid w:val="000D1D83"/>
    <w:rsid w:val="000D1E54"/>
    <w:rsid w:val="000D215B"/>
    <w:rsid w:val="000D24E2"/>
    <w:rsid w:val="000D2BA7"/>
    <w:rsid w:val="000D2CA8"/>
    <w:rsid w:val="000D31F1"/>
    <w:rsid w:val="000D32E1"/>
    <w:rsid w:val="000D3585"/>
    <w:rsid w:val="000D3A7C"/>
    <w:rsid w:val="000D3CAE"/>
    <w:rsid w:val="000D42CA"/>
    <w:rsid w:val="000D4498"/>
    <w:rsid w:val="000D4568"/>
    <w:rsid w:val="000D4A0C"/>
    <w:rsid w:val="000D4EE8"/>
    <w:rsid w:val="000D4FE9"/>
    <w:rsid w:val="000D527A"/>
    <w:rsid w:val="000D5383"/>
    <w:rsid w:val="000D53B8"/>
    <w:rsid w:val="000D5583"/>
    <w:rsid w:val="000D5624"/>
    <w:rsid w:val="000D5955"/>
    <w:rsid w:val="000D6036"/>
    <w:rsid w:val="000D68E4"/>
    <w:rsid w:val="000D70CE"/>
    <w:rsid w:val="000D70FA"/>
    <w:rsid w:val="000D7279"/>
    <w:rsid w:val="000D74A4"/>
    <w:rsid w:val="000D7679"/>
    <w:rsid w:val="000D7CD3"/>
    <w:rsid w:val="000E0C8A"/>
    <w:rsid w:val="000E0D71"/>
    <w:rsid w:val="000E0DD4"/>
    <w:rsid w:val="000E0F62"/>
    <w:rsid w:val="000E0FC9"/>
    <w:rsid w:val="000E1054"/>
    <w:rsid w:val="000E1158"/>
    <w:rsid w:val="000E13B0"/>
    <w:rsid w:val="000E1473"/>
    <w:rsid w:val="000E162A"/>
    <w:rsid w:val="000E177D"/>
    <w:rsid w:val="000E19F0"/>
    <w:rsid w:val="000E1E6F"/>
    <w:rsid w:val="000E208F"/>
    <w:rsid w:val="000E2098"/>
    <w:rsid w:val="000E21B1"/>
    <w:rsid w:val="000E22B3"/>
    <w:rsid w:val="000E237E"/>
    <w:rsid w:val="000E23BF"/>
    <w:rsid w:val="000E23EF"/>
    <w:rsid w:val="000E2431"/>
    <w:rsid w:val="000E2664"/>
    <w:rsid w:val="000E2903"/>
    <w:rsid w:val="000E2BE0"/>
    <w:rsid w:val="000E2C2B"/>
    <w:rsid w:val="000E2E1B"/>
    <w:rsid w:val="000E2E93"/>
    <w:rsid w:val="000E2FA4"/>
    <w:rsid w:val="000E327D"/>
    <w:rsid w:val="000E32BE"/>
    <w:rsid w:val="000E32CD"/>
    <w:rsid w:val="000E3463"/>
    <w:rsid w:val="000E3464"/>
    <w:rsid w:val="000E3886"/>
    <w:rsid w:val="000E3CFC"/>
    <w:rsid w:val="000E3FDA"/>
    <w:rsid w:val="000E404D"/>
    <w:rsid w:val="000E40CB"/>
    <w:rsid w:val="000E420F"/>
    <w:rsid w:val="000E42F6"/>
    <w:rsid w:val="000E44A9"/>
    <w:rsid w:val="000E4A6D"/>
    <w:rsid w:val="000E4D8F"/>
    <w:rsid w:val="000E4F84"/>
    <w:rsid w:val="000E5206"/>
    <w:rsid w:val="000E5429"/>
    <w:rsid w:val="000E5B28"/>
    <w:rsid w:val="000E5D0D"/>
    <w:rsid w:val="000E62CE"/>
    <w:rsid w:val="000E63BC"/>
    <w:rsid w:val="000E649F"/>
    <w:rsid w:val="000E66DF"/>
    <w:rsid w:val="000E6AF8"/>
    <w:rsid w:val="000E6B08"/>
    <w:rsid w:val="000E70A5"/>
    <w:rsid w:val="000E70F6"/>
    <w:rsid w:val="000E7523"/>
    <w:rsid w:val="000E77B0"/>
    <w:rsid w:val="000E785C"/>
    <w:rsid w:val="000E78BC"/>
    <w:rsid w:val="000E7960"/>
    <w:rsid w:val="000E7F42"/>
    <w:rsid w:val="000F01EE"/>
    <w:rsid w:val="000F034B"/>
    <w:rsid w:val="000F039B"/>
    <w:rsid w:val="000F04C0"/>
    <w:rsid w:val="000F0528"/>
    <w:rsid w:val="000F066A"/>
    <w:rsid w:val="000F0675"/>
    <w:rsid w:val="000F06DE"/>
    <w:rsid w:val="000F0888"/>
    <w:rsid w:val="000F0DEA"/>
    <w:rsid w:val="000F0DFE"/>
    <w:rsid w:val="000F0E8F"/>
    <w:rsid w:val="000F1394"/>
    <w:rsid w:val="000F1519"/>
    <w:rsid w:val="000F18A3"/>
    <w:rsid w:val="000F19CA"/>
    <w:rsid w:val="000F1A51"/>
    <w:rsid w:val="000F1CEF"/>
    <w:rsid w:val="000F25EE"/>
    <w:rsid w:val="000F269A"/>
    <w:rsid w:val="000F26C0"/>
    <w:rsid w:val="000F2852"/>
    <w:rsid w:val="000F2873"/>
    <w:rsid w:val="000F2BE7"/>
    <w:rsid w:val="000F2CE4"/>
    <w:rsid w:val="000F2DD7"/>
    <w:rsid w:val="000F2FB2"/>
    <w:rsid w:val="000F32AC"/>
    <w:rsid w:val="000F3597"/>
    <w:rsid w:val="000F370D"/>
    <w:rsid w:val="000F376F"/>
    <w:rsid w:val="000F37E4"/>
    <w:rsid w:val="000F3856"/>
    <w:rsid w:val="000F3936"/>
    <w:rsid w:val="000F3E1E"/>
    <w:rsid w:val="000F3E50"/>
    <w:rsid w:val="000F41E0"/>
    <w:rsid w:val="000F43CA"/>
    <w:rsid w:val="000F4698"/>
    <w:rsid w:val="000F48B5"/>
    <w:rsid w:val="000F4AF1"/>
    <w:rsid w:val="000F4D00"/>
    <w:rsid w:val="000F4E41"/>
    <w:rsid w:val="000F4E54"/>
    <w:rsid w:val="000F4FE7"/>
    <w:rsid w:val="000F5554"/>
    <w:rsid w:val="000F57C2"/>
    <w:rsid w:val="000F582E"/>
    <w:rsid w:val="000F5A7E"/>
    <w:rsid w:val="000F5D44"/>
    <w:rsid w:val="000F5E41"/>
    <w:rsid w:val="000F5E6F"/>
    <w:rsid w:val="000F5EC4"/>
    <w:rsid w:val="000F6093"/>
    <w:rsid w:val="000F60AC"/>
    <w:rsid w:val="000F6152"/>
    <w:rsid w:val="000F6161"/>
    <w:rsid w:val="000F63EF"/>
    <w:rsid w:val="000F6442"/>
    <w:rsid w:val="000F68EC"/>
    <w:rsid w:val="000F75A1"/>
    <w:rsid w:val="000F763F"/>
    <w:rsid w:val="000F76EB"/>
    <w:rsid w:val="000F7AD5"/>
    <w:rsid w:val="000F7CB4"/>
    <w:rsid w:val="000F7F64"/>
    <w:rsid w:val="000F7FAE"/>
    <w:rsid w:val="00100058"/>
    <w:rsid w:val="00100268"/>
    <w:rsid w:val="00100472"/>
    <w:rsid w:val="001008F0"/>
    <w:rsid w:val="001009C1"/>
    <w:rsid w:val="00100B0C"/>
    <w:rsid w:val="00101A55"/>
    <w:rsid w:val="00101B88"/>
    <w:rsid w:val="00101EC8"/>
    <w:rsid w:val="00101F21"/>
    <w:rsid w:val="0010203F"/>
    <w:rsid w:val="0010243C"/>
    <w:rsid w:val="00102509"/>
    <w:rsid w:val="00102B37"/>
    <w:rsid w:val="00102E12"/>
    <w:rsid w:val="001030AE"/>
    <w:rsid w:val="001031B6"/>
    <w:rsid w:val="0010327A"/>
    <w:rsid w:val="001032AD"/>
    <w:rsid w:val="00103356"/>
    <w:rsid w:val="00103433"/>
    <w:rsid w:val="001035FC"/>
    <w:rsid w:val="0010374F"/>
    <w:rsid w:val="0010385A"/>
    <w:rsid w:val="00103A48"/>
    <w:rsid w:val="00103D45"/>
    <w:rsid w:val="0010401A"/>
    <w:rsid w:val="00104132"/>
    <w:rsid w:val="00104168"/>
    <w:rsid w:val="00104365"/>
    <w:rsid w:val="001045C8"/>
    <w:rsid w:val="00104992"/>
    <w:rsid w:val="001049FC"/>
    <w:rsid w:val="00104E68"/>
    <w:rsid w:val="00104EC6"/>
    <w:rsid w:val="00104EE9"/>
    <w:rsid w:val="00105326"/>
    <w:rsid w:val="001054A5"/>
    <w:rsid w:val="00105579"/>
    <w:rsid w:val="00105774"/>
    <w:rsid w:val="00105B08"/>
    <w:rsid w:val="0010607E"/>
    <w:rsid w:val="001062CA"/>
    <w:rsid w:val="0010642A"/>
    <w:rsid w:val="0010687A"/>
    <w:rsid w:val="00106AA3"/>
    <w:rsid w:val="00106EE8"/>
    <w:rsid w:val="001070B0"/>
    <w:rsid w:val="00107126"/>
    <w:rsid w:val="001075A8"/>
    <w:rsid w:val="001079A0"/>
    <w:rsid w:val="001079C3"/>
    <w:rsid w:val="00107B24"/>
    <w:rsid w:val="00110342"/>
    <w:rsid w:val="00110856"/>
    <w:rsid w:val="00111160"/>
    <w:rsid w:val="00111262"/>
    <w:rsid w:val="001112CB"/>
    <w:rsid w:val="00111347"/>
    <w:rsid w:val="001113CA"/>
    <w:rsid w:val="0011155E"/>
    <w:rsid w:val="001115C7"/>
    <w:rsid w:val="00111823"/>
    <w:rsid w:val="00111D39"/>
    <w:rsid w:val="00111D49"/>
    <w:rsid w:val="00111E5D"/>
    <w:rsid w:val="00111EC4"/>
    <w:rsid w:val="001120AE"/>
    <w:rsid w:val="001124E6"/>
    <w:rsid w:val="001124EE"/>
    <w:rsid w:val="001126F9"/>
    <w:rsid w:val="001127A0"/>
    <w:rsid w:val="001128FF"/>
    <w:rsid w:val="00112A83"/>
    <w:rsid w:val="00112D15"/>
    <w:rsid w:val="00112EAD"/>
    <w:rsid w:val="00112FD6"/>
    <w:rsid w:val="00113224"/>
    <w:rsid w:val="00113274"/>
    <w:rsid w:val="0011349E"/>
    <w:rsid w:val="00113A3A"/>
    <w:rsid w:val="00113BDB"/>
    <w:rsid w:val="00113CDF"/>
    <w:rsid w:val="00113DC8"/>
    <w:rsid w:val="00113DFC"/>
    <w:rsid w:val="00113E20"/>
    <w:rsid w:val="00113E61"/>
    <w:rsid w:val="00113F0D"/>
    <w:rsid w:val="00114045"/>
    <w:rsid w:val="001143AE"/>
    <w:rsid w:val="001143D0"/>
    <w:rsid w:val="00114486"/>
    <w:rsid w:val="001144D0"/>
    <w:rsid w:val="0011455D"/>
    <w:rsid w:val="001146BF"/>
    <w:rsid w:val="00114704"/>
    <w:rsid w:val="001148C3"/>
    <w:rsid w:val="00114BA6"/>
    <w:rsid w:val="00114F41"/>
    <w:rsid w:val="0011506B"/>
    <w:rsid w:val="0011508E"/>
    <w:rsid w:val="0011562D"/>
    <w:rsid w:val="00115651"/>
    <w:rsid w:val="001156D5"/>
    <w:rsid w:val="00115AB8"/>
    <w:rsid w:val="00115AEB"/>
    <w:rsid w:val="00115FBE"/>
    <w:rsid w:val="001169B6"/>
    <w:rsid w:val="00116AB6"/>
    <w:rsid w:val="00116D6F"/>
    <w:rsid w:val="00116DD5"/>
    <w:rsid w:val="00117309"/>
    <w:rsid w:val="00117AF1"/>
    <w:rsid w:val="00117B03"/>
    <w:rsid w:val="00117BB0"/>
    <w:rsid w:val="00117CBF"/>
    <w:rsid w:val="0012007E"/>
    <w:rsid w:val="001200FD"/>
    <w:rsid w:val="0012011D"/>
    <w:rsid w:val="00120185"/>
    <w:rsid w:val="00120457"/>
    <w:rsid w:val="00120D62"/>
    <w:rsid w:val="00120D7F"/>
    <w:rsid w:val="00120E2E"/>
    <w:rsid w:val="00120F89"/>
    <w:rsid w:val="00121090"/>
    <w:rsid w:val="00121177"/>
    <w:rsid w:val="001211E8"/>
    <w:rsid w:val="00121299"/>
    <w:rsid w:val="001213F2"/>
    <w:rsid w:val="001216FA"/>
    <w:rsid w:val="00121DFD"/>
    <w:rsid w:val="00121F1E"/>
    <w:rsid w:val="00122675"/>
    <w:rsid w:val="00122713"/>
    <w:rsid w:val="00122786"/>
    <w:rsid w:val="001228C0"/>
    <w:rsid w:val="00122912"/>
    <w:rsid w:val="00122976"/>
    <w:rsid w:val="00122ECC"/>
    <w:rsid w:val="00123742"/>
    <w:rsid w:val="0012380F"/>
    <w:rsid w:val="00123A77"/>
    <w:rsid w:val="00123C76"/>
    <w:rsid w:val="00124232"/>
    <w:rsid w:val="00124608"/>
    <w:rsid w:val="0012468A"/>
    <w:rsid w:val="00124695"/>
    <w:rsid w:val="001248B9"/>
    <w:rsid w:val="00124943"/>
    <w:rsid w:val="001249B2"/>
    <w:rsid w:val="00124A96"/>
    <w:rsid w:val="00124D62"/>
    <w:rsid w:val="0012503F"/>
    <w:rsid w:val="00125323"/>
    <w:rsid w:val="00125420"/>
    <w:rsid w:val="001254C6"/>
    <w:rsid w:val="00125651"/>
    <w:rsid w:val="00125958"/>
    <w:rsid w:val="00125AC1"/>
    <w:rsid w:val="00125C51"/>
    <w:rsid w:val="00125D56"/>
    <w:rsid w:val="00125FC1"/>
    <w:rsid w:val="001261E2"/>
    <w:rsid w:val="00126235"/>
    <w:rsid w:val="0012664B"/>
    <w:rsid w:val="001267F9"/>
    <w:rsid w:val="00126876"/>
    <w:rsid w:val="00126F68"/>
    <w:rsid w:val="00126F98"/>
    <w:rsid w:val="001270F2"/>
    <w:rsid w:val="00127273"/>
    <w:rsid w:val="001273DA"/>
    <w:rsid w:val="00127CCE"/>
    <w:rsid w:val="00127D6C"/>
    <w:rsid w:val="00127DBA"/>
    <w:rsid w:val="001302EF"/>
    <w:rsid w:val="001304C0"/>
    <w:rsid w:val="0013060B"/>
    <w:rsid w:val="001306A7"/>
    <w:rsid w:val="00130F7C"/>
    <w:rsid w:val="00131084"/>
    <w:rsid w:val="0013108B"/>
    <w:rsid w:val="0013114E"/>
    <w:rsid w:val="001315D4"/>
    <w:rsid w:val="001315EA"/>
    <w:rsid w:val="0013171C"/>
    <w:rsid w:val="001319AE"/>
    <w:rsid w:val="00131D5D"/>
    <w:rsid w:val="00131E75"/>
    <w:rsid w:val="00132098"/>
    <w:rsid w:val="001321B0"/>
    <w:rsid w:val="00132391"/>
    <w:rsid w:val="0013239A"/>
    <w:rsid w:val="00132472"/>
    <w:rsid w:val="001324FE"/>
    <w:rsid w:val="00132674"/>
    <w:rsid w:val="00132A09"/>
    <w:rsid w:val="00132D0E"/>
    <w:rsid w:val="00132DBF"/>
    <w:rsid w:val="00132E23"/>
    <w:rsid w:val="00132F27"/>
    <w:rsid w:val="0013338B"/>
    <w:rsid w:val="001334D9"/>
    <w:rsid w:val="001335FA"/>
    <w:rsid w:val="00133862"/>
    <w:rsid w:val="00133893"/>
    <w:rsid w:val="0013399B"/>
    <w:rsid w:val="00133D17"/>
    <w:rsid w:val="00134308"/>
    <w:rsid w:val="0013455F"/>
    <w:rsid w:val="00134704"/>
    <w:rsid w:val="001348C2"/>
    <w:rsid w:val="00134EEC"/>
    <w:rsid w:val="0013505A"/>
    <w:rsid w:val="00135140"/>
    <w:rsid w:val="00135207"/>
    <w:rsid w:val="00135418"/>
    <w:rsid w:val="001358CD"/>
    <w:rsid w:val="00135D93"/>
    <w:rsid w:val="00135EC9"/>
    <w:rsid w:val="001360C7"/>
    <w:rsid w:val="00136252"/>
    <w:rsid w:val="00136843"/>
    <w:rsid w:val="00136869"/>
    <w:rsid w:val="00136895"/>
    <w:rsid w:val="00136C7F"/>
    <w:rsid w:val="00136D31"/>
    <w:rsid w:val="00136EF3"/>
    <w:rsid w:val="0013709B"/>
    <w:rsid w:val="001371D2"/>
    <w:rsid w:val="00137464"/>
    <w:rsid w:val="0013760D"/>
    <w:rsid w:val="001376AE"/>
    <w:rsid w:val="00137940"/>
    <w:rsid w:val="00137B50"/>
    <w:rsid w:val="00137D7D"/>
    <w:rsid w:val="00137F30"/>
    <w:rsid w:val="00137FEB"/>
    <w:rsid w:val="001401A7"/>
    <w:rsid w:val="0014021C"/>
    <w:rsid w:val="0014041C"/>
    <w:rsid w:val="001411A0"/>
    <w:rsid w:val="001414BB"/>
    <w:rsid w:val="00141831"/>
    <w:rsid w:val="001418F8"/>
    <w:rsid w:val="001419EF"/>
    <w:rsid w:val="00141A22"/>
    <w:rsid w:val="00141A37"/>
    <w:rsid w:val="00141B4A"/>
    <w:rsid w:val="00141C42"/>
    <w:rsid w:val="00141F60"/>
    <w:rsid w:val="001421E4"/>
    <w:rsid w:val="00142813"/>
    <w:rsid w:val="00142C78"/>
    <w:rsid w:val="00142EF1"/>
    <w:rsid w:val="00142F44"/>
    <w:rsid w:val="00142F8B"/>
    <w:rsid w:val="00143151"/>
    <w:rsid w:val="001431DB"/>
    <w:rsid w:val="001433D4"/>
    <w:rsid w:val="00143674"/>
    <w:rsid w:val="00143799"/>
    <w:rsid w:val="00143A1B"/>
    <w:rsid w:val="00143A49"/>
    <w:rsid w:val="00143C18"/>
    <w:rsid w:val="00143EB8"/>
    <w:rsid w:val="001440DD"/>
    <w:rsid w:val="001446B2"/>
    <w:rsid w:val="00144813"/>
    <w:rsid w:val="00144ADB"/>
    <w:rsid w:val="00144C8A"/>
    <w:rsid w:val="00144DF8"/>
    <w:rsid w:val="0014539F"/>
    <w:rsid w:val="00145468"/>
    <w:rsid w:val="00145A1D"/>
    <w:rsid w:val="00145ED6"/>
    <w:rsid w:val="00146099"/>
    <w:rsid w:val="00146396"/>
    <w:rsid w:val="001463B3"/>
    <w:rsid w:val="00146D9F"/>
    <w:rsid w:val="00146F6C"/>
    <w:rsid w:val="00147253"/>
    <w:rsid w:val="00147422"/>
    <w:rsid w:val="0014748A"/>
    <w:rsid w:val="00147559"/>
    <w:rsid w:val="001478BA"/>
    <w:rsid w:val="00147CB5"/>
    <w:rsid w:val="00147CF6"/>
    <w:rsid w:val="001509A4"/>
    <w:rsid w:val="00150F3F"/>
    <w:rsid w:val="001511A4"/>
    <w:rsid w:val="00151214"/>
    <w:rsid w:val="0015128D"/>
    <w:rsid w:val="00151343"/>
    <w:rsid w:val="001513A0"/>
    <w:rsid w:val="001514E2"/>
    <w:rsid w:val="001516A9"/>
    <w:rsid w:val="001516DB"/>
    <w:rsid w:val="001519C0"/>
    <w:rsid w:val="00151BB3"/>
    <w:rsid w:val="0015208C"/>
    <w:rsid w:val="0015237B"/>
    <w:rsid w:val="001523C9"/>
    <w:rsid w:val="001524CE"/>
    <w:rsid w:val="00152751"/>
    <w:rsid w:val="00152E56"/>
    <w:rsid w:val="00153176"/>
    <w:rsid w:val="001531DE"/>
    <w:rsid w:val="00153299"/>
    <w:rsid w:val="001532E5"/>
    <w:rsid w:val="00153400"/>
    <w:rsid w:val="0015369B"/>
    <w:rsid w:val="001536EB"/>
    <w:rsid w:val="001538D3"/>
    <w:rsid w:val="0015390C"/>
    <w:rsid w:val="00153A3C"/>
    <w:rsid w:val="00153D89"/>
    <w:rsid w:val="00153DCC"/>
    <w:rsid w:val="00153E1C"/>
    <w:rsid w:val="00154039"/>
    <w:rsid w:val="00154152"/>
    <w:rsid w:val="001546D3"/>
    <w:rsid w:val="00154733"/>
    <w:rsid w:val="0015479F"/>
    <w:rsid w:val="001547AB"/>
    <w:rsid w:val="00154850"/>
    <w:rsid w:val="0015485C"/>
    <w:rsid w:val="00154B63"/>
    <w:rsid w:val="00154CB3"/>
    <w:rsid w:val="00154E23"/>
    <w:rsid w:val="00155117"/>
    <w:rsid w:val="001555D0"/>
    <w:rsid w:val="001559AA"/>
    <w:rsid w:val="00155A73"/>
    <w:rsid w:val="00155EC4"/>
    <w:rsid w:val="0015634E"/>
    <w:rsid w:val="0015639F"/>
    <w:rsid w:val="001564C3"/>
    <w:rsid w:val="00156C7D"/>
    <w:rsid w:val="00156D13"/>
    <w:rsid w:val="001570B0"/>
    <w:rsid w:val="00157260"/>
    <w:rsid w:val="001575B4"/>
    <w:rsid w:val="001575D8"/>
    <w:rsid w:val="00157664"/>
    <w:rsid w:val="00157E6E"/>
    <w:rsid w:val="001600DF"/>
    <w:rsid w:val="00160180"/>
    <w:rsid w:val="0016020E"/>
    <w:rsid w:val="0016038B"/>
    <w:rsid w:val="00160503"/>
    <w:rsid w:val="00160627"/>
    <w:rsid w:val="001606AA"/>
    <w:rsid w:val="00160985"/>
    <w:rsid w:val="00160B79"/>
    <w:rsid w:val="00161148"/>
    <w:rsid w:val="001611C8"/>
    <w:rsid w:val="00161230"/>
    <w:rsid w:val="00161280"/>
    <w:rsid w:val="00161444"/>
    <w:rsid w:val="0016149C"/>
    <w:rsid w:val="001614D8"/>
    <w:rsid w:val="0016192A"/>
    <w:rsid w:val="0016195F"/>
    <w:rsid w:val="00161A69"/>
    <w:rsid w:val="00161A6B"/>
    <w:rsid w:val="00161AEE"/>
    <w:rsid w:val="00161BFF"/>
    <w:rsid w:val="00161D72"/>
    <w:rsid w:val="00162056"/>
    <w:rsid w:val="001622D3"/>
    <w:rsid w:val="001622ED"/>
    <w:rsid w:val="00162C0B"/>
    <w:rsid w:val="00162F8F"/>
    <w:rsid w:val="0016306C"/>
    <w:rsid w:val="0016323D"/>
    <w:rsid w:val="001632FB"/>
    <w:rsid w:val="0016343C"/>
    <w:rsid w:val="00163477"/>
    <w:rsid w:val="00163540"/>
    <w:rsid w:val="00163E5A"/>
    <w:rsid w:val="00164204"/>
    <w:rsid w:val="00164402"/>
    <w:rsid w:val="001645B6"/>
    <w:rsid w:val="00164684"/>
    <w:rsid w:val="00164720"/>
    <w:rsid w:val="00164938"/>
    <w:rsid w:val="00164B50"/>
    <w:rsid w:val="00164DAA"/>
    <w:rsid w:val="00165041"/>
    <w:rsid w:val="0016523C"/>
    <w:rsid w:val="0016578E"/>
    <w:rsid w:val="001657D2"/>
    <w:rsid w:val="001657F8"/>
    <w:rsid w:val="00165947"/>
    <w:rsid w:val="00165BF8"/>
    <w:rsid w:val="00165C17"/>
    <w:rsid w:val="00165C76"/>
    <w:rsid w:val="00165E0A"/>
    <w:rsid w:val="001661D3"/>
    <w:rsid w:val="00166288"/>
    <w:rsid w:val="00166316"/>
    <w:rsid w:val="00166319"/>
    <w:rsid w:val="001664CA"/>
    <w:rsid w:val="0016655B"/>
    <w:rsid w:val="001666C6"/>
    <w:rsid w:val="00166759"/>
    <w:rsid w:val="001667BA"/>
    <w:rsid w:val="00166956"/>
    <w:rsid w:val="001669F6"/>
    <w:rsid w:val="001671CF"/>
    <w:rsid w:val="00167305"/>
    <w:rsid w:val="001674B4"/>
    <w:rsid w:val="00167687"/>
    <w:rsid w:val="00167757"/>
    <w:rsid w:val="00167801"/>
    <w:rsid w:val="00167891"/>
    <w:rsid w:val="00167A99"/>
    <w:rsid w:val="00167C39"/>
    <w:rsid w:val="00167FAA"/>
    <w:rsid w:val="00167FBE"/>
    <w:rsid w:val="00167FDD"/>
    <w:rsid w:val="00170235"/>
    <w:rsid w:val="001703A0"/>
    <w:rsid w:val="00170967"/>
    <w:rsid w:val="00170991"/>
    <w:rsid w:val="001709E7"/>
    <w:rsid w:val="00170A4B"/>
    <w:rsid w:val="00170D6A"/>
    <w:rsid w:val="00170E15"/>
    <w:rsid w:val="00170E70"/>
    <w:rsid w:val="00170F0C"/>
    <w:rsid w:val="0017158E"/>
    <w:rsid w:val="001715CF"/>
    <w:rsid w:val="0017188E"/>
    <w:rsid w:val="00171F12"/>
    <w:rsid w:val="001720E4"/>
    <w:rsid w:val="00172E48"/>
    <w:rsid w:val="0017306D"/>
    <w:rsid w:val="00173151"/>
    <w:rsid w:val="0017316E"/>
    <w:rsid w:val="00173439"/>
    <w:rsid w:val="00173463"/>
    <w:rsid w:val="00173944"/>
    <w:rsid w:val="00173C93"/>
    <w:rsid w:val="001740D0"/>
    <w:rsid w:val="00174622"/>
    <w:rsid w:val="001747FB"/>
    <w:rsid w:val="00174879"/>
    <w:rsid w:val="0017489B"/>
    <w:rsid w:val="00174B36"/>
    <w:rsid w:val="00174D35"/>
    <w:rsid w:val="00174DDB"/>
    <w:rsid w:val="0017508C"/>
    <w:rsid w:val="00175120"/>
    <w:rsid w:val="001751D9"/>
    <w:rsid w:val="00175364"/>
    <w:rsid w:val="00175897"/>
    <w:rsid w:val="00175B59"/>
    <w:rsid w:val="00175DBA"/>
    <w:rsid w:val="00175FBA"/>
    <w:rsid w:val="0017600F"/>
    <w:rsid w:val="00176108"/>
    <w:rsid w:val="00176295"/>
    <w:rsid w:val="00176CA2"/>
    <w:rsid w:val="00176CF4"/>
    <w:rsid w:val="00176E46"/>
    <w:rsid w:val="00176F23"/>
    <w:rsid w:val="00176FA2"/>
    <w:rsid w:val="001770F1"/>
    <w:rsid w:val="001772A7"/>
    <w:rsid w:val="0017738A"/>
    <w:rsid w:val="0017799F"/>
    <w:rsid w:val="0018016F"/>
    <w:rsid w:val="001801A0"/>
    <w:rsid w:val="00180464"/>
    <w:rsid w:val="001806DF"/>
    <w:rsid w:val="00180A46"/>
    <w:rsid w:val="00180B4B"/>
    <w:rsid w:val="00180BAF"/>
    <w:rsid w:val="00180C96"/>
    <w:rsid w:val="00180E92"/>
    <w:rsid w:val="00180F58"/>
    <w:rsid w:val="00181180"/>
    <w:rsid w:val="00181281"/>
    <w:rsid w:val="00181335"/>
    <w:rsid w:val="00181340"/>
    <w:rsid w:val="00181353"/>
    <w:rsid w:val="00181555"/>
    <w:rsid w:val="001818AE"/>
    <w:rsid w:val="00181A1C"/>
    <w:rsid w:val="00181F0D"/>
    <w:rsid w:val="00182103"/>
    <w:rsid w:val="00182179"/>
    <w:rsid w:val="001822CF"/>
    <w:rsid w:val="001822EF"/>
    <w:rsid w:val="001823B9"/>
    <w:rsid w:val="001828BF"/>
    <w:rsid w:val="00182997"/>
    <w:rsid w:val="00182A18"/>
    <w:rsid w:val="00182B9D"/>
    <w:rsid w:val="00182F7C"/>
    <w:rsid w:val="00183189"/>
    <w:rsid w:val="001832AE"/>
    <w:rsid w:val="001834C2"/>
    <w:rsid w:val="0018354A"/>
    <w:rsid w:val="001836BE"/>
    <w:rsid w:val="0018384A"/>
    <w:rsid w:val="00183A63"/>
    <w:rsid w:val="00183AA5"/>
    <w:rsid w:val="00183ACA"/>
    <w:rsid w:val="00184065"/>
    <w:rsid w:val="00184632"/>
    <w:rsid w:val="00184694"/>
    <w:rsid w:val="00184805"/>
    <w:rsid w:val="00184D24"/>
    <w:rsid w:val="00185048"/>
    <w:rsid w:val="001857BC"/>
    <w:rsid w:val="00185B73"/>
    <w:rsid w:val="00185B90"/>
    <w:rsid w:val="00185DEC"/>
    <w:rsid w:val="00185DFF"/>
    <w:rsid w:val="00185E3F"/>
    <w:rsid w:val="00185F1A"/>
    <w:rsid w:val="00185FCF"/>
    <w:rsid w:val="00186029"/>
    <w:rsid w:val="001862D3"/>
    <w:rsid w:val="001868CF"/>
    <w:rsid w:val="00186A54"/>
    <w:rsid w:val="00186CB1"/>
    <w:rsid w:val="0018714C"/>
    <w:rsid w:val="001871F1"/>
    <w:rsid w:val="00187799"/>
    <w:rsid w:val="00187C8B"/>
    <w:rsid w:val="00187ED5"/>
    <w:rsid w:val="00190077"/>
    <w:rsid w:val="001900BB"/>
    <w:rsid w:val="00190333"/>
    <w:rsid w:val="00190410"/>
    <w:rsid w:val="001904EF"/>
    <w:rsid w:val="001906DB"/>
    <w:rsid w:val="0019079B"/>
    <w:rsid w:val="00190D9D"/>
    <w:rsid w:val="00190EC1"/>
    <w:rsid w:val="001910F4"/>
    <w:rsid w:val="00191237"/>
    <w:rsid w:val="001914C0"/>
    <w:rsid w:val="0019150C"/>
    <w:rsid w:val="00191515"/>
    <w:rsid w:val="0019163F"/>
    <w:rsid w:val="001919AA"/>
    <w:rsid w:val="00191B28"/>
    <w:rsid w:val="00191D63"/>
    <w:rsid w:val="00191F98"/>
    <w:rsid w:val="00192227"/>
    <w:rsid w:val="00192293"/>
    <w:rsid w:val="00192319"/>
    <w:rsid w:val="00192449"/>
    <w:rsid w:val="001927F0"/>
    <w:rsid w:val="00192880"/>
    <w:rsid w:val="001928D3"/>
    <w:rsid w:val="00192C9C"/>
    <w:rsid w:val="00192DDA"/>
    <w:rsid w:val="00192E96"/>
    <w:rsid w:val="00192F43"/>
    <w:rsid w:val="00192F98"/>
    <w:rsid w:val="00193A14"/>
    <w:rsid w:val="00193A4B"/>
    <w:rsid w:val="00193CF7"/>
    <w:rsid w:val="00193D54"/>
    <w:rsid w:val="00193F94"/>
    <w:rsid w:val="00194279"/>
    <w:rsid w:val="00194384"/>
    <w:rsid w:val="0019444F"/>
    <w:rsid w:val="00194667"/>
    <w:rsid w:val="00194DAF"/>
    <w:rsid w:val="001950A9"/>
    <w:rsid w:val="0019511A"/>
    <w:rsid w:val="0019536B"/>
    <w:rsid w:val="00195459"/>
    <w:rsid w:val="001954B1"/>
    <w:rsid w:val="00195940"/>
    <w:rsid w:val="001959E9"/>
    <w:rsid w:val="00195C16"/>
    <w:rsid w:val="00196479"/>
    <w:rsid w:val="00196515"/>
    <w:rsid w:val="001966A2"/>
    <w:rsid w:val="001967B2"/>
    <w:rsid w:val="00196C94"/>
    <w:rsid w:val="00196D70"/>
    <w:rsid w:val="00196DE0"/>
    <w:rsid w:val="0019709D"/>
    <w:rsid w:val="001971CB"/>
    <w:rsid w:val="001971DE"/>
    <w:rsid w:val="0019720C"/>
    <w:rsid w:val="0019728F"/>
    <w:rsid w:val="001972CA"/>
    <w:rsid w:val="0019772C"/>
    <w:rsid w:val="001977AD"/>
    <w:rsid w:val="00197AD3"/>
    <w:rsid w:val="00197B08"/>
    <w:rsid w:val="00197B5E"/>
    <w:rsid w:val="001A02BF"/>
    <w:rsid w:val="001A047F"/>
    <w:rsid w:val="001A0668"/>
    <w:rsid w:val="001A09CF"/>
    <w:rsid w:val="001A09E3"/>
    <w:rsid w:val="001A0BBB"/>
    <w:rsid w:val="001A0D3B"/>
    <w:rsid w:val="001A0DDA"/>
    <w:rsid w:val="001A11E5"/>
    <w:rsid w:val="001A13B6"/>
    <w:rsid w:val="001A14D5"/>
    <w:rsid w:val="001A19E6"/>
    <w:rsid w:val="001A20C6"/>
    <w:rsid w:val="001A21CD"/>
    <w:rsid w:val="001A22C1"/>
    <w:rsid w:val="001A2616"/>
    <w:rsid w:val="001A28FB"/>
    <w:rsid w:val="001A2902"/>
    <w:rsid w:val="001A291E"/>
    <w:rsid w:val="001A2ADB"/>
    <w:rsid w:val="001A2B66"/>
    <w:rsid w:val="001A2C55"/>
    <w:rsid w:val="001A30F6"/>
    <w:rsid w:val="001A34D7"/>
    <w:rsid w:val="001A3A0A"/>
    <w:rsid w:val="001A3ADB"/>
    <w:rsid w:val="001A3BCF"/>
    <w:rsid w:val="001A3D26"/>
    <w:rsid w:val="001A3E5B"/>
    <w:rsid w:val="001A3EFA"/>
    <w:rsid w:val="001A3F3F"/>
    <w:rsid w:val="001A41BF"/>
    <w:rsid w:val="001A424B"/>
    <w:rsid w:val="001A4AD3"/>
    <w:rsid w:val="001A4D76"/>
    <w:rsid w:val="001A50F8"/>
    <w:rsid w:val="001A5199"/>
    <w:rsid w:val="001A51B6"/>
    <w:rsid w:val="001A54BF"/>
    <w:rsid w:val="001A55A4"/>
    <w:rsid w:val="001A57C1"/>
    <w:rsid w:val="001A5AFA"/>
    <w:rsid w:val="001A5EEC"/>
    <w:rsid w:val="001A609A"/>
    <w:rsid w:val="001A66A2"/>
    <w:rsid w:val="001A78C8"/>
    <w:rsid w:val="001A7AAD"/>
    <w:rsid w:val="001A7D5A"/>
    <w:rsid w:val="001A7EAD"/>
    <w:rsid w:val="001B000F"/>
    <w:rsid w:val="001B01CB"/>
    <w:rsid w:val="001B01D9"/>
    <w:rsid w:val="001B03D2"/>
    <w:rsid w:val="001B0702"/>
    <w:rsid w:val="001B07B9"/>
    <w:rsid w:val="001B0ADE"/>
    <w:rsid w:val="001B0D3B"/>
    <w:rsid w:val="001B10B4"/>
    <w:rsid w:val="001B133C"/>
    <w:rsid w:val="001B1426"/>
    <w:rsid w:val="001B1437"/>
    <w:rsid w:val="001B15BA"/>
    <w:rsid w:val="001B1A43"/>
    <w:rsid w:val="001B20F5"/>
    <w:rsid w:val="001B22E2"/>
    <w:rsid w:val="001B2305"/>
    <w:rsid w:val="001B264A"/>
    <w:rsid w:val="001B28C7"/>
    <w:rsid w:val="001B2A8B"/>
    <w:rsid w:val="001B2B8F"/>
    <w:rsid w:val="001B2BF1"/>
    <w:rsid w:val="001B3221"/>
    <w:rsid w:val="001B3415"/>
    <w:rsid w:val="001B34BB"/>
    <w:rsid w:val="001B35B1"/>
    <w:rsid w:val="001B3775"/>
    <w:rsid w:val="001B38A3"/>
    <w:rsid w:val="001B397C"/>
    <w:rsid w:val="001B3AD8"/>
    <w:rsid w:val="001B4143"/>
    <w:rsid w:val="001B434B"/>
    <w:rsid w:val="001B44FB"/>
    <w:rsid w:val="001B4695"/>
    <w:rsid w:val="001B47C2"/>
    <w:rsid w:val="001B4EA0"/>
    <w:rsid w:val="001B52C9"/>
    <w:rsid w:val="001B5337"/>
    <w:rsid w:val="001B5342"/>
    <w:rsid w:val="001B53B1"/>
    <w:rsid w:val="001B53BC"/>
    <w:rsid w:val="001B57BC"/>
    <w:rsid w:val="001B599E"/>
    <w:rsid w:val="001B5A78"/>
    <w:rsid w:val="001B5C6D"/>
    <w:rsid w:val="001B5CAF"/>
    <w:rsid w:val="001B5DA8"/>
    <w:rsid w:val="001B6B0B"/>
    <w:rsid w:val="001B6C59"/>
    <w:rsid w:val="001B72FD"/>
    <w:rsid w:val="001B752E"/>
    <w:rsid w:val="001B7735"/>
    <w:rsid w:val="001B7B68"/>
    <w:rsid w:val="001C0172"/>
    <w:rsid w:val="001C061E"/>
    <w:rsid w:val="001C064D"/>
    <w:rsid w:val="001C0685"/>
    <w:rsid w:val="001C0874"/>
    <w:rsid w:val="001C0AA2"/>
    <w:rsid w:val="001C0BB3"/>
    <w:rsid w:val="001C0C12"/>
    <w:rsid w:val="001C0F2E"/>
    <w:rsid w:val="001C0F4B"/>
    <w:rsid w:val="001C0FBC"/>
    <w:rsid w:val="001C129F"/>
    <w:rsid w:val="001C13AD"/>
    <w:rsid w:val="001C190B"/>
    <w:rsid w:val="001C1BCC"/>
    <w:rsid w:val="001C1F72"/>
    <w:rsid w:val="001C218A"/>
    <w:rsid w:val="001C2195"/>
    <w:rsid w:val="001C2213"/>
    <w:rsid w:val="001C26AF"/>
    <w:rsid w:val="001C270E"/>
    <w:rsid w:val="001C29AF"/>
    <w:rsid w:val="001C2C8A"/>
    <w:rsid w:val="001C2E71"/>
    <w:rsid w:val="001C2F22"/>
    <w:rsid w:val="001C3CD9"/>
    <w:rsid w:val="001C41AB"/>
    <w:rsid w:val="001C427D"/>
    <w:rsid w:val="001C44B6"/>
    <w:rsid w:val="001C4DF7"/>
    <w:rsid w:val="001C4FFA"/>
    <w:rsid w:val="001C506B"/>
    <w:rsid w:val="001C51E1"/>
    <w:rsid w:val="001C5236"/>
    <w:rsid w:val="001C58B2"/>
    <w:rsid w:val="001C59A7"/>
    <w:rsid w:val="001C5F64"/>
    <w:rsid w:val="001C6181"/>
    <w:rsid w:val="001C6224"/>
    <w:rsid w:val="001C6347"/>
    <w:rsid w:val="001C669E"/>
    <w:rsid w:val="001C6779"/>
    <w:rsid w:val="001C6ACC"/>
    <w:rsid w:val="001C6B2C"/>
    <w:rsid w:val="001C6D8F"/>
    <w:rsid w:val="001C736C"/>
    <w:rsid w:val="001C749C"/>
    <w:rsid w:val="001C78BB"/>
    <w:rsid w:val="001D03DA"/>
    <w:rsid w:val="001D03F2"/>
    <w:rsid w:val="001D053B"/>
    <w:rsid w:val="001D05C5"/>
    <w:rsid w:val="001D07C1"/>
    <w:rsid w:val="001D09ED"/>
    <w:rsid w:val="001D0B17"/>
    <w:rsid w:val="001D0D4A"/>
    <w:rsid w:val="001D0DC3"/>
    <w:rsid w:val="001D1045"/>
    <w:rsid w:val="001D2416"/>
    <w:rsid w:val="001D2592"/>
    <w:rsid w:val="001D2606"/>
    <w:rsid w:val="001D26FF"/>
    <w:rsid w:val="001D2B1F"/>
    <w:rsid w:val="001D2C5F"/>
    <w:rsid w:val="001D2EDE"/>
    <w:rsid w:val="001D2F90"/>
    <w:rsid w:val="001D2FB6"/>
    <w:rsid w:val="001D3010"/>
    <w:rsid w:val="001D3155"/>
    <w:rsid w:val="001D3456"/>
    <w:rsid w:val="001D34EF"/>
    <w:rsid w:val="001D3505"/>
    <w:rsid w:val="001D35C0"/>
    <w:rsid w:val="001D39BA"/>
    <w:rsid w:val="001D3A08"/>
    <w:rsid w:val="001D41B2"/>
    <w:rsid w:val="001D4279"/>
    <w:rsid w:val="001D42D4"/>
    <w:rsid w:val="001D447C"/>
    <w:rsid w:val="001D44A2"/>
    <w:rsid w:val="001D4555"/>
    <w:rsid w:val="001D4709"/>
    <w:rsid w:val="001D48C0"/>
    <w:rsid w:val="001D48D8"/>
    <w:rsid w:val="001D4A08"/>
    <w:rsid w:val="001D4AD4"/>
    <w:rsid w:val="001D4BF0"/>
    <w:rsid w:val="001D4CAA"/>
    <w:rsid w:val="001D4CDE"/>
    <w:rsid w:val="001D4E3C"/>
    <w:rsid w:val="001D4FB9"/>
    <w:rsid w:val="001D5006"/>
    <w:rsid w:val="001D55C6"/>
    <w:rsid w:val="001D58AB"/>
    <w:rsid w:val="001D59A3"/>
    <w:rsid w:val="001D5E51"/>
    <w:rsid w:val="001D5F4D"/>
    <w:rsid w:val="001D6B45"/>
    <w:rsid w:val="001D72A8"/>
    <w:rsid w:val="001D744B"/>
    <w:rsid w:val="001D7569"/>
    <w:rsid w:val="001D7807"/>
    <w:rsid w:val="001D794C"/>
    <w:rsid w:val="001D7CAD"/>
    <w:rsid w:val="001D7FF2"/>
    <w:rsid w:val="001E059D"/>
    <w:rsid w:val="001E079A"/>
    <w:rsid w:val="001E081F"/>
    <w:rsid w:val="001E08DA"/>
    <w:rsid w:val="001E0CC3"/>
    <w:rsid w:val="001E0EDB"/>
    <w:rsid w:val="001E15E8"/>
    <w:rsid w:val="001E1B40"/>
    <w:rsid w:val="001E1D21"/>
    <w:rsid w:val="001E1DF0"/>
    <w:rsid w:val="001E22BC"/>
    <w:rsid w:val="001E2459"/>
    <w:rsid w:val="001E24DE"/>
    <w:rsid w:val="001E24EA"/>
    <w:rsid w:val="001E275B"/>
    <w:rsid w:val="001E2B29"/>
    <w:rsid w:val="001E2EC4"/>
    <w:rsid w:val="001E2F57"/>
    <w:rsid w:val="001E3688"/>
    <w:rsid w:val="001E3B4F"/>
    <w:rsid w:val="001E3BFC"/>
    <w:rsid w:val="001E3D9F"/>
    <w:rsid w:val="001E3FD5"/>
    <w:rsid w:val="001E42DA"/>
    <w:rsid w:val="001E46D9"/>
    <w:rsid w:val="001E4755"/>
    <w:rsid w:val="001E4769"/>
    <w:rsid w:val="001E4804"/>
    <w:rsid w:val="001E4DD5"/>
    <w:rsid w:val="001E4F00"/>
    <w:rsid w:val="001E4F73"/>
    <w:rsid w:val="001E50FE"/>
    <w:rsid w:val="001E51F7"/>
    <w:rsid w:val="001E52C1"/>
    <w:rsid w:val="001E531B"/>
    <w:rsid w:val="001E54C0"/>
    <w:rsid w:val="001E551F"/>
    <w:rsid w:val="001E5A1D"/>
    <w:rsid w:val="001E5D07"/>
    <w:rsid w:val="001E5DAC"/>
    <w:rsid w:val="001E5ECB"/>
    <w:rsid w:val="001E6089"/>
    <w:rsid w:val="001E67C4"/>
    <w:rsid w:val="001E70D2"/>
    <w:rsid w:val="001E711C"/>
    <w:rsid w:val="001E722D"/>
    <w:rsid w:val="001E7354"/>
    <w:rsid w:val="001E74DB"/>
    <w:rsid w:val="001E7779"/>
    <w:rsid w:val="001E779F"/>
    <w:rsid w:val="001E77DD"/>
    <w:rsid w:val="001E79F6"/>
    <w:rsid w:val="001E7BE6"/>
    <w:rsid w:val="001F0235"/>
    <w:rsid w:val="001F0698"/>
    <w:rsid w:val="001F0985"/>
    <w:rsid w:val="001F0A5F"/>
    <w:rsid w:val="001F0E8E"/>
    <w:rsid w:val="001F1597"/>
    <w:rsid w:val="001F1ABF"/>
    <w:rsid w:val="001F1D55"/>
    <w:rsid w:val="001F1DAA"/>
    <w:rsid w:val="001F1EA6"/>
    <w:rsid w:val="001F1F05"/>
    <w:rsid w:val="001F21DC"/>
    <w:rsid w:val="001F21EC"/>
    <w:rsid w:val="001F27B7"/>
    <w:rsid w:val="001F2819"/>
    <w:rsid w:val="001F3295"/>
    <w:rsid w:val="001F3366"/>
    <w:rsid w:val="001F352E"/>
    <w:rsid w:val="001F38BF"/>
    <w:rsid w:val="001F38D3"/>
    <w:rsid w:val="001F3938"/>
    <w:rsid w:val="001F3958"/>
    <w:rsid w:val="001F3C81"/>
    <w:rsid w:val="001F3E90"/>
    <w:rsid w:val="001F3EF9"/>
    <w:rsid w:val="001F4595"/>
    <w:rsid w:val="001F4642"/>
    <w:rsid w:val="001F4743"/>
    <w:rsid w:val="001F47E8"/>
    <w:rsid w:val="001F53EF"/>
    <w:rsid w:val="001F5726"/>
    <w:rsid w:val="001F573B"/>
    <w:rsid w:val="001F5C37"/>
    <w:rsid w:val="001F5EA0"/>
    <w:rsid w:val="001F5F9C"/>
    <w:rsid w:val="001F60A2"/>
    <w:rsid w:val="001F60F8"/>
    <w:rsid w:val="001F62CE"/>
    <w:rsid w:val="001F62FE"/>
    <w:rsid w:val="001F6302"/>
    <w:rsid w:val="001F64D7"/>
    <w:rsid w:val="001F66D3"/>
    <w:rsid w:val="001F6803"/>
    <w:rsid w:val="001F6C4F"/>
    <w:rsid w:val="001F7077"/>
    <w:rsid w:val="001F70B7"/>
    <w:rsid w:val="001F7282"/>
    <w:rsid w:val="001F76C7"/>
    <w:rsid w:val="001F780C"/>
    <w:rsid w:val="001F7892"/>
    <w:rsid w:val="001F7CF5"/>
    <w:rsid w:val="001F7D1B"/>
    <w:rsid w:val="001F7DF9"/>
    <w:rsid w:val="002000D5"/>
    <w:rsid w:val="002000EB"/>
    <w:rsid w:val="002005A8"/>
    <w:rsid w:val="002005F7"/>
    <w:rsid w:val="0020091F"/>
    <w:rsid w:val="00200A45"/>
    <w:rsid w:val="00200C03"/>
    <w:rsid w:val="00200EAC"/>
    <w:rsid w:val="0020115A"/>
    <w:rsid w:val="0020147D"/>
    <w:rsid w:val="0020169C"/>
    <w:rsid w:val="0020174D"/>
    <w:rsid w:val="00201B43"/>
    <w:rsid w:val="00201D00"/>
    <w:rsid w:val="00201D2E"/>
    <w:rsid w:val="00201ED0"/>
    <w:rsid w:val="002021CD"/>
    <w:rsid w:val="002023EE"/>
    <w:rsid w:val="002027C7"/>
    <w:rsid w:val="00202B77"/>
    <w:rsid w:val="00202FBE"/>
    <w:rsid w:val="0020342C"/>
    <w:rsid w:val="002034BA"/>
    <w:rsid w:val="0020368C"/>
    <w:rsid w:val="00203961"/>
    <w:rsid w:val="002039D7"/>
    <w:rsid w:val="00203B8B"/>
    <w:rsid w:val="00203C61"/>
    <w:rsid w:val="002044A4"/>
    <w:rsid w:val="0020473B"/>
    <w:rsid w:val="00204871"/>
    <w:rsid w:val="00204C24"/>
    <w:rsid w:val="00204C57"/>
    <w:rsid w:val="00204C6A"/>
    <w:rsid w:val="002053C2"/>
    <w:rsid w:val="002056AA"/>
    <w:rsid w:val="002057AA"/>
    <w:rsid w:val="00205C4E"/>
    <w:rsid w:val="00205C76"/>
    <w:rsid w:val="002066AC"/>
    <w:rsid w:val="002066DE"/>
    <w:rsid w:val="002068C9"/>
    <w:rsid w:val="00206A18"/>
    <w:rsid w:val="00206B94"/>
    <w:rsid w:val="00206BBF"/>
    <w:rsid w:val="00206E6F"/>
    <w:rsid w:val="00207188"/>
    <w:rsid w:val="002073C2"/>
    <w:rsid w:val="0020766F"/>
    <w:rsid w:val="00207BBC"/>
    <w:rsid w:val="00207C1A"/>
    <w:rsid w:val="00207DA8"/>
    <w:rsid w:val="00207EF4"/>
    <w:rsid w:val="00207F79"/>
    <w:rsid w:val="0021014C"/>
    <w:rsid w:val="00210301"/>
    <w:rsid w:val="00210662"/>
    <w:rsid w:val="00210DD3"/>
    <w:rsid w:val="00210F10"/>
    <w:rsid w:val="00211045"/>
    <w:rsid w:val="00211212"/>
    <w:rsid w:val="002113A9"/>
    <w:rsid w:val="00211448"/>
    <w:rsid w:val="002115AB"/>
    <w:rsid w:val="0021161A"/>
    <w:rsid w:val="00211845"/>
    <w:rsid w:val="00211886"/>
    <w:rsid w:val="00211E2E"/>
    <w:rsid w:val="00211EC0"/>
    <w:rsid w:val="00211EF1"/>
    <w:rsid w:val="00211FED"/>
    <w:rsid w:val="0021204D"/>
    <w:rsid w:val="00212443"/>
    <w:rsid w:val="00212661"/>
    <w:rsid w:val="002129AC"/>
    <w:rsid w:val="00212B68"/>
    <w:rsid w:val="00212DF9"/>
    <w:rsid w:val="00212E5D"/>
    <w:rsid w:val="0021357B"/>
    <w:rsid w:val="00213BB5"/>
    <w:rsid w:val="002142A5"/>
    <w:rsid w:val="00214332"/>
    <w:rsid w:val="0021442F"/>
    <w:rsid w:val="00214777"/>
    <w:rsid w:val="00214A66"/>
    <w:rsid w:val="00214B5D"/>
    <w:rsid w:val="00214D0C"/>
    <w:rsid w:val="00214DFD"/>
    <w:rsid w:val="0021522D"/>
    <w:rsid w:val="002152D5"/>
    <w:rsid w:val="00215554"/>
    <w:rsid w:val="0021563A"/>
    <w:rsid w:val="00215733"/>
    <w:rsid w:val="0021595C"/>
    <w:rsid w:val="00215FC4"/>
    <w:rsid w:val="002161F6"/>
    <w:rsid w:val="0021639B"/>
    <w:rsid w:val="0021649E"/>
    <w:rsid w:val="002165F4"/>
    <w:rsid w:val="00216B43"/>
    <w:rsid w:val="00217777"/>
    <w:rsid w:val="00217C10"/>
    <w:rsid w:val="00217F9A"/>
    <w:rsid w:val="002200A5"/>
    <w:rsid w:val="00220592"/>
    <w:rsid w:val="00220978"/>
    <w:rsid w:val="00220D58"/>
    <w:rsid w:val="002210D5"/>
    <w:rsid w:val="00221409"/>
    <w:rsid w:val="00221867"/>
    <w:rsid w:val="002219A0"/>
    <w:rsid w:val="00221A09"/>
    <w:rsid w:val="00221BAA"/>
    <w:rsid w:val="00221C0F"/>
    <w:rsid w:val="00221EF9"/>
    <w:rsid w:val="00222251"/>
    <w:rsid w:val="002222B9"/>
    <w:rsid w:val="0022256F"/>
    <w:rsid w:val="002226A1"/>
    <w:rsid w:val="002227FF"/>
    <w:rsid w:val="0022293C"/>
    <w:rsid w:val="00222B53"/>
    <w:rsid w:val="00222C36"/>
    <w:rsid w:val="00223166"/>
    <w:rsid w:val="00223903"/>
    <w:rsid w:val="00223A96"/>
    <w:rsid w:val="00223EEC"/>
    <w:rsid w:val="002243CC"/>
    <w:rsid w:val="002244A4"/>
    <w:rsid w:val="002244F6"/>
    <w:rsid w:val="002244FD"/>
    <w:rsid w:val="0022476B"/>
    <w:rsid w:val="002248A7"/>
    <w:rsid w:val="00224A5E"/>
    <w:rsid w:val="00224B3C"/>
    <w:rsid w:val="00224BE7"/>
    <w:rsid w:val="00224DC1"/>
    <w:rsid w:val="00224E8B"/>
    <w:rsid w:val="00225129"/>
    <w:rsid w:val="0022532F"/>
    <w:rsid w:val="0022535F"/>
    <w:rsid w:val="0022556A"/>
    <w:rsid w:val="002258B8"/>
    <w:rsid w:val="00225962"/>
    <w:rsid w:val="00225979"/>
    <w:rsid w:val="00225B5B"/>
    <w:rsid w:val="00225C8E"/>
    <w:rsid w:val="00225FF2"/>
    <w:rsid w:val="00226001"/>
    <w:rsid w:val="002262D0"/>
    <w:rsid w:val="00226403"/>
    <w:rsid w:val="00226461"/>
    <w:rsid w:val="00226679"/>
    <w:rsid w:val="00226782"/>
    <w:rsid w:val="00226932"/>
    <w:rsid w:val="00226A36"/>
    <w:rsid w:val="00226EB9"/>
    <w:rsid w:val="002272AB"/>
    <w:rsid w:val="002274CB"/>
    <w:rsid w:val="00227555"/>
    <w:rsid w:val="002277F5"/>
    <w:rsid w:val="00227B3D"/>
    <w:rsid w:val="002300AE"/>
    <w:rsid w:val="00230515"/>
    <w:rsid w:val="0023087D"/>
    <w:rsid w:val="00230ABF"/>
    <w:rsid w:val="00230B28"/>
    <w:rsid w:val="00230E55"/>
    <w:rsid w:val="00230ED0"/>
    <w:rsid w:val="00230F62"/>
    <w:rsid w:val="002311C5"/>
    <w:rsid w:val="002311F1"/>
    <w:rsid w:val="002312ED"/>
    <w:rsid w:val="002317F6"/>
    <w:rsid w:val="0023184A"/>
    <w:rsid w:val="00231891"/>
    <w:rsid w:val="00231899"/>
    <w:rsid w:val="00232082"/>
    <w:rsid w:val="002320ED"/>
    <w:rsid w:val="00232443"/>
    <w:rsid w:val="00232684"/>
    <w:rsid w:val="002328F7"/>
    <w:rsid w:val="00232AB9"/>
    <w:rsid w:val="00232CBC"/>
    <w:rsid w:val="00232E78"/>
    <w:rsid w:val="00233142"/>
    <w:rsid w:val="00233167"/>
    <w:rsid w:val="0023361F"/>
    <w:rsid w:val="002336B8"/>
    <w:rsid w:val="002338C4"/>
    <w:rsid w:val="00233B11"/>
    <w:rsid w:val="00233B58"/>
    <w:rsid w:val="00233C5C"/>
    <w:rsid w:val="002344A7"/>
    <w:rsid w:val="002346FD"/>
    <w:rsid w:val="00234B37"/>
    <w:rsid w:val="00234D9F"/>
    <w:rsid w:val="00234F0F"/>
    <w:rsid w:val="00235417"/>
    <w:rsid w:val="00235428"/>
    <w:rsid w:val="00235535"/>
    <w:rsid w:val="0023575A"/>
    <w:rsid w:val="00235A66"/>
    <w:rsid w:val="00235AA6"/>
    <w:rsid w:val="00235D91"/>
    <w:rsid w:val="00235EFE"/>
    <w:rsid w:val="0023612D"/>
    <w:rsid w:val="0023620A"/>
    <w:rsid w:val="0023622A"/>
    <w:rsid w:val="002363B1"/>
    <w:rsid w:val="002366EE"/>
    <w:rsid w:val="00236734"/>
    <w:rsid w:val="002367E7"/>
    <w:rsid w:val="0023687E"/>
    <w:rsid w:val="0023707F"/>
    <w:rsid w:val="00237263"/>
    <w:rsid w:val="00237837"/>
    <w:rsid w:val="00237909"/>
    <w:rsid w:val="00237C65"/>
    <w:rsid w:val="00240008"/>
    <w:rsid w:val="00240394"/>
    <w:rsid w:val="00240C21"/>
    <w:rsid w:val="002410A5"/>
    <w:rsid w:val="00241295"/>
    <w:rsid w:val="00241566"/>
    <w:rsid w:val="002417BB"/>
    <w:rsid w:val="002417D6"/>
    <w:rsid w:val="002417F9"/>
    <w:rsid w:val="00241BE0"/>
    <w:rsid w:val="0024212F"/>
    <w:rsid w:val="00242210"/>
    <w:rsid w:val="00242456"/>
    <w:rsid w:val="002429F4"/>
    <w:rsid w:val="00242CF9"/>
    <w:rsid w:val="00242E35"/>
    <w:rsid w:val="00243133"/>
    <w:rsid w:val="0024336A"/>
    <w:rsid w:val="002435DB"/>
    <w:rsid w:val="00243604"/>
    <w:rsid w:val="00243660"/>
    <w:rsid w:val="00243992"/>
    <w:rsid w:val="00243A79"/>
    <w:rsid w:val="00243B1E"/>
    <w:rsid w:val="00243B6A"/>
    <w:rsid w:val="00243CF9"/>
    <w:rsid w:val="00243D71"/>
    <w:rsid w:val="00243EB0"/>
    <w:rsid w:val="00244133"/>
    <w:rsid w:val="00244169"/>
    <w:rsid w:val="00244198"/>
    <w:rsid w:val="002443A9"/>
    <w:rsid w:val="00244441"/>
    <w:rsid w:val="002447BE"/>
    <w:rsid w:val="0024489D"/>
    <w:rsid w:val="00244C69"/>
    <w:rsid w:val="002450DB"/>
    <w:rsid w:val="0024513A"/>
    <w:rsid w:val="0024526D"/>
    <w:rsid w:val="002452F4"/>
    <w:rsid w:val="002455DB"/>
    <w:rsid w:val="00245D91"/>
    <w:rsid w:val="00245E94"/>
    <w:rsid w:val="00245ECC"/>
    <w:rsid w:val="002462CD"/>
    <w:rsid w:val="00246367"/>
    <w:rsid w:val="0024683F"/>
    <w:rsid w:val="002469A9"/>
    <w:rsid w:val="00246CF4"/>
    <w:rsid w:val="002471C5"/>
    <w:rsid w:val="002473BB"/>
    <w:rsid w:val="0024768D"/>
    <w:rsid w:val="00247B54"/>
    <w:rsid w:val="00247D0F"/>
    <w:rsid w:val="00250052"/>
    <w:rsid w:val="002500FB"/>
    <w:rsid w:val="0025034A"/>
    <w:rsid w:val="00250697"/>
    <w:rsid w:val="00250829"/>
    <w:rsid w:val="00250BDF"/>
    <w:rsid w:val="0025136E"/>
    <w:rsid w:val="002513EA"/>
    <w:rsid w:val="00251428"/>
    <w:rsid w:val="0025163C"/>
    <w:rsid w:val="002516EC"/>
    <w:rsid w:val="00251722"/>
    <w:rsid w:val="00251B16"/>
    <w:rsid w:val="00251D0B"/>
    <w:rsid w:val="002523C9"/>
    <w:rsid w:val="0025254B"/>
    <w:rsid w:val="00252584"/>
    <w:rsid w:val="00252594"/>
    <w:rsid w:val="002526D8"/>
    <w:rsid w:val="00252BBA"/>
    <w:rsid w:val="00252E99"/>
    <w:rsid w:val="00252F1D"/>
    <w:rsid w:val="002532EB"/>
    <w:rsid w:val="002534CD"/>
    <w:rsid w:val="002534FD"/>
    <w:rsid w:val="002538A9"/>
    <w:rsid w:val="002538CC"/>
    <w:rsid w:val="0025392A"/>
    <w:rsid w:val="00253BC4"/>
    <w:rsid w:val="00253E7F"/>
    <w:rsid w:val="002546FF"/>
    <w:rsid w:val="00254781"/>
    <w:rsid w:val="002548A2"/>
    <w:rsid w:val="002548DD"/>
    <w:rsid w:val="00254C07"/>
    <w:rsid w:val="002550C2"/>
    <w:rsid w:val="00255B18"/>
    <w:rsid w:val="00255B2E"/>
    <w:rsid w:val="00255D35"/>
    <w:rsid w:val="0025622B"/>
    <w:rsid w:val="0025636A"/>
    <w:rsid w:val="00256443"/>
    <w:rsid w:val="002564F9"/>
    <w:rsid w:val="00256A69"/>
    <w:rsid w:val="00256AA0"/>
    <w:rsid w:val="00256C8A"/>
    <w:rsid w:val="00256E1E"/>
    <w:rsid w:val="002570B1"/>
    <w:rsid w:val="00257380"/>
    <w:rsid w:val="0025771E"/>
    <w:rsid w:val="00257DC4"/>
    <w:rsid w:val="00257EA6"/>
    <w:rsid w:val="00257F9D"/>
    <w:rsid w:val="0026018C"/>
    <w:rsid w:val="00260508"/>
    <w:rsid w:val="00260582"/>
    <w:rsid w:val="00260841"/>
    <w:rsid w:val="00260A10"/>
    <w:rsid w:val="00260A19"/>
    <w:rsid w:val="00260B0F"/>
    <w:rsid w:val="00260C44"/>
    <w:rsid w:val="00260CD6"/>
    <w:rsid w:val="00261067"/>
    <w:rsid w:val="002610AB"/>
    <w:rsid w:val="002612CB"/>
    <w:rsid w:val="0026158D"/>
    <w:rsid w:val="00261836"/>
    <w:rsid w:val="00261967"/>
    <w:rsid w:val="0026196A"/>
    <w:rsid w:val="002619F6"/>
    <w:rsid w:val="00261DB4"/>
    <w:rsid w:val="00262092"/>
    <w:rsid w:val="002620CD"/>
    <w:rsid w:val="002621B0"/>
    <w:rsid w:val="0026234A"/>
    <w:rsid w:val="0026239E"/>
    <w:rsid w:val="0026240F"/>
    <w:rsid w:val="002625ED"/>
    <w:rsid w:val="00262636"/>
    <w:rsid w:val="00262690"/>
    <w:rsid w:val="00262C3B"/>
    <w:rsid w:val="00263374"/>
    <w:rsid w:val="002639B6"/>
    <w:rsid w:val="00263B8F"/>
    <w:rsid w:val="00263B9E"/>
    <w:rsid w:val="0026417C"/>
    <w:rsid w:val="002641E5"/>
    <w:rsid w:val="00264262"/>
    <w:rsid w:val="002643AD"/>
    <w:rsid w:val="002645E0"/>
    <w:rsid w:val="002646BC"/>
    <w:rsid w:val="002646D6"/>
    <w:rsid w:val="00264C3C"/>
    <w:rsid w:val="00264D04"/>
    <w:rsid w:val="00264D1C"/>
    <w:rsid w:val="00264EF6"/>
    <w:rsid w:val="00264FD3"/>
    <w:rsid w:val="002651C4"/>
    <w:rsid w:val="002652E2"/>
    <w:rsid w:val="0026533A"/>
    <w:rsid w:val="00265594"/>
    <w:rsid w:val="002655A1"/>
    <w:rsid w:val="002656E7"/>
    <w:rsid w:val="00265A7D"/>
    <w:rsid w:val="00265A7E"/>
    <w:rsid w:val="00265C30"/>
    <w:rsid w:val="00265D49"/>
    <w:rsid w:val="00265E8B"/>
    <w:rsid w:val="0026602E"/>
    <w:rsid w:val="002660E7"/>
    <w:rsid w:val="002662C0"/>
    <w:rsid w:val="00266427"/>
    <w:rsid w:val="002668FD"/>
    <w:rsid w:val="0026698A"/>
    <w:rsid w:val="00266999"/>
    <w:rsid w:val="002669DF"/>
    <w:rsid w:val="00266A37"/>
    <w:rsid w:val="00266A4E"/>
    <w:rsid w:val="00266C19"/>
    <w:rsid w:val="00266C25"/>
    <w:rsid w:val="00266C71"/>
    <w:rsid w:val="0026788C"/>
    <w:rsid w:val="002703EE"/>
    <w:rsid w:val="00270486"/>
    <w:rsid w:val="00270535"/>
    <w:rsid w:val="00270922"/>
    <w:rsid w:val="00270AB8"/>
    <w:rsid w:val="00270B75"/>
    <w:rsid w:val="00270BA6"/>
    <w:rsid w:val="00270E82"/>
    <w:rsid w:val="00271495"/>
    <w:rsid w:val="002719F7"/>
    <w:rsid w:val="00271BB0"/>
    <w:rsid w:val="00271F9E"/>
    <w:rsid w:val="00272239"/>
    <w:rsid w:val="0027241B"/>
    <w:rsid w:val="002724D9"/>
    <w:rsid w:val="0027254B"/>
    <w:rsid w:val="0027257D"/>
    <w:rsid w:val="0027278D"/>
    <w:rsid w:val="002727F1"/>
    <w:rsid w:val="00272827"/>
    <w:rsid w:val="0027284A"/>
    <w:rsid w:val="0027289D"/>
    <w:rsid w:val="00272CB5"/>
    <w:rsid w:val="002733D4"/>
    <w:rsid w:val="0027349E"/>
    <w:rsid w:val="00273798"/>
    <w:rsid w:val="0027381D"/>
    <w:rsid w:val="0027386A"/>
    <w:rsid w:val="00273960"/>
    <w:rsid w:val="00273D39"/>
    <w:rsid w:val="002743FA"/>
    <w:rsid w:val="00274620"/>
    <w:rsid w:val="00274738"/>
    <w:rsid w:val="0027489C"/>
    <w:rsid w:val="00274A6B"/>
    <w:rsid w:val="00274BBB"/>
    <w:rsid w:val="00274CF9"/>
    <w:rsid w:val="0027547F"/>
    <w:rsid w:val="00275637"/>
    <w:rsid w:val="0027566E"/>
    <w:rsid w:val="002756DD"/>
    <w:rsid w:val="00275729"/>
    <w:rsid w:val="00275A35"/>
    <w:rsid w:val="00275D3C"/>
    <w:rsid w:val="00275D68"/>
    <w:rsid w:val="00275E79"/>
    <w:rsid w:val="00276171"/>
    <w:rsid w:val="00276690"/>
    <w:rsid w:val="00276900"/>
    <w:rsid w:val="00276C62"/>
    <w:rsid w:val="00276DA5"/>
    <w:rsid w:val="00276F21"/>
    <w:rsid w:val="002770A5"/>
    <w:rsid w:val="0027710B"/>
    <w:rsid w:val="0027752A"/>
    <w:rsid w:val="002775B4"/>
    <w:rsid w:val="002779FC"/>
    <w:rsid w:val="00277A13"/>
    <w:rsid w:val="00277C1C"/>
    <w:rsid w:val="00277CCE"/>
    <w:rsid w:val="00277D4A"/>
    <w:rsid w:val="00277E37"/>
    <w:rsid w:val="00277E82"/>
    <w:rsid w:val="00280061"/>
    <w:rsid w:val="0028035C"/>
    <w:rsid w:val="00280377"/>
    <w:rsid w:val="0028039B"/>
    <w:rsid w:val="002804AC"/>
    <w:rsid w:val="002804EB"/>
    <w:rsid w:val="00280DF7"/>
    <w:rsid w:val="00280DFA"/>
    <w:rsid w:val="00281059"/>
    <w:rsid w:val="002812BC"/>
    <w:rsid w:val="00281554"/>
    <w:rsid w:val="00281A05"/>
    <w:rsid w:val="00281C4A"/>
    <w:rsid w:val="00281F9D"/>
    <w:rsid w:val="00282236"/>
    <w:rsid w:val="0028242F"/>
    <w:rsid w:val="002828FD"/>
    <w:rsid w:val="00282B90"/>
    <w:rsid w:val="00282F5A"/>
    <w:rsid w:val="002830A5"/>
    <w:rsid w:val="00283108"/>
    <w:rsid w:val="002838BF"/>
    <w:rsid w:val="00283A8A"/>
    <w:rsid w:val="00283AE9"/>
    <w:rsid w:val="00283CFC"/>
    <w:rsid w:val="00283E15"/>
    <w:rsid w:val="00283F8C"/>
    <w:rsid w:val="002840A3"/>
    <w:rsid w:val="002843F0"/>
    <w:rsid w:val="002844BC"/>
    <w:rsid w:val="00284988"/>
    <w:rsid w:val="00284AB7"/>
    <w:rsid w:val="00284D53"/>
    <w:rsid w:val="00284F38"/>
    <w:rsid w:val="002850B0"/>
    <w:rsid w:val="002850DB"/>
    <w:rsid w:val="002859B9"/>
    <w:rsid w:val="00285BFF"/>
    <w:rsid w:val="00285C5D"/>
    <w:rsid w:val="00285D73"/>
    <w:rsid w:val="00285F5C"/>
    <w:rsid w:val="002860F6"/>
    <w:rsid w:val="002862AB"/>
    <w:rsid w:val="002862DE"/>
    <w:rsid w:val="002863A8"/>
    <w:rsid w:val="002865B7"/>
    <w:rsid w:val="002865EA"/>
    <w:rsid w:val="002868AA"/>
    <w:rsid w:val="00286B7C"/>
    <w:rsid w:val="00286C49"/>
    <w:rsid w:val="00286CE5"/>
    <w:rsid w:val="00286CFA"/>
    <w:rsid w:val="00286D69"/>
    <w:rsid w:val="00286F5A"/>
    <w:rsid w:val="002871C8"/>
    <w:rsid w:val="00287290"/>
    <w:rsid w:val="00287543"/>
    <w:rsid w:val="002875CB"/>
    <w:rsid w:val="0028777D"/>
    <w:rsid w:val="00287B33"/>
    <w:rsid w:val="002900F6"/>
    <w:rsid w:val="0029019A"/>
    <w:rsid w:val="00290211"/>
    <w:rsid w:val="00290CF7"/>
    <w:rsid w:val="00290DD8"/>
    <w:rsid w:val="002910C5"/>
    <w:rsid w:val="0029132D"/>
    <w:rsid w:val="002915CF"/>
    <w:rsid w:val="002915D7"/>
    <w:rsid w:val="002915EA"/>
    <w:rsid w:val="0029194F"/>
    <w:rsid w:val="00291D10"/>
    <w:rsid w:val="00291E21"/>
    <w:rsid w:val="00291E77"/>
    <w:rsid w:val="0029200F"/>
    <w:rsid w:val="002920FE"/>
    <w:rsid w:val="00292543"/>
    <w:rsid w:val="00292686"/>
    <w:rsid w:val="00292729"/>
    <w:rsid w:val="00292947"/>
    <w:rsid w:val="00292B90"/>
    <w:rsid w:val="00292C6D"/>
    <w:rsid w:val="00292E42"/>
    <w:rsid w:val="00292EB6"/>
    <w:rsid w:val="00292EFC"/>
    <w:rsid w:val="002930F0"/>
    <w:rsid w:val="0029317C"/>
    <w:rsid w:val="00293461"/>
    <w:rsid w:val="00293972"/>
    <w:rsid w:val="002939A1"/>
    <w:rsid w:val="00293E11"/>
    <w:rsid w:val="00294271"/>
    <w:rsid w:val="0029428F"/>
    <w:rsid w:val="002943BA"/>
    <w:rsid w:val="002943C8"/>
    <w:rsid w:val="002943D6"/>
    <w:rsid w:val="002946D7"/>
    <w:rsid w:val="00294A3D"/>
    <w:rsid w:val="00294B12"/>
    <w:rsid w:val="00294CC4"/>
    <w:rsid w:val="00294DB4"/>
    <w:rsid w:val="00294E55"/>
    <w:rsid w:val="00294E58"/>
    <w:rsid w:val="002950D8"/>
    <w:rsid w:val="00295425"/>
    <w:rsid w:val="002957D8"/>
    <w:rsid w:val="00295FAD"/>
    <w:rsid w:val="002965FA"/>
    <w:rsid w:val="0029661E"/>
    <w:rsid w:val="00296AA9"/>
    <w:rsid w:val="00296BFD"/>
    <w:rsid w:val="00296C8E"/>
    <w:rsid w:val="00296CA0"/>
    <w:rsid w:val="00296E94"/>
    <w:rsid w:val="0029700A"/>
    <w:rsid w:val="00297049"/>
    <w:rsid w:val="00297394"/>
    <w:rsid w:val="00297619"/>
    <w:rsid w:val="00297699"/>
    <w:rsid w:val="00297761"/>
    <w:rsid w:val="002978BE"/>
    <w:rsid w:val="00297947"/>
    <w:rsid w:val="00297C04"/>
    <w:rsid w:val="00297E84"/>
    <w:rsid w:val="00297F92"/>
    <w:rsid w:val="002A0347"/>
    <w:rsid w:val="002A03DC"/>
    <w:rsid w:val="002A0566"/>
    <w:rsid w:val="002A0843"/>
    <w:rsid w:val="002A0930"/>
    <w:rsid w:val="002A0A1D"/>
    <w:rsid w:val="002A0B81"/>
    <w:rsid w:val="002A10BF"/>
    <w:rsid w:val="002A1275"/>
    <w:rsid w:val="002A12C9"/>
    <w:rsid w:val="002A142E"/>
    <w:rsid w:val="002A153A"/>
    <w:rsid w:val="002A1652"/>
    <w:rsid w:val="002A185F"/>
    <w:rsid w:val="002A22B8"/>
    <w:rsid w:val="002A2528"/>
    <w:rsid w:val="002A2A2D"/>
    <w:rsid w:val="002A34BD"/>
    <w:rsid w:val="002A373D"/>
    <w:rsid w:val="002A3A3A"/>
    <w:rsid w:val="002A3DE5"/>
    <w:rsid w:val="002A3E42"/>
    <w:rsid w:val="002A3E83"/>
    <w:rsid w:val="002A3ED7"/>
    <w:rsid w:val="002A3EE0"/>
    <w:rsid w:val="002A3FE5"/>
    <w:rsid w:val="002A44A4"/>
    <w:rsid w:val="002A4657"/>
    <w:rsid w:val="002A4670"/>
    <w:rsid w:val="002A470C"/>
    <w:rsid w:val="002A47AF"/>
    <w:rsid w:val="002A484E"/>
    <w:rsid w:val="002A48FF"/>
    <w:rsid w:val="002A49A1"/>
    <w:rsid w:val="002A4BAE"/>
    <w:rsid w:val="002A50F1"/>
    <w:rsid w:val="002A5196"/>
    <w:rsid w:val="002A5DF7"/>
    <w:rsid w:val="002A61A8"/>
    <w:rsid w:val="002A629A"/>
    <w:rsid w:val="002A636F"/>
    <w:rsid w:val="002A670F"/>
    <w:rsid w:val="002A6EF8"/>
    <w:rsid w:val="002A708C"/>
    <w:rsid w:val="002A7523"/>
    <w:rsid w:val="002A76E0"/>
    <w:rsid w:val="002A78AC"/>
    <w:rsid w:val="002A7B14"/>
    <w:rsid w:val="002A7D91"/>
    <w:rsid w:val="002A7EC9"/>
    <w:rsid w:val="002B0249"/>
    <w:rsid w:val="002B0305"/>
    <w:rsid w:val="002B03F7"/>
    <w:rsid w:val="002B046C"/>
    <w:rsid w:val="002B0481"/>
    <w:rsid w:val="002B089E"/>
    <w:rsid w:val="002B0CB4"/>
    <w:rsid w:val="002B0E38"/>
    <w:rsid w:val="002B0FC9"/>
    <w:rsid w:val="002B113A"/>
    <w:rsid w:val="002B1173"/>
    <w:rsid w:val="002B130B"/>
    <w:rsid w:val="002B13A6"/>
    <w:rsid w:val="002B141C"/>
    <w:rsid w:val="002B1735"/>
    <w:rsid w:val="002B1812"/>
    <w:rsid w:val="002B1A8C"/>
    <w:rsid w:val="002B1B4B"/>
    <w:rsid w:val="002B1B53"/>
    <w:rsid w:val="002B1B82"/>
    <w:rsid w:val="002B1F2C"/>
    <w:rsid w:val="002B1FD9"/>
    <w:rsid w:val="002B2128"/>
    <w:rsid w:val="002B24A5"/>
    <w:rsid w:val="002B25FB"/>
    <w:rsid w:val="002B2A7B"/>
    <w:rsid w:val="002B3064"/>
    <w:rsid w:val="002B323E"/>
    <w:rsid w:val="002B3294"/>
    <w:rsid w:val="002B3352"/>
    <w:rsid w:val="002B3371"/>
    <w:rsid w:val="002B34FF"/>
    <w:rsid w:val="002B36B0"/>
    <w:rsid w:val="002B3890"/>
    <w:rsid w:val="002B39AB"/>
    <w:rsid w:val="002B3A6B"/>
    <w:rsid w:val="002B3B63"/>
    <w:rsid w:val="002B3BA3"/>
    <w:rsid w:val="002B3C30"/>
    <w:rsid w:val="002B3D63"/>
    <w:rsid w:val="002B3D71"/>
    <w:rsid w:val="002B3DDF"/>
    <w:rsid w:val="002B3EB9"/>
    <w:rsid w:val="002B42A0"/>
    <w:rsid w:val="002B42C8"/>
    <w:rsid w:val="002B487A"/>
    <w:rsid w:val="002B4B86"/>
    <w:rsid w:val="002B4EA8"/>
    <w:rsid w:val="002B575D"/>
    <w:rsid w:val="002B596F"/>
    <w:rsid w:val="002B5A11"/>
    <w:rsid w:val="002B5B1A"/>
    <w:rsid w:val="002B5BCB"/>
    <w:rsid w:val="002B5D15"/>
    <w:rsid w:val="002B5D56"/>
    <w:rsid w:val="002B5EAA"/>
    <w:rsid w:val="002B633E"/>
    <w:rsid w:val="002B63AC"/>
    <w:rsid w:val="002B6417"/>
    <w:rsid w:val="002B645E"/>
    <w:rsid w:val="002B6831"/>
    <w:rsid w:val="002B692F"/>
    <w:rsid w:val="002B693F"/>
    <w:rsid w:val="002B6F8C"/>
    <w:rsid w:val="002B706E"/>
    <w:rsid w:val="002B73B6"/>
    <w:rsid w:val="002B745C"/>
    <w:rsid w:val="002B7529"/>
    <w:rsid w:val="002B75CB"/>
    <w:rsid w:val="002B76A5"/>
    <w:rsid w:val="002B7983"/>
    <w:rsid w:val="002C0080"/>
    <w:rsid w:val="002C0147"/>
    <w:rsid w:val="002C032B"/>
    <w:rsid w:val="002C03CE"/>
    <w:rsid w:val="002C04B2"/>
    <w:rsid w:val="002C06F8"/>
    <w:rsid w:val="002C0B20"/>
    <w:rsid w:val="002C0E2C"/>
    <w:rsid w:val="002C0ECE"/>
    <w:rsid w:val="002C112A"/>
    <w:rsid w:val="002C13AE"/>
    <w:rsid w:val="002C1564"/>
    <w:rsid w:val="002C17A3"/>
    <w:rsid w:val="002C1BD4"/>
    <w:rsid w:val="002C1C92"/>
    <w:rsid w:val="002C1FF9"/>
    <w:rsid w:val="002C2097"/>
    <w:rsid w:val="002C2539"/>
    <w:rsid w:val="002C269B"/>
    <w:rsid w:val="002C2756"/>
    <w:rsid w:val="002C28FB"/>
    <w:rsid w:val="002C29DD"/>
    <w:rsid w:val="002C2BAC"/>
    <w:rsid w:val="002C2EEC"/>
    <w:rsid w:val="002C2FD9"/>
    <w:rsid w:val="002C3122"/>
    <w:rsid w:val="002C362C"/>
    <w:rsid w:val="002C3714"/>
    <w:rsid w:val="002C3A95"/>
    <w:rsid w:val="002C3E89"/>
    <w:rsid w:val="002C421F"/>
    <w:rsid w:val="002C44A8"/>
    <w:rsid w:val="002C4593"/>
    <w:rsid w:val="002C489F"/>
    <w:rsid w:val="002C4982"/>
    <w:rsid w:val="002C4BCB"/>
    <w:rsid w:val="002C4EEE"/>
    <w:rsid w:val="002C4F15"/>
    <w:rsid w:val="002C4F8C"/>
    <w:rsid w:val="002C500F"/>
    <w:rsid w:val="002C61A6"/>
    <w:rsid w:val="002C63C4"/>
    <w:rsid w:val="002C64C2"/>
    <w:rsid w:val="002C667B"/>
    <w:rsid w:val="002C6AB6"/>
    <w:rsid w:val="002C6C39"/>
    <w:rsid w:val="002C6CBA"/>
    <w:rsid w:val="002C6EA2"/>
    <w:rsid w:val="002C702C"/>
    <w:rsid w:val="002C7074"/>
    <w:rsid w:val="002C7275"/>
    <w:rsid w:val="002C7672"/>
    <w:rsid w:val="002C77D8"/>
    <w:rsid w:val="002C7905"/>
    <w:rsid w:val="002C7A4F"/>
    <w:rsid w:val="002C7D73"/>
    <w:rsid w:val="002C7E45"/>
    <w:rsid w:val="002D0179"/>
    <w:rsid w:val="002D0197"/>
    <w:rsid w:val="002D0339"/>
    <w:rsid w:val="002D07EA"/>
    <w:rsid w:val="002D08F7"/>
    <w:rsid w:val="002D0DC9"/>
    <w:rsid w:val="002D14C1"/>
    <w:rsid w:val="002D19C2"/>
    <w:rsid w:val="002D1C37"/>
    <w:rsid w:val="002D1D28"/>
    <w:rsid w:val="002D1E8F"/>
    <w:rsid w:val="002D206A"/>
    <w:rsid w:val="002D209B"/>
    <w:rsid w:val="002D24AF"/>
    <w:rsid w:val="002D2D74"/>
    <w:rsid w:val="002D2FA6"/>
    <w:rsid w:val="002D30B3"/>
    <w:rsid w:val="002D3487"/>
    <w:rsid w:val="002D3666"/>
    <w:rsid w:val="002D377F"/>
    <w:rsid w:val="002D37B7"/>
    <w:rsid w:val="002D3AE9"/>
    <w:rsid w:val="002D3D34"/>
    <w:rsid w:val="002D40B9"/>
    <w:rsid w:val="002D40D7"/>
    <w:rsid w:val="002D44D5"/>
    <w:rsid w:val="002D45C1"/>
    <w:rsid w:val="002D45DD"/>
    <w:rsid w:val="002D465E"/>
    <w:rsid w:val="002D56AD"/>
    <w:rsid w:val="002D583E"/>
    <w:rsid w:val="002D60F0"/>
    <w:rsid w:val="002D6341"/>
    <w:rsid w:val="002D6530"/>
    <w:rsid w:val="002D665D"/>
    <w:rsid w:val="002D66F4"/>
    <w:rsid w:val="002D6804"/>
    <w:rsid w:val="002D6B88"/>
    <w:rsid w:val="002D6E9D"/>
    <w:rsid w:val="002D719A"/>
    <w:rsid w:val="002D72B4"/>
    <w:rsid w:val="002D7C26"/>
    <w:rsid w:val="002E039D"/>
    <w:rsid w:val="002E0647"/>
    <w:rsid w:val="002E071A"/>
    <w:rsid w:val="002E09D6"/>
    <w:rsid w:val="002E0A17"/>
    <w:rsid w:val="002E0BFA"/>
    <w:rsid w:val="002E0E0F"/>
    <w:rsid w:val="002E1638"/>
    <w:rsid w:val="002E167C"/>
    <w:rsid w:val="002E1842"/>
    <w:rsid w:val="002E18AC"/>
    <w:rsid w:val="002E19A9"/>
    <w:rsid w:val="002E1E79"/>
    <w:rsid w:val="002E223A"/>
    <w:rsid w:val="002E22F3"/>
    <w:rsid w:val="002E23FF"/>
    <w:rsid w:val="002E27E0"/>
    <w:rsid w:val="002E2D2B"/>
    <w:rsid w:val="002E3189"/>
    <w:rsid w:val="002E3555"/>
    <w:rsid w:val="002E35E0"/>
    <w:rsid w:val="002E35E8"/>
    <w:rsid w:val="002E3DCA"/>
    <w:rsid w:val="002E3EE8"/>
    <w:rsid w:val="002E4095"/>
    <w:rsid w:val="002E4450"/>
    <w:rsid w:val="002E448D"/>
    <w:rsid w:val="002E4516"/>
    <w:rsid w:val="002E4604"/>
    <w:rsid w:val="002E478E"/>
    <w:rsid w:val="002E4DA4"/>
    <w:rsid w:val="002E4EF4"/>
    <w:rsid w:val="002E525F"/>
    <w:rsid w:val="002E52A5"/>
    <w:rsid w:val="002E54A7"/>
    <w:rsid w:val="002E58CB"/>
    <w:rsid w:val="002E5B5E"/>
    <w:rsid w:val="002E5E0C"/>
    <w:rsid w:val="002E60B7"/>
    <w:rsid w:val="002E62E9"/>
    <w:rsid w:val="002E6345"/>
    <w:rsid w:val="002E6375"/>
    <w:rsid w:val="002E6590"/>
    <w:rsid w:val="002E663C"/>
    <w:rsid w:val="002E6B6F"/>
    <w:rsid w:val="002E6C71"/>
    <w:rsid w:val="002E6D9D"/>
    <w:rsid w:val="002E6F10"/>
    <w:rsid w:val="002E70D8"/>
    <w:rsid w:val="002E71EE"/>
    <w:rsid w:val="002E72A9"/>
    <w:rsid w:val="002E7D00"/>
    <w:rsid w:val="002E7D66"/>
    <w:rsid w:val="002E7FE9"/>
    <w:rsid w:val="002F0225"/>
    <w:rsid w:val="002F03F0"/>
    <w:rsid w:val="002F0E56"/>
    <w:rsid w:val="002F0EBD"/>
    <w:rsid w:val="002F0F72"/>
    <w:rsid w:val="002F119D"/>
    <w:rsid w:val="002F1260"/>
    <w:rsid w:val="002F12FC"/>
    <w:rsid w:val="002F14CD"/>
    <w:rsid w:val="002F15AD"/>
    <w:rsid w:val="002F1774"/>
    <w:rsid w:val="002F17CD"/>
    <w:rsid w:val="002F1834"/>
    <w:rsid w:val="002F19C1"/>
    <w:rsid w:val="002F1EC3"/>
    <w:rsid w:val="002F1F01"/>
    <w:rsid w:val="002F204E"/>
    <w:rsid w:val="002F20D7"/>
    <w:rsid w:val="002F2129"/>
    <w:rsid w:val="002F2215"/>
    <w:rsid w:val="002F245A"/>
    <w:rsid w:val="002F2678"/>
    <w:rsid w:val="002F27B8"/>
    <w:rsid w:val="002F2916"/>
    <w:rsid w:val="002F2CD0"/>
    <w:rsid w:val="002F2D41"/>
    <w:rsid w:val="002F2DB7"/>
    <w:rsid w:val="002F2EFF"/>
    <w:rsid w:val="002F3222"/>
    <w:rsid w:val="002F34EB"/>
    <w:rsid w:val="002F37DE"/>
    <w:rsid w:val="002F3B21"/>
    <w:rsid w:val="002F3B64"/>
    <w:rsid w:val="002F3DA7"/>
    <w:rsid w:val="002F4141"/>
    <w:rsid w:val="002F4710"/>
    <w:rsid w:val="002F48E0"/>
    <w:rsid w:val="002F498C"/>
    <w:rsid w:val="002F50BF"/>
    <w:rsid w:val="002F50CD"/>
    <w:rsid w:val="002F51B1"/>
    <w:rsid w:val="002F53DF"/>
    <w:rsid w:val="002F576D"/>
    <w:rsid w:val="002F57F2"/>
    <w:rsid w:val="002F59D5"/>
    <w:rsid w:val="002F5CD6"/>
    <w:rsid w:val="002F5D43"/>
    <w:rsid w:val="002F5DE5"/>
    <w:rsid w:val="002F5E1F"/>
    <w:rsid w:val="002F62AC"/>
    <w:rsid w:val="002F6355"/>
    <w:rsid w:val="002F6395"/>
    <w:rsid w:val="002F67F1"/>
    <w:rsid w:val="002F68A4"/>
    <w:rsid w:val="002F7122"/>
    <w:rsid w:val="002F72FC"/>
    <w:rsid w:val="002F73BA"/>
    <w:rsid w:val="002F7538"/>
    <w:rsid w:val="002F75C8"/>
    <w:rsid w:val="002F7D08"/>
    <w:rsid w:val="002F7D8B"/>
    <w:rsid w:val="002F7ED7"/>
    <w:rsid w:val="0030020B"/>
    <w:rsid w:val="0030043E"/>
    <w:rsid w:val="00300706"/>
    <w:rsid w:val="0030088A"/>
    <w:rsid w:val="0030190B"/>
    <w:rsid w:val="00301A87"/>
    <w:rsid w:val="00301DD8"/>
    <w:rsid w:val="00301E6E"/>
    <w:rsid w:val="0030234B"/>
    <w:rsid w:val="003026B2"/>
    <w:rsid w:val="00302920"/>
    <w:rsid w:val="00302A3F"/>
    <w:rsid w:val="00302FF0"/>
    <w:rsid w:val="00303223"/>
    <w:rsid w:val="003032A8"/>
    <w:rsid w:val="003032BA"/>
    <w:rsid w:val="00303350"/>
    <w:rsid w:val="00303393"/>
    <w:rsid w:val="00303585"/>
    <w:rsid w:val="003037E8"/>
    <w:rsid w:val="00303AD6"/>
    <w:rsid w:val="00303B74"/>
    <w:rsid w:val="00303D6C"/>
    <w:rsid w:val="00304439"/>
    <w:rsid w:val="00304690"/>
    <w:rsid w:val="003048AB"/>
    <w:rsid w:val="00304ACC"/>
    <w:rsid w:val="00304B6B"/>
    <w:rsid w:val="00304B86"/>
    <w:rsid w:val="00304EC3"/>
    <w:rsid w:val="003051F6"/>
    <w:rsid w:val="0030522F"/>
    <w:rsid w:val="00305314"/>
    <w:rsid w:val="003055A0"/>
    <w:rsid w:val="003056FE"/>
    <w:rsid w:val="00305772"/>
    <w:rsid w:val="003057A5"/>
    <w:rsid w:val="00305834"/>
    <w:rsid w:val="0030595E"/>
    <w:rsid w:val="00305B1A"/>
    <w:rsid w:val="00305F64"/>
    <w:rsid w:val="0030644E"/>
    <w:rsid w:val="003065A1"/>
    <w:rsid w:val="00306CEE"/>
    <w:rsid w:val="00306EE6"/>
    <w:rsid w:val="00307104"/>
    <w:rsid w:val="00307292"/>
    <w:rsid w:val="0030729E"/>
    <w:rsid w:val="00307439"/>
    <w:rsid w:val="003075F3"/>
    <w:rsid w:val="00307B6D"/>
    <w:rsid w:val="00307D3C"/>
    <w:rsid w:val="00307EA9"/>
    <w:rsid w:val="00307EB4"/>
    <w:rsid w:val="00307F9B"/>
    <w:rsid w:val="00310271"/>
    <w:rsid w:val="003104E1"/>
    <w:rsid w:val="003106A2"/>
    <w:rsid w:val="0031082C"/>
    <w:rsid w:val="0031090A"/>
    <w:rsid w:val="00310C18"/>
    <w:rsid w:val="00310D0E"/>
    <w:rsid w:val="00311741"/>
    <w:rsid w:val="003118F8"/>
    <w:rsid w:val="00311FF1"/>
    <w:rsid w:val="003122C6"/>
    <w:rsid w:val="00312636"/>
    <w:rsid w:val="0031271D"/>
    <w:rsid w:val="00312A54"/>
    <w:rsid w:val="00312BD8"/>
    <w:rsid w:val="00312D4A"/>
    <w:rsid w:val="00312F3A"/>
    <w:rsid w:val="00313476"/>
    <w:rsid w:val="00313640"/>
    <w:rsid w:val="003137B8"/>
    <w:rsid w:val="003138A5"/>
    <w:rsid w:val="00313A64"/>
    <w:rsid w:val="00313B4A"/>
    <w:rsid w:val="00313B75"/>
    <w:rsid w:val="00313CAA"/>
    <w:rsid w:val="00313E32"/>
    <w:rsid w:val="00313E74"/>
    <w:rsid w:val="00313E95"/>
    <w:rsid w:val="00314383"/>
    <w:rsid w:val="003143E5"/>
    <w:rsid w:val="0031492A"/>
    <w:rsid w:val="00314DE9"/>
    <w:rsid w:val="00314E9E"/>
    <w:rsid w:val="003155AC"/>
    <w:rsid w:val="00315C41"/>
    <w:rsid w:val="00315EBD"/>
    <w:rsid w:val="00316068"/>
    <w:rsid w:val="00316152"/>
    <w:rsid w:val="003161BB"/>
    <w:rsid w:val="00316818"/>
    <w:rsid w:val="00316C26"/>
    <w:rsid w:val="00316EB9"/>
    <w:rsid w:val="0031766A"/>
    <w:rsid w:val="003179CC"/>
    <w:rsid w:val="00317F2C"/>
    <w:rsid w:val="00320129"/>
    <w:rsid w:val="00320150"/>
    <w:rsid w:val="003201D6"/>
    <w:rsid w:val="00320550"/>
    <w:rsid w:val="0032072B"/>
    <w:rsid w:val="003207B6"/>
    <w:rsid w:val="00320DF2"/>
    <w:rsid w:val="00321DE9"/>
    <w:rsid w:val="00321E0F"/>
    <w:rsid w:val="00321E1C"/>
    <w:rsid w:val="00322503"/>
    <w:rsid w:val="003227AE"/>
    <w:rsid w:val="00322877"/>
    <w:rsid w:val="00322943"/>
    <w:rsid w:val="00322CF8"/>
    <w:rsid w:val="00322E45"/>
    <w:rsid w:val="003230EF"/>
    <w:rsid w:val="0032311C"/>
    <w:rsid w:val="00323185"/>
    <w:rsid w:val="003231D1"/>
    <w:rsid w:val="00323421"/>
    <w:rsid w:val="0032353D"/>
    <w:rsid w:val="00323903"/>
    <w:rsid w:val="0032400C"/>
    <w:rsid w:val="00324153"/>
    <w:rsid w:val="003241B5"/>
    <w:rsid w:val="00324289"/>
    <w:rsid w:val="00324396"/>
    <w:rsid w:val="00324AE0"/>
    <w:rsid w:val="00324B8F"/>
    <w:rsid w:val="00324DEB"/>
    <w:rsid w:val="003250FB"/>
    <w:rsid w:val="00325667"/>
    <w:rsid w:val="00325BC0"/>
    <w:rsid w:val="003261B1"/>
    <w:rsid w:val="00326311"/>
    <w:rsid w:val="003266E3"/>
    <w:rsid w:val="003267AB"/>
    <w:rsid w:val="00326A33"/>
    <w:rsid w:val="00326ED5"/>
    <w:rsid w:val="0032722C"/>
    <w:rsid w:val="0032779B"/>
    <w:rsid w:val="003277C6"/>
    <w:rsid w:val="0032797F"/>
    <w:rsid w:val="003279B1"/>
    <w:rsid w:val="00327A93"/>
    <w:rsid w:val="00327CA3"/>
    <w:rsid w:val="00330CD1"/>
    <w:rsid w:val="00330E78"/>
    <w:rsid w:val="00330F96"/>
    <w:rsid w:val="00331402"/>
    <w:rsid w:val="003314E4"/>
    <w:rsid w:val="00331564"/>
    <w:rsid w:val="0033171D"/>
    <w:rsid w:val="00331C83"/>
    <w:rsid w:val="00331F43"/>
    <w:rsid w:val="00332085"/>
    <w:rsid w:val="00332258"/>
    <w:rsid w:val="003322D5"/>
    <w:rsid w:val="0033240F"/>
    <w:rsid w:val="00332651"/>
    <w:rsid w:val="0033282D"/>
    <w:rsid w:val="00332A28"/>
    <w:rsid w:val="00332C05"/>
    <w:rsid w:val="00332C71"/>
    <w:rsid w:val="00332D15"/>
    <w:rsid w:val="00332E1C"/>
    <w:rsid w:val="00332FE7"/>
    <w:rsid w:val="003330AE"/>
    <w:rsid w:val="00333262"/>
    <w:rsid w:val="0033326F"/>
    <w:rsid w:val="00334216"/>
    <w:rsid w:val="003342DB"/>
    <w:rsid w:val="00334694"/>
    <w:rsid w:val="003349C3"/>
    <w:rsid w:val="00334FEC"/>
    <w:rsid w:val="00334FFB"/>
    <w:rsid w:val="00335234"/>
    <w:rsid w:val="00335424"/>
    <w:rsid w:val="003355DC"/>
    <w:rsid w:val="003356BD"/>
    <w:rsid w:val="003357A5"/>
    <w:rsid w:val="003358AC"/>
    <w:rsid w:val="0033590A"/>
    <w:rsid w:val="00335A67"/>
    <w:rsid w:val="00335ACF"/>
    <w:rsid w:val="00335C69"/>
    <w:rsid w:val="00335DFC"/>
    <w:rsid w:val="00336137"/>
    <w:rsid w:val="003362C7"/>
    <w:rsid w:val="00336743"/>
    <w:rsid w:val="003369E9"/>
    <w:rsid w:val="00336AF8"/>
    <w:rsid w:val="00336D82"/>
    <w:rsid w:val="00336E00"/>
    <w:rsid w:val="00336FCE"/>
    <w:rsid w:val="00337ACF"/>
    <w:rsid w:val="00337BD5"/>
    <w:rsid w:val="00337E4E"/>
    <w:rsid w:val="00340100"/>
    <w:rsid w:val="0034014F"/>
    <w:rsid w:val="00340212"/>
    <w:rsid w:val="00340640"/>
    <w:rsid w:val="00340943"/>
    <w:rsid w:val="00340A08"/>
    <w:rsid w:val="00340D6C"/>
    <w:rsid w:val="00340F93"/>
    <w:rsid w:val="00340F98"/>
    <w:rsid w:val="00341201"/>
    <w:rsid w:val="0034151E"/>
    <w:rsid w:val="00341652"/>
    <w:rsid w:val="003416F3"/>
    <w:rsid w:val="003417A1"/>
    <w:rsid w:val="00341C43"/>
    <w:rsid w:val="00341C4E"/>
    <w:rsid w:val="00341F7B"/>
    <w:rsid w:val="0034221D"/>
    <w:rsid w:val="00342284"/>
    <w:rsid w:val="00342417"/>
    <w:rsid w:val="003428A8"/>
    <w:rsid w:val="0034294A"/>
    <w:rsid w:val="00342971"/>
    <w:rsid w:val="00342A71"/>
    <w:rsid w:val="00342BC2"/>
    <w:rsid w:val="00342CDD"/>
    <w:rsid w:val="00342DBD"/>
    <w:rsid w:val="00342F43"/>
    <w:rsid w:val="003433E1"/>
    <w:rsid w:val="003436D1"/>
    <w:rsid w:val="0034376F"/>
    <w:rsid w:val="0034379A"/>
    <w:rsid w:val="003437CA"/>
    <w:rsid w:val="00343A06"/>
    <w:rsid w:val="00343C4C"/>
    <w:rsid w:val="0034426D"/>
    <w:rsid w:val="003444EA"/>
    <w:rsid w:val="00344816"/>
    <w:rsid w:val="00344820"/>
    <w:rsid w:val="00344BB7"/>
    <w:rsid w:val="00345096"/>
    <w:rsid w:val="003456ED"/>
    <w:rsid w:val="00345DA7"/>
    <w:rsid w:val="00345E28"/>
    <w:rsid w:val="00345E6F"/>
    <w:rsid w:val="00345F3F"/>
    <w:rsid w:val="00346061"/>
    <w:rsid w:val="003466C2"/>
    <w:rsid w:val="00346AE9"/>
    <w:rsid w:val="00346CD9"/>
    <w:rsid w:val="00346FC5"/>
    <w:rsid w:val="0034755D"/>
    <w:rsid w:val="0034781D"/>
    <w:rsid w:val="00347A7B"/>
    <w:rsid w:val="00347C78"/>
    <w:rsid w:val="00350336"/>
    <w:rsid w:val="0035069C"/>
    <w:rsid w:val="003506A3"/>
    <w:rsid w:val="0035073E"/>
    <w:rsid w:val="003508F5"/>
    <w:rsid w:val="00350AA8"/>
    <w:rsid w:val="00350ED6"/>
    <w:rsid w:val="00351508"/>
    <w:rsid w:val="00351659"/>
    <w:rsid w:val="003516AB"/>
    <w:rsid w:val="00351756"/>
    <w:rsid w:val="00351791"/>
    <w:rsid w:val="00352059"/>
    <w:rsid w:val="0035208B"/>
    <w:rsid w:val="003520F2"/>
    <w:rsid w:val="00352478"/>
    <w:rsid w:val="003525F3"/>
    <w:rsid w:val="00352844"/>
    <w:rsid w:val="00352928"/>
    <w:rsid w:val="00352B30"/>
    <w:rsid w:val="00352DD2"/>
    <w:rsid w:val="00352F42"/>
    <w:rsid w:val="00353066"/>
    <w:rsid w:val="003530D0"/>
    <w:rsid w:val="003534F2"/>
    <w:rsid w:val="00353744"/>
    <w:rsid w:val="00353955"/>
    <w:rsid w:val="00353A17"/>
    <w:rsid w:val="00353A33"/>
    <w:rsid w:val="00353B9E"/>
    <w:rsid w:val="00353F86"/>
    <w:rsid w:val="00354081"/>
    <w:rsid w:val="00354271"/>
    <w:rsid w:val="0035447A"/>
    <w:rsid w:val="00354501"/>
    <w:rsid w:val="003546A4"/>
    <w:rsid w:val="003547A7"/>
    <w:rsid w:val="00354EA0"/>
    <w:rsid w:val="003552DE"/>
    <w:rsid w:val="003552EC"/>
    <w:rsid w:val="0035532F"/>
    <w:rsid w:val="00355346"/>
    <w:rsid w:val="00355651"/>
    <w:rsid w:val="0035597C"/>
    <w:rsid w:val="00355B7C"/>
    <w:rsid w:val="00356327"/>
    <w:rsid w:val="0035634C"/>
    <w:rsid w:val="00356459"/>
    <w:rsid w:val="00357042"/>
    <w:rsid w:val="0035733C"/>
    <w:rsid w:val="00357450"/>
    <w:rsid w:val="003574CB"/>
    <w:rsid w:val="003575DD"/>
    <w:rsid w:val="00357726"/>
    <w:rsid w:val="00357792"/>
    <w:rsid w:val="0035781B"/>
    <w:rsid w:val="003579ED"/>
    <w:rsid w:val="00357DB0"/>
    <w:rsid w:val="0036024D"/>
    <w:rsid w:val="003602E7"/>
    <w:rsid w:val="00360878"/>
    <w:rsid w:val="00360ADD"/>
    <w:rsid w:val="00360CF8"/>
    <w:rsid w:val="00361074"/>
    <w:rsid w:val="003611DC"/>
    <w:rsid w:val="00361487"/>
    <w:rsid w:val="003617E9"/>
    <w:rsid w:val="003618BA"/>
    <w:rsid w:val="00361AD2"/>
    <w:rsid w:val="00361BE6"/>
    <w:rsid w:val="00361F76"/>
    <w:rsid w:val="0036217C"/>
    <w:rsid w:val="00362655"/>
    <w:rsid w:val="00362B31"/>
    <w:rsid w:val="00362B43"/>
    <w:rsid w:val="00362D34"/>
    <w:rsid w:val="00362ED6"/>
    <w:rsid w:val="00363320"/>
    <w:rsid w:val="00363362"/>
    <w:rsid w:val="0036364D"/>
    <w:rsid w:val="00363751"/>
    <w:rsid w:val="00363892"/>
    <w:rsid w:val="00363BA9"/>
    <w:rsid w:val="00363C34"/>
    <w:rsid w:val="00363C4E"/>
    <w:rsid w:val="00363F79"/>
    <w:rsid w:val="003642CF"/>
    <w:rsid w:val="003643A6"/>
    <w:rsid w:val="003645AF"/>
    <w:rsid w:val="003646B0"/>
    <w:rsid w:val="00364B65"/>
    <w:rsid w:val="00364C67"/>
    <w:rsid w:val="003655D7"/>
    <w:rsid w:val="003656F1"/>
    <w:rsid w:val="00365821"/>
    <w:rsid w:val="003658FF"/>
    <w:rsid w:val="0036595E"/>
    <w:rsid w:val="003662D4"/>
    <w:rsid w:val="00366483"/>
    <w:rsid w:val="003664C9"/>
    <w:rsid w:val="0036650E"/>
    <w:rsid w:val="0036682B"/>
    <w:rsid w:val="003668BF"/>
    <w:rsid w:val="0036699E"/>
    <w:rsid w:val="00366C9B"/>
    <w:rsid w:val="00366D2A"/>
    <w:rsid w:val="00366D35"/>
    <w:rsid w:val="003672B7"/>
    <w:rsid w:val="00367842"/>
    <w:rsid w:val="00367843"/>
    <w:rsid w:val="00367F22"/>
    <w:rsid w:val="003705A2"/>
    <w:rsid w:val="003706BB"/>
    <w:rsid w:val="00370778"/>
    <w:rsid w:val="00370B84"/>
    <w:rsid w:val="00370DCA"/>
    <w:rsid w:val="0037158A"/>
    <w:rsid w:val="003715A2"/>
    <w:rsid w:val="0037166F"/>
    <w:rsid w:val="003717F8"/>
    <w:rsid w:val="00371ABC"/>
    <w:rsid w:val="0037211E"/>
    <w:rsid w:val="00372319"/>
    <w:rsid w:val="00372368"/>
    <w:rsid w:val="00372586"/>
    <w:rsid w:val="003725DB"/>
    <w:rsid w:val="00372682"/>
    <w:rsid w:val="00372A98"/>
    <w:rsid w:val="00372DEF"/>
    <w:rsid w:val="0037322F"/>
    <w:rsid w:val="0037347F"/>
    <w:rsid w:val="00373511"/>
    <w:rsid w:val="003735B2"/>
    <w:rsid w:val="0037369F"/>
    <w:rsid w:val="003739FC"/>
    <w:rsid w:val="00373C22"/>
    <w:rsid w:val="00373C52"/>
    <w:rsid w:val="00373ED7"/>
    <w:rsid w:val="003742E8"/>
    <w:rsid w:val="003749B0"/>
    <w:rsid w:val="00374C56"/>
    <w:rsid w:val="003752B5"/>
    <w:rsid w:val="0037537D"/>
    <w:rsid w:val="00375811"/>
    <w:rsid w:val="00375855"/>
    <w:rsid w:val="00375A44"/>
    <w:rsid w:val="00375BF6"/>
    <w:rsid w:val="00375E18"/>
    <w:rsid w:val="00375FFF"/>
    <w:rsid w:val="0037600D"/>
    <w:rsid w:val="003760B4"/>
    <w:rsid w:val="0037631A"/>
    <w:rsid w:val="0037686F"/>
    <w:rsid w:val="00376A03"/>
    <w:rsid w:val="00376C06"/>
    <w:rsid w:val="00376CE6"/>
    <w:rsid w:val="00377031"/>
    <w:rsid w:val="00377094"/>
    <w:rsid w:val="0037737E"/>
    <w:rsid w:val="00377691"/>
    <w:rsid w:val="0037790F"/>
    <w:rsid w:val="003779B7"/>
    <w:rsid w:val="00377ACB"/>
    <w:rsid w:val="00377BBF"/>
    <w:rsid w:val="00377D23"/>
    <w:rsid w:val="00377DE0"/>
    <w:rsid w:val="0038003F"/>
    <w:rsid w:val="0038018E"/>
    <w:rsid w:val="00380240"/>
    <w:rsid w:val="00380298"/>
    <w:rsid w:val="003803AA"/>
    <w:rsid w:val="003803C8"/>
    <w:rsid w:val="00380666"/>
    <w:rsid w:val="00380684"/>
    <w:rsid w:val="003808B0"/>
    <w:rsid w:val="00380FB8"/>
    <w:rsid w:val="003812C2"/>
    <w:rsid w:val="0038131C"/>
    <w:rsid w:val="00381419"/>
    <w:rsid w:val="0038149D"/>
    <w:rsid w:val="00381751"/>
    <w:rsid w:val="003818C4"/>
    <w:rsid w:val="00381B5C"/>
    <w:rsid w:val="00381C1B"/>
    <w:rsid w:val="00381C48"/>
    <w:rsid w:val="00381DE4"/>
    <w:rsid w:val="0038218E"/>
    <w:rsid w:val="003825B1"/>
    <w:rsid w:val="0038287A"/>
    <w:rsid w:val="00382C4F"/>
    <w:rsid w:val="00382D37"/>
    <w:rsid w:val="00382DFD"/>
    <w:rsid w:val="00382FEE"/>
    <w:rsid w:val="003830F2"/>
    <w:rsid w:val="003831BB"/>
    <w:rsid w:val="00383286"/>
    <w:rsid w:val="00383416"/>
    <w:rsid w:val="0038342A"/>
    <w:rsid w:val="0038386C"/>
    <w:rsid w:val="00383AEB"/>
    <w:rsid w:val="0038448A"/>
    <w:rsid w:val="003846D9"/>
    <w:rsid w:val="003847F8"/>
    <w:rsid w:val="00384DCF"/>
    <w:rsid w:val="003851AD"/>
    <w:rsid w:val="003851B1"/>
    <w:rsid w:val="0038537B"/>
    <w:rsid w:val="0038543F"/>
    <w:rsid w:val="003855EC"/>
    <w:rsid w:val="0038587C"/>
    <w:rsid w:val="003858A2"/>
    <w:rsid w:val="003858E3"/>
    <w:rsid w:val="003859A7"/>
    <w:rsid w:val="00385B90"/>
    <w:rsid w:val="00386005"/>
    <w:rsid w:val="003860BA"/>
    <w:rsid w:val="003865BC"/>
    <w:rsid w:val="00386705"/>
    <w:rsid w:val="00386A9F"/>
    <w:rsid w:val="00386BE2"/>
    <w:rsid w:val="00386BF7"/>
    <w:rsid w:val="00386C51"/>
    <w:rsid w:val="00386EB7"/>
    <w:rsid w:val="00386FD7"/>
    <w:rsid w:val="003870C7"/>
    <w:rsid w:val="003871E9"/>
    <w:rsid w:val="00387279"/>
    <w:rsid w:val="003873EC"/>
    <w:rsid w:val="0038751B"/>
    <w:rsid w:val="0038758C"/>
    <w:rsid w:val="0038769F"/>
    <w:rsid w:val="003877FA"/>
    <w:rsid w:val="00387954"/>
    <w:rsid w:val="00387B14"/>
    <w:rsid w:val="00387B1B"/>
    <w:rsid w:val="00387F54"/>
    <w:rsid w:val="0039050A"/>
    <w:rsid w:val="00390AC4"/>
    <w:rsid w:val="00390BBB"/>
    <w:rsid w:val="00390BE2"/>
    <w:rsid w:val="00390D82"/>
    <w:rsid w:val="00390DCA"/>
    <w:rsid w:val="00391051"/>
    <w:rsid w:val="003914E7"/>
    <w:rsid w:val="00391722"/>
    <w:rsid w:val="003918C2"/>
    <w:rsid w:val="00391ADB"/>
    <w:rsid w:val="00391F7C"/>
    <w:rsid w:val="00392172"/>
    <w:rsid w:val="003923C9"/>
    <w:rsid w:val="0039298D"/>
    <w:rsid w:val="003929B9"/>
    <w:rsid w:val="00392BEF"/>
    <w:rsid w:val="00392C77"/>
    <w:rsid w:val="0039302C"/>
    <w:rsid w:val="003930E4"/>
    <w:rsid w:val="003932BB"/>
    <w:rsid w:val="003935AC"/>
    <w:rsid w:val="00393835"/>
    <w:rsid w:val="0039389D"/>
    <w:rsid w:val="00393B51"/>
    <w:rsid w:val="00393D4D"/>
    <w:rsid w:val="00394274"/>
    <w:rsid w:val="0039447D"/>
    <w:rsid w:val="0039486E"/>
    <w:rsid w:val="00394F9A"/>
    <w:rsid w:val="00395136"/>
    <w:rsid w:val="003951DA"/>
    <w:rsid w:val="003953BC"/>
    <w:rsid w:val="003953F6"/>
    <w:rsid w:val="0039581F"/>
    <w:rsid w:val="00395BF7"/>
    <w:rsid w:val="00395D05"/>
    <w:rsid w:val="00395D07"/>
    <w:rsid w:val="00395D70"/>
    <w:rsid w:val="0039625A"/>
    <w:rsid w:val="00396664"/>
    <w:rsid w:val="003967AC"/>
    <w:rsid w:val="00396DE8"/>
    <w:rsid w:val="00396E03"/>
    <w:rsid w:val="00397213"/>
    <w:rsid w:val="003974F3"/>
    <w:rsid w:val="003977A3"/>
    <w:rsid w:val="00397B3F"/>
    <w:rsid w:val="00397D59"/>
    <w:rsid w:val="00397E52"/>
    <w:rsid w:val="00397F49"/>
    <w:rsid w:val="00397FAC"/>
    <w:rsid w:val="003A02E4"/>
    <w:rsid w:val="003A050D"/>
    <w:rsid w:val="003A05C3"/>
    <w:rsid w:val="003A0852"/>
    <w:rsid w:val="003A0B9D"/>
    <w:rsid w:val="003A0C00"/>
    <w:rsid w:val="003A0C7A"/>
    <w:rsid w:val="003A0E36"/>
    <w:rsid w:val="003A1006"/>
    <w:rsid w:val="003A1038"/>
    <w:rsid w:val="003A117A"/>
    <w:rsid w:val="003A13A2"/>
    <w:rsid w:val="003A1761"/>
    <w:rsid w:val="003A1781"/>
    <w:rsid w:val="003A1870"/>
    <w:rsid w:val="003A1A49"/>
    <w:rsid w:val="003A2171"/>
    <w:rsid w:val="003A2191"/>
    <w:rsid w:val="003A2214"/>
    <w:rsid w:val="003A2282"/>
    <w:rsid w:val="003A2290"/>
    <w:rsid w:val="003A2350"/>
    <w:rsid w:val="003A265D"/>
    <w:rsid w:val="003A33FB"/>
    <w:rsid w:val="003A3490"/>
    <w:rsid w:val="003A36FC"/>
    <w:rsid w:val="003A3841"/>
    <w:rsid w:val="003A3DF1"/>
    <w:rsid w:val="003A3F86"/>
    <w:rsid w:val="003A3FE5"/>
    <w:rsid w:val="003A41D6"/>
    <w:rsid w:val="003A49A1"/>
    <w:rsid w:val="003A49F1"/>
    <w:rsid w:val="003A518A"/>
    <w:rsid w:val="003A577F"/>
    <w:rsid w:val="003A5966"/>
    <w:rsid w:val="003A5977"/>
    <w:rsid w:val="003A5B17"/>
    <w:rsid w:val="003A5F33"/>
    <w:rsid w:val="003A5FD3"/>
    <w:rsid w:val="003A6105"/>
    <w:rsid w:val="003A61A8"/>
    <w:rsid w:val="003A6494"/>
    <w:rsid w:val="003A6614"/>
    <w:rsid w:val="003A6CD3"/>
    <w:rsid w:val="003A710F"/>
    <w:rsid w:val="003A7A26"/>
    <w:rsid w:val="003A7DC3"/>
    <w:rsid w:val="003A7FE6"/>
    <w:rsid w:val="003B030F"/>
    <w:rsid w:val="003B0761"/>
    <w:rsid w:val="003B076F"/>
    <w:rsid w:val="003B07B6"/>
    <w:rsid w:val="003B0AB5"/>
    <w:rsid w:val="003B0C3B"/>
    <w:rsid w:val="003B0E7D"/>
    <w:rsid w:val="003B0F54"/>
    <w:rsid w:val="003B1525"/>
    <w:rsid w:val="003B1590"/>
    <w:rsid w:val="003B1646"/>
    <w:rsid w:val="003B184B"/>
    <w:rsid w:val="003B19D7"/>
    <w:rsid w:val="003B1CD3"/>
    <w:rsid w:val="003B1D7D"/>
    <w:rsid w:val="003B1EF7"/>
    <w:rsid w:val="003B21E2"/>
    <w:rsid w:val="003B220C"/>
    <w:rsid w:val="003B2492"/>
    <w:rsid w:val="003B2805"/>
    <w:rsid w:val="003B2C01"/>
    <w:rsid w:val="003B2C22"/>
    <w:rsid w:val="003B2C2C"/>
    <w:rsid w:val="003B2CB9"/>
    <w:rsid w:val="003B2F20"/>
    <w:rsid w:val="003B2F26"/>
    <w:rsid w:val="003B3271"/>
    <w:rsid w:val="003B3529"/>
    <w:rsid w:val="003B384A"/>
    <w:rsid w:val="003B38CA"/>
    <w:rsid w:val="003B3A3F"/>
    <w:rsid w:val="003B3E08"/>
    <w:rsid w:val="003B40B4"/>
    <w:rsid w:val="003B413A"/>
    <w:rsid w:val="003B428D"/>
    <w:rsid w:val="003B4338"/>
    <w:rsid w:val="003B451E"/>
    <w:rsid w:val="003B4529"/>
    <w:rsid w:val="003B4643"/>
    <w:rsid w:val="003B46B1"/>
    <w:rsid w:val="003B4B61"/>
    <w:rsid w:val="003B4C8E"/>
    <w:rsid w:val="003B53D3"/>
    <w:rsid w:val="003B545E"/>
    <w:rsid w:val="003B54AA"/>
    <w:rsid w:val="003B561B"/>
    <w:rsid w:val="003B573B"/>
    <w:rsid w:val="003B574D"/>
    <w:rsid w:val="003B5971"/>
    <w:rsid w:val="003B5B18"/>
    <w:rsid w:val="003B5E30"/>
    <w:rsid w:val="003B5E91"/>
    <w:rsid w:val="003B5EB2"/>
    <w:rsid w:val="003B5F5D"/>
    <w:rsid w:val="003B5FFA"/>
    <w:rsid w:val="003B606E"/>
    <w:rsid w:val="003B635A"/>
    <w:rsid w:val="003B64EB"/>
    <w:rsid w:val="003B65BB"/>
    <w:rsid w:val="003B6BED"/>
    <w:rsid w:val="003B6C70"/>
    <w:rsid w:val="003B6D6C"/>
    <w:rsid w:val="003B6EA9"/>
    <w:rsid w:val="003B6FCF"/>
    <w:rsid w:val="003B7026"/>
    <w:rsid w:val="003B70A3"/>
    <w:rsid w:val="003B76C8"/>
    <w:rsid w:val="003B7844"/>
    <w:rsid w:val="003B7859"/>
    <w:rsid w:val="003B7C67"/>
    <w:rsid w:val="003B7D50"/>
    <w:rsid w:val="003B7DDB"/>
    <w:rsid w:val="003B7E52"/>
    <w:rsid w:val="003B7E9F"/>
    <w:rsid w:val="003C017E"/>
    <w:rsid w:val="003C06C4"/>
    <w:rsid w:val="003C082C"/>
    <w:rsid w:val="003C096D"/>
    <w:rsid w:val="003C09E5"/>
    <w:rsid w:val="003C09F5"/>
    <w:rsid w:val="003C101C"/>
    <w:rsid w:val="003C11C5"/>
    <w:rsid w:val="003C1208"/>
    <w:rsid w:val="003C1441"/>
    <w:rsid w:val="003C14F9"/>
    <w:rsid w:val="003C1B9D"/>
    <w:rsid w:val="003C1BBD"/>
    <w:rsid w:val="003C2003"/>
    <w:rsid w:val="003C2370"/>
    <w:rsid w:val="003C23B9"/>
    <w:rsid w:val="003C2520"/>
    <w:rsid w:val="003C25CD"/>
    <w:rsid w:val="003C292B"/>
    <w:rsid w:val="003C2DCA"/>
    <w:rsid w:val="003C31F7"/>
    <w:rsid w:val="003C3836"/>
    <w:rsid w:val="003C3967"/>
    <w:rsid w:val="003C3B3F"/>
    <w:rsid w:val="003C41A4"/>
    <w:rsid w:val="003C42CD"/>
    <w:rsid w:val="003C44CC"/>
    <w:rsid w:val="003C4572"/>
    <w:rsid w:val="003C4600"/>
    <w:rsid w:val="003C4795"/>
    <w:rsid w:val="003C47CE"/>
    <w:rsid w:val="003C48A9"/>
    <w:rsid w:val="003C48AB"/>
    <w:rsid w:val="003C49B5"/>
    <w:rsid w:val="003C4A98"/>
    <w:rsid w:val="003C4BDA"/>
    <w:rsid w:val="003C4DED"/>
    <w:rsid w:val="003C4E2D"/>
    <w:rsid w:val="003C4EEE"/>
    <w:rsid w:val="003C547D"/>
    <w:rsid w:val="003C55A0"/>
    <w:rsid w:val="003C56AF"/>
    <w:rsid w:val="003C57FE"/>
    <w:rsid w:val="003C5803"/>
    <w:rsid w:val="003C69E7"/>
    <w:rsid w:val="003C6B1B"/>
    <w:rsid w:val="003C6D66"/>
    <w:rsid w:val="003C6FF7"/>
    <w:rsid w:val="003C741B"/>
    <w:rsid w:val="003C7722"/>
    <w:rsid w:val="003C7D1B"/>
    <w:rsid w:val="003D0918"/>
    <w:rsid w:val="003D097D"/>
    <w:rsid w:val="003D1233"/>
    <w:rsid w:val="003D1293"/>
    <w:rsid w:val="003D1432"/>
    <w:rsid w:val="003D17D8"/>
    <w:rsid w:val="003D1848"/>
    <w:rsid w:val="003D1C2B"/>
    <w:rsid w:val="003D21BE"/>
    <w:rsid w:val="003D22C2"/>
    <w:rsid w:val="003D2311"/>
    <w:rsid w:val="003D25ED"/>
    <w:rsid w:val="003D2A7F"/>
    <w:rsid w:val="003D2AB0"/>
    <w:rsid w:val="003D2CD5"/>
    <w:rsid w:val="003D2D9F"/>
    <w:rsid w:val="003D30A7"/>
    <w:rsid w:val="003D30AC"/>
    <w:rsid w:val="003D33F5"/>
    <w:rsid w:val="003D364B"/>
    <w:rsid w:val="003D3945"/>
    <w:rsid w:val="003D3C0A"/>
    <w:rsid w:val="003D3F63"/>
    <w:rsid w:val="003D421F"/>
    <w:rsid w:val="003D434D"/>
    <w:rsid w:val="003D4770"/>
    <w:rsid w:val="003D4993"/>
    <w:rsid w:val="003D4BFD"/>
    <w:rsid w:val="003D4FFD"/>
    <w:rsid w:val="003D52BE"/>
    <w:rsid w:val="003D52C2"/>
    <w:rsid w:val="003D5554"/>
    <w:rsid w:val="003D560D"/>
    <w:rsid w:val="003D5940"/>
    <w:rsid w:val="003D5AA5"/>
    <w:rsid w:val="003D5BA7"/>
    <w:rsid w:val="003D5CC3"/>
    <w:rsid w:val="003D615C"/>
    <w:rsid w:val="003D634A"/>
    <w:rsid w:val="003D64AC"/>
    <w:rsid w:val="003D6539"/>
    <w:rsid w:val="003D65F6"/>
    <w:rsid w:val="003D6953"/>
    <w:rsid w:val="003D6A3A"/>
    <w:rsid w:val="003D6ABA"/>
    <w:rsid w:val="003D6C84"/>
    <w:rsid w:val="003D6F1B"/>
    <w:rsid w:val="003D6F97"/>
    <w:rsid w:val="003D6FE0"/>
    <w:rsid w:val="003D7233"/>
    <w:rsid w:val="003D74ED"/>
    <w:rsid w:val="003D77A5"/>
    <w:rsid w:val="003D78BB"/>
    <w:rsid w:val="003D7AD3"/>
    <w:rsid w:val="003E05F3"/>
    <w:rsid w:val="003E06FC"/>
    <w:rsid w:val="003E14E7"/>
    <w:rsid w:val="003E1514"/>
    <w:rsid w:val="003E16A5"/>
    <w:rsid w:val="003E17A7"/>
    <w:rsid w:val="003E17C2"/>
    <w:rsid w:val="003E18FD"/>
    <w:rsid w:val="003E1BDD"/>
    <w:rsid w:val="003E1F8C"/>
    <w:rsid w:val="003E2081"/>
    <w:rsid w:val="003E2087"/>
    <w:rsid w:val="003E22BD"/>
    <w:rsid w:val="003E2BD1"/>
    <w:rsid w:val="003E3529"/>
    <w:rsid w:val="003E3688"/>
    <w:rsid w:val="003E399B"/>
    <w:rsid w:val="003E39B3"/>
    <w:rsid w:val="003E3B46"/>
    <w:rsid w:val="003E3B7C"/>
    <w:rsid w:val="003E3B8B"/>
    <w:rsid w:val="003E40B3"/>
    <w:rsid w:val="003E42DF"/>
    <w:rsid w:val="003E457C"/>
    <w:rsid w:val="003E477B"/>
    <w:rsid w:val="003E4A69"/>
    <w:rsid w:val="003E4F2A"/>
    <w:rsid w:val="003E50B6"/>
    <w:rsid w:val="003E50E2"/>
    <w:rsid w:val="003E5238"/>
    <w:rsid w:val="003E5560"/>
    <w:rsid w:val="003E5695"/>
    <w:rsid w:val="003E584F"/>
    <w:rsid w:val="003E5B51"/>
    <w:rsid w:val="003E5D2A"/>
    <w:rsid w:val="003E5D7F"/>
    <w:rsid w:val="003E5E29"/>
    <w:rsid w:val="003E6098"/>
    <w:rsid w:val="003E610C"/>
    <w:rsid w:val="003E6167"/>
    <w:rsid w:val="003E6417"/>
    <w:rsid w:val="003E64D6"/>
    <w:rsid w:val="003E6717"/>
    <w:rsid w:val="003E675A"/>
    <w:rsid w:val="003E6871"/>
    <w:rsid w:val="003E689E"/>
    <w:rsid w:val="003E6B31"/>
    <w:rsid w:val="003E6E80"/>
    <w:rsid w:val="003E6FAD"/>
    <w:rsid w:val="003E7369"/>
    <w:rsid w:val="003E775B"/>
    <w:rsid w:val="003E7764"/>
    <w:rsid w:val="003E77B2"/>
    <w:rsid w:val="003E7F5A"/>
    <w:rsid w:val="003F068F"/>
    <w:rsid w:val="003F0B3C"/>
    <w:rsid w:val="003F0C5A"/>
    <w:rsid w:val="003F0D44"/>
    <w:rsid w:val="003F12A2"/>
    <w:rsid w:val="003F14CC"/>
    <w:rsid w:val="003F1748"/>
    <w:rsid w:val="003F1B38"/>
    <w:rsid w:val="003F1DD9"/>
    <w:rsid w:val="003F223B"/>
    <w:rsid w:val="003F22A7"/>
    <w:rsid w:val="003F22EA"/>
    <w:rsid w:val="003F25E0"/>
    <w:rsid w:val="003F27CA"/>
    <w:rsid w:val="003F2A8E"/>
    <w:rsid w:val="003F2DC8"/>
    <w:rsid w:val="003F361C"/>
    <w:rsid w:val="003F3AEF"/>
    <w:rsid w:val="003F3BE8"/>
    <w:rsid w:val="003F3C01"/>
    <w:rsid w:val="003F3C26"/>
    <w:rsid w:val="003F3CEC"/>
    <w:rsid w:val="003F3D11"/>
    <w:rsid w:val="003F3D77"/>
    <w:rsid w:val="003F3F99"/>
    <w:rsid w:val="003F4863"/>
    <w:rsid w:val="003F4893"/>
    <w:rsid w:val="003F49EB"/>
    <w:rsid w:val="003F4E7B"/>
    <w:rsid w:val="003F5231"/>
    <w:rsid w:val="003F53A1"/>
    <w:rsid w:val="003F53E7"/>
    <w:rsid w:val="003F5639"/>
    <w:rsid w:val="003F56A8"/>
    <w:rsid w:val="003F5B39"/>
    <w:rsid w:val="003F5E6C"/>
    <w:rsid w:val="003F5FBD"/>
    <w:rsid w:val="003F601F"/>
    <w:rsid w:val="003F614A"/>
    <w:rsid w:val="003F617A"/>
    <w:rsid w:val="003F620B"/>
    <w:rsid w:val="003F6302"/>
    <w:rsid w:val="003F63A9"/>
    <w:rsid w:val="003F63EC"/>
    <w:rsid w:val="003F6511"/>
    <w:rsid w:val="003F682F"/>
    <w:rsid w:val="003F6ACA"/>
    <w:rsid w:val="003F6B5B"/>
    <w:rsid w:val="003F6BDC"/>
    <w:rsid w:val="003F6CD8"/>
    <w:rsid w:val="003F6D10"/>
    <w:rsid w:val="003F6D4B"/>
    <w:rsid w:val="003F734A"/>
    <w:rsid w:val="003F7639"/>
    <w:rsid w:val="003F7809"/>
    <w:rsid w:val="003F7BA1"/>
    <w:rsid w:val="003F7DC6"/>
    <w:rsid w:val="0040024A"/>
    <w:rsid w:val="004003B9"/>
    <w:rsid w:val="00400764"/>
    <w:rsid w:val="00400936"/>
    <w:rsid w:val="00400939"/>
    <w:rsid w:val="00400BA1"/>
    <w:rsid w:val="00400BDB"/>
    <w:rsid w:val="00400C57"/>
    <w:rsid w:val="00400E9B"/>
    <w:rsid w:val="00400F9C"/>
    <w:rsid w:val="0040101C"/>
    <w:rsid w:val="00401217"/>
    <w:rsid w:val="004012D2"/>
    <w:rsid w:val="00401933"/>
    <w:rsid w:val="00401A73"/>
    <w:rsid w:val="00401D27"/>
    <w:rsid w:val="00401ED6"/>
    <w:rsid w:val="00402141"/>
    <w:rsid w:val="00402420"/>
    <w:rsid w:val="004025BF"/>
    <w:rsid w:val="004027F2"/>
    <w:rsid w:val="00402935"/>
    <w:rsid w:val="00402936"/>
    <w:rsid w:val="00402C58"/>
    <w:rsid w:val="00403189"/>
    <w:rsid w:val="0040329B"/>
    <w:rsid w:val="004032AB"/>
    <w:rsid w:val="0040359C"/>
    <w:rsid w:val="004035CE"/>
    <w:rsid w:val="00403738"/>
    <w:rsid w:val="00403783"/>
    <w:rsid w:val="00403CC8"/>
    <w:rsid w:val="00403CE2"/>
    <w:rsid w:val="00404342"/>
    <w:rsid w:val="00404720"/>
    <w:rsid w:val="00404838"/>
    <w:rsid w:val="004048C7"/>
    <w:rsid w:val="00404B2C"/>
    <w:rsid w:val="00404BA0"/>
    <w:rsid w:val="00404D59"/>
    <w:rsid w:val="0040523B"/>
    <w:rsid w:val="004057E0"/>
    <w:rsid w:val="00405905"/>
    <w:rsid w:val="00405963"/>
    <w:rsid w:val="00405A4B"/>
    <w:rsid w:val="00405D4C"/>
    <w:rsid w:val="00405F48"/>
    <w:rsid w:val="004061F8"/>
    <w:rsid w:val="004063DE"/>
    <w:rsid w:val="004065D7"/>
    <w:rsid w:val="0040662C"/>
    <w:rsid w:val="0040672B"/>
    <w:rsid w:val="004069A7"/>
    <w:rsid w:val="00406A92"/>
    <w:rsid w:val="00406BFA"/>
    <w:rsid w:val="00406CA5"/>
    <w:rsid w:val="00406E02"/>
    <w:rsid w:val="00406F16"/>
    <w:rsid w:val="00406F3B"/>
    <w:rsid w:val="00406F3C"/>
    <w:rsid w:val="00407435"/>
    <w:rsid w:val="004075C7"/>
    <w:rsid w:val="004077BD"/>
    <w:rsid w:val="00407978"/>
    <w:rsid w:val="00407D29"/>
    <w:rsid w:val="00407EDC"/>
    <w:rsid w:val="004106ED"/>
    <w:rsid w:val="00410931"/>
    <w:rsid w:val="00410977"/>
    <w:rsid w:val="00410AE4"/>
    <w:rsid w:val="00410B07"/>
    <w:rsid w:val="00410BEC"/>
    <w:rsid w:val="0041103D"/>
    <w:rsid w:val="0041201D"/>
    <w:rsid w:val="004120EB"/>
    <w:rsid w:val="00412154"/>
    <w:rsid w:val="00412449"/>
    <w:rsid w:val="004124B7"/>
    <w:rsid w:val="00412A58"/>
    <w:rsid w:val="00412A73"/>
    <w:rsid w:val="004132A8"/>
    <w:rsid w:val="00413355"/>
    <w:rsid w:val="004133BF"/>
    <w:rsid w:val="004134A7"/>
    <w:rsid w:val="004135B3"/>
    <w:rsid w:val="00414009"/>
    <w:rsid w:val="0041414A"/>
    <w:rsid w:val="004142CC"/>
    <w:rsid w:val="004158A8"/>
    <w:rsid w:val="00415BF4"/>
    <w:rsid w:val="00415C52"/>
    <w:rsid w:val="00415DE2"/>
    <w:rsid w:val="0041602E"/>
    <w:rsid w:val="0041611A"/>
    <w:rsid w:val="0041615B"/>
    <w:rsid w:val="004164AB"/>
    <w:rsid w:val="004166D8"/>
    <w:rsid w:val="00416739"/>
    <w:rsid w:val="0041679A"/>
    <w:rsid w:val="00416911"/>
    <w:rsid w:val="004169B9"/>
    <w:rsid w:val="00416A32"/>
    <w:rsid w:val="00416A9D"/>
    <w:rsid w:val="00417504"/>
    <w:rsid w:val="004175B6"/>
    <w:rsid w:val="00417714"/>
    <w:rsid w:val="004177D7"/>
    <w:rsid w:val="004179B1"/>
    <w:rsid w:val="00417BB4"/>
    <w:rsid w:val="00417C33"/>
    <w:rsid w:val="00417CC4"/>
    <w:rsid w:val="00417D16"/>
    <w:rsid w:val="00417E1D"/>
    <w:rsid w:val="00417E9F"/>
    <w:rsid w:val="00417ECD"/>
    <w:rsid w:val="00420050"/>
    <w:rsid w:val="00420071"/>
    <w:rsid w:val="0042033F"/>
    <w:rsid w:val="00420545"/>
    <w:rsid w:val="00420620"/>
    <w:rsid w:val="004206CC"/>
    <w:rsid w:val="00420946"/>
    <w:rsid w:val="00420AA9"/>
    <w:rsid w:val="00420CB5"/>
    <w:rsid w:val="00420F56"/>
    <w:rsid w:val="00420F97"/>
    <w:rsid w:val="00421232"/>
    <w:rsid w:val="004212F8"/>
    <w:rsid w:val="00421615"/>
    <w:rsid w:val="00421675"/>
    <w:rsid w:val="00421A7F"/>
    <w:rsid w:val="00421B69"/>
    <w:rsid w:val="00421D67"/>
    <w:rsid w:val="00421DCE"/>
    <w:rsid w:val="00421DFB"/>
    <w:rsid w:val="00421ED1"/>
    <w:rsid w:val="00422146"/>
    <w:rsid w:val="00422204"/>
    <w:rsid w:val="0042262B"/>
    <w:rsid w:val="00422630"/>
    <w:rsid w:val="004229CF"/>
    <w:rsid w:val="00422ED6"/>
    <w:rsid w:val="00422EED"/>
    <w:rsid w:val="00423484"/>
    <w:rsid w:val="00423673"/>
    <w:rsid w:val="004236AB"/>
    <w:rsid w:val="00423811"/>
    <w:rsid w:val="004239FF"/>
    <w:rsid w:val="00423A39"/>
    <w:rsid w:val="00423C08"/>
    <w:rsid w:val="004243F9"/>
    <w:rsid w:val="004244D4"/>
    <w:rsid w:val="00424636"/>
    <w:rsid w:val="00424647"/>
    <w:rsid w:val="00425437"/>
    <w:rsid w:val="00425584"/>
    <w:rsid w:val="00425724"/>
    <w:rsid w:val="004257D5"/>
    <w:rsid w:val="004257D9"/>
    <w:rsid w:val="00425AC0"/>
    <w:rsid w:val="00425AED"/>
    <w:rsid w:val="00425B02"/>
    <w:rsid w:val="00425BD6"/>
    <w:rsid w:val="00425DA0"/>
    <w:rsid w:val="00425E97"/>
    <w:rsid w:val="0042609B"/>
    <w:rsid w:val="00426210"/>
    <w:rsid w:val="00426293"/>
    <w:rsid w:val="004267C2"/>
    <w:rsid w:val="00426B1C"/>
    <w:rsid w:val="00426B82"/>
    <w:rsid w:val="00426E6B"/>
    <w:rsid w:val="00426F10"/>
    <w:rsid w:val="0042730F"/>
    <w:rsid w:val="004279B6"/>
    <w:rsid w:val="004279EA"/>
    <w:rsid w:val="00427B02"/>
    <w:rsid w:val="00427ED8"/>
    <w:rsid w:val="00427FF2"/>
    <w:rsid w:val="00430300"/>
    <w:rsid w:val="0043046F"/>
    <w:rsid w:val="00430489"/>
    <w:rsid w:val="0043076F"/>
    <w:rsid w:val="00430931"/>
    <w:rsid w:val="0043096F"/>
    <w:rsid w:val="004309C8"/>
    <w:rsid w:val="00430B6C"/>
    <w:rsid w:val="00430B7F"/>
    <w:rsid w:val="00430DDB"/>
    <w:rsid w:val="00430EA4"/>
    <w:rsid w:val="00430F36"/>
    <w:rsid w:val="00431596"/>
    <w:rsid w:val="00431834"/>
    <w:rsid w:val="00431975"/>
    <w:rsid w:val="00431E54"/>
    <w:rsid w:val="00431E9A"/>
    <w:rsid w:val="004320D3"/>
    <w:rsid w:val="004320E6"/>
    <w:rsid w:val="004323D0"/>
    <w:rsid w:val="004324A2"/>
    <w:rsid w:val="00432528"/>
    <w:rsid w:val="00432932"/>
    <w:rsid w:val="00432A85"/>
    <w:rsid w:val="00432A8E"/>
    <w:rsid w:val="00432B6E"/>
    <w:rsid w:val="00432E67"/>
    <w:rsid w:val="00432E68"/>
    <w:rsid w:val="00433863"/>
    <w:rsid w:val="00433B94"/>
    <w:rsid w:val="00434015"/>
    <w:rsid w:val="0043421C"/>
    <w:rsid w:val="004342C5"/>
    <w:rsid w:val="00434325"/>
    <w:rsid w:val="0043456C"/>
    <w:rsid w:val="004348C5"/>
    <w:rsid w:val="00434932"/>
    <w:rsid w:val="004349F7"/>
    <w:rsid w:val="00434A21"/>
    <w:rsid w:val="00434CE4"/>
    <w:rsid w:val="00434D0D"/>
    <w:rsid w:val="004350BA"/>
    <w:rsid w:val="00435802"/>
    <w:rsid w:val="004358FA"/>
    <w:rsid w:val="00435A1B"/>
    <w:rsid w:val="00435D51"/>
    <w:rsid w:val="00435E9A"/>
    <w:rsid w:val="004365F9"/>
    <w:rsid w:val="00436758"/>
    <w:rsid w:val="00436860"/>
    <w:rsid w:val="00436BBA"/>
    <w:rsid w:val="00436D25"/>
    <w:rsid w:val="00437253"/>
    <w:rsid w:val="004375A1"/>
    <w:rsid w:val="004375D1"/>
    <w:rsid w:val="004379D2"/>
    <w:rsid w:val="00437DB4"/>
    <w:rsid w:val="004404A2"/>
    <w:rsid w:val="0044082E"/>
    <w:rsid w:val="0044098D"/>
    <w:rsid w:val="00440A2D"/>
    <w:rsid w:val="00440C51"/>
    <w:rsid w:val="00440C89"/>
    <w:rsid w:val="00440F98"/>
    <w:rsid w:val="004416A0"/>
    <w:rsid w:val="00441AF8"/>
    <w:rsid w:val="00441B06"/>
    <w:rsid w:val="004423DE"/>
    <w:rsid w:val="004424F6"/>
    <w:rsid w:val="004426FE"/>
    <w:rsid w:val="004429EF"/>
    <w:rsid w:val="00442A1A"/>
    <w:rsid w:val="00442C1F"/>
    <w:rsid w:val="00442DCC"/>
    <w:rsid w:val="004431D8"/>
    <w:rsid w:val="00443806"/>
    <w:rsid w:val="0044395A"/>
    <w:rsid w:val="00443A60"/>
    <w:rsid w:val="00443AE4"/>
    <w:rsid w:val="00443AEA"/>
    <w:rsid w:val="00443EBB"/>
    <w:rsid w:val="0044408A"/>
    <w:rsid w:val="0044429F"/>
    <w:rsid w:val="004442BA"/>
    <w:rsid w:val="00444495"/>
    <w:rsid w:val="00444508"/>
    <w:rsid w:val="00444509"/>
    <w:rsid w:val="00444C05"/>
    <w:rsid w:val="00444DBA"/>
    <w:rsid w:val="00445096"/>
    <w:rsid w:val="0044513D"/>
    <w:rsid w:val="0044536C"/>
    <w:rsid w:val="00445B36"/>
    <w:rsid w:val="00445B5C"/>
    <w:rsid w:val="00445DEB"/>
    <w:rsid w:val="00445FBF"/>
    <w:rsid w:val="0044605D"/>
    <w:rsid w:val="004461DD"/>
    <w:rsid w:val="00446341"/>
    <w:rsid w:val="0044666B"/>
    <w:rsid w:val="004467B6"/>
    <w:rsid w:val="004467C6"/>
    <w:rsid w:val="0044694C"/>
    <w:rsid w:val="00446A13"/>
    <w:rsid w:val="00446AD8"/>
    <w:rsid w:val="00446DD3"/>
    <w:rsid w:val="004474D4"/>
    <w:rsid w:val="00447576"/>
    <w:rsid w:val="00447A29"/>
    <w:rsid w:val="00447EA3"/>
    <w:rsid w:val="0045009B"/>
    <w:rsid w:val="00450751"/>
    <w:rsid w:val="00450A3E"/>
    <w:rsid w:val="00450C12"/>
    <w:rsid w:val="00450DD9"/>
    <w:rsid w:val="00450FD5"/>
    <w:rsid w:val="00451137"/>
    <w:rsid w:val="0045113B"/>
    <w:rsid w:val="0045113E"/>
    <w:rsid w:val="0045127B"/>
    <w:rsid w:val="004513FE"/>
    <w:rsid w:val="004514A2"/>
    <w:rsid w:val="004518CE"/>
    <w:rsid w:val="00451928"/>
    <w:rsid w:val="00451D14"/>
    <w:rsid w:val="00451FAA"/>
    <w:rsid w:val="00452731"/>
    <w:rsid w:val="00452D69"/>
    <w:rsid w:val="00452E3B"/>
    <w:rsid w:val="00452E5E"/>
    <w:rsid w:val="00452F7A"/>
    <w:rsid w:val="00453222"/>
    <w:rsid w:val="004535F3"/>
    <w:rsid w:val="00453AA8"/>
    <w:rsid w:val="00453E24"/>
    <w:rsid w:val="00453F23"/>
    <w:rsid w:val="004541FD"/>
    <w:rsid w:val="00454311"/>
    <w:rsid w:val="004544EF"/>
    <w:rsid w:val="0045489F"/>
    <w:rsid w:val="00454A7B"/>
    <w:rsid w:val="00454AF8"/>
    <w:rsid w:val="00454BAB"/>
    <w:rsid w:val="00454BC1"/>
    <w:rsid w:val="00454C5D"/>
    <w:rsid w:val="00454D1F"/>
    <w:rsid w:val="00454D7D"/>
    <w:rsid w:val="00454F83"/>
    <w:rsid w:val="00455414"/>
    <w:rsid w:val="00455540"/>
    <w:rsid w:val="0045558E"/>
    <w:rsid w:val="0045580C"/>
    <w:rsid w:val="004559EF"/>
    <w:rsid w:val="00455A1A"/>
    <w:rsid w:val="00455ADD"/>
    <w:rsid w:val="00455B62"/>
    <w:rsid w:val="00455EA4"/>
    <w:rsid w:val="00456055"/>
    <w:rsid w:val="004565F8"/>
    <w:rsid w:val="004567AC"/>
    <w:rsid w:val="00456900"/>
    <w:rsid w:val="00456A29"/>
    <w:rsid w:val="004570C4"/>
    <w:rsid w:val="00457534"/>
    <w:rsid w:val="00457730"/>
    <w:rsid w:val="0045799C"/>
    <w:rsid w:val="00457A73"/>
    <w:rsid w:val="00457ACC"/>
    <w:rsid w:val="004600F6"/>
    <w:rsid w:val="00460457"/>
    <w:rsid w:val="0046063F"/>
    <w:rsid w:val="00460B08"/>
    <w:rsid w:val="00460CE5"/>
    <w:rsid w:val="00460D19"/>
    <w:rsid w:val="00460F8C"/>
    <w:rsid w:val="00461421"/>
    <w:rsid w:val="004617BA"/>
    <w:rsid w:val="00461920"/>
    <w:rsid w:val="00461E39"/>
    <w:rsid w:val="00461F7F"/>
    <w:rsid w:val="00461FA6"/>
    <w:rsid w:val="0046221A"/>
    <w:rsid w:val="00462336"/>
    <w:rsid w:val="0046270F"/>
    <w:rsid w:val="0046283C"/>
    <w:rsid w:val="004628B2"/>
    <w:rsid w:val="0046299E"/>
    <w:rsid w:val="00462B13"/>
    <w:rsid w:val="00462C08"/>
    <w:rsid w:val="00462F69"/>
    <w:rsid w:val="00463017"/>
    <w:rsid w:val="0046306E"/>
    <w:rsid w:val="004630A9"/>
    <w:rsid w:val="004638F8"/>
    <w:rsid w:val="004639FB"/>
    <w:rsid w:val="00463A4F"/>
    <w:rsid w:val="00464124"/>
    <w:rsid w:val="004643BC"/>
    <w:rsid w:val="00464426"/>
    <w:rsid w:val="0046475A"/>
    <w:rsid w:val="0046482D"/>
    <w:rsid w:val="00464EF5"/>
    <w:rsid w:val="00464F80"/>
    <w:rsid w:val="00464FF5"/>
    <w:rsid w:val="00464FFD"/>
    <w:rsid w:val="004651F3"/>
    <w:rsid w:val="004656C0"/>
    <w:rsid w:val="00465E44"/>
    <w:rsid w:val="00465E50"/>
    <w:rsid w:val="00465FDA"/>
    <w:rsid w:val="00466218"/>
    <w:rsid w:val="004664D0"/>
    <w:rsid w:val="0046657D"/>
    <w:rsid w:val="00466BDF"/>
    <w:rsid w:val="00467118"/>
    <w:rsid w:val="00467305"/>
    <w:rsid w:val="004676F6"/>
    <w:rsid w:val="00467A80"/>
    <w:rsid w:val="00467ABC"/>
    <w:rsid w:val="00467E05"/>
    <w:rsid w:val="0047006B"/>
    <w:rsid w:val="0047052B"/>
    <w:rsid w:val="0047052C"/>
    <w:rsid w:val="00470611"/>
    <w:rsid w:val="00470642"/>
    <w:rsid w:val="00470720"/>
    <w:rsid w:val="0047080E"/>
    <w:rsid w:val="00470865"/>
    <w:rsid w:val="00470876"/>
    <w:rsid w:val="00470A44"/>
    <w:rsid w:val="00470B42"/>
    <w:rsid w:val="00470B67"/>
    <w:rsid w:val="00470E31"/>
    <w:rsid w:val="00470EB6"/>
    <w:rsid w:val="00470ECD"/>
    <w:rsid w:val="0047136E"/>
    <w:rsid w:val="004713E7"/>
    <w:rsid w:val="00471561"/>
    <w:rsid w:val="00471613"/>
    <w:rsid w:val="004719C9"/>
    <w:rsid w:val="00471A4D"/>
    <w:rsid w:val="00471AB2"/>
    <w:rsid w:val="00471E45"/>
    <w:rsid w:val="00471E6F"/>
    <w:rsid w:val="00472254"/>
    <w:rsid w:val="004723FC"/>
    <w:rsid w:val="0047242E"/>
    <w:rsid w:val="004725CA"/>
    <w:rsid w:val="004727E6"/>
    <w:rsid w:val="00472862"/>
    <w:rsid w:val="00472E10"/>
    <w:rsid w:val="00472E8B"/>
    <w:rsid w:val="004730F6"/>
    <w:rsid w:val="00473249"/>
    <w:rsid w:val="004732E0"/>
    <w:rsid w:val="004736F1"/>
    <w:rsid w:val="00473874"/>
    <w:rsid w:val="00474027"/>
    <w:rsid w:val="004742D9"/>
    <w:rsid w:val="00474822"/>
    <w:rsid w:val="004748AB"/>
    <w:rsid w:val="004748D5"/>
    <w:rsid w:val="00474A02"/>
    <w:rsid w:val="00474AF7"/>
    <w:rsid w:val="00474D30"/>
    <w:rsid w:val="00474E36"/>
    <w:rsid w:val="00474E52"/>
    <w:rsid w:val="004754ED"/>
    <w:rsid w:val="004756C6"/>
    <w:rsid w:val="00475715"/>
    <w:rsid w:val="00475838"/>
    <w:rsid w:val="00475B31"/>
    <w:rsid w:val="00475CE1"/>
    <w:rsid w:val="00476048"/>
    <w:rsid w:val="00476080"/>
    <w:rsid w:val="004760B5"/>
    <w:rsid w:val="0047614F"/>
    <w:rsid w:val="00476711"/>
    <w:rsid w:val="004768BA"/>
    <w:rsid w:val="00476AEB"/>
    <w:rsid w:val="00476BDE"/>
    <w:rsid w:val="00476C2A"/>
    <w:rsid w:val="00476E97"/>
    <w:rsid w:val="00477657"/>
    <w:rsid w:val="00477A5B"/>
    <w:rsid w:val="00477B3A"/>
    <w:rsid w:val="00480B2A"/>
    <w:rsid w:val="00480D93"/>
    <w:rsid w:val="00480DE1"/>
    <w:rsid w:val="00480FF9"/>
    <w:rsid w:val="004810CF"/>
    <w:rsid w:val="004812B0"/>
    <w:rsid w:val="00481340"/>
    <w:rsid w:val="004814B3"/>
    <w:rsid w:val="004815C2"/>
    <w:rsid w:val="0048181F"/>
    <w:rsid w:val="004818A1"/>
    <w:rsid w:val="004818D5"/>
    <w:rsid w:val="00481B96"/>
    <w:rsid w:val="00481F78"/>
    <w:rsid w:val="00482465"/>
    <w:rsid w:val="004826CF"/>
    <w:rsid w:val="00482737"/>
    <w:rsid w:val="004828B2"/>
    <w:rsid w:val="004828ED"/>
    <w:rsid w:val="0048294E"/>
    <w:rsid w:val="00482B8F"/>
    <w:rsid w:val="00482C3D"/>
    <w:rsid w:val="00482DD6"/>
    <w:rsid w:val="00482DFE"/>
    <w:rsid w:val="00482F54"/>
    <w:rsid w:val="00482FFB"/>
    <w:rsid w:val="004830AA"/>
    <w:rsid w:val="004835A5"/>
    <w:rsid w:val="00483737"/>
    <w:rsid w:val="00483858"/>
    <w:rsid w:val="00483AF3"/>
    <w:rsid w:val="00483E9E"/>
    <w:rsid w:val="00483EA9"/>
    <w:rsid w:val="00484066"/>
    <w:rsid w:val="0048428E"/>
    <w:rsid w:val="00484A4E"/>
    <w:rsid w:val="00484A6A"/>
    <w:rsid w:val="00484ABB"/>
    <w:rsid w:val="00484BD6"/>
    <w:rsid w:val="00484BF7"/>
    <w:rsid w:val="00484DF8"/>
    <w:rsid w:val="00484F00"/>
    <w:rsid w:val="004850A6"/>
    <w:rsid w:val="00485189"/>
    <w:rsid w:val="00485453"/>
    <w:rsid w:val="0048546D"/>
    <w:rsid w:val="004859C1"/>
    <w:rsid w:val="00485A12"/>
    <w:rsid w:val="00485C0A"/>
    <w:rsid w:val="00485C19"/>
    <w:rsid w:val="00485CF8"/>
    <w:rsid w:val="0048614A"/>
    <w:rsid w:val="00486649"/>
    <w:rsid w:val="004867B9"/>
    <w:rsid w:val="00486B32"/>
    <w:rsid w:val="00486F36"/>
    <w:rsid w:val="004871AC"/>
    <w:rsid w:val="004871D6"/>
    <w:rsid w:val="0048763E"/>
    <w:rsid w:val="00487EDC"/>
    <w:rsid w:val="00487FFD"/>
    <w:rsid w:val="004903B1"/>
    <w:rsid w:val="00490A4A"/>
    <w:rsid w:val="00490BD2"/>
    <w:rsid w:val="00491400"/>
    <w:rsid w:val="0049149F"/>
    <w:rsid w:val="0049192C"/>
    <w:rsid w:val="00491BE4"/>
    <w:rsid w:val="00491D4B"/>
    <w:rsid w:val="00491F82"/>
    <w:rsid w:val="00492044"/>
    <w:rsid w:val="0049206F"/>
    <w:rsid w:val="0049220C"/>
    <w:rsid w:val="0049223A"/>
    <w:rsid w:val="00492783"/>
    <w:rsid w:val="0049283C"/>
    <w:rsid w:val="00492FB0"/>
    <w:rsid w:val="00493157"/>
    <w:rsid w:val="00493428"/>
    <w:rsid w:val="00493451"/>
    <w:rsid w:val="0049365E"/>
    <w:rsid w:val="004936E8"/>
    <w:rsid w:val="004937E4"/>
    <w:rsid w:val="004939E0"/>
    <w:rsid w:val="00493A19"/>
    <w:rsid w:val="00493C5A"/>
    <w:rsid w:val="00493D0C"/>
    <w:rsid w:val="00493D86"/>
    <w:rsid w:val="00493FBF"/>
    <w:rsid w:val="004942B5"/>
    <w:rsid w:val="0049470F"/>
    <w:rsid w:val="0049474C"/>
    <w:rsid w:val="00494DAD"/>
    <w:rsid w:val="00495060"/>
    <w:rsid w:val="004950C9"/>
    <w:rsid w:val="00495493"/>
    <w:rsid w:val="0049579F"/>
    <w:rsid w:val="004959DC"/>
    <w:rsid w:val="00495A35"/>
    <w:rsid w:val="00495A78"/>
    <w:rsid w:val="00495FFC"/>
    <w:rsid w:val="0049618F"/>
    <w:rsid w:val="0049623F"/>
    <w:rsid w:val="004964F6"/>
    <w:rsid w:val="0049652D"/>
    <w:rsid w:val="004967C5"/>
    <w:rsid w:val="00496D53"/>
    <w:rsid w:val="004973CB"/>
    <w:rsid w:val="004975D3"/>
    <w:rsid w:val="004A09F2"/>
    <w:rsid w:val="004A0BDF"/>
    <w:rsid w:val="004A0D53"/>
    <w:rsid w:val="004A0E1D"/>
    <w:rsid w:val="004A1196"/>
    <w:rsid w:val="004A13A5"/>
    <w:rsid w:val="004A14DA"/>
    <w:rsid w:val="004A16A1"/>
    <w:rsid w:val="004A16BC"/>
    <w:rsid w:val="004A1E2A"/>
    <w:rsid w:val="004A1F50"/>
    <w:rsid w:val="004A1F91"/>
    <w:rsid w:val="004A2072"/>
    <w:rsid w:val="004A211E"/>
    <w:rsid w:val="004A294B"/>
    <w:rsid w:val="004A294F"/>
    <w:rsid w:val="004A2E90"/>
    <w:rsid w:val="004A332A"/>
    <w:rsid w:val="004A3338"/>
    <w:rsid w:val="004A382E"/>
    <w:rsid w:val="004A3B43"/>
    <w:rsid w:val="004A4236"/>
    <w:rsid w:val="004A446A"/>
    <w:rsid w:val="004A47C4"/>
    <w:rsid w:val="004A49DA"/>
    <w:rsid w:val="004A4AD2"/>
    <w:rsid w:val="004A51D8"/>
    <w:rsid w:val="004A5238"/>
    <w:rsid w:val="004A52D6"/>
    <w:rsid w:val="004A5940"/>
    <w:rsid w:val="004A5C6D"/>
    <w:rsid w:val="004A627E"/>
    <w:rsid w:val="004A6374"/>
    <w:rsid w:val="004A6626"/>
    <w:rsid w:val="004A6663"/>
    <w:rsid w:val="004A6853"/>
    <w:rsid w:val="004A68A5"/>
    <w:rsid w:val="004A69E2"/>
    <w:rsid w:val="004A6D0F"/>
    <w:rsid w:val="004A6FC8"/>
    <w:rsid w:val="004A7002"/>
    <w:rsid w:val="004A753E"/>
    <w:rsid w:val="004A764F"/>
    <w:rsid w:val="004A78DA"/>
    <w:rsid w:val="004A7B47"/>
    <w:rsid w:val="004A7B8D"/>
    <w:rsid w:val="004A7DD7"/>
    <w:rsid w:val="004B022E"/>
    <w:rsid w:val="004B02F9"/>
    <w:rsid w:val="004B062D"/>
    <w:rsid w:val="004B06FF"/>
    <w:rsid w:val="004B07B8"/>
    <w:rsid w:val="004B07E8"/>
    <w:rsid w:val="004B09BF"/>
    <w:rsid w:val="004B0CFF"/>
    <w:rsid w:val="004B0EA3"/>
    <w:rsid w:val="004B111F"/>
    <w:rsid w:val="004B1335"/>
    <w:rsid w:val="004B1640"/>
    <w:rsid w:val="004B1AB5"/>
    <w:rsid w:val="004B1E23"/>
    <w:rsid w:val="004B2CA3"/>
    <w:rsid w:val="004B3513"/>
    <w:rsid w:val="004B35E9"/>
    <w:rsid w:val="004B36DA"/>
    <w:rsid w:val="004B371A"/>
    <w:rsid w:val="004B3A98"/>
    <w:rsid w:val="004B3BF8"/>
    <w:rsid w:val="004B3C2F"/>
    <w:rsid w:val="004B3C8C"/>
    <w:rsid w:val="004B4635"/>
    <w:rsid w:val="004B4978"/>
    <w:rsid w:val="004B49EC"/>
    <w:rsid w:val="004B4CBB"/>
    <w:rsid w:val="004B5039"/>
    <w:rsid w:val="004B561B"/>
    <w:rsid w:val="004B56FB"/>
    <w:rsid w:val="004B5A8F"/>
    <w:rsid w:val="004B5FB2"/>
    <w:rsid w:val="004B5FCF"/>
    <w:rsid w:val="004B60B9"/>
    <w:rsid w:val="004B6153"/>
    <w:rsid w:val="004B6418"/>
    <w:rsid w:val="004B6549"/>
    <w:rsid w:val="004B6F69"/>
    <w:rsid w:val="004B6FB0"/>
    <w:rsid w:val="004B72C1"/>
    <w:rsid w:val="004B7989"/>
    <w:rsid w:val="004B7AED"/>
    <w:rsid w:val="004B7DCA"/>
    <w:rsid w:val="004B7EA2"/>
    <w:rsid w:val="004C01BA"/>
    <w:rsid w:val="004C0362"/>
    <w:rsid w:val="004C0458"/>
    <w:rsid w:val="004C0BCE"/>
    <w:rsid w:val="004C0C66"/>
    <w:rsid w:val="004C0D32"/>
    <w:rsid w:val="004C0D51"/>
    <w:rsid w:val="004C0E72"/>
    <w:rsid w:val="004C0F9B"/>
    <w:rsid w:val="004C1055"/>
    <w:rsid w:val="004C120F"/>
    <w:rsid w:val="004C1282"/>
    <w:rsid w:val="004C13AD"/>
    <w:rsid w:val="004C1A08"/>
    <w:rsid w:val="004C1A67"/>
    <w:rsid w:val="004C1AC5"/>
    <w:rsid w:val="004C1B74"/>
    <w:rsid w:val="004C1E20"/>
    <w:rsid w:val="004C1E26"/>
    <w:rsid w:val="004C1F2B"/>
    <w:rsid w:val="004C204F"/>
    <w:rsid w:val="004C2078"/>
    <w:rsid w:val="004C229A"/>
    <w:rsid w:val="004C23A0"/>
    <w:rsid w:val="004C2741"/>
    <w:rsid w:val="004C28FA"/>
    <w:rsid w:val="004C2C14"/>
    <w:rsid w:val="004C30CB"/>
    <w:rsid w:val="004C3215"/>
    <w:rsid w:val="004C359C"/>
    <w:rsid w:val="004C359F"/>
    <w:rsid w:val="004C3CD2"/>
    <w:rsid w:val="004C3D0C"/>
    <w:rsid w:val="004C3D63"/>
    <w:rsid w:val="004C3E12"/>
    <w:rsid w:val="004C3F05"/>
    <w:rsid w:val="004C412C"/>
    <w:rsid w:val="004C42BF"/>
    <w:rsid w:val="004C4446"/>
    <w:rsid w:val="004C47E9"/>
    <w:rsid w:val="004C4A76"/>
    <w:rsid w:val="004C4C21"/>
    <w:rsid w:val="004C50EA"/>
    <w:rsid w:val="004C525C"/>
    <w:rsid w:val="004C53D8"/>
    <w:rsid w:val="004C5631"/>
    <w:rsid w:val="004C5984"/>
    <w:rsid w:val="004C5E93"/>
    <w:rsid w:val="004C61A1"/>
    <w:rsid w:val="004C6254"/>
    <w:rsid w:val="004C6290"/>
    <w:rsid w:val="004C66C7"/>
    <w:rsid w:val="004C6DB4"/>
    <w:rsid w:val="004C6F2C"/>
    <w:rsid w:val="004C71AB"/>
    <w:rsid w:val="004C7541"/>
    <w:rsid w:val="004C75F5"/>
    <w:rsid w:val="004C77EE"/>
    <w:rsid w:val="004C7973"/>
    <w:rsid w:val="004C7ABD"/>
    <w:rsid w:val="004C7FB0"/>
    <w:rsid w:val="004D084F"/>
    <w:rsid w:val="004D0A2D"/>
    <w:rsid w:val="004D0A7F"/>
    <w:rsid w:val="004D1173"/>
    <w:rsid w:val="004D11BC"/>
    <w:rsid w:val="004D11E2"/>
    <w:rsid w:val="004D1777"/>
    <w:rsid w:val="004D1AF0"/>
    <w:rsid w:val="004D1ED3"/>
    <w:rsid w:val="004D1F46"/>
    <w:rsid w:val="004D21F5"/>
    <w:rsid w:val="004D22C1"/>
    <w:rsid w:val="004D2648"/>
    <w:rsid w:val="004D273F"/>
    <w:rsid w:val="004D2796"/>
    <w:rsid w:val="004D291C"/>
    <w:rsid w:val="004D2BA0"/>
    <w:rsid w:val="004D33E7"/>
    <w:rsid w:val="004D34CA"/>
    <w:rsid w:val="004D3724"/>
    <w:rsid w:val="004D3F5B"/>
    <w:rsid w:val="004D4106"/>
    <w:rsid w:val="004D44D5"/>
    <w:rsid w:val="004D4529"/>
    <w:rsid w:val="004D4755"/>
    <w:rsid w:val="004D487E"/>
    <w:rsid w:val="004D49E9"/>
    <w:rsid w:val="004D4ACB"/>
    <w:rsid w:val="004D51BE"/>
    <w:rsid w:val="004D53BD"/>
    <w:rsid w:val="004D54C6"/>
    <w:rsid w:val="004D55F2"/>
    <w:rsid w:val="004D5867"/>
    <w:rsid w:val="004D587F"/>
    <w:rsid w:val="004D5BB2"/>
    <w:rsid w:val="004D5D1A"/>
    <w:rsid w:val="004D5D79"/>
    <w:rsid w:val="004D5E96"/>
    <w:rsid w:val="004D600D"/>
    <w:rsid w:val="004D6A6F"/>
    <w:rsid w:val="004D6AEA"/>
    <w:rsid w:val="004D745E"/>
    <w:rsid w:val="004D766D"/>
    <w:rsid w:val="004D79B1"/>
    <w:rsid w:val="004D7AEA"/>
    <w:rsid w:val="004D7D67"/>
    <w:rsid w:val="004D7ECE"/>
    <w:rsid w:val="004E0290"/>
    <w:rsid w:val="004E0357"/>
    <w:rsid w:val="004E04BF"/>
    <w:rsid w:val="004E0749"/>
    <w:rsid w:val="004E0770"/>
    <w:rsid w:val="004E0995"/>
    <w:rsid w:val="004E0A8C"/>
    <w:rsid w:val="004E0EA4"/>
    <w:rsid w:val="004E0F0B"/>
    <w:rsid w:val="004E111C"/>
    <w:rsid w:val="004E1451"/>
    <w:rsid w:val="004E1867"/>
    <w:rsid w:val="004E18AB"/>
    <w:rsid w:val="004E1E5A"/>
    <w:rsid w:val="004E1F74"/>
    <w:rsid w:val="004E1FA3"/>
    <w:rsid w:val="004E2116"/>
    <w:rsid w:val="004E24A1"/>
    <w:rsid w:val="004E276C"/>
    <w:rsid w:val="004E27A6"/>
    <w:rsid w:val="004E28F0"/>
    <w:rsid w:val="004E2ABE"/>
    <w:rsid w:val="004E3690"/>
    <w:rsid w:val="004E3C60"/>
    <w:rsid w:val="004E427E"/>
    <w:rsid w:val="004E4484"/>
    <w:rsid w:val="004E4512"/>
    <w:rsid w:val="004E4626"/>
    <w:rsid w:val="004E464D"/>
    <w:rsid w:val="004E46F6"/>
    <w:rsid w:val="004E4733"/>
    <w:rsid w:val="004E4797"/>
    <w:rsid w:val="004E494A"/>
    <w:rsid w:val="004E49C7"/>
    <w:rsid w:val="004E50E3"/>
    <w:rsid w:val="004E520E"/>
    <w:rsid w:val="004E53E9"/>
    <w:rsid w:val="004E5438"/>
    <w:rsid w:val="004E5B05"/>
    <w:rsid w:val="004E5B47"/>
    <w:rsid w:val="004E5BE2"/>
    <w:rsid w:val="004E5CE0"/>
    <w:rsid w:val="004E5DBD"/>
    <w:rsid w:val="004E5FE2"/>
    <w:rsid w:val="004E61B1"/>
    <w:rsid w:val="004E63F4"/>
    <w:rsid w:val="004E6686"/>
    <w:rsid w:val="004E6C70"/>
    <w:rsid w:val="004E6F4D"/>
    <w:rsid w:val="004E71BF"/>
    <w:rsid w:val="004E7405"/>
    <w:rsid w:val="004E7563"/>
    <w:rsid w:val="004E7996"/>
    <w:rsid w:val="004E7A1D"/>
    <w:rsid w:val="004E7DDD"/>
    <w:rsid w:val="004E7E80"/>
    <w:rsid w:val="004E7ED1"/>
    <w:rsid w:val="004F0195"/>
    <w:rsid w:val="004F023A"/>
    <w:rsid w:val="004F0402"/>
    <w:rsid w:val="004F0475"/>
    <w:rsid w:val="004F094B"/>
    <w:rsid w:val="004F0962"/>
    <w:rsid w:val="004F0EA3"/>
    <w:rsid w:val="004F0F5F"/>
    <w:rsid w:val="004F1036"/>
    <w:rsid w:val="004F12C6"/>
    <w:rsid w:val="004F13FA"/>
    <w:rsid w:val="004F1721"/>
    <w:rsid w:val="004F1952"/>
    <w:rsid w:val="004F1B8E"/>
    <w:rsid w:val="004F1E23"/>
    <w:rsid w:val="004F204A"/>
    <w:rsid w:val="004F2160"/>
    <w:rsid w:val="004F2293"/>
    <w:rsid w:val="004F236E"/>
    <w:rsid w:val="004F275E"/>
    <w:rsid w:val="004F296C"/>
    <w:rsid w:val="004F2DC7"/>
    <w:rsid w:val="004F2EEE"/>
    <w:rsid w:val="004F3958"/>
    <w:rsid w:val="004F3B12"/>
    <w:rsid w:val="004F3D99"/>
    <w:rsid w:val="004F44BE"/>
    <w:rsid w:val="004F44F5"/>
    <w:rsid w:val="004F4635"/>
    <w:rsid w:val="004F466B"/>
    <w:rsid w:val="004F47B9"/>
    <w:rsid w:val="004F48D3"/>
    <w:rsid w:val="004F4C5B"/>
    <w:rsid w:val="004F52EC"/>
    <w:rsid w:val="004F53E9"/>
    <w:rsid w:val="004F5506"/>
    <w:rsid w:val="004F5928"/>
    <w:rsid w:val="004F5B9D"/>
    <w:rsid w:val="004F5DFE"/>
    <w:rsid w:val="004F5F3C"/>
    <w:rsid w:val="004F61B7"/>
    <w:rsid w:val="004F6307"/>
    <w:rsid w:val="004F6C1F"/>
    <w:rsid w:val="004F6CCC"/>
    <w:rsid w:val="004F6D60"/>
    <w:rsid w:val="004F6E58"/>
    <w:rsid w:val="004F6FE6"/>
    <w:rsid w:val="004F7063"/>
    <w:rsid w:val="004F7698"/>
    <w:rsid w:val="004F7981"/>
    <w:rsid w:val="004F7AF8"/>
    <w:rsid w:val="004F7E2E"/>
    <w:rsid w:val="0050005C"/>
    <w:rsid w:val="0050006D"/>
    <w:rsid w:val="00500159"/>
    <w:rsid w:val="00500993"/>
    <w:rsid w:val="005009E7"/>
    <w:rsid w:val="00500A9D"/>
    <w:rsid w:val="00500AED"/>
    <w:rsid w:val="00500BCA"/>
    <w:rsid w:val="00500CF0"/>
    <w:rsid w:val="00500EFC"/>
    <w:rsid w:val="00501278"/>
    <w:rsid w:val="00501559"/>
    <w:rsid w:val="005016C2"/>
    <w:rsid w:val="005017AA"/>
    <w:rsid w:val="005018C8"/>
    <w:rsid w:val="005018F7"/>
    <w:rsid w:val="00501900"/>
    <w:rsid w:val="005019C1"/>
    <w:rsid w:val="005019CE"/>
    <w:rsid w:val="00501A5B"/>
    <w:rsid w:val="00501AC4"/>
    <w:rsid w:val="00501C42"/>
    <w:rsid w:val="00501D88"/>
    <w:rsid w:val="00501E02"/>
    <w:rsid w:val="00501FAE"/>
    <w:rsid w:val="00502479"/>
    <w:rsid w:val="00502520"/>
    <w:rsid w:val="005029EA"/>
    <w:rsid w:val="00502B83"/>
    <w:rsid w:val="00502B94"/>
    <w:rsid w:val="00502C39"/>
    <w:rsid w:val="00502CDC"/>
    <w:rsid w:val="0050352B"/>
    <w:rsid w:val="005035DB"/>
    <w:rsid w:val="0050362F"/>
    <w:rsid w:val="005044FD"/>
    <w:rsid w:val="005047FD"/>
    <w:rsid w:val="00504948"/>
    <w:rsid w:val="00504CBF"/>
    <w:rsid w:val="00504D52"/>
    <w:rsid w:val="00504DA4"/>
    <w:rsid w:val="00504E66"/>
    <w:rsid w:val="005052E6"/>
    <w:rsid w:val="005054CE"/>
    <w:rsid w:val="00505513"/>
    <w:rsid w:val="005055AD"/>
    <w:rsid w:val="005055E7"/>
    <w:rsid w:val="005056B9"/>
    <w:rsid w:val="00505A02"/>
    <w:rsid w:val="00505A25"/>
    <w:rsid w:val="00505ADA"/>
    <w:rsid w:val="00505B4F"/>
    <w:rsid w:val="00505C93"/>
    <w:rsid w:val="00506072"/>
    <w:rsid w:val="00506382"/>
    <w:rsid w:val="005069A4"/>
    <w:rsid w:val="00506A09"/>
    <w:rsid w:val="00506B5A"/>
    <w:rsid w:val="00506C0D"/>
    <w:rsid w:val="00506C79"/>
    <w:rsid w:val="00507015"/>
    <w:rsid w:val="005071B5"/>
    <w:rsid w:val="00507492"/>
    <w:rsid w:val="0050766C"/>
    <w:rsid w:val="005078A9"/>
    <w:rsid w:val="005078D2"/>
    <w:rsid w:val="00507B2F"/>
    <w:rsid w:val="00507D67"/>
    <w:rsid w:val="00507E53"/>
    <w:rsid w:val="00507FE0"/>
    <w:rsid w:val="005100B9"/>
    <w:rsid w:val="005104E5"/>
    <w:rsid w:val="00510628"/>
    <w:rsid w:val="00510C33"/>
    <w:rsid w:val="00510E9E"/>
    <w:rsid w:val="005114B4"/>
    <w:rsid w:val="005115B0"/>
    <w:rsid w:val="005115E1"/>
    <w:rsid w:val="00511695"/>
    <w:rsid w:val="00511D35"/>
    <w:rsid w:val="00511D69"/>
    <w:rsid w:val="00512064"/>
    <w:rsid w:val="0051206F"/>
    <w:rsid w:val="0051213E"/>
    <w:rsid w:val="00512229"/>
    <w:rsid w:val="00512939"/>
    <w:rsid w:val="00512C1C"/>
    <w:rsid w:val="00512C7E"/>
    <w:rsid w:val="00512CAF"/>
    <w:rsid w:val="00512E73"/>
    <w:rsid w:val="005130D9"/>
    <w:rsid w:val="00513189"/>
    <w:rsid w:val="00513274"/>
    <w:rsid w:val="005134E9"/>
    <w:rsid w:val="00513535"/>
    <w:rsid w:val="00513571"/>
    <w:rsid w:val="00513577"/>
    <w:rsid w:val="0051411A"/>
    <w:rsid w:val="005141D8"/>
    <w:rsid w:val="005144CB"/>
    <w:rsid w:val="00514797"/>
    <w:rsid w:val="005147EC"/>
    <w:rsid w:val="00514C19"/>
    <w:rsid w:val="00514DE6"/>
    <w:rsid w:val="005157CB"/>
    <w:rsid w:val="00515AA5"/>
    <w:rsid w:val="00515FDC"/>
    <w:rsid w:val="005160A7"/>
    <w:rsid w:val="00516615"/>
    <w:rsid w:val="00516959"/>
    <w:rsid w:val="005169FE"/>
    <w:rsid w:val="00516EEC"/>
    <w:rsid w:val="00517372"/>
    <w:rsid w:val="005177D9"/>
    <w:rsid w:val="00517AC4"/>
    <w:rsid w:val="00520094"/>
    <w:rsid w:val="005200D1"/>
    <w:rsid w:val="005203BD"/>
    <w:rsid w:val="00520551"/>
    <w:rsid w:val="005206AD"/>
    <w:rsid w:val="005207C3"/>
    <w:rsid w:val="00520D81"/>
    <w:rsid w:val="00520EA3"/>
    <w:rsid w:val="00521000"/>
    <w:rsid w:val="00521384"/>
    <w:rsid w:val="00521472"/>
    <w:rsid w:val="00521782"/>
    <w:rsid w:val="00521AA6"/>
    <w:rsid w:val="00521C29"/>
    <w:rsid w:val="0052214D"/>
    <w:rsid w:val="005226FB"/>
    <w:rsid w:val="00522A6E"/>
    <w:rsid w:val="00522C59"/>
    <w:rsid w:val="00522E13"/>
    <w:rsid w:val="0052319B"/>
    <w:rsid w:val="005234E8"/>
    <w:rsid w:val="005235A4"/>
    <w:rsid w:val="0052375D"/>
    <w:rsid w:val="0052427A"/>
    <w:rsid w:val="005243CA"/>
    <w:rsid w:val="0052472C"/>
    <w:rsid w:val="00524751"/>
    <w:rsid w:val="00524881"/>
    <w:rsid w:val="00524C3B"/>
    <w:rsid w:val="00524EF6"/>
    <w:rsid w:val="0052550B"/>
    <w:rsid w:val="00525AFF"/>
    <w:rsid w:val="00525BC6"/>
    <w:rsid w:val="00525D64"/>
    <w:rsid w:val="00525F9A"/>
    <w:rsid w:val="00525FC3"/>
    <w:rsid w:val="00526219"/>
    <w:rsid w:val="00526407"/>
    <w:rsid w:val="0052642A"/>
    <w:rsid w:val="005264A6"/>
    <w:rsid w:val="005266AC"/>
    <w:rsid w:val="005267FF"/>
    <w:rsid w:val="00526ACD"/>
    <w:rsid w:val="00526DCA"/>
    <w:rsid w:val="00527709"/>
    <w:rsid w:val="00527A21"/>
    <w:rsid w:val="00527A51"/>
    <w:rsid w:val="00527A76"/>
    <w:rsid w:val="00527D95"/>
    <w:rsid w:val="00530159"/>
    <w:rsid w:val="005301CF"/>
    <w:rsid w:val="0053040B"/>
    <w:rsid w:val="0053046D"/>
    <w:rsid w:val="0053049D"/>
    <w:rsid w:val="0053075E"/>
    <w:rsid w:val="005309D5"/>
    <w:rsid w:val="00530E63"/>
    <w:rsid w:val="00530F11"/>
    <w:rsid w:val="00531036"/>
    <w:rsid w:val="0053181C"/>
    <w:rsid w:val="00531B2A"/>
    <w:rsid w:val="00531E86"/>
    <w:rsid w:val="00531E8E"/>
    <w:rsid w:val="00531EE1"/>
    <w:rsid w:val="0053248E"/>
    <w:rsid w:val="0053256F"/>
    <w:rsid w:val="00532982"/>
    <w:rsid w:val="00532C0D"/>
    <w:rsid w:val="00532DE3"/>
    <w:rsid w:val="0053314D"/>
    <w:rsid w:val="00533494"/>
    <w:rsid w:val="005335A3"/>
    <w:rsid w:val="005337BB"/>
    <w:rsid w:val="005337F8"/>
    <w:rsid w:val="005339F1"/>
    <w:rsid w:val="00533B10"/>
    <w:rsid w:val="00533F2D"/>
    <w:rsid w:val="00533F71"/>
    <w:rsid w:val="00533FC9"/>
    <w:rsid w:val="0053425B"/>
    <w:rsid w:val="00534409"/>
    <w:rsid w:val="005346DF"/>
    <w:rsid w:val="00534755"/>
    <w:rsid w:val="005347E5"/>
    <w:rsid w:val="00534B54"/>
    <w:rsid w:val="00534C88"/>
    <w:rsid w:val="0053524F"/>
    <w:rsid w:val="0053543D"/>
    <w:rsid w:val="005359C9"/>
    <w:rsid w:val="00535A7E"/>
    <w:rsid w:val="00535C5F"/>
    <w:rsid w:val="00535D75"/>
    <w:rsid w:val="00535D87"/>
    <w:rsid w:val="00536101"/>
    <w:rsid w:val="00536135"/>
    <w:rsid w:val="005362EC"/>
    <w:rsid w:val="00536602"/>
    <w:rsid w:val="00536812"/>
    <w:rsid w:val="00536978"/>
    <w:rsid w:val="00536D08"/>
    <w:rsid w:val="00537009"/>
    <w:rsid w:val="005370CE"/>
    <w:rsid w:val="0053731C"/>
    <w:rsid w:val="0053731D"/>
    <w:rsid w:val="00537340"/>
    <w:rsid w:val="00537574"/>
    <w:rsid w:val="005376BD"/>
    <w:rsid w:val="00537993"/>
    <w:rsid w:val="00537B6E"/>
    <w:rsid w:val="00537BEB"/>
    <w:rsid w:val="00537FAB"/>
    <w:rsid w:val="00540326"/>
    <w:rsid w:val="0054037E"/>
    <w:rsid w:val="00540397"/>
    <w:rsid w:val="005408C2"/>
    <w:rsid w:val="00540B14"/>
    <w:rsid w:val="00541120"/>
    <w:rsid w:val="00541190"/>
    <w:rsid w:val="0054190B"/>
    <w:rsid w:val="00541995"/>
    <w:rsid w:val="00541C8C"/>
    <w:rsid w:val="00541EE6"/>
    <w:rsid w:val="005426E5"/>
    <w:rsid w:val="00542A12"/>
    <w:rsid w:val="00542C96"/>
    <w:rsid w:val="00542D7D"/>
    <w:rsid w:val="00543162"/>
    <w:rsid w:val="0054318E"/>
    <w:rsid w:val="00543451"/>
    <w:rsid w:val="00543577"/>
    <w:rsid w:val="005436DD"/>
    <w:rsid w:val="00543A13"/>
    <w:rsid w:val="00543A24"/>
    <w:rsid w:val="00543A6E"/>
    <w:rsid w:val="00543CFF"/>
    <w:rsid w:val="00543ED7"/>
    <w:rsid w:val="005445B1"/>
    <w:rsid w:val="005445FE"/>
    <w:rsid w:val="0054464D"/>
    <w:rsid w:val="0054476C"/>
    <w:rsid w:val="00544853"/>
    <w:rsid w:val="00544C51"/>
    <w:rsid w:val="005453D3"/>
    <w:rsid w:val="0054553E"/>
    <w:rsid w:val="005455AE"/>
    <w:rsid w:val="00545DA7"/>
    <w:rsid w:val="00545FB1"/>
    <w:rsid w:val="00546070"/>
    <w:rsid w:val="005460F4"/>
    <w:rsid w:val="005462CD"/>
    <w:rsid w:val="00546304"/>
    <w:rsid w:val="00546656"/>
    <w:rsid w:val="005466E7"/>
    <w:rsid w:val="005468A8"/>
    <w:rsid w:val="00546BF4"/>
    <w:rsid w:val="00546C96"/>
    <w:rsid w:val="00546D8B"/>
    <w:rsid w:val="00547374"/>
    <w:rsid w:val="00547429"/>
    <w:rsid w:val="00547486"/>
    <w:rsid w:val="00547531"/>
    <w:rsid w:val="00547629"/>
    <w:rsid w:val="0054762D"/>
    <w:rsid w:val="00547660"/>
    <w:rsid w:val="0054790A"/>
    <w:rsid w:val="00547A24"/>
    <w:rsid w:val="00547BE3"/>
    <w:rsid w:val="00547CA8"/>
    <w:rsid w:val="00547CC6"/>
    <w:rsid w:val="00547D44"/>
    <w:rsid w:val="00547E66"/>
    <w:rsid w:val="00547E9F"/>
    <w:rsid w:val="00550236"/>
    <w:rsid w:val="0055059F"/>
    <w:rsid w:val="0055072E"/>
    <w:rsid w:val="00550B59"/>
    <w:rsid w:val="00550C6A"/>
    <w:rsid w:val="00550F05"/>
    <w:rsid w:val="0055144F"/>
    <w:rsid w:val="005514CC"/>
    <w:rsid w:val="005518A0"/>
    <w:rsid w:val="00551954"/>
    <w:rsid w:val="00551AAC"/>
    <w:rsid w:val="0055270E"/>
    <w:rsid w:val="00552B50"/>
    <w:rsid w:val="00552FB7"/>
    <w:rsid w:val="005531E1"/>
    <w:rsid w:val="00553781"/>
    <w:rsid w:val="005539F0"/>
    <w:rsid w:val="00553C86"/>
    <w:rsid w:val="00553F6E"/>
    <w:rsid w:val="00553F99"/>
    <w:rsid w:val="005540C9"/>
    <w:rsid w:val="00554496"/>
    <w:rsid w:val="005544F8"/>
    <w:rsid w:val="00554C9E"/>
    <w:rsid w:val="00554F10"/>
    <w:rsid w:val="005556C6"/>
    <w:rsid w:val="00555747"/>
    <w:rsid w:val="00555853"/>
    <w:rsid w:val="005559F5"/>
    <w:rsid w:val="00555BF9"/>
    <w:rsid w:val="00555C1D"/>
    <w:rsid w:val="00555EF9"/>
    <w:rsid w:val="0055605D"/>
    <w:rsid w:val="0055610F"/>
    <w:rsid w:val="005561B1"/>
    <w:rsid w:val="00556490"/>
    <w:rsid w:val="00556628"/>
    <w:rsid w:val="005567B7"/>
    <w:rsid w:val="00556C0B"/>
    <w:rsid w:val="00556E69"/>
    <w:rsid w:val="0055730B"/>
    <w:rsid w:val="005574A0"/>
    <w:rsid w:val="00557931"/>
    <w:rsid w:val="00557C08"/>
    <w:rsid w:val="00557C0C"/>
    <w:rsid w:val="00557CC0"/>
    <w:rsid w:val="00557CC8"/>
    <w:rsid w:val="00557F53"/>
    <w:rsid w:val="00557FAD"/>
    <w:rsid w:val="0056000A"/>
    <w:rsid w:val="005601CC"/>
    <w:rsid w:val="005607E7"/>
    <w:rsid w:val="00560863"/>
    <w:rsid w:val="00560A0B"/>
    <w:rsid w:val="00560A8F"/>
    <w:rsid w:val="00560CE7"/>
    <w:rsid w:val="00560D34"/>
    <w:rsid w:val="00560DE1"/>
    <w:rsid w:val="00561417"/>
    <w:rsid w:val="005614DB"/>
    <w:rsid w:val="00562072"/>
    <w:rsid w:val="005622DB"/>
    <w:rsid w:val="0056237B"/>
    <w:rsid w:val="00563071"/>
    <w:rsid w:val="0056309F"/>
    <w:rsid w:val="00563139"/>
    <w:rsid w:val="00563272"/>
    <w:rsid w:val="00563469"/>
    <w:rsid w:val="00563557"/>
    <w:rsid w:val="005637CE"/>
    <w:rsid w:val="005639EE"/>
    <w:rsid w:val="00563A79"/>
    <w:rsid w:val="00563C1C"/>
    <w:rsid w:val="00563D5A"/>
    <w:rsid w:val="00563D88"/>
    <w:rsid w:val="00563FDC"/>
    <w:rsid w:val="00564199"/>
    <w:rsid w:val="005645C7"/>
    <w:rsid w:val="0056464C"/>
    <w:rsid w:val="005648AC"/>
    <w:rsid w:val="00564E6B"/>
    <w:rsid w:val="00565339"/>
    <w:rsid w:val="005654C9"/>
    <w:rsid w:val="0056555F"/>
    <w:rsid w:val="00565ACF"/>
    <w:rsid w:val="00565CA7"/>
    <w:rsid w:val="00565EE7"/>
    <w:rsid w:val="005661E3"/>
    <w:rsid w:val="0056632A"/>
    <w:rsid w:val="00566573"/>
    <w:rsid w:val="00566A50"/>
    <w:rsid w:val="00566DFE"/>
    <w:rsid w:val="005675A6"/>
    <w:rsid w:val="005675C6"/>
    <w:rsid w:val="00567772"/>
    <w:rsid w:val="0056782D"/>
    <w:rsid w:val="00567948"/>
    <w:rsid w:val="005679BA"/>
    <w:rsid w:val="00567E6E"/>
    <w:rsid w:val="00567EA3"/>
    <w:rsid w:val="00567F2B"/>
    <w:rsid w:val="00570020"/>
    <w:rsid w:val="005701C2"/>
    <w:rsid w:val="00570318"/>
    <w:rsid w:val="005704F0"/>
    <w:rsid w:val="00570C7E"/>
    <w:rsid w:val="00570D80"/>
    <w:rsid w:val="00570DD2"/>
    <w:rsid w:val="0057105E"/>
    <w:rsid w:val="00571122"/>
    <w:rsid w:val="00571242"/>
    <w:rsid w:val="0057162B"/>
    <w:rsid w:val="005716D4"/>
    <w:rsid w:val="00571D96"/>
    <w:rsid w:val="00571DBF"/>
    <w:rsid w:val="00571F42"/>
    <w:rsid w:val="00571F4E"/>
    <w:rsid w:val="005722C7"/>
    <w:rsid w:val="00572550"/>
    <w:rsid w:val="00572743"/>
    <w:rsid w:val="0057292F"/>
    <w:rsid w:val="00572A47"/>
    <w:rsid w:val="00572D62"/>
    <w:rsid w:val="00572D8B"/>
    <w:rsid w:val="00572E69"/>
    <w:rsid w:val="00572EA3"/>
    <w:rsid w:val="00573016"/>
    <w:rsid w:val="0057323D"/>
    <w:rsid w:val="00573475"/>
    <w:rsid w:val="00573B61"/>
    <w:rsid w:val="00573BAC"/>
    <w:rsid w:val="00573E5F"/>
    <w:rsid w:val="00573EA9"/>
    <w:rsid w:val="00573F4E"/>
    <w:rsid w:val="00573F76"/>
    <w:rsid w:val="00574441"/>
    <w:rsid w:val="0057454F"/>
    <w:rsid w:val="00574636"/>
    <w:rsid w:val="00574757"/>
    <w:rsid w:val="00574AB0"/>
    <w:rsid w:val="00574C3C"/>
    <w:rsid w:val="00574C85"/>
    <w:rsid w:val="00574CFF"/>
    <w:rsid w:val="00574DE9"/>
    <w:rsid w:val="00575711"/>
    <w:rsid w:val="005757A4"/>
    <w:rsid w:val="00575956"/>
    <w:rsid w:val="00575AF1"/>
    <w:rsid w:val="00575BC8"/>
    <w:rsid w:val="00575CC6"/>
    <w:rsid w:val="00575FA3"/>
    <w:rsid w:val="0057611D"/>
    <w:rsid w:val="00576354"/>
    <w:rsid w:val="00576826"/>
    <w:rsid w:val="00576895"/>
    <w:rsid w:val="00576910"/>
    <w:rsid w:val="00576A7D"/>
    <w:rsid w:val="00576BF7"/>
    <w:rsid w:val="005771E7"/>
    <w:rsid w:val="005774D1"/>
    <w:rsid w:val="00577659"/>
    <w:rsid w:val="005779B1"/>
    <w:rsid w:val="00577B7D"/>
    <w:rsid w:val="005800AF"/>
    <w:rsid w:val="005801FE"/>
    <w:rsid w:val="00580616"/>
    <w:rsid w:val="00580656"/>
    <w:rsid w:val="00580BE9"/>
    <w:rsid w:val="00580E0C"/>
    <w:rsid w:val="00581010"/>
    <w:rsid w:val="005811FA"/>
    <w:rsid w:val="00581337"/>
    <w:rsid w:val="0058168E"/>
    <w:rsid w:val="005816B9"/>
    <w:rsid w:val="005816BC"/>
    <w:rsid w:val="00581858"/>
    <w:rsid w:val="0058195D"/>
    <w:rsid w:val="00581D38"/>
    <w:rsid w:val="00581DB5"/>
    <w:rsid w:val="00581F34"/>
    <w:rsid w:val="0058203B"/>
    <w:rsid w:val="00582346"/>
    <w:rsid w:val="00582646"/>
    <w:rsid w:val="00582764"/>
    <w:rsid w:val="00582769"/>
    <w:rsid w:val="00582805"/>
    <w:rsid w:val="00582E63"/>
    <w:rsid w:val="00582F91"/>
    <w:rsid w:val="005830D0"/>
    <w:rsid w:val="00583169"/>
    <w:rsid w:val="00583190"/>
    <w:rsid w:val="0058320D"/>
    <w:rsid w:val="0058349D"/>
    <w:rsid w:val="005838F8"/>
    <w:rsid w:val="00583C20"/>
    <w:rsid w:val="00583DA9"/>
    <w:rsid w:val="00583EED"/>
    <w:rsid w:val="00584214"/>
    <w:rsid w:val="00584391"/>
    <w:rsid w:val="00584585"/>
    <w:rsid w:val="005847FD"/>
    <w:rsid w:val="00584DDE"/>
    <w:rsid w:val="0058509F"/>
    <w:rsid w:val="005853DA"/>
    <w:rsid w:val="0058555F"/>
    <w:rsid w:val="0058559D"/>
    <w:rsid w:val="0058563D"/>
    <w:rsid w:val="00585B3C"/>
    <w:rsid w:val="00585E65"/>
    <w:rsid w:val="00585FB4"/>
    <w:rsid w:val="005863C0"/>
    <w:rsid w:val="005864CF"/>
    <w:rsid w:val="00586C8D"/>
    <w:rsid w:val="00586ED6"/>
    <w:rsid w:val="0058705F"/>
    <w:rsid w:val="00587264"/>
    <w:rsid w:val="0058796B"/>
    <w:rsid w:val="00587A4F"/>
    <w:rsid w:val="00587AB0"/>
    <w:rsid w:val="00587BB0"/>
    <w:rsid w:val="00587CCF"/>
    <w:rsid w:val="0059033A"/>
    <w:rsid w:val="0059059B"/>
    <w:rsid w:val="005905D1"/>
    <w:rsid w:val="005905E0"/>
    <w:rsid w:val="005908DD"/>
    <w:rsid w:val="00590D57"/>
    <w:rsid w:val="00590E9F"/>
    <w:rsid w:val="00591818"/>
    <w:rsid w:val="005919C0"/>
    <w:rsid w:val="00591F23"/>
    <w:rsid w:val="00591F6E"/>
    <w:rsid w:val="00591F9B"/>
    <w:rsid w:val="00592110"/>
    <w:rsid w:val="00592224"/>
    <w:rsid w:val="005923EC"/>
    <w:rsid w:val="0059275C"/>
    <w:rsid w:val="00592801"/>
    <w:rsid w:val="00592CBA"/>
    <w:rsid w:val="005931A3"/>
    <w:rsid w:val="005933C1"/>
    <w:rsid w:val="00593731"/>
    <w:rsid w:val="00593AFE"/>
    <w:rsid w:val="00593C33"/>
    <w:rsid w:val="00593F10"/>
    <w:rsid w:val="005942FC"/>
    <w:rsid w:val="0059435E"/>
    <w:rsid w:val="005948D3"/>
    <w:rsid w:val="00594AA5"/>
    <w:rsid w:val="00594B0B"/>
    <w:rsid w:val="00594BBC"/>
    <w:rsid w:val="00594BC6"/>
    <w:rsid w:val="00595312"/>
    <w:rsid w:val="005957BD"/>
    <w:rsid w:val="0059589C"/>
    <w:rsid w:val="00595A23"/>
    <w:rsid w:val="00595EC9"/>
    <w:rsid w:val="00596340"/>
    <w:rsid w:val="00596364"/>
    <w:rsid w:val="005963B4"/>
    <w:rsid w:val="00596464"/>
    <w:rsid w:val="005969AA"/>
    <w:rsid w:val="005969D8"/>
    <w:rsid w:val="00596A67"/>
    <w:rsid w:val="00596E06"/>
    <w:rsid w:val="00597045"/>
    <w:rsid w:val="005974A1"/>
    <w:rsid w:val="00597A7F"/>
    <w:rsid w:val="00597D1D"/>
    <w:rsid w:val="00597D4C"/>
    <w:rsid w:val="00597F25"/>
    <w:rsid w:val="00597F7B"/>
    <w:rsid w:val="005A0025"/>
    <w:rsid w:val="005A023F"/>
    <w:rsid w:val="005A08EA"/>
    <w:rsid w:val="005A0B88"/>
    <w:rsid w:val="005A0E39"/>
    <w:rsid w:val="005A0ED4"/>
    <w:rsid w:val="005A0F92"/>
    <w:rsid w:val="005A10C9"/>
    <w:rsid w:val="005A11ED"/>
    <w:rsid w:val="005A1375"/>
    <w:rsid w:val="005A1483"/>
    <w:rsid w:val="005A14B6"/>
    <w:rsid w:val="005A15F0"/>
    <w:rsid w:val="005A178E"/>
    <w:rsid w:val="005A1C03"/>
    <w:rsid w:val="005A1C99"/>
    <w:rsid w:val="005A1DFE"/>
    <w:rsid w:val="005A22C7"/>
    <w:rsid w:val="005A2CBF"/>
    <w:rsid w:val="005A2EFE"/>
    <w:rsid w:val="005A32A8"/>
    <w:rsid w:val="005A3318"/>
    <w:rsid w:val="005A3340"/>
    <w:rsid w:val="005A36A9"/>
    <w:rsid w:val="005A3A7B"/>
    <w:rsid w:val="005A3C94"/>
    <w:rsid w:val="005A3F31"/>
    <w:rsid w:val="005A41B6"/>
    <w:rsid w:val="005A4647"/>
    <w:rsid w:val="005A4D17"/>
    <w:rsid w:val="005A537B"/>
    <w:rsid w:val="005A5553"/>
    <w:rsid w:val="005A5701"/>
    <w:rsid w:val="005A5759"/>
    <w:rsid w:val="005A5C9A"/>
    <w:rsid w:val="005A5E3B"/>
    <w:rsid w:val="005A60A0"/>
    <w:rsid w:val="005A6164"/>
    <w:rsid w:val="005A68C0"/>
    <w:rsid w:val="005A6943"/>
    <w:rsid w:val="005A6A4A"/>
    <w:rsid w:val="005A6F96"/>
    <w:rsid w:val="005A6FAB"/>
    <w:rsid w:val="005A73AC"/>
    <w:rsid w:val="005A74BA"/>
    <w:rsid w:val="005A7610"/>
    <w:rsid w:val="005A766C"/>
    <w:rsid w:val="005A7678"/>
    <w:rsid w:val="005A77E4"/>
    <w:rsid w:val="005A7BFA"/>
    <w:rsid w:val="005A7C24"/>
    <w:rsid w:val="005A7FD1"/>
    <w:rsid w:val="005B0144"/>
    <w:rsid w:val="005B0508"/>
    <w:rsid w:val="005B0566"/>
    <w:rsid w:val="005B057D"/>
    <w:rsid w:val="005B05D6"/>
    <w:rsid w:val="005B07BD"/>
    <w:rsid w:val="005B0831"/>
    <w:rsid w:val="005B08C0"/>
    <w:rsid w:val="005B09DA"/>
    <w:rsid w:val="005B0B69"/>
    <w:rsid w:val="005B110A"/>
    <w:rsid w:val="005B1B06"/>
    <w:rsid w:val="005B1B68"/>
    <w:rsid w:val="005B1E57"/>
    <w:rsid w:val="005B1EEB"/>
    <w:rsid w:val="005B2129"/>
    <w:rsid w:val="005B25A9"/>
    <w:rsid w:val="005B26D6"/>
    <w:rsid w:val="005B2968"/>
    <w:rsid w:val="005B2990"/>
    <w:rsid w:val="005B2DE4"/>
    <w:rsid w:val="005B3189"/>
    <w:rsid w:val="005B31E3"/>
    <w:rsid w:val="005B3FDB"/>
    <w:rsid w:val="005B4008"/>
    <w:rsid w:val="005B42EB"/>
    <w:rsid w:val="005B4515"/>
    <w:rsid w:val="005B469C"/>
    <w:rsid w:val="005B488A"/>
    <w:rsid w:val="005B48CD"/>
    <w:rsid w:val="005B4932"/>
    <w:rsid w:val="005B4A7F"/>
    <w:rsid w:val="005B4B35"/>
    <w:rsid w:val="005B4EE2"/>
    <w:rsid w:val="005B5222"/>
    <w:rsid w:val="005B548A"/>
    <w:rsid w:val="005B5731"/>
    <w:rsid w:val="005B5A68"/>
    <w:rsid w:val="005B5B2F"/>
    <w:rsid w:val="005B5E13"/>
    <w:rsid w:val="005B62D5"/>
    <w:rsid w:val="005B660E"/>
    <w:rsid w:val="005B6849"/>
    <w:rsid w:val="005B6C06"/>
    <w:rsid w:val="005B6D99"/>
    <w:rsid w:val="005B70EE"/>
    <w:rsid w:val="005B71F5"/>
    <w:rsid w:val="005B7489"/>
    <w:rsid w:val="005B79E3"/>
    <w:rsid w:val="005B7DBB"/>
    <w:rsid w:val="005B7FC3"/>
    <w:rsid w:val="005C0409"/>
    <w:rsid w:val="005C0587"/>
    <w:rsid w:val="005C07A8"/>
    <w:rsid w:val="005C0E0C"/>
    <w:rsid w:val="005C1126"/>
    <w:rsid w:val="005C112F"/>
    <w:rsid w:val="005C1602"/>
    <w:rsid w:val="005C193F"/>
    <w:rsid w:val="005C1AF0"/>
    <w:rsid w:val="005C1C27"/>
    <w:rsid w:val="005C1FA8"/>
    <w:rsid w:val="005C1FB8"/>
    <w:rsid w:val="005C2014"/>
    <w:rsid w:val="005C23AA"/>
    <w:rsid w:val="005C2749"/>
    <w:rsid w:val="005C27CC"/>
    <w:rsid w:val="005C289F"/>
    <w:rsid w:val="005C2955"/>
    <w:rsid w:val="005C2A35"/>
    <w:rsid w:val="005C2CC3"/>
    <w:rsid w:val="005C2D2B"/>
    <w:rsid w:val="005C312A"/>
    <w:rsid w:val="005C3378"/>
    <w:rsid w:val="005C343A"/>
    <w:rsid w:val="005C3863"/>
    <w:rsid w:val="005C396B"/>
    <w:rsid w:val="005C3F34"/>
    <w:rsid w:val="005C3FDB"/>
    <w:rsid w:val="005C401C"/>
    <w:rsid w:val="005C46FB"/>
    <w:rsid w:val="005C4C09"/>
    <w:rsid w:val="005C4C98"/>
    <w:rsid w:val="005C506B"/>
    <w:rsid w:val="005C53BC"/>
    <w:rsid w:val="005C54E7"/>
    <w:rsid w:val="005C54E9"/>
    <w:rsid w:val="005C55C4"/>
    <w:rsid w:val="005C55CD"/>
    <w:rsid w:val="005C55E1"/>
    <w:rsid w:val="005C5751"/>
    <w:rsid w:val="005C589B"/>
    <w:rsid w:val="005C5BD1"/>
    <w:rsid w:val="005C5C12"/>
    <w:rsid w:val="005C5F25"/>
    <w:rsid w:val="005C5F2C"/>
    <w:rsid w:val="005C5F5D"/>
    <w:rsid w:val="005C60B1"/>
    <w:rsid w:val="005C621D"/>
    <w:rsid w:val="005C656B"/>
    <w:rsid w:val="005C68D8"/>
    <w:rsid w:val="005C6CCD"/>
    <w:rsid w:val="005C6DAD"/>
    <w:rsid w:val="005C6F64"/>
    <w:rsid w:val="005C71BC"/>
    <w:rsid w:val="005C71FC"/>
    <w:rsid w:val="005C72B4"/>
    <w:rsid w:val="005C734F"/>
    <w:rsid w:val="005C75E1"/>
    <w:rsid w:val="005C7644"/>
    <w:rsid w:val="005C7C1A"/>
    <w:rsid w:val="005D060F"/>
    <w:rsid w:val="005D06C7"/>
    <w:rsid w:val="005D0910"/>
    <w:rsid w:val="005D0970"/>
    <w:rsid w:val="005D1014"/>
    <w:rsid w:val="005D1077"/>
    <w:rsid w:val="005D1145"/>
    <w:rsid w:val="005D11EF"/>
    <w:rsid w:val="005D1252"/>
    <w:rsid w:val="005D1313"/>
    <w:rsid w:val="005D132E"/>
    <w:rsid w:val="005D13BF"/>
    <w:rsid w:val="005D1A79"/>
    <w:rsid w:val="005D1A98"/>
    <w:rsid w:val="005D1B7A"/>
    <w:rsid w:val="005D1B84"/>
    <w:rsid w:val="005D1EC9"/>
    <w:rsid w:val="005D2232"/>
    <w:rsid w:val="005D2496"/>
    <w:rsid w:val="005D2525"/>
    <w:rsid w:val="005D26B6"/>
    <w:rsid w:val="005D2A4D"/>
    <w:rsid w:val="005D2E8F"/>
    <w:rsid w:val="005D30AD"/>
    <w:rsid w:val="005D3301"/>
    <w:rsid w:val="005D36E2"/>
    <w:rsid w:val="005D3B26"/>
    <w:rsid w:val="005D3FD1"/>
    <w:rsid w:val="005D4053"/>
    <w:rsid w:val="005D4188"/>
    <w:rsid w:val="005D4478"/>
    <w:rsid w:val="005D44D5"/>
    <w:rsid w:val="005D4893"/>
    <w:rsid w:val="005D48D7"/>
    <w:rsid w:val="005D4A5A"/>
    <w:rsid w:val="005D4BBE"/>
    <w:rsid w:val="005D4DDA"/>
    <w:rsid w:val="005D4F94"/>
    <w:rsid w:val="005D50A8"/>
    <w:rsid w:val="005D5731"/>
    <w:rsid w:val="005D57C0"/>
    <w:rsid w:val="005D5828"/>
    <w:rsid w:val="005D5957"/>
    <w:rsid w:val="005D5B3C"/>
    <w:rsid w:val="005D5BCF"/>
    <w:rsid w:val="005D5F98"/>
    <w:rsid w:val="005D6409"/>
    <w:rsid w:val="005D64E1"/>
    <w:rsid w:val="005D64F4"/>
    <w:rsid w:val="005D688F"/>
    <w:rsid w:val="005D689C"/>
    <w:rsid w:val="005D6907"/>
    <w:rsid w:val="005D6BBA"/>
    <w:rsid w:val="005D7056"/>
    <w:rsid w:val="005D712C"/>
    <w:rsid w:val="005D71F3"/>
    <w:rsid w:val="005D73B5"/>
    <w:rsid w:val="005D7635"/>
    <w:rsid w:val="005D7644"/>
    <w:rsid w:val="005D7646"/>
    <w:rsid w:val="005D7699"/>
    <w:rsid w:val="005D7A28"/>
    <w:rsid w:val="005D7BC9"/>
    <w:rsid w:val="005D7C11"/>
    <w:rsid w:val="005D7DB8"/>
    <w:rsid w:val="005D7EC0"/>
    <w:rsid w:val="005E005F"/>
    <w:rsid w:val="005E02E4"/>
    <w:rsid w:val="005E0350"/>
    <w:rsid w:val="005E06D1"/>
    <w:rsid w:val="005E148F"/>
    <w:rsid w:val="005E15F6"/>
    <w:rsid w:val="005E16DE"/>
    <w:rsid w:val="005E19AD"/>
    <w:rsid w:val="005E19AF"/>
    <w:rsid w:val="005E1D39"/>
    <w:rsid w:val="005E1F66"/>
    <w:rsid w:val="005E2261"/>
    <w:rsid w:val="005E230A"/>
    <w:rsid w:val="005E2863"/>
    <w:rsid w:val="005E2D11"/>
    <w:rsid w:val="005E2D34"/>
    <w:rsid w:val="005E2DD5"/>
    <w:rsid w:val="005E30AB"/>
    <w:rsid w:val="005E32E5"/>
    <w:rsid w:val="005E3537"/>
    <w:rsid w:val="005E355F"/>
    <w:rsid w:val="005E36E1"/>
    <w:rsid w:val="005E371D"/>
    <w:rsid w:val="005E3787"/>
    <w:rsid w:val="005E3C5A"/>
    <w:rsid w:val="005E45FC"/>
    <w:rsid w:val="005E46BE"/>
    <w:rsid w:val="005E4857"/>
    <w:rsid w:val="005E493E"/>
    <w:rsid w:val="005E4A7D"/>
    <w:rsid w:val="005E4A8B"/>
    <w:rsid w:val="005E4B5F"/>
    <w:rsid w:val="005E4BBF"/>
    <w:rsid w:val="005E4E17"/>
    <w:rsid w:val="005E4E56"/>
    <w:rsid w:val="005E5091"/>
    <w:rsid w:val="005E51E7"/>
    <w:rsid w:val="005E5399"/>
    <w:rsid w:val="005E5BC9"/>
    <w:rsid w:val="005E5E4C"/>
    <w:rsid w:val="005E601A"/>
    <w:rsid w:val="005E6635"/>
    <w:rsid w:val="005E675A"/>
    <w:rsid w:val="005E6994"/>
    <w:rsid w:val="005E6A4F"/>
    <w:rsid w:val="005E6DA2"/>
    <w:rsid w:val="005E6EBB"/>
    <w:rsid w:val="005E6F61"/>
    <w:rsid w:val="005E71EB"/>
    <w:rsid w:val="005E7A42"/>
    <w:rsid w:val="005E7DD7"/>
    <w:rsid w:val="005F0188"/>
    <w:rsid w:val="005F06D7"/>
    <w:rsid w:val="005F0759"/>
    <w:rsid w:val="005F095B"/>
    <w:rsid w:val="005F098F"/>
    <w:rsid w:val="005F0A50"/>
    <w:rsid w:val="005F0CCF"/>
    <w:rsid w:val="005F0EE9"/>
    <w:rsid w:val="005F106A"/>
    <w:rsid w:val="005F108C"/>
    <w:rsid w:val="005F10F9"/>
    <w:rsid w:val="005F1784"/>
    <w:rsid w:val="005F1862"/>
    <w:rsid w:val="005F18DB"/>
    <w:rsid w:val="005F191C"/>
    <w:rsid w:val="005F1A18"/>
    <w:rsid w:val="005F1ADE"/>
    <w:rsid w:val="005F1EA5"/>
    <w:rsid w:val="005F24DF"/>
    <w:rsid w:val="005F24EB"/>
    <w:rsid w:val="005F286C"/>
    <w:rsid w:val="005F2942"/>
    <w:rsid w:val="005F29EE"/>
    <w:rsid w:val="005F2BB0"/>
    <w:rsid w:val="005F30A7"/>
    <w:rsid w:val="005F310E"/>
    <w:rsid w:val="005F35D0"/>
    <w:rsid w:val="005F36FB"/>
    <w:rsid w:val="005F3F16"/>
    <w:rsid w:val="005F4065"/>
    <w:rsid w:val="005F444B"/>
    <w:rsid w:val="005F45F2"/>
    <w:rsid w:val="005F4825"/>
    <w:rsid w:val="005F4885"/>
    <w:rsid w:val="005F4922"/>
    <w:rsid w:val="005F4AA8"/>
    <w:rsid w:val="005F4C1D"/>
    <w:rsid w:val="005F4E22"/>
    <w:rsid w:val="005F4E3A"/>
    <w:rsid w:val="005F508E"/>
    <w:rsid w:val="005F51CE"/>
    <w:rsid w:val="005F5450"/>
    <w:rsid w:val="005F5559"/>
    <w:rsid w:val="005F57E6"/>
    <w:rsid w:val="005F57FF"/>
    <w:rsid w:val="005F5915"/>
    <w:rsid w:val="005F59C3"/>
    <w:rsid w:val="005F59EC"/>
    <w:rsid w:val="005F5D0B"/>
    <w:rsid w:val="005F5E88"/>
    <w:rsid w:val="005F5EA8"/>
    <w:rsid w:val="005F62C8"/>
    <w:rsid w:val="005F690F"/>
    <w:rsid w:val="005F6B06"/>
    <w:rsid w:val="005F6DC4"/>
    <w:rsid w:val="005F7279"/>
    <w:rsid w:val="005F730E"/>
    <w:rsid w:val="005F7821"/>
    <w:rsid w:val="005F7A00"/>
    <w:rsid w:val="005F7C4B"/>
    <w:rsid w:val="005F7CCD"/>
    <w:rsid w:val="006000E4"/>
    <w:rsid w:val="0060014F"/>
    <w:rsid w:val="006001D0"/>
    <w:rsid w:val="00600291"/>
    <w:rsid w:val="00600636"/>
    <w:rsid w:val="00600895"/>
    <w:rsid w:val="00600913"/>
    <w:rsid w:val="00600959"/>
    <w:rsid w:val="00600978"/>
    <w:rsid w:val="00600AC7"/>
    <w:rsid w:val="00600CDA"/>
    <w:rsid w:val="00600D05"/>
    <w:rsid w:val="00600D91"/>
    <w:rsid w:val="00601018"/>
    <w:rsid w:val="006014B9"/>
    <w:rsid w:val="00601954"/>
    <w:rsid w:val="00601BD6"/>
    <w:rsid w:val="00601C56"/>
    <w:rsid w:val="00601CD4"/>
    <w:rsid w:val="00601E0F"/>
    <w:rsid w:val="00602081"/>
    <w:rsid w:val="0060218A"/>
    <w:rsid w:val="006022CC"/>
    <w:rsid w:val="0060265A"/>
    <w:rsid w:val="00602A02"/>
    <w:rsid w:val="00602BAC"/>
    <w:rsid w:val="00602C3C"/>
    <w:rsid w:val="00602D93"/>
    <w:rsid w:val="0060337D"/>
    <w:rsid w:val="006033D1"/>
    <w:rsid w:val="0060350B"/>
    <w:rsid w:val="0060367A"/>
    <w:rsid w:val="00603728"/>
    <w:rsid w:val="006038A7"/>
    <w:rsid w:val="006039A3"/>
    <w:rsid w:val="00603AD6"/>
    <w:rsid w:val="00603C58"/>
    <w:rsid w:val="00603C72"/>
    <w:rsid w:val="00603C8A"/>
    <w:rsid w:val="00603CEC"/>
    <w:rsid w:val="00604488"/>
    <w:rsid w:val="0060458B"/>
    <w:rsid w:val="0060485B"/>
    <w:rsid w:val="0060494A"/>
    <w:rsid w:val="00604A07"/>
    <w:rsid w:val="00604AE2"/>
    <w:rsid w:val="00604B99"/>
    <w:rsid w:val="00604C2B"/>
    <w:rsid w:val="00605103"/>
    <w:rsid w:val="00605831"/>
    <w:rsid w:val="00605ABF"/>
    <w:rsid w:val="006060DB"/>
    <w:rsid w:val="00606366"/>
    <w:rsid w:val="0060684F"/>
    <w:rsid w:val="00606892"/>
    <w:rsid w:val="00606941"/>
    <w:rsid w:val="006069F5"/>
    <w:rsid w:val="00607015"/>
    <w:rsid w:val="00607291"/>
    <w:rsid w:val="006073FC"/>
    <w:rsid w:val="0060767F"/>
    <w:rsid w:val="0060788F"/>
    <w:rsid w:val="00607A72"/>
    <w:rsid w:val="00607B4B"/>
    <w:rsid w:val="00607B86"/>
    <w:rsid w:val="00607EFD"/>
    <w:rsid w:val="006101F0"/>
    <w:rsid w:val="0061043C"/>
    <w:rsid w:val="006106BD"/>
    <w:rsid w:val="00610762"/>
    <w:rsid w:val="0061099F"/>
    <w:rsid w:val="00610B4E"/>
    <w:rsid w:val="00610C0E"/>
    <w:rsid w:val="00610C29"/>
    <w:rsid w:val="00610D3C"/>
    <w:rsid w:val="00611373"/>
    <w:rsid w:val="006115EB"/>
    <w:rsid w:val="00611909"/>
    <w:rsid w:val="00611920"/>
    <w:rsid w:val="00611D83"/>
    <w:rsid w:val="00611FCD"/>
    <w:rsid w:val="00612918"/>
    <w:rsid w:val="00612BC0"/>
    <w:rsid w:val="00612C6B"/>
    <w:rsid w:val="00612C7E"/>
    <w:rsid w:val="00612F11"/>
    <w:rsid w:val="00612FAB"/>
    <w:rsid w:val="00613211"/>
    <w:rsid w:val="006133E6"/>
    <w:rsid w:val="006137C7"/>
    <w:rsid w:val="00613926"/>
    <w:rsid w:val="00613E8C"/>
    <w:rsid w:val="00614442"/>
    <w:rsid w:val="0061454D"/>
    <w:rsid w:val="00614782"/>
    <w:rsid w:val="00614ABD"/>
    <w:rsid w:val="00614BDC"/>
    <w:rsid w:val="00614C23"/>
    <w:rsid w:val="00614CAA"/>
    <w:rsid w:val="00614E13"/>
    <w:rsid w:val="00615390"/>
    <w:rsid w:val="006153C1"/>
    <w:rsid w:val="0061551E"/>
    <w:rsid w:val="00616178"/>
    <w:rsid w:val="0061640F"/>
    <w:rsid w:val="006166A7"/>
    <w:rsid w:val="006166D3"/>
    <w:rsid w:val="0061688C"/>
    <w:rsid w:val="006169B4"/>
    <w:rsid w:val="00616D96"/>
    <w:rsid w:val="00617022"/>
    <w:rsid w:val="00617183"/>
    <w:rsid w:val="0061731F"/>
    <w:rsid w:val="00617366"/>
    <w:rsid w:val="006174DB"/>
    <w:rsid w:val="00617671"/>
    <w:rsid w:val="00617726"/>
    <w:rsid w:val="00617785"/>
    <w:rsid w:val="006177F6"/>
    <w:rsid w:val="00617A2A"/>
    <w:rsid w:val="00617CE5"/>
    <w:rsid w:val="00617EA4"/>
    <w:rsid w:val="00617EFF"/>
    <w:rsid w:val="00620233"/>
    <w:rsid w:val="006202FD"/>
    <w:rsid w:val="006203BA"/>
    <w:rsid w:val="00620899"/>
    <w:rsid w:val="00620BE8"/>
    <w:rsid w:val="00620E26"/>
    <w:rsid w:val="00620E54"/>
    <w:rsid w:val="00620EE5"/>
    <w:rsid w:val="00621257"/>
    <w:rsid w:val="0062130B"/>
    <w:rsid w:val="0062160C"/>
    <w:rsid w:val="006217A7"/>
    <w:rsid w:val="00621835"/>
    <w:rsid w:val="006218A7"/>
    <w:rsid w:val="00621C3A"/>
    <w:rsid w:val="006222A2"/>
    <w:rsid w:val="00622700"/>
    <w:rsid w:val="00622721"/>
    <w:rsid w:val="00622D1B"/>
    <w:rsid w:val="00622E2C"/>
    <w:rsid w:val="00622ED6"/>
    <w:rsid w:val="006234BD"/>
    <w:rsid w:val="00623584"/>
    <w:rsid w:val="00623676"/>
    <w:rsid w:val="00623B19"/>
    <w:rsid w:val="00623D6B"/>
    <w:rsid w:val="00623E20"/>
    <w:rsid w:val="006242E9"/>
    <w:rsid w:val="006246D7"/>
    <w:rsid w:val="00624B0B"/>
    <w:rsid w:val="00624BEC"/>
    <w:rsid w:val="00624DFE"/>
    <w:rsid w:val="00624E09"/>
    <w:rsid w:val="00625144"/>
    <w:rsid w:val="00625608"/>
    <w:rsid w:val="00625693"/>
    <w:rsid w:val="0062585B"/>
    <w:rsid w:val="0062588E"/>
    <w:rsid w:val="00625B62"/>
    <w:rsid w:val="00625CD3"/>
    <w:rsid w:val="00626001"/>
    <w:rsid w:val="00626077"/>
    <w:rsid w:val="0062644B"/>
    <w:rsid w:val="0062648B"/>
    <w:rsid w:val="00626576"/>
    <w:rsid w:val="006266E5"/>
    <w:rsid w:val="0062698B"/>
    <w:rsid w:val="00626AAE"/>
    <w:rsid w:val="00626B95"/>
    <w:rsid w:val="00626C53"/>
    <w:rsid w:val="00626CC5"/>
    <w:rsid w:val="006272BF"/>
    <w:rsid w:val="00627403"/>
    <w:rsid w:val="00627662"/>
    <w:rsid w:val="00627936"/>
    <w:rsid w:val="00627DCC"/>
    <w:rsid w:val="00627F0A"/>
    <w:rsid w:val="00630122"/>
    <w:rsid w:val="00630129"/>
    <w:rsid w:val="00630242"/>
    <w:rsid w:val="00630289"/>
    <w:rsid w:val="006305B6"/>
    <w:rsid w:val="00630ABA"/>
    <w:rsid w:val="006311CA"/>
    <w:rsid w:val="006312AC"/>
    <w:rsid w:val="006316EC"/>
    <w:rsid w:val="006318DC"/>
    <w:rsid w:val="00631F9F"/>
    <w:rsid w:val="006320C0"/>
    <w:rsid w:val="00632187"/>
    <w:rsid w:val="006321A3"/>
    <w:rsid w:val="0063222F"/>
    <w:rsid w:val="00632261"/>
    <w:rsid w:val="006325F8"/>
    <w:rsid w:val="00632785"/>
    <w:rsid w:val="00632A2F"/>
    <w:rsid w:val="00632C3C"/>
    <w:rsid w:val="00633101"/>
    <w:rsid w:val="0063317A"/>
    <w:rsid w:val="00633302"/>
    <w:rsid w:val="0063331B"/>
    <w:rsid w:val="00633352"/>
    <w:rsid w:val="00633463"/>
    <w:rsid w:val="00633C81"/>
    <w:rsid w:val="006344FA"/>
    <w:rsid w:val="00634765"/>
    <w:rsid w:val="00634A85"/>
    <w:rsid w:val="00634D42"/>
    <w:rsid w:val="006353F1"/>
    <w:rsid w:val="0063556B"/>
    <w:rsid w:val="0063590C"/>
    <w:rsid w:val="00635ACA"/>
    <w:rsid w:val="00635B21"/>
    <w:rsid w:val="00635C6A"/>
    <w:rsid w:val="00635E3F"/>
    <w:rsid w:val="00636140"/>
    <w:rsid w:val="006361C1"/>
    <w:rsid w:val="0063658E"/>
    <w:rsid w:val="00636802"/>
    <w:rsid w:val="0063691E"/>
    <w:rsid w:val="00636B8B"/>
    <w:rsid w:val="00636BAF"/>
    <w:rsid w:val="00636D7F"/>
    <w:rsid w:val="006377B6"/>
    <w:rsid w:val="006379AD"/>
    <w:rsid w:val="00637B05"/>
    <w:rsid w:val="00637D45"/>
    <w:rsid w:val="00637FAC"/>
    <w:rsid w:val="006404E3"/>
    <w:rsid w:val="00640DAB"/>
    <w:rsid w:val="0064106B"/>
    <w:rsid w:val="006417B1"/>
    <w:rsid w:val="00641B7D"/>
    <w:rsid w:val="00641CF3"/>
    <w:rsid w:val="00641FBB"/>
    <w:rsid w:val="00642219"/>
    <w:rsid w:val="00642256"/>
    <w:rsid w:val="006423FD"/>
    <w:rsid w:val="00642915"/>
    <w:rsid w:val="00642D0C"/>
    <w:rsid w:val="00642DF1"/>
    <w:rsid w:val="006430A2"/>
    <w:rsid w:val="006433C7"/>
    <w:rsid w:val="00643520"/>
    <w:rsid w:val="00643C20"/>
    <w:rsid w:val="00643D43"/>
    <w:rsid w:val="006443FC"/>
    <w:rsid w:val="006446F6"/>
    <w:rsid w:val="006448AE"/>
    <w:rsid w:val="006448B6"/>
    <w:rsid w:val="00644975"/>
    <w:rsid w:val="00644CE0"/>
    <w:rsid w:val="00644E81"/>
    <w:rsid w:val="00644F5A"/>
    <w:rsid w:val="00645070"/>
    <w:rsid w:val="00645811"/>
    <w:rsid w:val="006458F4"/>
    <w:rsid w:val="00645AF6"/>
    <w:rsid w:val="006463AA"/>
    <w:rsid w:val="00646836"/>
    <w:rsid w:val="00646914"/>
    <w:rsid w:val="00646DF3"/>
    <w:rsid w:val="00646FBB"/>
    <w:rsid w:val="006472BD"/>
    <w:rsid w:val="00647448"/>
    <w:rsid w:val="00647498"/>
    <w:rsid w:val="00647523"/>
    <w:rsid w:val="00647558"/>
    <w:rsid w:val="0064782C"/>
    <w:rsid w:val="00647DF2"/>
    <w:rsid w:val="00647ED2"/>
    <w:rsid w:val="0065006D"/>
    <w:rsid w:val="00650159"/>
    <w:rsid w:val="0065044A"/>
    <w:rsid w:val="00650A10"/>
    <w:rsid w:val="00650AB1"/>
    <w:rsid w:val="00650AE3"/>
    <w:rsid w:val="00650CB5"/>
    <w:rsid w:val="00650D5F"/>
    <w:rsid w:val="00651136"/>
    <w:rsid w:val="00651564"/>
    <w:rsid w:val="006515AA"/>
    <w:rsid w:val="0065175B"/>
    <w:rsid w:val="00651773"/>
    <w:rsid w:val="006519D5"/>
    <w:rsid w:val="00651D79"/>
    <w:rsid w:val="00652056"/>
    <w:rsid w:val="0065224C"/>
    <w:rsid w:val="00652520"/>
    <w:rsid w:val="00652650"/>
    <w:rsid w:val="006527BB"/>
    <w:rsid w:val="00652B29"/>
    <w:rsid w:val="00652C6C"/>
    <w:rsid w:val="006536B1"/>
    <w:rsid w:val="00653718"/>
    <w:rsid w:val="006539B0"/>
    <w:rsid w:val="00653BA1"/>
    <w:rsid w:val="00653F0B"/>
    <w:rsid w:val="00653F3F"/>
    <w:rsid w:val="00653F80"/>
    <w:rsid w:val="00653FA3"/>
    <w:rsid w:val="00653FF2"/>
    <w:rsid w:val="00654083"/>
    <w:rsid w:val="006540C3"/>
    <w:rsid w:val="00654534"/>
    <w:rsid w:val="0065453A"/>
    <w:rsid w:val="00654954"/>
    <w:rsid w:val="00654AA3"/>
    <w:rsid w:val="00654B25"/>
    <w:rsid w:val="00654BC4"/>
    <w:rsid w:val="00654E13"/>
    <w:rsid w:val="00654EE1"/>
    <w:rsid w:val="006552BA"/>
    <w:rsid w:val="00655370"/>
    <w:rsid w:val="006556B5"/>
    <w:rsid w:val="00655C54"/>
    <w:rsid w:val="00655CA1"/>
    <w:rsid w:val="00655CE8"/>
    <w:rsid w:val="00655E22"/>
    <w:rsid w:val="00655E93"/>
    <w:rsid w:val="00655F70"/>
    <w:rsid w:val="006562F4"/>
    <w:rsid w:val="0065632D"/>
    <w:rsid w:val="006563BC"/>
    <w:rsid w:val="006563EC"/>
    <w:rsid w:val="00656714"/>
    <w:rsid w:val="006567F3"/>
    <w:rsid w:val="0065696F"/>
    <w:rsid w:val="006569B7"/>
    <w:rsid w:val="006570B9"/>
    <w:rsid w:val="006571B6"/>
    <w:rsid w:val="0065764C"/>
    <w:rsid w:val="0065780E"/>
    <w:rsid w:val="0065794F"/>
    <w:rsid w:val="00660477"/>
    <w:rsid w:val="0066087F"/>
    <w:rsid w:val="006608F9"/>
    <w:rsid w:val="00660BD3"/>
    <w:rsid w:val="00661005"/>
    <w:rsid w:val="006612EB"/>
    <w:rsid w:val="0066164E"/>
    <w:rsid w:val="00661663"/>
    <w:rsid w:val="0066198F"/>
    <w:rsid w:val="006619D1"/>
    <w:rsid w:val="00661D5B"/>
    <w:rsid w:val="00661FBD"/>
    <w:rsid w:val="00662195"/>
    <w:rsid w:val="0066241F"/>
    <w:rsid w:val="006629BE"/>
    <w:rsid w:val="00662CB0"/>
    <w:rsid w:val="00662CEB"/>
    <w:rsid w:val="006630CF"/>
    <w:rsid w:val="0066334A"/>
    <w:rsid w:val="006634A5"/>
    <w:rsid w:val="00663612"/>
    <w:rsid w:val="006636D8"/>
    <w:rsid w:val="00663C65"/>
    <w:rsid w:val="00663FB4"/>
    <w:rsid w:val="00664035"/>
    <w:rsid w:val="00664229"/>
    <w:rsid w:val="00664A6E"/>
    <w:rsid w:val="00664D05"/>
    <w:rsid w:val="00664F1A"/>
    <w:rsid w:val="006652E6"/>
    <w:rsid w:val="006653E3"/>
    <w:rsid w:val="006655F5"/>
    <w:rsid w:val="00665662"/>
    <w:rsid w:val="00665995"/>
    <w:rsid w:val="00665A05"/>
    <w:rsid w:val="00665EDD"/>
    <w:rsid w:val="00665F2F"/>
    <w:rsid w:val="0066612C"/>
    <w:rsid w:val="0066621A"/>
    <w:rsid w:val="00666490"/>
    <w:rsid w:val="006664BF"/>
    <w:rsid w:val="00666576"/>
    <w:rsid w:val="0066677D"/>
    <w:rsid w:val="006668E9"/>
    <w:rsid w:val="00666974"/>
    <w:rsid w:val="00666D84"/>
    <w:rsid w:val="00666D8F"/>
    <w:rsid w:val="00666DAA"/>
    <w:rsid w:val="006670F1"/>
    <w:rsid w:val="006672AD"/>
    <w:rsid w:val="00667485"/>
    <w:rsid w:val="006675E5"/>
    <w:rsid w:val="00667837"/>
    <w:rsid w:val="00667AEF"/>
    <w:rsid w:val="00667B96"/>
    <w:rsid w:val="00667CC3"/>
    <w:rsid w:val="00667D0E"/>
    <w:rsid w:val="00667E02"/>
    <w:rsid w:val="00670322"/>
    <w:rsid w:val="00670338"/>
    <w:rsid w:val="00670662"/>
    <w:rsid w:val="00670787"/>
    <w:rsid w:val="00670B97"/>
    <w:rsid w:val="00670CFF"/>
    <w:rsid w:val="006710B7"/>
    <w:rsid w:val="006710F8"/>
    <w:rsid w:val="00671281"/>
    <w:rsid w:val="006713F2"/>
    <w:rsid w:val="0067157A"/>
    <w:rsid w:val="00671A8E"/>
    <w:rsid w:val="00671B79"/>
    <w:rsid w:val="00671B8A"/>
    <w:rsid w:val="0067206D"/>
    <w:rsid w:val="006722B8"/>
    <w:rsid w:val="00672397"/>
    <w:rsid w:val="00672975"/>
    <w:rsid w:val="00672B02"/>
    <w:rsid w:val="00673203"/>
    <w:rsid w:val="00673900"/>
    <w:rsid w:val="00673AA4"/>
    <w:rsid w:val="00673B4E"/>
    <w:rsid w:val="00673C33"/>
    <w:rsid w:val="00673E27"/>
    <w:rsid w:val="00673EDA"/>
    <w:rsid w:val="00674272"/>
    <w:rsid w:val="006744F2"/>
    <w:rsid w:val="006746DD"/>
    <w:rsid w:val="006748BB"/>
    <w:rsid w:val="00674A7F"/>
    <w:rsid w:val="00674C13"/>
    <w:rsid w:val="00674C87"/>
    <w:rsid w:val="00674E3E"/>
    <w:rsid w:val="006750E1"/>
    <w:rsid w:val="006756C6"/>
    <w:rsid w:val="00675852"/>
    <w:rsid w:val="00675943"/>
    <w:rsid w:val="00675A6F"/>
    <w:rsid w:val="00676067"/>
    <w:rsid w:val="00676821"/>
    <w:rsid w:val="00676A30"/>
    <w:rsid w:val="00676ACF"/>
    <w:rsid w:val="00676B77"/>
    <w:rsid w:val="00676E00"/>
    <w:rsid w:val="00676F19"/>
    <w:rsid w:val="006770AC"/>
    <w:rsid w:val="00677365"/>
    <w:rsid w:val="00677B9D"/>
    <w:rsid w:val="00677E0B"/>
    <w:rsid w:val="00680252"/>
    <w:rsid w:val="00680393"/>
    <w:rsid w:val="00680918"/>
    <w:rsid w:val="00680BA7"/>
    <w:rsid w:val="00680FBC"/>
    <w:rsid w:val="00681185"/>
    <w:rsid w:val="00681755"/>
    <w:rsid w:val="00681794"/>
    <w:rsid w:val="006817BA"/>
    <w:rsid w:val="00681971"/>
    <w:rsid w:val="006819D4"/>
    <w:rsid w:val="00681B40"/>
    <w:rsid w:val="00681C48"/>
    <w:rsid w:val="00681CD5"/>
    <w:rsid w:val="00681DFE"/>
    <w:rsid w:val="00681EF8"/>
    <w:rsid w:val="00681F10"/>
    <w:rsid w:val="00682035"/>
    <w:rsid w:val="006821EA"/>
    <w:rsid w:val="0068227A"/>
    <w:rsid w:val="006830A3"/>
    <w:rsid w:val="00683452"/>
    <w:rsid w:val="00683482"/>
    <w:rsid w:val="006836FC"/>
    <w:rsid w:val="00683793"/>
    <w:rsid w:val="00683AF3"/>
    <w:rsid w:val="00683FA6"/>
    <w:rsid w:val="0068400B"/>
    <w:rsid w:val="0068411F"/>
    <w:rsid w:val="006842A8"/>
    <w:rsid w:val="00684318"/>
    <w:rsid w:val="0068437D"/>
    <w:rsid w:val="006849BB"/>
    <w:rsid w:val="00684A0F"/>
    <w:rsid w:val="00684D78"/>
    <w:rsid w:val="00684DB0"/>
    <w:rsid w:val="00684FBF"/>
    <w:rsid w:val="006851DD"/>
    <w:rsid w:val="00685288"/>
    <w:rsid w:val="0068550B"/>
    <w:rsid w:val="00685858"/>
    <w:rsid w:val="00685950"/>
    <w:rsid w:val="00685A14"/>
    <w:rsid w:val="00685BF8"/>
    <w:rsid w:val="00685CC7"/>
    <w:rsid w:val="0068616E"/>
    <w:rsid w:val="006862A6"/>
    <w:rsid w:val="0068651E"/>
    <w:rsid w:val="006867EE"/>
    <w:rsid w:val="00686A19"/>
    <w:rsid w:val="006871B1"/>
    <w:rsid w:val="00687942"/>
    <w:rsid w:val="00687C22"/>
    <w:rsid w:val="00687C3D"/>
    <w:rsid w:val="00690105"/>
    <w:rsid w:val="0069022B"/>
    <w:rsid w:val="00690365"/>
    <w:rsid w:val="00690755"/>
    <w:rsid w:val="00690829"/>
    <w:rsid w:val="00690DF3"/>
    <w:rsid w:val="006912B3"/>
    <w:rsid w:val="006914D2"/>
    <w:rsid w:val="00691523"/>
    <w:rsid w:val="00691A16"/>
    <w:rsid w:val="00691B02"/>
    <w:rsid w:val="00691C36"/>
    <w:rsid w:val="00691CA2"/>
    <w:rsid w:val="00691D58"/>
    <w:rsid w:val="00691D7A"/>
    <w:rsid w:val="00691F2D"/>
    <w:rsid w:val="00692183"/>
    <w:rsid w:val="00692598"/>
    <w:rsid w:val="006926CA"/>
    <w:rsid w:val="0069278C"/>
    <w:rsid w:val="00692F07"/>
    <w:rsid w:val="00693314"/>
    <w:rsid w:val="0069354A"/>
    <w:rsid w:val="00693594"/>
    <w:rsid w:val="00693982"/>
    <w:rsid w:val="006939EC"/>
    <w:rsid w:val="00693C50"/>
    <w:rsid w:val="00693D04"/>
    <w:rsid w:val="00693E33"/>
    <w:rsid w:val="00693E86"/>
    <w:rsid w:val="00693FA5"/>
    <w:rsid w:val="0069402A"/>
    <w:rsid w:val="00694386"/>
    <w:rsid w:val="0069458F"/>
    <w:rsid w:val="00694712"/>
    <w:rsid w:val="00694804"/>
    <w:rsid w:val="006949BB"/>
    <w:rsid w:val="006949F6"/>
    <w:rsid w:val="00694EC6"/>
    <w:rsid w:val="00694F8F"/>
    <w:rsid w:val="0069517B"/>
    <w:rsid w:val="00695181"/>
    <w:rsid w:val="00695918"/>
    <w:rsid w:val="00695937"/>
    <w:rsid w:val="0069597C"/>
    <w:rsid w:val="00695994"/>
    <w:rsid w:val="00695D95"/>
    <w:rsid w:val="006960B9"/>
    <w:rsid w:val="00696151"/>
    <w:rsid w:val="00696258"/>
    <w:rsid w:val="00696326"/>
    <w:rsid w:val="00696736"/>
    <w:rsid w:val="00696760"/>
    <w:rsid w:val="006970D5"/>
    <w:rsid w:val="00697118"/>
    <w:rsid w:val="0069739D"/>
    <w:rsid w:val="0069768B"/>
    <w:rsid w:val="0069772F"/>
    <w:rsid w:val="00697C94"/>
    <w:rsid w:val="00697CDE"/>
    <w:rsid w:val="006A0293"/>
    <w:rsid w:val="006A0560"/>
    <w:rsid w:val="006A06C6"/>
    <w:rsid w:val="006A08C1"/>
    <w:rsid w:val="006A0BE2"/>
    <w:rsid w:val="006A0D51"/>
    <w:rsid w:val="006A0DCB"/>
    <w:rsid w:val="006A1186"/>
    <w:rsid w:val="006A1E83"/>
    <w:rsid w:val="006A1EE1"/>
    <w:rsid w:val="006A1F2C"/>
    <w:rsid w:val="006A1F71"/>
    <w:rsid w:val="006A2159"/>
    <w:rsid w:val="006A249B"/>
    <w:rsid w:val="006A2A77"/>
    <w:rsid w:val="006A2C28"/>
    <w:rsid w:val="006A2DE9"/>
    <w:rsid w:val="006A354E"/>
    <w:rsid w:val="006A3795"/>
    <w:rsid w:val="006A3897"/>
    <w:rsid w:val="006A38F6"/>
    <w:rsid w:val="006A4211"/>
    <w:rsid w:val="006A4561"/>
    <w:rsid w:val="006A4AE2"/>
    <w:rsid w:val="006A4D8A"/>
    <w:rsid w:val="006A4D99"/>
    <w:rsid w:val="006A4F99"/>
    <w:rsid w:val="006A5014"/>
    <w:rsid w:val="006A50C8"/>
    <w:rsid w:val="006A50F0"/>
    <w:rsid w:val="006A5265"/>
    <w:rsid w:val="006A569A"/>
    <w:rsid w:val="006A5EE5"/>
    <w:rsid w:val="006A625E"/>
    <w:rsid w:val="006A64A9"/>
    <w:rsid w:val="006A65EE"/>
    <w:rsid w:val="006A65F9"/>
    <w:rsid w:val="006A661F"/>
    <w:rsid w:val="006A6AF9"/>
    <w:rsid w:val="006A6B52"/>
    <w:rsid w:val="006A7218"/>
    <w:rsid w:val="006A724B"/>
    <w:rsid w:val="006A7AD0"/>
    <w:rsid w:val="006A7B33"/>
    <w:rsid w:val="006A7D66"/>
    <w:rsid w:val="006A7DFF"/>
    <w:rsid w:val="006B0384"/>
    <w:rsid w:val="006B0469"/>
    <w:rsid w:val="006B0808"/>
    <w:rsid w:val="006B08D8"/>
    <w:rsid w:val="006B0925"/>
    <w:rsid w:val="006B0973"/>
    <w:rsid w:val="006B1231"/>
    <w:rsid w:val="006B19D8"/>
    <w:rsid w:val="006B1AD4"/>
    <w:rsid w:val="006B1C0B"/>
    <w:rsid w:val="006B1C87"/>
    <w:rsid w:val="006B202F"/>
    <w:rsid w:val="006B21AA"/>
    <w:rsid w:val="006B23AB"/>
    <w:rsid w:val="006B24E1"/>
    <w:rsid w:val="006B2648"/>
    <w:rsid w:val="006B277A"/>
    <w:rsid w:val="006B27FD"/>
    <w:rsid w:val="006B2C28"/>
    <w:rsid w:val="006B311C"/>
    <w:rsid w:val="006B32C9"/>
    <w:rsid w:val="006B34BE"/>
    <w:rsid w:val="006B38A8"/>
    <w:rsid w:val="006B3B09"/>
    <w:rsid w:val="006B3B18"/>
    <w:rsid w:val="006B3F25"/>
    <w:rsid w:val="006B3F5D"/>
    <w:rsid w:val="006B40B0"/>
    <w:rsid w:val="006B445E"/>
    <w:rsid w:val="006B4785"/>
    <w:rsid w:val="006B4949"/>
    <w:rsid w:val="006B4C57"/>
    <w:rsid w:val="006B4E1E"/>
    <w:rsid w:val="006B52D9"/>
    <w:rsid w:val="006B556C"/>
    <w:rsid w:val="006B5662"/>
    <w:rsid w:val="006B56EC"/>
    <w:rsid w:val="006B5722"/>
    <w:rsid w:val="006B5A06"/>
    <w:rsid w:val="006B5ADB"/>
    <w:rsid w:val="006B5DCE"/>
    <w:rsid w:val="006B6588"/>
    <w:rsid w:val="006B69D2"/>
    <w:rsid w:val="006B6B5B"/>
    <w:rsid w:val="006B6CB4"/>
    <w:rsid w:val="006B6E14"/>
    <w:rsid w:val="006B73B9"/>
    <w:rsid w:val="006B741B"/>
    <w:rsid w:val="006B7642"/>
    <w:rsid w:val="006B7EFE"/>
    <w:rsid w:val="006C0522"/>
    <w:rsid w:val="006C06D7"/>
    <w:rsid w:val="006C0CF3"/>
    <w:rsid w:val="006C0D7B"/>
    <w:rsid w:val="006C0DBD"/>
    <w:rsid w:val="006C1014"/>
    <w:rsid w:val="006C1021"/>
    <w:rsid w:val="006C13C3"/>
    <w:rsid w:val="006C13CB"/>
    <w:rsid w:val="006C145B"/>
    <w:rsid w:val="006C167A"/>
    <w:rsid w:val="006C1A1F"/>
    <w:rsid w:val="006C25F1"/>
    <w:rsid w:val="006C2626"/>
    <w:rsid w:val="006C2966"/>
    <w:rsid w:val="006C2C29"/>
    <w:rsid w:val="006C2E0A"/>
    <w:rsid w:val="006C2EF3"/>
    <w:rsid w:val="006C2F67"/>
    <w:rsid w:val="006C355C"/>
    <w:rsid w:val="006C3918"/>
    <w:rsid w:val="006C3E91"/>
    <w:rsid w:val="006C421F"/>
    <w:rsid w:val="006C44CD"/>
    <w:rsid w:val="006C47FC"/>
    <w:rsid w:val="006C4FD2"/>
    <w:rsid w:val="006C51BC"/>
    <w:rsid w:val="006C5448"/>
    <w:rsid w:val="006C567D"/>
    <w:rsid w:val="006C56B8"/>
    <w:rsid w:val="006C56F5"/>
    <w:rsid w:val="006C5828"/>
    <w:rsid w:val="006C599F"/>
    <w:rsid w:val="006C5A94"/>
    <w:rsid w:val="006C6223"/>
    <w:rsid w:val="006C63FD"/>
    <w:rsid w:val="006C6CAC"/>
    <w:rsid w:val="006C6FE4"/>
    <w:rsid w:val="006C742F"/>
    <w:rsid w:val="006C746C"/>
    <w:rsid w:val="006C758D"/>
    <w:rsid w:val="006C7693"/>
    <w:rsid w:val="006C7BC0"/>
    <w:rsid w:val="006C7CAB"/>
    <w:rsid w:val="006D02F3"/>
    <w:rsid w:val="006D0648"/>
    <w:rsid w:val="006D0922"/>
    <w:rsid w:val="006D0DAD"/>
    <w:rsid w:val="006D0DB2"/>
    <w:rsid w:val="006D103A"/>
    <w:rsid w:val="006D160E"/>
    <w:rsid w:val="006D1DE1"/>
    <w:rsid w:val="006D202E"/>
    <w:rsid w:val="006D2317"/>
    <w:rsid w:val="006D266D"/>
    <w:rsid w:val="006D2C58"/>
    <w:rsid w:val="006D2C7E"/>
    <w:rsid w:val="006D2E0D"/>
    <w:rsid w:val="006D2E14"/>
    <w:rsid w:val="006D2F68"/>
    <w:rsid w:val="006D3140"/>
    <w:rsid w:val="006D31EC"/>
    <w:rsid w:val="006D321D"/>
    <w:rsid w:val="006D32CD"/>
    <w:rsid w:val="006D367A"/>
    <w:rsid w:val="006D3749"/>
    <w:rsid w:val="006D37B0"/>
    <w:rsid w:val="006D3A92"/>
    <w:rsid w:val="006D3DAC"/>
    <w:rsid w:val="006D3E24"/>
    <w:rsid w:val="006D4551"/>
    <w:rsid w:val="006D4850"/>
    <w:rsid w:val="006D489D"/>
    <w:rsid w:val="006D4AE0"/>
    <w:rsid w:val="006D4BE0"/>
    <w:rsid w:val="006D4D7F"/>
    <w:rsid w:val="006D4DF3"/>
    <w:rsid w:val="006D4FD3"/>
    <w:rsid w:val="006D51B1"/>
    <w:rsid w:val="006D57BC"/>
    <w:rsid w:val="006D5A15"/>
    <w:rsid w:val="006D5A97"/>
    <w:rsid w:val="006D5D6C"/>
    <w:rsid w:val="006D5D7E"/>
    <w:rsid w:val="006D5FF2"/>
    <w:rsid w:val="006D601F"/>
    <w:rsid w:val="006D6048"/>
    <w:rsid w:val="006D61A2"/>
    <w:rsid w:val="006D65CA"/>
    <w:rsid w:val="006D6609"/>
    <w:rsid w:val="006D66C8"/>
    <w:rsid w:val="006D6C3A"/>
    <w:rsid w:val="006D6F55"/>
    <w:rsid w:val="006D6F58"/>
    <w:rsid w:val="006D72A5"/>
    <w:rsid w:val="006D73BB"/>
    <w:rsid w:val="006D73CC"/>
    <w:rsid w:val="006D76B9"/>
    <w:rsid w:val="006D7870"/>
    <w:rsid w:val="006D78F8"/>
    <w:rsid w:val="006D7FD1"/>
    <w:rsid w:val="006E0157"/>
    <w:rsid w:val="006E0448"/>
    <w:rsid w:val="006E06EE"/>
    <w:rsid w:val="006E09DE"/>
    <w:rsid w:val="006E0CC6"/>
    <w:rsid w:val="006E0E9C"/>
    <w:rsid w:val="006E0F08"/>
    <w:rsid w:val="006E117D"/>
    <w:rsid w:val="006E11AD"/>
    <w:rsid w:val="006E12B0"/>
    <w:rsid w:val="006E1377"/>
    <w:rsid w:val="006E143C"/>
    <w:rsid w:val="006E145D"/>
    <w:rsid w:val="006E1582"/>
    <w:rsid w:val="006E165D"/>
    <w:rsid w:val="006E174E"/>
    <w:rsid w:val="006E189A"/>
    <w:rsid w:val="006E1938"/>
    <w:rsid w:val="006E1970"/>
    <w:rsid w:val="006E1B20"/>
    <w:rsid w:val="006E1D21"/>
    <w:rsid w:val="006E1DDE"/>
    <w:rsid w:val="006E2136"/>
    <w:rsid w:val="006E2191"/>
    <w:rsid w:val="006E2329"/>
    <w:rsid w:val="006E24B2"/>
    <w:rsid w:val="006E250F"/>
    <w:rsid w:val="006E2816"/>
    <w:rsid w:val="006E282A"/>
    <w:rsid w:val="006E2A26"/>
    <w:rsid w:val="006E2AF2"/>
    <w:rsid w:val="006E2AF5"/>
    <w:rsid w:val="006E2EA8"/>
    <w:rsid w:val="006E3280"/>
    <w:rsid w:val="006E33DF"/>
    <w:rsid w:val="006E39FC"/>
    <w:rsid w:val="006E42FD"/>
    <w:rsid w:val="006E432A"/>
    <w:rsid w:val="006E44D9"/>
    <w:rsid w:val="006E47C7"/>
    <w:rsid w:val="006E4C13"/>
    <w:rsid w:val="006E4F7F"/>
    <w:rsid w:val="006E4FC2"/>
    <w:rsid w:val="006E50A3"/>
    <w:rsid w:val="006E532D"/>
    <w:rsid w:val="006E53B4"/>
    <w:rsid w:val="006E53F3"/>
    <w:rsid w:val="006E5E48"/>
    <w:rsid w:val="006E6220"/>
    <w:rsid w:val="006E62EB"/>
    <w:rsid w:val="006E64C8"/>
    <w:rsid w:val="006E6529"/>
    <w:rsid w:val="006E6607"/>
    <w:rsid w:val="006E685C"/>
    <w:rsid w:val="006E69A9"/>
    <w:rsid w:val="006E6A23"/>
    <w:rsid w:val="006E6CFE"/>
    <w:rsid w:val="006E6D83"/>
    <w:rsid w:val="006E6E11"/>
    <w:rsid w:val="006E71C1"/>
    <w:rsid w:val="006E71F3"/>
    <w:rsid w:val="006E7410"/>
    <w:rsid w:val="006E7675"/>
    <w:rsid w:val="006E778C"/>
    <w:rsid w:val="006E7A7D"/>
    <w:rsid w:val="006E7AC2"/>
    <w:rsid w:val="006E7B4F"/>
    <w:rsid w:val="006F00FD"/>
    <w:rsid w:val="006F0854"/>
    <w:rsid w:val="006F0C20"/>
    <w:rsid w:val="006F0D0D"/>
    <w:rsid w:val="006F0DD9"/>
    <w:rsid w:val="006F0E79"/>
    <w:rsid w:val="006F117F"/>
    <w:rsid w:val="006F13A7"/>
    <w:rsid w:val="006F144F"/>
    <w:rsid w:val="006F155C"/>
    <w:rsid w:val="006F1A01"/>
    <w:rsid w:val="006F1CA5"/>
    <w:rsid w:val="006F2133"/>
    <w:rsid w:val="006F2505"/>
    <w:rsid w:val="006F2800"/>
    <w:rsid w:val="006F28B2"/>
    <w:rsid w:val="006F30D2"/>
    <w:rsid w:val="006F3104"/>
    <w:rsid w:val="006F32CD"/>
    <w:rsid w:val="006F3306"/>
    <w:rsid w:val="006F36C4"/>
    <w:rsid w:val="006F37AF"/>
    <w:rsid w:val="006F39E0"/>
    <w:rsid w:val="006F3A65"/>
    <w:rsid w:val="006F3DA0"/>
    <w:rsid w:val="006F4061"/>
    <w:rsid w:val="006F41AC"/>
    <w:rsid w:val="006F423A"/>
    <w:rsid w:val="006F43A1"/>
    <w:rsid w:val="006F43CD"/>
    <w:rsid w:val="006F446E"/>
    <w:rsid w:val="006F46D2"/>
    <w:rsid w:val="006F4895"/>
    <w:rsid w:val="006F513C"/>
    <w:rsid w:val="006F54E8"/>
    <w:rsid w:val="006F571F"/>
    <w:rsid w:val="006F5C7D"/>
    <w:rsid w:val="006F5D96"/>
    <w:rsid w:val="006F5E2D"/>
    <w:rsid w:val="006F5E70"/>
    <w:rsid w:val="006F6118"/>
    <w:rsid w:val="006F61F8"/>
    <w:rsid w:val="006F6789"/>
    <w:rsid w:val="006F68F6"/>
    <w:rsid w:val="006F6991"/>
    <w:rsid w:val="006F70DB"/>
    <w:rsid w:val="006F74EA"/>
    <w:rsid w:val="006F77E7"/>
    <w:rsid w:val="006F7D2B"/>
    <w:rsid w:val="006F7F2A"/>
    <w:rsid w:val="00700017"/>
    <w:rsid w:val="007004C2"/>
    <w:rsid w:val="007007E6"/>
    <w:rsid w:val="007009F7"/>
    <w:rsid w:val="00700A01"/>
    <w:rsid w:val="00701027"/>
    <w:rsid w:val="0070112C"/>
    <w:rsid w:val="007012C0"/>
    <w:rsid w:val="007016AF"/>
    <w:rsid w:val="00701A74"/>
    <w:rsid w:val="00701BF9"/>
    <w:rsid w:val="00701EFA"/>
    <w:rsid w:val="00701F0C"/>
    <w:rsid w:val="00701F3E"/>
    <w:rsid w:val="00702372"/>
    <w:rsid w:val="007023B6"/>
    <w:rsid w:val="00702577"/>
    <w:rsid w:val="0070283F"/>
    <w:rsid w:val="00702C5B"/>
    <w:rsid w:val="00702D4D"/>
    <w:rsid w:val="00702E28"/>
    <w:rsid w:val="00702E7F"/>
    <w:rsid w:val="00702FA2"/>
    <w:rsid w:val="00703056"/>
    <w:rsid w:val="00703459"/>
    <w:rsid w:val="0070369E"/>
    <w:rsid w:val="00703820"/>
    <w:rsid w:val="00703BB5"/>
    <w:rsid w:val="00703C0D"/>
    <w:rsid w:val="00703E31"/>
    <w:rsid w:val="00703EDC"/>
    <w:rsid w:val="007043F8"/>
    <w:rsid w:val="00704676"/>
    <w:rsid w:val="007047E3"/>
    <w:rsid w:val="00704822"/>
    <w:rsid w:val="00704935"/>
    <w:rsid w:val="00704A9A"/>
    <w:rsid w:val="00704B7B"/>
    <w:rsid w:val="00704C38"/>
    <w:rsid w:val="00704CB9"/>
    <w:rsid w:val="00704CBD"/>
    <w:rsid w:val="0070517C"/>
    <w:rsid w:val="00705188"/>
    <w:rsid w:val="00705322"/>
    <w:rsid w:val="00705C74"/>
    <w:rsid w:val="00706012"/>
    <w:rsid w:val="00706065"/>
    <w:rsid w:val="007060C4"/>
    <w:rsid w:val="0070635D"/>
    <w:rsid w:val="00706390"/>
    <w:rsid w:val="0070646C"/>
    <w:rsid w:val="007067A8"/>
    <w:rsid w:val="007069D6"/>
    <w:rsid w:val="00706A36"/>
    <w:rsid w:val="00706C4B"/>
    <w:rsid w:val="00706E83"/>
    <w:rsid w:val="00707489"/>
    <w:rsid w:val="007075CD"/>
    <w:rsid w:val="00707882"/>
    <w:rsid w:val="007078B4"/>
    <w:rsid w:val="007078C7"/>
    <w:rsid w:val="007079E1"/>
    <w:rsid w:val="00707AAA"/>
    <w:rsid w:val="00707B1D"/>
    <w:rsid w:val="00707B2B"/>
    <w:rsid w:val="00707C05"/>
    <w:rsid w:val="00707CC9"/>
    <w:rsid w:val="00707DCB"/>
    <w:rsid w:val="00707DF7"/>
    <w:rsid w:val="00707EE3"/>
    <w:rsid w:val="00710065"/>
    <w:rsid w:val="0071006D"/>
    <w:rsid w:val="00710107"/>
    <w:rsid w:val="007101EF"/>
    <w:rsid w:val="00710291"/>
    <w:rsid w:val="0071048F"/>
    <w:rsid w:val="007105D2"/>
    <w:rsid w:val="0071073E"/>
    <w:rsid w:val="00710855"/>
    <w:rsid w:val="00710AB2"/>
    <w:rsid w:val="00710B37"/>
    <w:rsid w:val="00710DC2"/>
    <w:rsid w:val="00710F27"/>
    <w:rsid w:val="007112C8"/>
    <w:rsid w:val="007113AF"/>
    <w:rsid w:val="00711462"/>
    <w:rsid w:val="007114D6"/>
    <w:rsid w:val="0071152F"/>
    <w:rsid w:val="00711875"/>
    <w:rsid w:val="00711CB6"/>
    <w:rsid w:val="00711FD1"/>
    <w:rsid w:val="00712148"/>
    <w:rsid w:val="007121F2"/>
    <w:rsid w:val="00712434"/>
    <w:rsid w:val="00712FE6"/>
    <w:rsid w:val="00713036"/>
    <w:rsid w:val="00713096"/>
    <w:rsid w:val="00713110"/>
    <w:rsid w:val="00713317"/>
    <w:rsid w:val="007134AA"/>
    <w:rsid w:val="00713516"/>
    <w:rsid w:val="007139D0"/>
    <w:rsid w:val="00713B7F"/>
    <w:rsid w:val="00713D54"/>
    <w:rsid w:val="00713EEF"/>
    <w:rsid w:val="00714433"/>
    <w:rsid w:val="00714781"/>
    <w:rsid w:val="00714AD7"/>
    <w:rsid w:val="00714FEA"/>
    <w:rsid w:val="007159E3"/>
    <w:rsid w:val="00715B06"/>
    <w:rsid w:val="00715CED"/>
    <w:rsid w:val="00715D3E"/>
    <w:rsid w:val="00715DA9"/>
    <w:rsid w:val="00715DED"/>
    <w:rsid w:val="00716263"/>
    <w:rsid w:val="00716313"/>
    <w:rsid w:val="0071687A"/>
    <w:rsid w:val="00716ADF"/>
    <w:rsid w:val="00716D12"/>
    <w:rsid w:val="00716D22"/>
    <w:rsid w:val="00716D25"/>
    <w:rsid w:val="00716E53"/>
    <w:rsid w:val="0071722C"/>
    <w:rsid w:val="00717501"/>
    <w:rsid w:val="00717648"/>
    <w:rsid w:val="00717881"/>
    <w:rsid w:val="00717F0E"/>
    <w:rsid w:val="007201E4"/>
    <w:rsid w:val="00720335"/>
    <w:rsid w:val="00720913"/>
    <w:rsid w:val="00720B78"/>
    <w:rsid w:val="00720DE0"/>
    <w:rsid w:val="00720E55"/>
    <w:rsid w:val="00720F78"/>
    <w:rsid w:val="007210FB"/>
    <w:rsid w:val="00721627"/>
    <w:rsid w:val="00721C37"/>
    <w:rsid w:val="00722509"/>
    <w:rsid w:val="007227FE"/>
    <w:rsid w:val="00722834"/>
    <w:rsid w:val="00722986"/>
    <w:rsid w:val="0072298E"/>
    <w:rsid w:val="00722D13"/>
    <w:rsid w:val="00722E20"/>
    <w:rsid w:val="00722F98"/>
    <w:rsid w:val="007232BF"/>
    <w:rsid w:val="007234E9"/>
    <w:rsid w:val="007236C8"/>
    <w:rsid w:val="00723718"/>
    <w:rsid w:val="00723918"/>
    <w:rsid w:val="00723961"/>
    <w:rsid w:val="00723E17"/>
    <w:rsid w:val="00723F24"/>
    <w:rsid w:val="00724035"/>
    <w:rsid w:val="00724305"/>
    <w:rsid w:val="0072437F"/>
    <w:rsid w:val="00724530"/>
    <w:rsid w:val="00724552"/>
    <w:rsid w:val="007245EF"/>
    <w:rsid w:val="007247D2"/>
    <w:rsid w:val="00724C89"/>
    <w:rsid w:val="00724DF1"/>
    <w:rsid w:val="00724F70"/>
    <w:rsid w:val="007251C7"/>
    <w:rsid w:val="00725838"/>
    <w:rsid w:val="007258F9"/>
    <w:rsid w:val="00725E74"/>
    <w:rsid w:val="00725F15"/>
    <w:rsid w:val="00725F82"/>
    <w:rsid w:val="00725FB8"/>
    <w:rsid w:val="0072617E"/>
    <w:rsid w:val="0072618D"/>
    <w:rsid w:val="00726577"/>
    <w:rsid w:val="00726714"/>
    <w:rsid w:val="00726A3B"/>
    <w:rsid w:val="00726B71"/>
    <w:rsid w:val="00726C33"/>
    <w:rsid w:val="00726FC5"/>
    <w:rsid w:val="00727974"/>
    <w:rsid w:val="00727D68"/>
    <w:rsid w:val="00730058"/>
    <w:rsid w:val="00730387"/>
    <w:rsid w:val="007304C7"/>
    <w:rsid w:val="0073050E"/>
    <w:rsid w:val="00730824"/>
    <w:rsid w:val="007309FE"/>
    <w:rsid w:val="00730CE8"/>
    <w:rsid w:val="00730E37"/>
    <w:rsid w:val="00731071"/>
    <w:rsid w:val="0073121E"/>
    <w:rsid w:val="00731273"/>
    <w:rsid w:val="0073150E"/>
    <w:rsid w:val="007315C2"/>
    <w:rsid w:val="007315FD"/>
    <w:rsid w:val="007316EF"/>
    <w:rsid w:val="007319E0"/>
    <w:rsid w:val="00731A34"/>
    <w:rsid w:val="00731CFE"/>
    <w:rsid w:val="00731E22"/>
    <w:rsid w:val="00731EE5"/>
    <w:rsid w:val="00732307"/>
    <w:rsid w:val="00732999"/>
    <w:rsid w:val="00732E97"/>
    <w:rsid w:val="0073306E"/>
    <w:rsid w:val="007331D3"/>
    <w:rsid w:val="0073345F"/>
    <w:rsid w:val="007334F9"/>
    <w:rsid w:val="0073358D"/>
    <w:rsid w:val="0073369D"/>
    <w:rsid w:val="00733973"/>
    <w:rsid w:val="00733E1A"/>
    <w:rsid w:val="00733ED2"/>
    <w:rsid w:val="007343B2"/>
    <w:rsid w:val="0073441B"/>
    <w:rsid w:val="007346A0"/>
    <w:rsid w:val="007348EF"/>
    <w:rsid w:val="007349B0"/>
    <w:rsid w:val="00734F85"/>
    <w:rsid w:val="007350D1"/>
    <w:rsid w:val="00735462"/>
    <w:rsid w:val="007355C9"/>
    <w:rsid w:val="007355D3"/>
    <w:rsid w:val="007356E3"/>
    <w:rsid w:val="007358D2"/>
    <w:rsid w:val="00735CCB"/>
    <w:rsid w:val="00736202"/>
    <w:rsid w:val="007368F9"/>
    <w:rsid w:val="00736BF9"/>
    <w:rsid w:val="00736F63"/>
    <w:rsid w:val="00736FF6"/>
    <w:rsid w:val="007370A6"/>
    <w:rsid w:val="007371A5"/>
    <w:rsid w:val="0073757F"/>
    <w:rsid w:val="00737A30"/>
    <w:rsid w:val="00737C75"/>
    <w:rsid w:val="0074018D"/>
    <w:rsid w:val="0074039D"/>
    <w:rsid w:val="00740689"/>
    <w:rsid w:val="00740AA1"/>
    <w:rsid w:val="00740C35"/>
    <w:rsid w:val="00741413"/>
    <w:rsid w:val="00741924"/>
    <w:rsid w:val="007419BE"/>
    <w:rsid w:val="00741B9E"/>
    <w:rsid w:val="00741BCC"/>
    <w:rsid w:val="00742850"/>
    <w:rsid w:val="0074295A"/>
    <w:rsid w:val="00742B99"/>
    <w:rsid w:val="00742C38"/>
    <w:rsid w:val="00742DA3"/>
    <w:rsid w:val="0074315D"/>
    <w:rsid w:val="00743B5C"/>
    <w:rsid w:val="00743FFB"/>
    <w:rsid w:val="0074442E"/>
    <w:rsid w:val="007444BC"/>
    <w:rsid w:val="00744645"/>
    <w:rsid w:val="00744701"/>
    <w:rsid w:val="007448E2"/>
    <w:rsid w:val="00744F0A"/>
    <w:rsid w:val="007451C7"/>
    <w:rsid w:val="0074537E"/>
    <w:rsid w:val="0074547C"/>
    <w:rsid w:val="00745967"/>
    <w:rsid w:val="00745C35"/>
    <w:rsid w:val="00745D09"/>
    <w:rsid w:val="00746346"/>
    <w:rsid w:val="00746716"/>
    <w:rsid w:val="00746B6A"/>
    <w:rsid w:val="00746BD8"/>
    <w:rsid w:val="0074710C"/>
    <w:rsid w:val="007472E6"/>
    <w:rsid w:val="00747421"/>
    <w:rsid w:val="0074771B"/>
    <w:rsid w:val="00747C06"/>
    <w:rsid w:val="00747E1B"/>
    <w:rsid w:val="00747F49"/>
    <w:rsid w:val="00750D86"/>
    <w:rsid w:val="00750DD0"/>
    <w:rsid w:val="00750F05"/>
    <w:rsid w:val="00750FB7"/>
    <w:rsid w:val="0075126E"/>
    <w:rsid w:val="00751707"/>
    <w:rsid w:val="00751752"/>
    <w:rsid w:val="007517EE"/>
    <w:rsid w:val="00751A30"/>
    <w:rsid w:val="00751C5E"/>
    <w:rsid w:val="0075201C"/>
    <w:rsid w:val="007520EF"/>
    <w:rsid w:val="0075218A"/>
    <w:rsid w:val="00752254"/>
    <w:rsid w:val="007522C7"/>
    <w:rsid w:val="00752460"/>
    <w:rsid w:val="007524AD"/>
    <w:rsid w:val="007524EC"/>
    <w:rsid w:val="00752D88"/>
    <w:rsid w:val="00752E7A"/>
    <w:rsid w:val="00753027"/>
    <w:rsid w:val="007531BC"/>
    <w:rsid w:val="007536B2"/>
    <w:rsid w:val="0075387C"/>
    <w:rsid w:val="00753B12"/>
    <w:rsid w:val="00753B8D"/>
    <w:rsid w:val="00753EE0"/>
    <w:rsid w:val="007546DC"/>
    <w:rsid w:val="00754993"/>
    <w:rsid w:val="00754A78"/>
    <w:rsid w:val="00754D82"/>
    <w:rsid w:val="00754DE8"/>
    <w:rsid w:val="00755022"/>
    <w:rsid w:val="00755432"/>
    <w:rsid w:val="007556FD"/>
    <w:rsid w:val="007557B0"/>
    <w:rsid w:val="0075581F"/>
    <w:rsid w:val="00755C06"/>
    <w:rsid w:val="00755DB0"/>
    <w:rsid w:val="00755E57"/>
    <w:rsid w:val="00755F88"/>
    <w:rsid w:val="00756116"/>
    <w:rsid w:val="00756458"/>
    <w:rsid w:val="00756547"/>
    <w:rsid w:val="0075691A"/>
    <w:rsid w:val="00756B09"/>
    <w:rsid w:val="00756CE6"/>
    <w:rsid w:val="00756F01"/>
    <w:rsid w:val="00756F1A"/>
    <w:rsid w:val="007571EA"/>
    <w:rsid w:val="007571FF"/>
    <w:rsid w:val="00757678"/>
    <w:rsid w:val="0075772A"/>
    <w:rsid w:val="00757CB8"/>
    <w:rsid w:val="00757D5A"/>
    <w:rsid w:val="007600F8"/>
    <w:rsid w:val="0076010A"/>
    <w:rsid w:val="0076020B"/>
    <w:rsid w:val="00760B48"/>
    <w:rsid w:val="00760BF5"/>
    <w:rsid w:val="00760C7B"/>
    <w:rsid w:val="00760F46"/>
    <w:rsid w:val="007611B5"/>
    <w:rsid w:val="007613B7"/>
    <w:rsid w:val="00761810"/>
    <w:rsid w:val="007619D0"/>
    <w:rsid w:val="00761CD9"/>
    <w:rsid w:val="00761ED3"/>
    <w:rsid w:val="00761EDE"/>
    <w:rsid w:val="00762164"/>
    <w:rsid w:val="0076233F"/>
    <w:rsid w:val="00762442"/>
    <w:rsid w:val="0076249D"/>
    <w:rsid w:val="00762A98"/>
    <w:rsid w:val="00762BE7"/>
    <w:rsid w:val="00762C45"/>
    <w:rsid w:val="00762D7E"/>
    <w:rsid w:val="00762D9F"/>
    <w:rsid w:val="00762DD4"/>
    <w:rsid w:val="00762FA0"/>
    <w:rsid w:val="00762FE0"/>
    <w:rsid w:val="007631AF"/>
    <w:rsid w:val="0076339A"/>
    <w:rsid w:val="00763873"/>
    <w:rsid w:val="0076399F"/>
    <w:rsid w:val="00763A93"/>
    <w:rsid w:val="00763EA4"/>
    <w:rsid w:val="00763EB2"/>
    <w:rsid w:val="00764036"/>
    <w:rsid w:val="00764450"/>
    <w:rsid w:val="007645F2"/>
    <w:rsid w:val="0076494C"/>
    <w:rsid w:val="00764AA1"/>
    <w:rsid w:val="00764B63"/>
    <w:rsid w:val="00764CCB"/>
    <w:rsid w:val="0076545E"/>
    <w:rsid w:val="0076565B"/>
    <w:rsid w:val="007657DD"/>
    <w:rsid w:val="0076582A"/>
    <w:rsid w:val="00765BCF"/>
    <w:rsid w:val="0076609F"/>
    <w:rsid w:val="007662E3"/>
    <w:rsid w:val="007663A0"/>
    <w:rsid w:val="00766497"/>
    <w:rsid w:val="0076664B"/>
    <w:rsid w:val="0076679E"/>
    <w:rsid w:val="007668BE"/>
    <w:rsid w:val="00766AF8"/>
    <w:rsid w:val="00766FA4"/>
    <w:rsid w:val="00767031"/>
    <w:rsid w:val="007670C3"/>
    <w:rsid w:val="00767202"/>
    <w:rsid w:val="00767655"/>
    <w:rsid w:val="007676BC"/>
    <w:rsid w:val="007705ED"/>
    <w:rsid w:val="00770A1C"/>
    <w:rsid w:val="00770B20"/>
    <w:rsid w:val="00771A7F"/>
    <w:rsid w:val="00771B1C"/>
    <w:rsid w:val="00771B52"/>
    <w:rsid w:val="00771C84"/>
    <w:rsid w:val="007720BA"/>
    <w:rsid w:val="00772377"/>
    <w:rsid w:val="007723DB"/>
    <w:rsid w:val="007724F9"/>
    <w:rsid w:val="00772522"/>
    <w:rsid w:val="00772561"/>
    <w:rsid w:val="007728CD"/>
    <w:rsid w:val="00772A18"/>
    <w:rsid w:val="00772D72"/>
    <w:rsid w:val="00772E18"/>
    <w:rsid w:val="00773314"/>
    <w:rsid w:val="00773C18"/>
    <w:rsid w:val="00773DD3"/>
    <w:rsid w:val="007742AC"/>
    <w:rsid w:val="007742B8"/>
    <w:rsid w:val="0077446E"/>
    <w:rsid w:val="00774D4C"/>
    <w:rsid w:val="00774DF7"/>
    <w:rsid w:val="00775138"/>
    <w:rsid w:val="007753F3"/>
    <w:rsid w:val="00775433"/>
    <w:rsid w:val="007754F7"/>
    <w:rsid w:val="0077553B"/>
    <w:rsid w:val="00775CAB"/>
    <w:rsid w:val="00775ECA"/>
    <w:rsid w:val="00775EE5"/>
    <w:rsid w:val="00776B01"/>
    <w:rsid w:val="00777086"/>
    <w:rsid w:val="007771A1"/>
    <w:rsid w:val="007771A2"/>
    <w:rsid w:val="007772F5"/>
    <w:rsid w:val="00777463"/>
    <w:rsid w:val="007775D7"/>
    <w:rsid w:val="00777A4E"/>
    <w:rsid w:val="00777C70"/>
    <w:rsid w:val="00777D4F"/>
    <w:rsid w:val="007801AC"/>
    <w:rsid w:val="007801C1"/>
    <w:rsid w:val="00780218"/>
    <w:rsid w:val="00780314"/>
    <w:rsid w:val="0078044D"/>
    <w:rsid w:val="007806A7"/>
    <w:rsid w:val="00780761"/>
    <w:rsid w:val="007807F7"/>
    <w:rsid w:val="00780938"/>
    <w:rsid w:val="00780BA7"/>
    <w:rsid w:val="00780CA2"/>
    <w:rsid w:val="00780F91"/>
    <w:rsid w:val="00781240"/>
    <w:rsid w:val="0078144F"/>
    <w:rsid w:val="00781598"/>
    <w:rsid w:val="007815EF"/>
    <w:rsid w:val="0078170C"/>
    <w:rsid w:val="0078173E"/>
    <w:rsid w:val="0078173F"/>
    <w:rsid w:val="007817A4"/>
    <w:rsid w:val="00781AC4"/>
    <w:rsid w:val="00781CFE"/>
    <w:rsid w:val="00781F0F"/>
    <w:rsid w:val="007821FF"/>
    <w:rsid w:val="007823F9"/>
    <w:rsid w:val="007824AA"/>
    <w:rsid w:val="007824C2"/>
    <w:rsid w:val="007825C1"/>
    <w:rsid w:val="007826EF"/>
    <w:rsid w:val="00782743"/>
    <w:rsid w:val="007827A0"/>
    <w:rsid w:val="00782875"/>
    <w:rsid w:val="00782A52"/>
    <w:rsid w:val="00782A64"/>
    <w:rsid w:val="00782B0E"/>
    <w:rsid w:val="00782BB1"/>
    <w:rsid w:val="00782CD5"/>
    <w:rsid w:val="00782FF0"/>
    <w:rsid w:val="007832CE"/>
    <w:rsid w:val="00783331"/>
    <w:rsid w:val="00783366"/>
    <w:rsid w:val="0078349C"/>
    <w:rsid w:val="00783554"/>
    <w:rsid w:val="0078366B"/>
    <w:rsid w:val="007837D7"/>
    <w:rsid w:val="00783D4D"/>
    <w:rsid w:val="00783DFE"/>
    <w:rsid w:val="00784638"/>
    <w:rsid w:val="0078468E"/>
    <w:rsid w:val="00784BB6"/>
    <w:rsid w:val="00784C71"/>
    <w:rsid w:val="00785194"/>
    <w:rsid w:val="0078558E"/>
    <w:rsid w:val="007855CC"/>
    <w:rsid w:val="0078584B"/>
    <w:rsid w:val="00785A3D"/>
    <w:rsid w:val="00785C47"/>
    <w:rsid w:val="00786545"/>
    <w:rsid w:val="007865C5"/>
    <w:rsid w:val="0078689A"/>
    <w:rsid w:val="00786E0E"/>
    <w:rsid w:val="00787294"/>
    <w:rsid w:val="00787931"/>
    <w:rsid w:val="00787C51"/>
    <w:rsid w:val="00790436"/>
    <w:rsid w:val="0079058A"/>
    <w:rsid w:val="00790754"/>
    <w:rsid w:val="00790B72"/>
    <w:rsid w:val="00790E3B"/>
    <w:rsid w:val="00790EBE"/>
    <w:rsid w:val="00791223"/>
    <w:rsid w:val="007913B5"/>
    <w:rsid w:val="00791504"/>
    <w:rsid w:val="00791923"/>
    <w:rsid w:val="00791C30"/>
    <w:rsid w:val="00791E17"/>
    <w:rsid w:val="007920C3"/>
    <w:rsid w:val="007926C4"/>
    <w:rsid w:val="0079288F"/>
    <w:rsid w:val="007928C8"/>
    <w:rsid w:val="007928D6"/>
    <w:rsid w:val="00793099"/>
    <w:rsid w:val="007932A5"/>
    <w:rsid w:val="0079370D"/>
    <w:rsid w:val="00793877"/>
    <w:rsid w:val="007939C7"/>
    <w:rsid w:val="007939D9"/>
    <w:rsid w:val="00793A50"/>
    <w:rsid w:val="00793BF4"/>
    <w:rsid w:val="00793D17"/>
    <w:rsid w:val="007948F1"/>
    <w:rsid w:val="007949E3"/>
    <w:rsid w:val="00794A31"/>
    <w:rsid w:val="00794B7C"/>
    <w:rsid w:val="00794BEE"/>
    <w:rsid w:val="00794D6C"/>
    <w:rsid w:val="00794EE0"/>
    <w:rsid w:val="007950D2"/>
    <w:rsid w:val="007951C7"/>
    <w:rsid w:val="007951E7"/>
    <w:rsid w:val="007951F5"/>
    <w:rsid w:val="00795268"/>
    <w:rsid w:val="007954DA"/>
    <w:rsid w:val="00795725"/>
    <w:rsid w:val="00795726"/>
    <w:rsid w:val="00795731"/>
    <w:rsid w:val="00795768"/>
    <w:rsid w:val="00795C62"/>
    <w:rsid w:val="00796150"/>
    <w:rsid w:val="00796678"/>
    <w:rsid w:val="0079690E"/>
    <w:rsid w:val="00796923"/>
    <w:rsid w:val="00796A2B"/>
    <w:rsid w:val="00796CBF"/>
    <w:rsid w:val="00796E22"/>
    <w:rsid w:val="00796EB0"/>
    <w:rsid w:val="007970A8"/>
    <w:rsid w:val="00797220"/>
    <w:rsid w:val="00797221"/>
    <w:rsid w:val="00797285"/>
    <w:rsid w:val="00797485"/>
    <w:rsid w:val="00797567"/>
    <w:rsid w:val="00797972"/>
    <w:rsid w:val="00797A6C"/>
    <w:rsid w:val="00797E00"/>
    <w:rsid w:val="007A00ED"/>
    <w:rsid w:val="007A0111"/>
    <w:rsid w:val="007A0269"/>
    <w:rsid w:val="007A0531"/>
    <w:rsid w:val="007A0581"/>
    <w:rsid w:val="007A05CB"/>
    <w:rsid w:val="007A06FB"/>
    <w:rsid w:val="007A077F"/>
    <w:rsid w:val="007A081A"/>
    <w:rsid w:val="007A0CBD"/>
    <w:rsid w:val="007A0CED"/>
    <w:rsid w:val="007A0E94"/>
    <w:rsid w:val="007A0FDA"/>
    <w:rsid w:val="007A1246"/>
    <w:rsid w:val="007A128B"/>
    <w:rsid w:val="007A181C"/>
    <w:rsid w:val="007A1ADA"/>
    <w:rsid w:val="007A1C7A"/>
    <w:rsid w:val="007A1D64"/>
    <w:rsid w:val="007A1F9C"/>
    <w:rsid w:val="007A205C"/>
    <w:rsid w:val="007A2260"/>
    <w:rsid w:val="007A2384"/>
    <w:rsid w:val="007A25ED"/>
    <w:rsid w:val="007A285F"/>
    <w:rsid w:val="007A2A7A"/>
    <w:rsid w:val="007A2A8D"/>
    <w:rsid w:val="007A2AA3"/>
    <w:rsid w:val="007A2C69"/>
    <w:rsid w:val="007A2CF4"/>
    <w:rsid w:val="007A2EEE"/>
    <w:rsid w:val="007A302B"/>
    <w:rsid w:val="007A3104"/>
    <w:rsid w:val="007A31B1"/>
    <w:rsid w:val="007A31C0"/>
    <w:rsid w:val="007A31F5"/>
    <w:rsid w:val="007A351A"/>
    <w:rsid w:val="007A35CF"/>
    <w:rsid w:val="007A36DF"/>
    <w:rsid w:val="007A3796"/>
    <w:rsid w:val="007A3D3B"/>
    <w:rsid w:val="007A4119"/>
    <w:rsid w:val="007A417B"/>
    <w:rsid w:val="007A4380"/>
    <w:rsid w:val="007A4382"/>
    <w:rsid w:val="007A48E2"/>
    <w:rsid w:val="007A4A1D"/>
    <w:rsid w:val="007A4A95"/>
    <w:rsid w:val="007A4C63"/>
    <w:rsid w:val="007A4FD8"/>
    <w:rsid w:val="007A5281"/>
    <w:rsid w:val="007A537B"/>
    <w:rsid w:val="007A55DB"/>
    <w:rsid w:val="007A5AD6"/>
    <w:rsid w:val="007A5B07"/>
    <w:rsid w:val="007A5B19"/>
    <w:rsid w:val="007A5D16"/>
    <w:rsid w:val="007A62C1"/>
    <w:rsid w:val="007A667E"/>
    <w:rsid w:val="007A6864"/>
    <w:rsid w:val="007A6893"/>
    <w:rsid w:val="007A6993"/>
    <w:rsid w:val="007A6B65"/>
    <w:rsid w:val="007A6FE7"/>
    <w:rsid w:val="007A7172"/>
    <w:rsid w:val="007A71DC"/>
    <w:rsid w:val="007A738A"/>
    <w:rsid w:val="007A77DA"/>
    <w:rsid w:val="007A7B26"/>
    <w:rsid w:val="007A7CC0"/>
    <w:rsid w:val="007A7DCF"/>
    <w:rsid w:val="007B03EB"/>
    <w:rsid w:val="007B0515"/>
    <w:rsid w:val="007B07D4"/>
    <w:rsid w:val="007B0A1A"/>
    <w:rsid w:val="007B0A8F"/>
    <w:rsid w:val="007B11E2"/>
    <w:rsid w:val="007B1355"/>
    <w:rsid w:val="007B136F"/>
    <w:rsid w:val="007B137E"/>
    <w:rsid w:val="007B1592"/>
    <w:rsid w:val="007B17AA"/>
    <w:rsid w:val="007B1A4E"/>
    <w:rsid w:val="007B1CAD"/>
    <w:rsid w:val="007B1D51"/>
    <w:rsid w:val="007B1F60"/>
    <w:rsid w:val="007B23C8"/>
    <w:rsid w:val="007B2527"/>
    <w:rsid w:val="007B26CA"/>
    <w:rsid w:val="007B26FA"/>
    <w:rsid w:val="007B276A"/>
    <w:rsid w:val="007B27AB"/>
    <w:rsid w:val="007B2890"/>
    <w:rsid w:val="007B2898"/>
    <w:rsid w:val="007B2D58"/>
    <w:rsid w:val="007B2DC5"/>
    <w:rsid w:val="007B30C4"/>
    <w:rsid w:val="007B30F3"/>
    <w:rsid w:val="007B310E"/>
    <w:rsid w:val="007B34CF"/>
    <w:rsid w:val="007B34E8"/>
    <w:rsid w:val="007B37B2"/>
    <w:rsid w:val="007B3A92"/>
    <w:rsid w:val="007B3B88"/>
    <w:rsid w:val="007B3F43"/>
    <w:rsid w:val="007B415B"/>
    <w:rsid w:val="007B4161"/>
    <w:rsid w:val="007B4189"/>
    <w:rsid w:val="007B42A6"/>
    <w:rsid w:val="007B440E"/>
    <w:rsid w:val="007B45AC"/>
    <w:rsid w:val="007B5129"/>
    <w:rsid w:val="007B57C6"/>
    <w:rsid w:val="007B5968"/>
    <w:rsid w:val="007B607D"/>
    <w:rsid w:val="007B620A"/>
    <w:rsid w:val="007B666C"/>
    <w:rsid w:val="007B6717"/>
    <w:rsid w:val="007B687E"/>
    <w:rsid w:val="007B6A7C"/>
    <w:rsid w:val="007B6A99"/>
    <w:rsid w:val="007B6CD0"/>
    <w:rsid w:val="007B6CF6"/>
    <w:rsid w:val="007B6FBD"/>
    <w:rsid w:val="007B7001"/>
    <w:rsid w:val="007B73A2"/>
    <w:rsid w:val="007B755C"/>
    <w:rsid w:val="007B768B"/>
    <w:rsid w:val="007B7860"/>
    <w:rsid w:val="007B7918"/>
    <w:rsid w:val="007B79AE"/>
    <w:rsid w:val="007B7C64"/>
    <w:rsid w:val="007B7D7F"/>
    <w:rsid w:val="007B7DD2"/>
    <w:rsid w:val="007B7E81"/>
    <w:rsid w:val="007B7FED"/>
    <w:rsid w:val="007C0026"/>
    <w:rsid w:val="007C0425"/>
    <w:rsid w:val="007C052D"/>
    <w:rsid w:val="007C05E6"/>
    <w:rsid w:val="007C0730"/>
    <w:rsid w:val="007C096A"/>
    <w:rsid w:val="007C1068"/>
    <w:rsid w:val="007C1905"/>
    <w:rsid w:val="007C190F"/>
    <w:rsid w:val="007C19D3"/>
    <w:rsid w:val="007C1B9A"/>
    <w:rsid w:val="007C1D0F"/>
    <w:rsid w:val="007C1E2B"/>
    <w:rsid w:val="007C295A"/>
    <w:rsid w:val="007C29C9"/>
    <w:rsid w:val="007C2A55"/>
    <w:rsid w:val="007C3234"/>
    <w:rsid w:val="007C335F"/>
    <w:rsid w:val="007C3818"/>
    <w:rsid w:val="007C3BAE"/>
    <w:rsid w:val="007C3D5E"/>
    <w:rsid w:val="007C3D9B"/>
    <w:rsid w:val="007C43C9"/>
    <w:rsid w:val="007C4597"/>
    <w:rsid w:val="007C4751"/>
    <w:rsid w:val="007C48B4"/>
    <w:rsid w:val="007C4CD1"/>
    <w:rsid w:val="007C51A5"/>
    <w:rsid w:val="007C58A8"/>
    <w:rsid w:val="007C5BFE"/>
    <w:rsid w:val="007C5E69"/>
    <w:rsid w:val="007C5EE2"/>
    <w:rsid w:val="007C62BF"/>
    <w:rsid w:val="007C62DB"/>
    <w:rsid w:val="007C65AA"/>
    <w:rsid w:val="007C751A"/>
    <w:rsid w:val="007C75ED"/>
    <w:rsid w:val="007C7AC5"/>
    <w:rsid w:val="007C7BB0"/>
    <w:rsid w:val="007C7C7A"/>
    <w:rsid w:val="007C7E35"/>
    <w:rsid w:val="007C7E63"/>
    <w:rsid w:val="007C7F81"/>
    <w:rsid w:val="007D00A7"/>
    <w:rsid w:val="007D01EE"/>
    <w:rsid w:val="007D0900"/>
    <w:rsid w:val="007D0D63"/>
    <w:rsid w:val="007D0E58"/>
    <w:rsid w:val="007D100F"/>
    <w:rsid w:val="007D1164"/>
    <w:rsid w:val="007D13D5"/>
    <w:rsid w:val="007D174D"/>
    <w:rsid w:val="007D1B09"/>
    <w:rsid w:val="007D1B4F"/>
    <w:rsid w:val="007D1CF3"/>
    <w:rsid w:val="007D1E1D"/>
    <w:rsid w:val="007D20CA"/>
    <w:rsid w:val="007D210C"/>
    <w:rsid w:val="007D24A4"/>
    <w:rsid w:val="007D26A3"/>
    <w:rsid w:val="007D282C"/>
    <w:rsid w:val="007D2983"/>
    <w:rsid w:val="007D2D00"/>
    <w:rsid w:val="007D2FC1"/>
    <w:rsid w:val="007D3019"/>
    <w:rsid w:val="007D302F"/>
    <w:rsid w:val="007D30D8"/>
    <w:rsid w:val="007D34E9"/>
    <w:rsid w:val="007D3547"/>
    <w:rsid w:val="007D358F"/>
    <w:rsid w:val="007D359D"/>
    <w:rsid w:val="007D36F2"/>
    <w:rsid w:val="007D45D6"/>
    <w:rsid w:val="007D51C5"/>
    <w:rsid w:val="007D525C"/>
    <w:rsid w:val="007D5381"/>
    <w:rsid w:val="007D53D5"/>
    <w:rsid w:val="007D552F"/>
    <w:rsid w:val="007D56E5"/>
    <w:rsid w:val="007D575E"/>
    <w:rsid w:val="007D58AA"/>
    <w:rsid w:val="007D595D"/>
    <w:rsid w:val="007D59B1"/>
    <w:rsid w:val="007D59D7"/>
    <w:rsid w:val="007D5B21"/>
    <w:rsid w:val="007D5BCE"/>
    <w:rsid w:val="007D5DB7"/>
    <w:rsid w:val="007D5F07"/>
    <w:rsid w:val="007D608B"/>
    <w:rsid w:val="007D63E1"/>
    <w:rsid w:val="007D643E"/>
    <w:rsid w:val="007D6623"/>
    <w:rsid w:val="007D66AF"/>
    <w:rsid w:val="007D6721"/>
    <w:rsid w:val="007D67C3"/>
    <w:rsid w:val="007D68F6"/>
    <w:rsid w:val="007D6995"/>
    <w:rsid w:val="007D6A28"/>
    <w:rsid w:val="007D6E3E"/>
    <w:rsid w:val="007D6F5E"/>
    <w:rsid w:val="007D70A1"/>
    <w:rsid w:val="007D7540"/>
    <w:rsid w:val="007D7590"/>
    <w:rsid w:val="007D772B"/>
    <w:rsid w:val="007D7997"/>
    <w:rsid w:val="007D7A5B"/>
    <w:rsid w:val="007D7BFB"/>
    <w:rsid w:val="007E0048"/>
    <w:rsid w:val="007E01C8"/>
    <w:rsid w:val="007E03D4"/>
    <w:rsid w:val="007E05D3"/>
    <w:rsid w:val="007E07EC"/>
    <w:rsid w:val="007E09B4"/>
    <w:rsid w:val="007E1277"/>
    <w:rsid w:val="007E16A2"/>
    <w:rsid w:val="007E1A7F"/>
    <w:rsid w:val="007E1B21"/>
    <w:rsid w:val="007E28B5"/>
    <w:rsid w:val="007E2AB7"/>
    <w:rsid w:val="007E2E84"/>
    <w:rsid w:val="007E3776"/>
    <w:rsid w:val="007E3896"/>
    <w:rsid w:val="007E395A"/>
    <w:rsid w:val="007E3B5F"/>
    <w:rsid w:val="007E3D1B"/>
    <w:rsid w:val="007E3E14"/>
    <w:rsid w:val="007E3FED"/>
    <w:rsid w:val="007E417B"/>
    <w:rsid w:val="007E45E1"/>
    <w:rsid w:val="007E479C"/>
    <w:rsid w:val="007E4D23"/>
    <w:rsid w:val="007E4F11"/>
    <w:rsid w:val="007E5228"/>
    <w:rsid w:val="007E5235"/>
    <w:rsid w:val="007E5326"/>
    <w:rsid w:val="007E53F4"/>
    <w:rsid w:val="007E55F6"/>
    <w:rsid w:val="007E5759"/>
    <w:rsid w:val="007E57BC"/>
    <w:rsid w:val="007E58DA"/>
    <w:rsid w:val="007E58EA"/>
    <w:rsid w:val="007E5AA7"/>
    <w:rsid w:val="007E5AD0"/>
    <w:rsid w:val="007E5C21"/>
    <w:rsid w:val="007E5C5A"/>
    <w:rsid w:val="007E5DFD"/>
    <w:rsid w:val="007E5E8D"/>
    <w:rsid w:val="007E5EC8"/>
    <w:rsid w:val="007E6B2A"/>
    <w:rsid w:val="007E6C53"/>
    <w:rsid w:val="007E70D2"/>
    <w:rsid w:val="007E7321"/>
    <w:rsid w:val="007E7329"/>
    <w:rsid w:val="007E751D"/>
    <w:rsid w:val="007E771A"/>
    <w:rsid w:val="007E7ABA"/>
    <w:rsid w:val="007E7CD6"/>
    <w:rsid w:val="007E7EB1"/>
    <w:rsid w:val="007E7F93"/>
    <w:rsid w:val="007E7FBB"/>
    <w:rsid w:val="007F0233"/>
    <w:rsid w:val="007F09C3"/>
    <w:rsid w:val="007F0B26"/>
    <w:rsid w:val="007F0CA4"/>
    <w:rsid w:val="007F0E42"/>
    <w:rsid w:val="007F10FE"/>
    <w:rsid w:val="007F15DC"/>
    <w:rsid w:val="007F177E"/>
    <w:rsid w:val="007F189B"/>
    <w:rsid w:val="007F1B42"/>
    <w:rsid w:val="007F1CD1"/>
    <w:rsid w:val="007F1DD5"/>
    <w:rsid w:val="007F24E3"/>
    <w:rsid w:val="007F25ED"/>
    <w:rsid w:val="007F2816"/>
    <w:rsid w:val="007F28F6"/>
    <w:rsid w:val="007F2A61"/>
    <w:rsid w:val="007F2C5C"/>
    <w:rsid w:val="007F2CAD"/>
    <w:rsid w:val="007F2CF0"/>
    <w:rsid w:val="007F3250"/>
    <w:rsid w:val="007F33EC"/>
    <w:rsid w:val="007F343A"/>
    <w:rsid w:val="007F34E6"/>
    <w:rsid w:val="007F3564"/>
    <w:rsid w:val="007F3764"/>
    <w:rsid w:val="007F38E1"/>
    <w:rsid w:val="007F3BE7"/>
    <w:rsid w:val="007F3CD8"/>
    <w:rsid w:val="007F3F5A"/>
    <w:rsid w:val="007F4037"/>
    <w:rsid w:val="007F40F2"/>
    <w:rsid w:val="007F431D"/>
    <w:rsid w:val="007F4590"/>
    <w:rsid w:val="007F4F0C"/>
    <w:rsid w:val="007F50F0"/>
    <w:rsid w:val="007F544E"/>
    <w:rsid w:val="007F5539"/>
    <w:rsid w:val="007F5573"/>
    <w:rsid w:val="007F55FE"/>
    <w:rsid w:val="007F56BC"/>
    <w:rsid w:val="007F579F"/>
    <w:rsid w:val="007F58F4"/>
    <w:rsid w:val="007F5B9A"/>
    <w:rsid w:val="007F5D3A"/>
    <w:rsid w:val="007F5D44"/>
    <w:rsid w:val="007F6477"/>
    <w:rsid w:val="007F6661"/>
    <w:rsid w:val="007F69E3"/>
    <w:rsid w:val="007F6AE1"/>
    <w:rsid w:val="007F723D"/>
    <w:rsid w:val="007F7371"/>
    <w:rsid w:val="007F7644"/>
    <w:rsid w:val="007F76F8"/>
    <w:rsid w:val="007F7956"/>
    <w:rsid w:val="007F7F94"/>
    <w:rsid w:val="0080079C"/>
    <w:rsid w:val="00800810"/>
    <w:rsid w:val="0080081C"/>
    <w:rsid w:val="008008FC"/>
    <w:rsid w:val="00800B49"/>
    <w:rsid w:val="00800F33"/>
    <w:rsid w:val="008010FA"/>
    <w:rsid w:val="0080141C"/>
    <w:rsid w:val="008014EA"/>
    <w:rsid w:val="008014ED"/>
    <w:rsid w:val="00801608"/>
    <w:rsid w:val="0080179F"/>
    <w:rsid w:val="008017F2"/>
    <w:rsid w:val="0080186B"/>
    <w:rsid w:val="00801D98"/>
    <w:rsid w:val="00802752"/>
    <w:rsid w:val="008028CC"/>
    <w:rsid w:val="00802A80"/>
    <w:rsid w:val="00802C86"/>
    <w:rsid w:val="00802E93"/>
    <w:rsid w:val="008030E7"/>
    <w:rsid w:val="0080328F"/>
    <w:rsid w:val="00803329"/>
    <w:rsid w:val="00803C83"/>
    <w:rsid w:val="00803DC4"/>
    <w:rsid w:val="00803DCB"/>
    <w:rsid w:val="00803E8C"/>
    <w:rsid w:val="00803F43"/>
    <w:rsid w:val="008040F6"/>
    <w:rsid w:val="00804242"/>
    <w:rsid w:val="008042C6"/>
    <w:rsid w:val="008043E4"/>
    <w:rsid w:val="00804487"/>
    <w:rsid w:val="0080498D"/>
    <w:rsid w:val="00804AEF"/>
    <w:rsid w:val="00804CAB"/>
    <w:rsid w:val="00804EEF"/>
    <w:rsid w:val="0080577D"/>
    <w:rsid w:val="008060E8"/>
    <w:rsid w:val="00806291"/>
    <w:rsid w:val="008062CA"/>
    <w:rsid w:val="008062EF"/>
    <w:rsid w:val="008064F3"/>
    <w:rsid w:val="008065DF"/>
    <w:rsid w:val="008068C2"/>
    <w:rsid w:val="00806BEC"/>
    <w:rsid w:val="00807133"/>
    <w:rsid w:val="00807170"/>
    <w:rsid w:val="0080778B"/>
    <w:rsid w:val="00807A27"/>
    <w:rsid w:val="00807CC3"/>
    <w:rsid w:val="00807E8F"/>
    <w:rsid w:val="00807F2F"/>
    <w:rsid w:val="00810093"/>
    <w:rsid w:val="00810120"/>
    <w:rsid w:val="00810151"/>
    <w:rsid w:val="0081054C"/>
    <w:rsid w:val="00810933"/>
    <w:rsid w:val="00810A15"/>
    <w:rsid w:val="00810A52"/>
    <w:rsid w:val="00810B92"/>
    <w:rsid w:val="00810C38"/>
    <w:rsid w:val="00810CF1"/>
    <w:rsid w:val="0081107D"/>
    <w:rsid w:val="0081117E"/>
    <w:rsid w:val="00811265"/>
    <w:rsid w:val="008114A4"/>
    <w:rsid w:val="0081163A"/>
    <w:rsid w:val="00811BAF"/>
    <w:rsid w:val="008120AA"/>
    <w:rsid w:val="0081217E"/>
    <w:rsid w:val="008121FF"/>
    <w:rsid w:val="008126AB"/>
    <w:rsid w:val="00812766"/>
    <w:rsid w:val="008128DE"/>
    <w:rsid w:val="008128E6"/>
    <w:rsid w:val="00812A7A"/>
    <w:rsid w:val="00812DE5"/>
    <w:rsid w:val="00812F7A"/>
    <w:rsid w:val="00813461"/>
    <w:rsid w:val="008135CC"/>
    <w:rsid w:val="0081402E"/>
    <w:rsid w:val="0081423A"/>
    <w:rsid w:val="00814313"/>
    <w:rsid w:val="00814749"/>
    <w:rsid w:val="008147A3"/>
    <w:rsid w:val="008147EC"/>
    <w:rsid w:val="00814C2B"/>
    <w:rsid w:val="00814D60"/>
    <w:rsid w:val="00814D64"/>
    <w:rsid w:val="008152AC"/>
    <w:rsid w:val="008154D4"/>
    <w:rsid w:val="00815713"/>
    <w:rsid w:val="008158DF"/>
    <w:rsid w:val="00815933"/>
    <w:rsid w:val="00815A37"/>
    <w:rsid w:val="00815AD3"/>
    <w:rsid w:val="0081687A"/>
    <w:rsid w:val="00816AB7"/>
    <w:rsid w:val="00816D59"/>
    <w:rsid w:val="00817002"/>
    <w:rsid w:val="00817414"/>
    <w:rsid w:val="00817744"/>
    <w:rsid w:val="0082006A"/>
    <w:rsid w:val="0082014E"/>
    <w:rsid w:val="0082016E"/>
    <w:rsid w:val="0082055E"/>
    <w:rsid w:val="008205EF"/>
    <w:rsid w:val="00820973"/>
    <w:rsid w:val="008209E8"/>
    <w:rsid w:val="00820BAB"/>
    <w:rsid w:val="00820CEF"/>
    <w:rsid w:val="00820E55"/>
    <w:rsid w:val="00820F19"/>
    <w:rsid w:val="00820FFE"/>
    <w:rsid w:val="008211DE"/>
    <w:rsid w:val="00821408"/>
    <w:rsid w:val="00821972"/>
    <w:rsid w:val="00821A29"/>
    <w:rsid w:val="00821CC6"/>
    <w:rsid w:val="00821DC8"/>
    <w:rsid w:val="00821F62"/>
    <w:rsid w:val="00822071"/>
    <w:rsid w:val="008221F9"/>
    <w:rsid w:val="0082228B"/>
    <w:rsid w:val="00822748"/>
    <w:rsid w:val="00822C50"/>
    <w:rsid w:val="00822CF6"/>
    <w:rsid w:val="00822D5A"/>
    <w:rsid w:val="00822FF1"/>
    <w:rsid w:val="008238D8"/>
    <w:rsid w:val="00823F27"/>
    <w:rsid w:val="0082412B"/>
    <w:rsid w:val="0082424A"/>
    <w:rsid w:val="008242B6"/>
    <w:rsid w:val="008243F6"/>
    <w:rsid w:val="00824926"/>
    <w:rsid w:val="00824D17"/>
    <w:rsid w:val="00824F90"/>
    <w:rsid w:val="00825303"/>
    <w:rsid w:val="008259B7"/>
    <w:rsid w:val="008259FE"/>
    <w:rsid w:val="00825ACA"/>
    <w:rsid w:val="00825E9A"/>
    <w:rsid w:val="00825F59"/>
    <w:rsid w:val="00826056"/>
    <w:rsid w:val="00826161"/>
    <w:rsid w:val="00826218"/>
    <w:rsid w:val="00826B7A"/>
    <w:rsid w:val="00826BF3"/>
    <w:rsid w:val="00826C2D"/>
    <w:rsid w:val="00826F17"/>
    <w:rsid w:val="00826F9A"/>
    <w:rsid w:val="00827005"/>
    <w:rsid w:val="00827A05"/>
    <w:rsid w:val="008302EC"/>
    <w:rsid w:val="00830337"/>
    <w:rsid w:val="0083034E"/>
    <w:rsid w:val="00830526"/>
    <w:rsid w:val="008305F8"/>
    <w:rsid w:val="00830979"/>
    <w:rsid w:val="00830B95"/>
    <w:rsid w:val="00830D58"/>
    <w:rsid w:val="0083121B"/>
    <w:rsid w:val="0083155A"/>
    <w:rsid w:val="00831788"/>
    <w:rsid w:val="00831807"/>
    <w:rsid w:val="00831BD1"/>
    <w:rsid w:val="00831C72"/>
    <w:rsid w:val="00831CE0"/>
    <w:rsid w:val="00831E15"/>
    <w:rsid w:val="00831E59"/>
    <w:rsid w:val="00831F78"/>
    <w:rsid w:val="00832366"/>
    <w:rsid w:val="008323FF"/>
    <w:rsid w:val="00832652"/>
    <w:rsid w:val="00832A3F"/>
    <w:rsid w:val="00832FF9"/>
    <w:rsid w:val="00833311"/>
    <w:rsid w:val="00833396"/>
    <w:rsid w:val="00833680"/>
    <w:rsid w:val="008336E8"/>
    <w:rsid w:val="00833962"/>
    <w:rsid w:val="00833A77"/>
    <w:rsid w:val="00833CA6"/>
    <w:rsid w:val="00833F65"/>
    <w:rsid w:val="008341EB"/>
    <w:rsid w:val="008342CD"/>
    <w:rsid w:val="00834467"/>
    <w:rsid w:val="008344A3"/>
    <w:rsid w:val="008348A4"/>
    <w:rsid w:val="008349CC"/>
    <w:rsid w:val="00834A50"/>
    <w:rsid w:val="00834DFE"/>
    <w:rsid w:val="00834FB3"/>
    <w:rsid w:val="00835095"/>
    <w:rsid w:val="0083511B"/>
    <w:rsid w:val="00835371"/>
    <w:rsid w:val="008353D5"/>
    <w:rsid w:val="0083577B"/>
    <w:rsid w:val="00836297"/>
    <w:rsid w:val="008362CA"/>
    <w:rsid w:val="00836331"/>
    <w:rsid w:val="008364A3"/>
    <w:rsid w:val="008364DC"/>
    <w:rsid w:val="0083678C"/>
    <w:rsid w:val="00836812"/>
    <w:rsid w:val="008368BB"/>
    <w:rsid w:val="00836B42"/>
    <w:rsid w:val="008371DE"/>
    <w:rsid w:val="00837462"/>
    <w:rsid w:val="00837477"/>
    <w:rsid w:val="008374C7"/>
    <w:rsid w:val="0083771B"/>
    <w:rsid w:val="00837A8D"/>
    <w:rsid w:val="00837B10"/>
    <w:rsid w:val="00837CD0"/>
    <w:rsid w:val="0084004E"/>
    <w:rsid w:val="0084034D"/>
    <w:rsid w:val="0084063B"/>
    <w:rsid w:val="008406A4"/>
    <w:rsid w:val="008407A2"/>
    <w:rsid w:val="008409BC"/>
    <w:rsid w:val="008409FF"/>
    <w:rsid w:val="00840F84"/>
    <w:rsid w:val="00840FCD"/>
    <w:rsid w:val="0084125E"/>
    <w:rsid w:val="00841349"/>
    <w:rsid w:val="008413E7"/>
    <w:rsid w:val="008415C9"/>
    <w:rsid w:val="00841979"/>
    <w:rsid w:val="00841B00"/>
    <w:rsid w:val="00841C9A"/>
    <w:rsid w:val="00842168"/>
    <w:rsid w:val="008422CD"/>
    <w:rsid w:val="00842390"/>
    <w:rsid w:val="00842413"/>
    <w:rsid w:val="0084275E"/>
    <w:rsid w:val="0084276E"/>
    <w:rsid w:val="0084280C"/>
    <w:rsid w:val="00842869"/>
    <w:rsid w:val="00842F58"/>
    <w:rsid w:val="008437DF"/>
    <w:rsid w:val="00843874"/>
    <w:rsid w:val="00843B06"/>
    <w:rsid w:val="00843BEA"/>
    <w:rsid w:val="00844165"/>
    <w:rsid w:val="00844390"/>
    <w:rsid w:val="00844498"/>
    <w:rsid w:val="00844A96"/>
    <w:rsid w:val="00844DE4"/>
    <w:rsid w:val="00844FA0"/>
    <w:rsid w:val="00845117"/>
    <w:rsid w:val="008459B4"/>
    <w:rsid w:val="008459DC"/>
    <w:rsid w:val="00845A4B"/>
    <w:rsid w:val="00845C59"/>
    <w:rsid w:val="00845CF7"/>
    <w:rsid w:val="00845FE8"/>
    <w:rsid w:val="008460F6"/>
    <w:rsid w:val="008461E0"/>
    <w:rsid w:val="008463DD"/>
    <w:rsid w:val="008464B2"/>
    <w:rsid w:val="008464CA"/>
    <w:rsid w:val="008465CE"/>
    <w:rsid w:val="00846B17"/>
    <w:rsid w:val="00847063"/>
    <w:rsid w:val="00847074"/>
    <w:rsid w:val="008473BD"/>
    <w:rsid w:val="0084749F"/>
    <w:rsid w:val="008476DC"/>
    <w:rsid w:val="00847791"/>
    <w:rsid w:val="008479FB"/>
    <w:rsid w:val="00847D3D"/>
    <w:rsid w:val="00847DBF"/>
    <w:rsid w:val="00847E69"/>
    <w:rsid w:val="00850148"/>
    <w:rsid w:val="008501F3"/>
    <w:rsid w:val="008502F6"/>
    <w:rsid w:val="00850458"/>
    <w:rsid w:val="008507A0"/>
    <w:rsid w:val="00850839"/>
    <w:rsid w:val="00850A76"/>
    <w:rsid w:val="00850C40"/>
    <w:rsid w:val="00850E01"/>
    <w:rsid w:val="00850EAC"/>
    <w:rsid w:val="00851050"/>
    <w:rsid w:val="0085133B"/>
    <w:rsid w:val="008513DD"/>
    <w:rsid w:val="008514A2"/>
    <w:rsid w:val="008516B7"/>
    <w:rsid w:val="008517CF"/>
    <w:rsid w:val="0085190E"/>
    <w:rsid w:val="0085198C"/>
    <w:rsid w:val="00851B2E"/>
    <w:rsid w:val="00851BE8"/>
    <w:rsid w:val="00851C71"/>
    <w:rsid w:val="008520F5"/>
    <w:rsid w:val="00852214"/>
    <w:rsid w:val="00852344"/>
    <w:rsid w:val="0085281F"/>
    <w:rsid w:val="0085291F"/>
    <w:rsid w:val="00852944"/>
    <w:rsid w:val="00852A1A"/>
    <w:rsid w:val="00852B35"/>
    <w:rsid w:val="00852B69"/>
    <w:rsid w:val="00852BFD"/>
    <w:rsid w:val="00852CA3"/>
    <w:rsid w:val="00852D96"/>
    <w:rsid w:val="00852DD4"/>
    <w:rsid w:val="00852E18"/>
    <w:rsid w:val="0085315F"/>
    <w:rsid w:val="00853373"/>
    <w:rsid w:val="008533C3"/>
    <w:rsid w:val="00853640"/>
    <w:rsid w:val="0085386E"/>
    <w:rsid w:val="00853B35"/>
    <w:rsid w:val="00853C4B"/>
    <w:rsid w:val="00853C83"/>
    <w:rsid w:val="00853C96"/>
    <w:rsid w:val="00853D0B"/>
    <w:rsid w:val="008547B0"/>
    <w:rsid w:val="00854913"/>
    <w:rsid w:val="00854B57"/>
    <w:rsid w:val="00854BB8"/>
    <w:rsid w:val="00854DB2"/>
    <w:rsid w:val="00855A60"/>
    <w:rsid w:val="00855DAB"/>
    <w:rsid w:val="00855E2E"/>
    <w:rsid w:val="00855E9A"/>
    <w:rsid w:val="00855F97"/>
    <w:rsid w:val="00856167"/>
    <w:rsid w:val="008563A7"/>
    <w:rsid w:val="008563D4"/>
    <w:rsid w:val="008567D4"/>
    <w:rsid w:val="0085692D"/>
    <w:rsid w:val="00856A0D"/>
    <w:rsid w:val="00856D72"/>
    <w:rsid w:val="00856F3F"/>
    <w:rsid w:val="00857024"/>
    <w:rsid w:val="0085782F"/>
    <w:rsid w:val="00857995"/>
    <w:rsid w:val="008579C3"/>
    <w:rsid w:val="00857AD4"/>
    <w:rsid w:val="0086011A"/>
    <w:rsid w:val="008606B0"/>
    <w:rsid w:val="008607B6"/>
    <w:rsid w:val="00860A1C"/>
    <w:rsid w:val="00860A42"/>
    <w:rsid w:val="00860BE9"/>
    <w:rsid w:val="00860C5C"/>
    <w:rsid w:val="0086106E"/>
    <w:rsid w:val="008611EC"/>
    <w:rsid w:val="00861289"/>
    <w:rsid w:val="00861744"/>
    <w:rsid w:val="00861765"/>
    <w:rsid w:val="00861AA5"/>
    <w:rsid w:val="00861B1E"/>
    <w:rsid w:val="00861BB8"/>
    <w:rsid w:val="00861C73"/>
    <w:rsid w:val="00861CAC"/>
    <w:rsid w:val="00861E55"/>
    <w:rsid w:val="00861EAB"/>
    <w:rsid w:val="00862146"/>
    <w:rsid w:val="00862246"/>
    <w:rsid w:val="00862423"/>
    <w:rsid w:val="0086266C"/>
    <w:rsid w:val="008628D7"/>
    <w:rsid w:val="00862A0B"/>
    <w:rsid w:val="00862B75"/>
    <w:rsid w:val="00862BF6"/>
    <w:rsid w:val="00862C0B"/>
    <w:rsid w:val="00862F14"/>
    <w:rsid w:val="008632DA"/>
    <w:rsid w:val="008634B1"/>
    <w:rsid w:val="008634C3"/>
    <w:rsid w:val="00863517"/>
    <w:rsid w:val="008638C2"/>
    <w:rsid w:val="00863992"/>
    <w:rsid w:val="00863BA8"/>
    <w:rsid w:val="00863E43"/>
    <w:rsid w:val="00863E77"/>
    <w:rsid w:val="00863E9C"/>
    <w:rsid w:val="00864082"/>
    <w:rsid w:val="008641F8"/>
    <w:rsid w:val="008644AF"/>
    <w:rsid w:val="00864827"/>
    <w:rsid w:val="00864908"/>
    <w:rsid w:val="00864910"/>
    <w:rsid w:val="00864BE9"/>
    <w:rsid w:val="00864C70"/>
    <w:rsid w:val="00865052"/>
    <w:rsid w:val="00865594"/>
    <w:rsid w:val="00865A4D"/>
    <w:rsid w:val="00865C3A"/>
    <w:rsid w:val="00865CF8"/>
    <w:rsid w:val="00866077"/>
    <w:rsid w:val="00866462"/>
    <w:rsid w:val="00866A01"/>
    <w:rsid w:val="00866CD7"/>
    <w:rsid w:val="00867360"/>
    <w:rsid w:val="0086747C"/>
    <w:rsid w:val="008675D9"/>
    <w:rsid w:val="008677C6"/>
    <w:rsid w:val="00867AB4"/>
    <w:rsid w:val="00867B5B"/>
    <w:rsid w:val="00867DEB"/>
    <w:rsid w:val="00867EA2"/>
    <w:rsid w:val="00867F5B"/>
    <w:rsid w:val="00870202"/>
    <w:rsid w:val="00870346"/>
    <w:rsid w:val="00870598"/>
    <w:rsid w:val="0087081C"/>
    <w:rsid w:val="00870A39"/>
    <w:rsid w:val="00870C1D"/>
    <w:rsid w:val="00870DEA"/>
    <w:rsid w:val="0087116E"/>
    <w:rsid w:val="00871220"/>
    <w:rsid w:val="008715B5"/>
    <w:rsid w:val="0087173D"/>
    <w:rsid w:val="00871763"/>
    <w:rsid w:val="00871C2E"/>
    <w:rsid w:val="008720CB"/>
    <w:rsid w:val="00872147"/>
    <w:rsid w:val="00872330"/>
    <w:rsid w:val="008723CD"/>
    <w:rsid w:val="008723F8"/>
    <w:rsid w:val="00872659"/>
    <w:rsid w:val="008726CC"/>
    <w:rsid w:val="008727CD"/>
    <w:rsid w:val="0087313E"/>
    <w:rsid w:val="008731F5"/>
    <w:rsid w:val="00873478"/>
    <w:rsid w:val="008736F2"/>
    <w:rsid w:val="00873D60"/>
    <w:rsid w:val="00873EFF"/>
    <w:rsid w:val="00874331"/>
    <w:rsid w:val="00874438"/>
    <w:rsid w:val="008747F6"/>
    <w:rsid w:val="00874BDC"/>
    <w:rsid w:val="00874C04"/>
    <w:rsid w:val="00874E49"/>
    <w:rsid w:val="00874F65"/>
    <w:rsid w:val="00875158"/>
    <w:rsid w:val="008752D8"/>
    <w:rsid w:val="00875397"/>
    <w:rsid w:val="00875714"/>
    <w:rsid w:val="00875A48"/>
    <w:rsid w:val="00875AA7"/>
    <w:rsid w:val="00875BC5"/>
    <w:rsid w:val="00875DBE"/>
    <w:rsid w:val="00875E74"/>
    <w:rsid w:val="00875F00"/>
    <w:rsid w:val="00876250"/>
    <w:rsid w:val="008762FE"/>
    <w:rsid w:val="0087678F"/>
    <w:rsid w:val="00876E6A"/>
    <w:rsid w:val="008771C1"/>
    <w:rsid w:val="00877313"/>
    <w:rsid w:val="008774DE"/>
    <w:rsid w:val="00877B1A"/>
    <w:rsid w:val="00880262"/>
    <w:rsid w:val="00880270"/>
    <w:rsid w:val="00880300"/>
    <w:rsid w:val="008805CA"/>
    <w:rsid w:val="00880763"/>
    <w:rsid w:val="00880B5B"/>
    <w:rsid w:val="00880D62"/>
    <w:rsid w:val="0088111D"/>
    <w:rsid w:val="008812C6"/>
    <w:rsid w:val="008816AF"/>
    <w:rsid w:val="00881C96"/>
    <w:rsid w:val="00881D29"/>
    <w:rsid w:val="008822CA"/>
    <w:rsid w:val="008822D0"/>
    <w:rsid w:val="008822FA"/>
    <w:rsid w:val="00882334"/>
    <w:rsid w:val="00882726"/>
    <w:rsid w:val="008829BA"/>
    <w:rsid w:val="00882B12"/>
    <w:rsid w:val="00882FC9"/>
    <w:rsid w:val="008837ED"/>
    <w:rsid w:val="008837F1"/>
    <w:rsid w:val="00883849"/>
    <w:rsid w:val="00883B6D"/>
    <w:rsid w:val="00883B8F"/>
    <w:rsid w:val="00883F9F"/>
    <w:rsid w:val="0088435E"/>
    <w:rsid w:val="008843DF"/>
    <w:rsid w:val="0088475F"/>
    <w:rsid w:val="00884E33"/>
    <w:rsid w:val="008851A5"/>
    <w:rsid w:val="00885284"/>
    <w:rsid w:val="0088534B"/>
    <w:rsid w:val="00885377"/>
    <w:rsid w:val="0088537B"/>
    <w:rsid w:val="00885527"/>
    <w:rsid w:val="0088556E"/>
    <w:rsid w:val="00885627"/>
    <w:rsid w:val="00885870"/>
    <w:rsid w:val="008859F7"/>
    <w:rsid w:val="00885BD8"/>
    <w:rsid w:val="00885E0A"/>
    <w:rsid w:val="00885F5E"/>
    <w:rsid w:val="00886073"/>
    <w:rsid w:val="0088614B"/>
    <w:rsid w:val="008861AE"/>
    <w:rsid w:val="0088631D"/>
    <w:rsid w:val="00886629"/>
    <w:rsid w:val="00887750"/>
    <w:rsid w:val="00887C8B"/>
    <w:rsid w:val="00887CE6"/>
    <w:rsid w:val="008911BD"/>
    <w:rsid w:val="00891CB6"/>
    <w:rsid w:val="00891DB9"/>
    <w:rsid w:val="00891F05"/>
    <w:rsid w:val="00891FCD"/>
    <w:rsid w:val="00891FFD"/>
    <w:rsid w:val="00892091"/>
    <w:rsid w:val="00892450"/>
    <w:rsid w:val="008926F9"/>
    <w:rsid w:val="00892AC9"/>
    <w:rsid w:val="00892BFC"/>
    <w:rsid w:val="00892DBE"/>
    <w:rsid w:val="0089315D"/>
    <w:rsid w:val="0089335D"/>
    <w:rsid w:val="0089338C"/>
    <w:rsid w:val="00893814"/>
    <w:rsid w:val="0089438A"/>
    <w:rsid w:val="00894398"/>
    <w:rsid w:val="0089459B"/>
    <w:rsid w:val="0089499B"/>
    <w:rsid w:val="00894A1A"/>
    <w:rsid w:val="00894B20"/>
    <w:rsid w:val="00894E5F"/>
    <w:rsid w:val="00894E81"/>
    <w:rsid w:val="00895062"/>
    <w:rsid w:val="008950FD"/>
    <w:rsid w:val="008956C6"/>
    <w:rsid w:val="008957F0"/>
    <w:rsid w:val="00895876"/>
    <w:rsid w:val="008959FC"/>
    <w:rsid w:val="00895FEE"/>
    <w:rsid w:val="0089606E"/>
    <w:rsid w:val="0089616F"/>
    <w:rsid w:val="00896333"/>
    <w:rsid w:val="00896424"/>
    <w:rsid w:val="00896887"/>
    <w:rsid w:val="00896D5B"/>
    <w:rsid w:val="00896DFD"/>
    <w:rsid w:val="00896E4E"/>
    <w:rsid w:val="00896F82"/>
    <w:rsid w:val="00896FC8"/>
    <w:rsid w:val="0089755F"/>
    <w:rsid w:val="008975BE"/>
    <w:rsid w:val="008979FC"/>
    <w:rsid w:val="008A0204"/>
    <w:rsid w:val="008A027F"/>
    <w:rsid w:val="008A03E5"/>
    <w:rsid w:val="008A09DE"/>
    <w:rsid w:val="008A0AB9"/>
    <w:rsid w:val="008A0C91"/>
    <w:rsid w:val="008A1198"/>
    <w:rsid w:val="008A135B"/>
    <w:rsid w:val="008A1466"/>
    <w:rsid w:val="008A1491"/>
    <w:rsid w:val="008A154E"/>
    <w:rsid w:val="008A1621"/>
    <w:rsid w:val="008A1666"/>
    <w:rsid w:val="008A17F3"/>
    <w:rsid w:val="008A18CC"/>
    <w:rsid w:val="008A1951"/>
    <w:rsid w:val="008A1B7E"/>
    <w:rsid w:val="008A1ED6"/>
    <w:rsid w:val="008A2015"/>
    <w:rsid w:val="008A2249"/>
    <w:rsid w:val="008A2430"/>
    <w:rsid w:val="008A249B"/>
    <w:rsid w:val="008A25A5"/>
    <w:rsid w:val="008A25B9"/>
    <w:rsid w:val="008A2751"/>
    <w:rsid w:val="008A2C3C"/>
    <w:rsid w:val="008A2ECE"/>
    <w:rsid w:val="008A2EE6"/>
    <w:rsid w:val="008A2FE5"/>
    <w:rsid w:val="008A324A"/>
    <w:rsid w:val="008A35BC"/>
    <w:rsid w:val="008A38C3"/>
    <w:rsid w:val="008A3998"/>
    <w:rsid w:val="008A3AA8"/>
    <w:rsid w:val="008A3B00"/>
    <w:rsid w:val="008A3B78"/>
    <w:rsid w:val="008A41C9"/>
    <w:rsid w:val="008A4523"/>
    <w:rsid w:val="008A4A19"/>
    <w:rsid w:val="008A4A60"/>
    <w:rsid w:val="008A4CCF"/>
    <w:rsid w:val="008A505F"/>
    <w:rsid w:val="008A51D2"/>
    <w:rsid w:val="008A51F5"/>
    <w:rsid w:val="008A5ABA"/>
    <w:rsid w:val="008A5C12"/>
    <w:rsid w:val="008A5D47"/>
    <w:rsid w:val="008A5F6F"/>
    <w:rsid w:val="008A5F89"/>
    <w:rsid w:val="008A64D6"/>
    <w:rsid w:val="008A6502"/>
    <w:rsid w:val="008A6AA0"/>
    <w:rsid w:val="008A6AFA"/>
    <w:rsid w:val="008A6B74"/>
    <w:rsid w:val="008A6B75"/>
    <w:rsid w:val="008A6EB1"/>
    <w:rsid w:val="008A6F40"/>
    <w:rsid w:val="008A71C2"/>
    <w:rsid w:val="008A734D"/>
    <w:rsid w:val="008A78FE"/>
    <w:rsid w:val="008A7F75"/>
    <w:rsid w:val="008B01D4"/>
    <w:rsid w:val="008B027B"/>
    <w:rsid w:val="008B0292"/>
    <w:rsid w:val="008B036D"/>
    <w:rsid w:val="008B03C8"/>
    <w:rsid w:val="008B03D8"/>
    <w:rsid w:val="008B0660"/>
    <w:rsid w:val="008B06BD"/>
    <w:rsid w:val="008B0A95"/>
    <w:rsid w:val="008B0F28"/>
    <w:rsid w:val="008B1296"/>
    <w:rsid w:val="008B1311"/>
    <w:rsid w:val="008B1370"/>
    <w:rsid w:val="008B1510"/>
    <w:rsid w:val="008B19FD"/>
    <w:rsid w:val="008B1D08"/>
    <w:rsid w:val="008B1E63"/>
    <w:rsid w:val="008B1ECA"/>
    <w:rsid w:val="008B2356"/>
    <w:rsid w:val="008B2438"/>
    <w:rsid w:val="008B25A4"/>
    <w:rsid w:val="008B28CF"/>
    <w:rsid w:val="008B2903"/>
    <w:rsid w:val="008B2956"/>
    <w:rsid w:val="008B2BCA"/>
    <w:rsid w:val="008B2C41"/>
    <w:rsid w:val="008B3240"/>
    <w:rsid w:val="008B3479"/>
    <w:rsid w:val="008B35FD"/>
    <w:rsid w:val="008B37F8"/>
    <w:rsid w:val="008B3D23"/>
    <w:rsid w:val="008B3EE7"/>
    <w:rsid w:val="008B3FC5"/>
    <w:rsid w:val="008B45BA"/>
    <w:rsid w:val="008B48DE"/>
    <w:rsid w:val="008B501C"/>
    <w:rsid w:val="008B51C0"/>
    <w:rsid w:val="008B5382"/>
    <w:rsid w:val="008B55D6"/>
    <w:rsid w:val="008B561D"/>
    <w:rsid w:val="008B568F"/>
    <w:rsid w:val="008B5737"/>
    <w:rsid w:val="008B574C"/>
    <w:rsid w:val="008B5ACF"/>
    <w:rsid w:val="008B5AE6"/>
    <w:rsid w:val="008B5D6F"/>
    <w:rsid w:val="008B5DD8"/>
    <w:rsid w:val="008B61C8"/>
    <w:rsid w:val="008B64E9"/>
    <w:rsid w:val="008B6663"/>
    <w:rsid w:val="008B6C64"/>
    <w:rsid w:val="008B6CE1"/>
    <w:rsid w:val="008B6E71"/>
    <w:rsid w:val="008B6FD5"/>
    <w:rsid w:val="008B70CC"/>
    <w:rsid w:val="008B71B0"/>
    <w:rsid w:val="008B71E0"/>
    <w:rsid w:val="008B7302"/>
    <w:rsid w:val="008B7548"/>
    <w:rsid w:val="008B7591"/>
    <w:rsid w:val="008B764B"/>
    <w:rsid w:val="008B7B27"/>
    <w:rsid w:val="008B7D50"/>
    <w:rsid w:val="008C0182"/>
    <w:rsid w:val="008C020A"/>
    <w:rsid w:val="008C0651"/>
    <w:rsid w:val="008C14C8"/>
    <w:rsid w:val="008C1567"/>
    <w:rsid w:val="008C15F9"/>
    <w:rsid w:val="008C1849"/>
    <w:rsid w:val="008C1868"/>
    <w:rsid w:val="008C1BCA"/>
    <w:rsid w:val="008C258F"/>
    <w:rsid w:val="008C2AD4"/>
    <w:rsid w:val="008C2B30"/>
    <w:rsid w:val="008C2BEA"/>
    <w:rsid w:val="008C2DF8"/>
    <w:rsid w:val="008C30D6"/>
    <w:rsid w:val="008C320F"/>
    <w:rsid w:val="008C346A"/>
    <w:rsid w:val="008C3475"/>
    <w:rsid w:val="008C35BB"/>
    <w:rsid w:val="008C37D2"/>
    <w:rsid w:val="008C3E19"/>
    <w:rsid w:val="008C4196"/>
    <w:rsid w:val="008C4276"/>
    <w:rsid w:val="008C4591"/>
    <w:rsid w:val="008C48D4"/>
    <w:rsid w:val="008C4B36"/>
    <w:rsid w:val="008C4FA1"/>
    <w:rsid w:val="008C5043"/>
    <w:rsid w:val="008C520C"/>
    <w:rsid w:val="008C57CB"/>
    <w:rsid w:val="008C580D"/>
    <w:rsid w:val="008C59EB"/>
    <w:rsid w:val="008C5AD5"/>
    <w:rsid w:val="008C5B36"/>
    <w:rsid w:val="008C5F0D"/>
    <w:rsid w:val="008C6067"/>
    <w:rsid w:val="008C60AC"/>
    <w:rsid w:val="008C626A"/>
    <w:rsid w:val="008C62C9"/>
    <w:rsid w:val="008C6352"/>
    <w:rsid w:val="008C6988"/>
    <w:rsid w:val="008C6A5D"/>
    <w:rsid w:val="008C6EAA"/>
    <w:rsid w:val="008C6EE8"/>
    <w:rsid w:val="008C7112"/>
    <w:rsid w:val="008C7126"/>
    <w:rsid w:val="008C74D2"/>
    <w:rsid w:val="008C7653"/>
    <w:rsid w:val="008C77C8"/>
    <w:rsid w:val="008C77D8"/>
    <w:rsid w:val="008C7822"/>
    <w:rsid w:val="008C7AAA"/>
    <w:rsid w:val="008C7DAA"/>
    <w:rsid w:val="008C7ECE"/>
    <w:rsid w:val="008D00AB"/>
    <w:rsid w:val="008D02CF"/>
    <w:rsid w:val="008D02FF"/>
    <w:rsid w:val="008D03AD"/>
    <w:rsid w:val="008D0501"/>
    <w:rsid w:val="008D07A0"/>
    <w:rsid w:val="008D0B43"/>
    <w:rsid w:val="008D0E96"/>
    <w:rsid w:val="008D0F0F"/>
    <w:rsid w:val="008D10C8"/>
    <w:rsid w:val="008D1628"/>
    <w:rsid w:val="008D17F5"/>
    <w:rsid w:val="008D180E"/>
    <w:rsid w:val="008D1941"/>
    <w:rsid w:val="008D1C3D"/>
    <w:rsid w:val="008D1CBE"/>
    <w:rsid w:val="008D1DFE"/>
    <w:rsid w:val="008D1EDF"/>
    <w:rsid w:val="008D1FB4"/>
    <w:rsid w:val="008D206D"/>
    <w:rsid w:val="008D28F0"/>
    <w:rsid w:val="008D2C68"/>
    <w:rsid w:val="008D3063"/>
    <w:rsid w:val="008D3461"/>
    <w:rsid w:val="008D3504"/>
    <w:rsid w:val="008D3893"/>
    <w:rsid w:val="008D3E47"/>
    <w:rsid w:val="008D413B"/>
    <w:rsid w:val="008D47A3"/>
    <w:rsid w:val="008D49A6"/>
    <w:rsid w:val="008D4AE0"/>
    <w:rsid w:val="008D4B6E"/>
    <w:rsid w:val="008D4EE3"/>
    <w:rsid w:val="008D548C"/>
    <w:rsid w:val="008D5571"/>
    <w:rsid w:val="008D5711"/>
    <w:rsid w:val="008D5733"/>
    <w:rsid w:val="008D579A"/>
    <w:rsid w:val="008D59A5"/>
    <w:rsid w:val="008D59B2"/>
    <w:rsid w:val="008D6030"/>
    <w:rsid w:val="008D610C"/>
    <w:rsid w:val="008D649D"/>
    <w:rsid w:val="008D669E"/>
    <w:rsid w:val="008D6828"/>
    <w:rsid w:val="008D6BA6"/>
    <w:rsid w:val="008D6CAC"/>
    <w:rsid w:val="008D7222"/>
    <w:rsid w:val="008D7305"/>
    <w:rsid w:val="008D73BF"/>
    <w:rsid w:val="008D7436"/>
    <w:rsid w:val="008D75C5"/>
    <w:rsid w:val="008D7C94"/>
    <w:rsid w:val="008D7D7F"/>
    <w:rsid w:val="008D7F71"/>
    <w:rsid w:val="008E00FF"/>
    <w:rsid w:val="008E02CB"/>
    <w:rsid w:val="008E03D8"/>
    <w:rsid w:val="008E0475"/>
    <w:rsid w:val="008E05F9"/>
    <w:rsid w:val="008E07E2"/>
    <w:rsid w:val="008E0925"/>
    <w:rsid w:val="008E0E12"/>
    <w:rsid w:val="008E1301"/>
    <w:rsid w:val="008E1394"/>
    <w:rsid w:val="008E13DE"/>
    <w:rsid w:val="008E171D"/>
    <w:rsid w:val="008E1788"/>
    <w:rsid w:val="008E1894"/>
    <w:rsid w:val="008E1A18"/>
    <w:rsid w:val="008E1A97"/>
    <w:rsid w:val="008E1C4C"/>
    <w:rsid w:val="008E1CFF"/>
    <w:rsid w:val="008E1D3D"/>
    <w:rsid w:val="008E1F47"/>
    <w:rsid w:val="008E1FFA"/>
    <w:rsid w:val="008E2046"/>
    <w:rsid w:val="008E21AE"/>
    <w:rsid w:val="008E21CA"/>
    <w:rsid w:val="008E28A3"/>
    <w:rsid w:val="008E28F8"/>
    <w:rsid w:val="008E29E4"/>
    <w:rsid w:val="008E2A22"/>
    <w:rsid w:val="008E2C6B"/>
    <w:rsid w:val="008E2D4E"/>
    <w:rsid w:val="008E2FE2"/>
    <w:rsid w:val="008E30EF"/>
    <w:rsid w:val="008E3971"/>
    <w:rsid w:val="008E3BE8"/>
    <w:rsid w:val="008E3CE4"/>
    <w:rsid w:val="008E4245"/>
    <w:rsid w:val="008E44CF"/>
    <w:rsid w:val="008E4A5D"/>
    <w:rsid w:val="008E4B79"/>
    <w:rsid w:val="008E4D8C"/>
    <w:rsid w:val="008E4E9E"/>
    <w:rsid w:val="008E4F22"/>
    <w:rsid w:val="008E527F"/>
    <w:rsid w:val="008E52FD"/>
    <w:rsid w:val="008E5B64"/>
    <w:rsid w:val="008E5E59"/>
    <w:rsid w:val="008E5EE8"/>
    <w:rsid w:val="008E5F71"/>
    <w:rsid w:val="008E6217"/>
    <w:rsid w:val="008E6400"/>
    <w:rsid w:val="008E6525"/>
    <w:rsid w:val="008E6616"/>
    <w:rsid w:val="008E668A"/>
    <w:rsid w:val="008E6A9A"/>
    <w:rsid w:val="008E6D61"/>
    <w:rsid w:val="008E6D97"/>
    <w:rsid w:val="008E7110"/>
    <w:rsid w:val="008E78AD"/>
    <w:rsid w:val="008E7B1D"/>
    <w:rsid w:val="008E7E70"/>
    <w:rsid w:val="008E7FB2"/>
    <w:rsid w:val="008F000C"/>
    <w:rsid w:val="008F01D9"/>
    <w:rsid w:val="008F04A6"/>
    <w:rsid w:val="008F05E2"/>
    <w:rsid w:val="008F063B"/>
    <w:rsid w:val="008F07F5"/>
    <w:rsid w:val="008F092B"/>
    <w:rsid w:val="008F09BA"/>
    <w:rsid w:val="008F0E70"/>
    <w:rsid w:val="008F134A"/>
    <w:rsid w:val="008F13F1"/>
    <w:rsid w:val="008F1498"/>
    <w:rsid w:val="008F14FA"/>
    <w:rsid w:val="008F19FD"/>
    <w:rsid w:val="008F1B17"/>
    <w:rsid w:val="008F1EC7"/>
    <w:rsid w:val="008F224F"/>
    <w:rsid w:val="008F233E"/>
    <w:rsid w:val="008F235A"/>
    <w:rsid w:val="008F26C8"/>
    <w:rsid w:val="008F2F33"/>
    <w:rsid w:val="008F3147"/>
    <w:rsid w:val="008F3175"/>
    <w:rsid w:val="008F3187"/>
    <w:rsid w:val="008F32B4"/>
    <w:rsid w:val="008F33E3"/>
    <w:rsid w:val="008F34E8"/>
    <w:rsid w:val="008F36B2"/>
    <w:rsid w:val="008F3841"/>
    <w:rsid w:val="008F3999"/>
    <w:rsid w:val="008F3B69"/>
    <w:rsid w:val="008F3F35"/>
    <w:rsid w:val="008F41F7"/>
    <w:rsid w:val="008F437C"/>
    <w:rsid w:val="008F453A"/>
    <w:rsid w:val="008F48FC"/>
    <w:rsid w:val="008F4ED1"/>
    <w:rsid w:val="008F4F60"/>
    <w:rsid w:val="008F51EF"/>
    <w:rsid w:val="008F52B2"/>
    <w:rsid w:val="008F53E4"/>
    <w:rsid w:val="008F5708"/>
    <w:rsid w:val="008F5901"/>
    <w:rsid w:val="008F5C8A"/>
    <w:rsid w:val="008F5E59"/>
    <w:rsid w:val="008F60FF"/>
    <w:rsid w:val="008F61BE"/>
    <w:rsid w:val="008F6752"/>
    <w:rsid w:val="008F68B2"/>
    <w:rsid w:val="008F6B68"/>
    <w:rsid w:val="008F7C5B"/>
    <w:rsid w:val="008F7D44"/>
    <w:rsid w:val="00900005"/>
    <w:rsid w:val="009001DF"/>
    <w:rsid w:val="009001F7"/>
    <w:rsid w:val="0090024F"/>
    <w:rsid w:val="009002D2"/>
    <w:rsid w:val="00900705"/>
    <w:rsid w:val="00900751"/>
    <w:rsid w:val="00900FCF"/>
    <w:rsid w:val="00901041"/>
    <w:rsid w:val="00901148"/>
    <w:rsid w:val="0090124D"/>
    <w:rsid w:val="009013DC"/>
    <w:rsid w:val="009014A6"/>
    <w:rsid w:val="00901902"/>
    <w:rsid w:val="0090194A"/>
    <w:rsid w:val="009019AA"/>
    <w:rsid w:val="00901D3C"/>
    <w:rsid w:val="009020B9"/>
    <w:rsid w:val="009020F5"/>
    <w:rsid w:val="0090230D"/>
    <w:rsid w:val="009026B3"/>
    <w:rsid w:val="00902833"/>
    <w:rsid w:val="00902B83"/>
    <w:rsid w:val="00902C9F"/>
    <w:rsid w:val="00902FCC"/>
    <w:rsid w:val="0090307D"/>
    <w:rsid w:val="00903121"/>
    <w:rsid w:val="009036BD"/>
    <w:rsid w:val="00903995"/>
    <w:rsid w:val="00903DE5"/>
    <w:rsid w:val="009041F0"/>
    <w:rsid w:val="0090447D"/>
    <w:rsid w:val="00904556"/>
    <w:rsid w:val="00904564"/>
    <w:rsid w:val="0090463F"/>
    <w:rsid w:val="00904A60"/>
    <w:rsid w:val="00904ABD"/>
    <w:rsid w:val="00904B6A"/>
    <w:rsid w:val="00904B9A"/>
    <w:rsid w:val="00904EC4"/>
    <w:rsid w:val="009050CE"/>
    <w:rsid w:val="009053A1"/>
    <w:rsid w:val="00905A07"/>
    <w:rsid w:val="00905A46"/>
    <w:rsid w:val="00905A7E"/>
    <w:rsid w:val="00905BDD"/>
    <w:rsid w:val="00905EBD"/>
    <w:rsid w:val="00905F4B"/>
    <w:rsid w:val="0090609A"/>
    <w:rsid w:val="00906113"/>
    <w:rsid w:val="00906749"/>
    <w:rsid w:val="00906C67"/>
    <w:rsid w:val="00906F32"/>
    <w:rsid w:val="00906FFE"/>
    <w:rsid w:val="009070A6"/>
    <w:rsid w:val="009073F9"/>
    <w:rsid w:val="0090746A"/>
    <w:rsid w:val="009077E5"/>
    <w:rsid w:val="00907985"/>
    <w:rsid w:val="00907A74"/>
    <w:rsid w:val="00907AD1"/>
    <w:rsid w:val="00907F75"/>
    <w:rsid w:val="0091024B"/>
    <w:rsid w:val="00910264"/>
    <w:rsid w:val="00910498"/>
    <w:rsid w:val="0091068D"/>
    <w:rsid w:val="0091081B"/>
    <w:rsid w:val="00910B06"/>
    <w:rsid w:val="00910C10"/>
    <w:rsid w:val="00910CE3"/>
    <w:rsid w:val="00910EA2"/>
    <w:rsid w:val="00910EA5"/>
    <w:rsid w:val="00910F0A"/>
    <w:rsid w:val="009111C1"/>
    <w:rsid w:val="00911539"/>
    <w:rsid w:val="00911AAA"/>
    <w:rsid w:val="00911ADD"/>
    <w:rsid w:val="00911DD6"/>
    <w:rsid w:val="00911E8C"/>
    <w:rsid w:val="009121B7"/>
    <w:rsid w:val="009126C8"/>
    <w:rsid w:val="009129DE"/>
    <w:rsid w:val="00912B74"/>
    <w:rsid w:val="00912B86"/>
    <w:rsid w:val="00912C9E"/>
    <w:rsid w:val="00913081"/>
    <w:rsid w:val="00913182"/>
    <w:rsid w:val="00913190"/>
    <w:rsid w:val="009135BC"/>
    <w:rsid w:val="009138A9"/>
    <w:rsid w:val="00913DF4"/>
    <w:rsid w:val="00913F66"/>
    <w:rsid w:val="0091408B"/>
    <w:rsid w:val="009144E8"/>
    <w:rsid w:val="00914B20"/>
    <w:rsid w:val="00914DC5"/>
    <w:rsid w:val="00914EA5"/>
    <w:rsid w:val="00915408"/>
    <w:rsid w:val="00915414"/>
    <w:rsid w:val="00915451"/>
    <w:rsid w:val="009154B0"/>
    <w:rsid w:val="009158C2"/>
    <w:rsid w:val="00915E0E"/>
    <w:rsid w:val="00915F88"/>
    <w:rsid w:val="00916886"/>
    <w:rsid w:val="00916B03"/>
    <w:rsid w:val="00916C32"/>
    <w:rsid w:val="00916EE8"/>
    <w:rsid w:val="009170CE"/>
    <w:rsid w:val="0091712F"/>
    <w:rsid w:val="00917393"/>
    <w:rsid w:val="0091741E"/>
    <w:rsid w:val="009176F5"/>
    <w:rsid w:val="00917AA5"/>
    <w:rsid w:val="00917DB1"/>
    <w:rsid w:val="00917EA2"/>
    <w:rsid w:val="00920004"/>
    <w:rsid w:val="009201AF"/>
    <w:rsid w:val="00920A10"/>
    <w:rsid w:val="00920AF7"/>
    <w:rsid w:val="00920D30"/>
    <w:rsid w:val="00921094"/>
    <w:rsid w:val="009210C6"/>
    <w:rsid w:val="009211C5"/>
    <w:rsid w:val="00921351"/>
    <w:rsid w:val="00921592"/>
    <w:rsid w:val="009219A0"/>
    <w:rsid w:val="00921A5F"/>
    <w:rsid w:val="00921A69"/>
    <w:rsid w:val="00921B2F"/>
    <w:rsid w:val="00921E0D"/>
    <w:rsid w:val="00922030"/>
    <w:rsid w:val="0092230A"/>
    <w:rsid w:val="0092275A"/>
    <w:rsid w:val="00922F37"/>
    <w:rsid w:val="0092305B"/>
    <w:rsid w:val="009230EF"/>
    <w:rsid w:val="00923137"/>
    <w:rsid w:val="0092319A"/>
    <w:rsid w:val="009231D1"/>
    <w:rsid w:val="0092399E"/>
    <w:rsid w:val="00923A55"/>
    <w:rsid w:val="00923D78"/>
    <w:rsid w:val="00923D8D"/>
    <w:rsid w:val="00923DE9"/>
    <w:rsid w:val="00923EEE"/>
    <w:rsid w:val="00923F58"/>
    <w:rsid w:val="0092405B"/>
    <w:rsid w:val="00924529"/>
    <w:rsid w:val="00924590"/>
    <w:rsid w:val="009245DD"/>
    <w:rsid w:val="009247AD"/>
    <w:rsid w:val="009248AD"/>
    <w:rsid w:val="00924907"/>
    <w:rsid w:val="009249CE"/>
    <w:rsid w:val="00924EA8"/>
    <w:rsid w:val="009250C0"/>
    <w:rsid w:val="0092511E"/>
    <w:rsid w:val="00925521"/>
    <w:rsid w:val="009255D6"/>
    <w:rsid w:val="00925674"/>
    <w:rsid w:val="009257CF"/>
    <w:rsid w:val="00925CDE"/>
    <w:rsid w:val="00925EDA"/>
    <w:rsid w:val="00925F87"/>
    <w:rsid w:val="00926139"/>
    <w:rsid w:val="00926590"/>
    <w:rsid w:val="00926855"/>
    <w:rsid w:val="00926B7F"/>
    <w:rsid w:val="00926C6D"/>
    <w:rsid w:val="0092723A"/>
    <w:rsid w:val="00927335"/>
    <w:rsid w:val="00927394"/>
    <w:rsid w:val="00927595"/>
    <w:rsid w:val="00927695"/>
    <w:rsid w:val="00927B1D"/>
    <w:rsid w:val="00927B80"/>
    <w:rsid w:val="00927E16"/>
    <w:rsid w:val="00927F2F"/>
    <w:rsid w:val="0093009A"/>
    <w:rsid w:val="009301C3"/>
    <w:rsid w:val="009302CE"/>
    <w:rsid w:val="009303FB"/>
    <w:rsid w:val="00930419"/>
    <w:rsid w:val="00930472"/>
    <w:rsid w:val="009304C8"/>
    <w:rsid w:val="00930537"/>
    <w:rsid w:val="009308ED"/>
    <w:rsid w:val="00930BC0"/>
    <w:rsid w:val="00930F75"/>
    <w:rsid w:val="0093177A"/>
    <w:rsid w:val="00931795"/>
    <w:rsid w:val="00931888"/>
    <w:rsid w:val="009318FD"/>
    <w:rsid w:val="00931E3C"/>
    <w:rsid w:val="00931F77"/>
    <w:rsid w:val="00932205"/>
    <w:rsid w:val="0093243E"/>
    <w:rsid w:val="009325E5"/>
    <w:rsid w:val="00932883"/>
    <w:rsid w:val="00932A42"/>
    <w:rsid w:val="00932B09"/>
    <w:rsid w:val="00932E44"/>
    <w:rsid w:val="00932F32"/>
    <w:rsid w:val="009333B1"/>
    <w:rsid w:val="0093356A"/>
    <w:rsid w:val="009335EA"/>
    <w:rsid w:val="00933616"/>
    <w:rsid w:val="00933A7C"/>
    <w:rsid w:val="00933D79"/>
    <w:rsid w:val="00933DD8"/>
    <w:rsid w:val="00933F90"/>
    <w:rsid w:val="0093432C"/>
    <w:rsid w:val="0093483F"/>
    <w:rsid w:val="009359E3"/>
    <w:rsid w:val="00936327"/>
    <w:rsid w:val="00936382"/>
    <w:rsid w:val="00936738"/>
    <w:rsid w:val="00936A09"/>
    <w:rsid w:val="00936DAE"/>
    <w:rsid w:val="00937002"/>
    <w:rsid w:val="0093708B"/>
    <w:rsid w:val="009370E6"/>
    <w:rsid w:val="0093743D"/>
    <w:rsid w:val="0093784A"/>
    <w:rsid w:val="00937B84"/>
    <w:rsid w:val="00937BC4"/>
    <w:rsid w:val="00937D55"/>
    <w:rsid w:val="00937EE0"/>
    <w:rsid w:val="0094013B"/>
    <w:rsid w:val="009408FE"/>
    <w:rsid w:val="00940950"/>
    <w:rsid w:val="00940F01"/>
    <w:rsid w:val="009415E8"/>
    <w:rsid w:val="00941639"/>
    <w:rsid w:val="00941690"/>
    <w:rsid w:val="00941A1D"/>
    <w:rsid w:val="00941C08"/>
    <w:rsid w:val="00941C38"/>
    <w:rsid w:val="00941CB0"/>
    <w:rsid w:val="00942193"/>
    <w:rsid w:val="00942313"/>
    <w:rsid w:val="009423BD"/>
    <w:rsid w:val="0094246A"/>
    <w:rsid w:val="0094286A"/>
    <w:rsid w:val="00942B1B"/>
    <w:rsid w:val="00942EAA"/>
    <w:rsid w:val="00942F8B"/>
    <w:rsid w:val="00943419"/>
    <w:rsid w:val="00943971"/>
    <w:rsid w:val="00943A2C"/>
    <w:rsid w:val="00943E55"/>
    <w:rsid w:val="009440E9"/>
    <w:rsid w:val="009445B0"/>
    <w:rsid w:val="009446F0"/>
    <w:rsid w:val="00944B46"/>
    <w:rsid w:val="00944DCC"/>
    <w:rsid w:val="00944F23"/>
    <w:rsid w:val="009450FE"/>
    <w:rsid w:val="00945157"/>
    <w:rsid w:val="0094528C"/>
    <w:rsid w:val="009452AC"/>
    <w:rsid w:val="00945485"/>
    <w:rsid w:val="009455BD"/>
    <w:rsid w:val="00945C32"/>
    <w:rsid w:val="00945C8F"/>
    <w:rsid w:val="00945C97"/>
    <w:rsid w:val="00946201"/>
    <w:rsid w:val="0094644F"/>
    <w:rsid w:val="00946652"/>
    <w:rsid w:val="009466D3"/>
    <w:rsid w:val="00946979"/>
    <w:rsid w:val="00946B3B"/>
    <w:rsid w:val="00946B57"/>
    <w:rsid w:val="00946FAD"/>
    <w:rsid w:val="009471DA"/>
    <w:rsid w:val="0094738A"/>
    <w:rsid w:val="00947474"/>
    <w:rsid w:val="00947639"/>
    <w:rsid w:val="009479F8"/>
    <w:rsid w:val="00947A17"/>
    <w:rsid w:val="00950040"/>
    <w:rsid w:val="00950481"/>
    <w:rsid w:val="009506E2"/>
    <w:rsid w:val="009509C8"/>
    <w:rsid w:val="00950B2E"/>
    <w:rsid w:val="00950BBD"/>
    <w:rsid w:val="00950FCF"/>
    <w:rsid w:val="00951270"/>
    <w:rsid w:val="009512B8"/>
    <w:rsid w:val="0095163A"/>
    <w:rsid w:val="009516F6"/>
    <w:rsid w:val="00951AEB"/>
    <w:rsid w:val="00951D1C"/>
    <w:rsid w:val="00951D23"/>
    <w:rsid w:val="00951EBA"/>
    <w:rsid w:val="00952093"/>
    <w:rsid w:val="0095215B"/>
    <w:rsid w:val="00952429"/>
    <w:rsid w:val="00952628"/>
    <w:rsid w:val="00952EAD"/>
    <w:rsid w:val="009530E5"/>
    <w:rsid w:val="009531AF"/>
    <w:rsid w:val="0095328E"/>
    <w:rsid w:val="009536FC"/>
    <w:rsid w:val="00953F92"/>
    <w:rsid w:val="009541D7"/>
    <w:rsid w:val="0095426A"/>
    <w:rsid w:val="009543BB"/>
    <w:rsid w:val="0095455F"/>
    <w:rsid w:val="00954729"/>
    <w:rsid w:val="00954BD6"/>
    <w:rsid w:val="00954CEC"/>
    <w:rsid w:val="00954D87"/>
    <w:rsid w:val="00954E59"/>
    <w:rsid w:val="009550D2"/>
    <w:rsid w:val="00955CBA"/>
    <w:rsid w:val="00955FB5"/>
    <w:rsid w:val="009563C0"/>
    <w:rsid w:val="0095646A"/>
    <w:rsid w:val="009564C9"/>
    <w:rsid w:val="00956787"/>
    <w:rsid w:val="00956896"/>
    <w:rsid w:val="009576F1"/>
    <w:rsid w:val="0095773C"/>
    <w:rsid w:val="00957AE3"/>
    <w:rsid w:val="00957C1B"/>
    <w:rsid w:val="00957E8B"/>
    <w:rsid w:val="009604C4"/>
    <w:rsid w:val="009606D0"/>
    <w:rsid w:val="00960D74"/>
    <w:rsid w:val="00960DB6"/>
    <w:rsid w:val="00960E47"/>
    <w:rsid w:val="00960F7D"/>
    <w:rsid w:val="0096120C"/>
    <w:rsid w:val="009613A2"/>
    <w:rsid w:val="0096141C"/>
    <w:rsid w:val="0096148D"/>
    <w:rsid w:val="009616C9"/>
    <w:rsid w:val="0096173B"/>
    <w:rsid w:val="009619B4"/>
    <w:rsid w:val="00961B57"/>
    <w:rsid w:val="00961DE1"/>
    <w:rsid w:val="00961E9C"/>
    <w:rsid w:val="0096271D"/>
    <w:rsid w:val="00962D1B"/>
    <w:rsid w:val="00962E14"/>
    <w:rsid w:val="00962EC1"/>
    <w:rsid w:val="009636B9"/>
    <w:rsid w:val="00963939"/>
    <w:rsid w:val="0096393C"/>
    <w:rsid w:val="00963BFD"/>
    <w:rsid w:val="00963C0F"/>
    <w:rsid w:val="00963C8C"/>
    <w:rsid w:val="00963D9E"/>
    <w:rsid w:val="00963DC7"/>
    <w:rsid w:val="00963E3C"/>
    <w:rsid w:val="00964089"/>
    <w:rsid w:val="0096410E"/>
    <w:rsid w:val="009645AC"/>
    <w:rsid w:val="00964A1F"/>
    <w:rsid w:val="00964ABF"/>
    <w:rsid w:val="00964AD7"/>
    <w:rsid w:val="00964BD7"/>
    <w:rsid w:val="00964C74"/>
    <w:rsid w:val="00964D55"/>
    <w:rsid w:val="00965143"/>
    <w:rsid w:val="00965485"/>
    <w:rsid w:val="00965619"/>
    <w:rsid w:val="00965B0F"/>
    <w:rsid w:val="00965BEA"/>
    <w:rsid w:val="00965CAD"/>
    <w:rsid w:val="0096602B"/>
    <w:rsid w:val="0096632F"/>
    <w:rsid w:val="00966805"/>
    <w:rsid w:val="00966B88"/>
    <w:rsid w:val="00966CDD"/>
    <w:rsid w:val="00966DE5"/>
    <w:rsid w:val="00966E14"/>
    <w:rsid w:val="00966E54"/>
    <w:rsid w:val="009670AF"/>
    <w:rsid w:val="00967A79"/>
    <w:rsid w:val="00967B9C"/>
    <w:rsid w:val="00967FA1"/>
    <w:rsid w:val="009700C9"/>
    <w:rsid w:val="00970878"/>
    <w:rsid w:val="00970BD9"/>
    <w:rsid w:val="00970EA4"/>
    <w:rsid w:val="00970FBB"/>
    <w:rsid w:val="009713FD"/>
    <w:rsid w:val="00971522"/>
    <w:rsid w:val="00971852"/>
    <w:rsid w:val="00971A17"/>
    <w:rsid w:val="00971B9B"/>
    <w:rsid w:val="00971D85"/>
    <w:rsid w:val="00971DF9"/>
    <w:rsid w:val="00971FA1"/>
    <w:rsid w:val="009720E3"/>
    <w:rsid w:val="00972CB8"/>
    <w:rsid w:val="009737F5"/>
    <w:rsid w:val="009738BA"/>
    <w:rsid w:val="00973A2F"/>
    <w:rsid w:val="00973AB8"/>
    <w:rsid w:val="00973E07"/>
    <w:rsid w:val="00973F66"/>
    <w:rsid w:val="009741D8"/>
    <w:rsid w:val="009742F3"/>
    <w:rsid w:val="0097466B"/>
    <w:rsid w:val="00974945"/>
    <w:rsid w:val="00974DAC"/>
    <w:rsid w:val="009753A8"/>
    <w:rsid w:val="009755AB"/>
    <w:rsid w:val="009757D5"/>
    <w:rsid w:val="00975838"/>
    <w:rsid w:val="0097585F"/>
    <w:rsid w:val="00975A3C"/>
    <w:rsid w:val="00975B24"/>
    <w:rsid w:val="00975B97"/>
    <w:rsid w:val="00975F13"/>
    <w:rsid w:val="00975F49"/>
    <w:rsid w:val="0097696C"/>
    <w:rsid w:val="00976DB3"/>
    <w:rsid w:val="00977014"/>
    <w:rsid w:val="009776FA"/>
    <w:rsid w:val="00977772"/>
    <w:rsid w:val="009777E2"/>
    <w:rsid w:val="00977846"/>
    <w:rsid w:val="00977993"/>
    <w:rsid w:val="00977DB5"/>
    <w:rsid w:val="00977FA5"/>
    <w:rsid w:val="0098015A"/>
    <w:rsid w:val="00980351"/>
    <w:rsid w:val="009805A7"/>
    <w:rsid w:val="009806CA"/>
    <w:rsid w:val="00980AD3"/>
    <w:rsid w:val="00980B6C"/>
    <w:rsid w:val="00980F0B"/>
    <w:rsid w:val="00980F0D"/>
    <w:rsid w:val="0098158D"/>
    <w:rsid w:val="009819D9"/>
    <w:rsid w:val="00981CAE"/>
    <w:rsid w:val="00981FA8"/>
    <w:rsid w:val="00982088"/>
    <w:rsid w:val="00982125"/>
    <w:rsid w:val="00982358"/>
    <w:rsid w:val="009823D9"/>
    <w:rsid w:val="0098244B"/>
    <w:rsid w:val="0098253B"/>
    <w:rsid w:val="009829B9"/>
    <w:rsid w:val="00982A05"/>
    <w:rsid w:val="00982B6F"/>
    <w:rsid w:val="00982DC0"/>
    <w:rsid w:val="00983235"/>
    <w:rsid w:val="009834B4"/>
    <w:rsid w:val="00983A0A"/>
    <w:rsid w:val="00983AB5"/>
    <w:rsid w:val="00983D25"/>
    <w:rsid w:val="00983DCF"/>
    <w:rsid w:val="00983EFD"/>
    <w:rsid w:val="009840DA"/>
    <w:rsid w:val="009841FC"/>
    <w:rsid w:val="009844F1"/>
    <w:rsid w:val="009845C8"/>
    <w:rsid w:val="00984682"/>
    <w:rsid w:val="009847AA"/>
    <w:rsid w:val="00984A6C"/>
    <w:rsid w:val="00984D4C"/>
    <w:rsid w:val="009850A0"/>
    <w:rsid w:val="009851AF"/>
    <w:rsid w:val="009857EF"/>
    <w:rsid w:val="00985AC6"/>
    <w:rsid w:val="00985C96"/>
    <w:rsid w:val="00985D98"/>
    <w:rsid w:val="00985FC0"/>
    <w:rsid w:val="00986069"/>
    <w:rsid w:val="0098611D"/>
    <w:rsid w:val="00986219"/>
    <w:rsid w:val="009862FF"/>
    <w:rsid w:val="009863EF"/>
    <w:rsid w:val="009864AE"/>
    <w:rsid w:val="00987212"/>
    <w:rsid w:val="009872D2"/>
    <w:rsid w:val="0098735C"/>
    <w:rsid w:val="0098758E"/>
    <w:rsid w:val="0098777E"/>
    <w:rsid w:val="00987A14"/>
    <w:rsid w:val="00987BA7"/>
    <w:rsid w:val="0099003A"/>
    <w:rsid w:val="009901AA"/>
    <w:rsid w:val="00990655"/>
    <w:rsid w:val="009906D7"/>
    <w:rsid w:val="009908CA"/>
    <w:rsid w:val="009908F4"/>
    <w:rsid w:val="009909F9"/>
    <w:rsid w:val="00990BDA"/>
    <w:rsid w:val="00990C0A"/>
    <w:rsid w:val="00990DDE"/>
    <w:rsid w:val="00990F7C"/>
    <w:rsid w:val="00990FB6"/>
    <w:rsid w:val="0099114E"/>
    <w:rsid w:val="00991222"/>
    <w:rsid w:val="0099158E"/>
    <w:rsid w:val="00991685"/>
    <w:rsid w:val="00991B1A"/>
    <w:rsid w:val="00991D8D"/>
    <w:rsid w:val="00991F38"/>
    <w:rsid w:val="0099202C"/>
    <w:rsid w:val="00992041"/>
    <w:rsid w:val="00992179"/>
    <w:rsid w:val="009921E7"/>
    <w:rsid w:val="0099264D"/>
    <w:rsid w:val="0099264F"/>
    <w:rsid w:val="009926AD"/>
    <w:rsid w:val="00992802"/>
    <w:rsid w:val="009928C6"/>
    <w:rsid w:val="0099295A"/>
    <w:rsid w:val="0099298A"/>
    <w:rsid w:val="0099308D"/>
    <w:rsid w:val="009936A7"/>
    <w:rsid w:val="00993B80"/>
    <w:rsid w:val="0099409E"/>
    <w:rsid w:val="009941C0"/>
    <w:rsid w:val="00994274"/>
    <w:rsid w:val="00994305"/>
    <w:rsid w:val="00994653"/>
    <w:rsid w:val="0099474E"/>
    <w:rsid w:val="0099479A"/>
    <w:rsid w:val="009948F1"/>
    <w:rsid w:val="00994994"/>
    <w:rsid w:val="00994A54"/>
    <w:rsid w:val="00994F80"/>
    <w:rsid w:val="009954E6"/>
    <w:rsid w:val="00995756"/>
    <w:rsid w:val="0099575D"/>
    <w:rsid w:val="009957CB"/>
    <w:rsid w:val="00995A25"/>
    <w:rsid w:val="00995CDE"/>
    <w:rsid w:val="00995D20"/>
    <w:rsid w:val="00995F1F"/>
    <w:rsid w:val="009960AB"/>
    <w:rsid w:val="009963C4"/>
    <w:rsid w:val="00996749"/>
    <w:rsid w:val="00996941"/>
    <w:rsid w:val="00996A2F"/>
    <w:rsid w:val="00996A69"/>
    <w:rsid w:val="00996AEE"/>
    <w:rsid w:val="00996B53"/>
    <w:rsid w:val="009971B9"/>
    <w:rsid w:val="00997417"/>
    <w:rsid w:val="009975F5"/>
    <w:rsid w:val="0099784D"/>
    <w:rsid w:val="00997F5E"/>
    <w:rsid w:val="00997FC7"/>
    <w:rsid w:val="009A0434"/>
    <w:rsid w:val="009A0521"/>
    <w:rsid w:val="009A0B64"/>
    <w:rsid w:val="009A0C79"/>
    <w:rsid w:val="009A0CB3"/>
    <w:rsid w:val="009A0F21"/>
    <w:rsid w:val="009A102B"/>
    <w:rsid w:val="009A1321"/>
    <w:rsid w:val="009A1563"/>
    <w:rsid w:val="009A1A81"/>
    <w:rsid w:val="009A1C06"/>
    <w:rsid w:val="009A1E4F"/>
    <w:rsid w:val="009A21E2"/>
    <w:rsid w:val="009A21E3"/>
    <w:rsid w:val="009A2295"/>
    <w:rsid w:val="009A25A6"/>
    <w:rsid w:val="009A268F"/>
    <w:rsid w:val="009A26AD"/>
    <w:rsid w:val="009A2A18"/>
    <w:rsid w:val="009A2D03"/>
    <w:rsid w:val="009A3050"/>
    <w:rsid w:val="009A343A"/>
    <w:rsid w:val="009A3478"/>
    <w:rsid w:val="009A3822"/>
    <w:rsid w:val="009A38D3"/>
    <w:rsid w:val="009A39A8"/>
    <w:rsid w:val="009A39CC"/>
    <w:rsid w:val="009A39DC"/>
    <w:rsid w:val="009A3F27"/>
    <w:rsid w:val="009A40D7"/>
    <w:rsid w:val="009A42A9"/>
    <w:rsid w:val="009A43FC"/>
    <w:rsid w:val="009A46E9"/>
    <w:rsid w:val="009A4965"/>
    <w:rsid w:val="009A4A80"/>
    <w:rsid w:val="009A4B8B"/>
    <w:rsid w:val="009A4BC8"/>
    <w:rsid w:val="009A4EE2"/>
    <w:rsid w:val="009A4FEB"/>
    <w:rsid w:val="009A5035"/>
    <w:rsid w:val="009A5115"/>
    <w:rsid w:val="009A52B5"/>
    <w:rsid w:val="009A531C"/>
    <w:rsid w:val="009A56B8"/>
    <w:rsid w:val="009A5753"/>
    <w:rsid w:val="009A57EB"/>
    <w:rsid w:val="009A599D"/>
    <w:rsid w:val="009A606E"/>
    <w:rsid w:val="009A6437"/>
    <w:rsid w:val="009A6465"/>
    <w:rsid w:val="009A65B0"/>
    <w:rsid w:val="009A6612"/>
    <w:rsid w:val="009A67A3"/>
    <w:rsid w:val="009A68C8"/>
    <w:rsid w:val="009A699B"/>
    <w:rsid w:val="009A6CA4"/>
    <w:rsid w:val="009A7168"/>
    <w:rsid w:val="009A71BC"/>
    <w:rsid w:val="009A73EF"/>
    <w:rsid w:val="009A777D"/>
    <w:rsid w:val="009A7BA5"/>
    <w:rsid w:val="009B00E9"/>
    <w:rsid w:val="009B09DE"/>
    <w:rsid w:val="009B103D"/>
    <w:rsid w:val="009B1313"/>
    <w:rsid w:val="009B134F"/>
    <w:rsid w:val="009B1569"/>
    <w:rsid w:val="009B162D"/>
    <w:rsid w:val="009B180C"/>
    <w:rsid w:val="009B1A59"/>
    <w:rsid w:val="009B2036"/>
    <w:rsid w:val="009B23D4"/>
    <w:rsid w:val="009B2D58"/>
    <w:rsid w:val="009B2E91"/>
    <w:rsid w:val="009B3222"/>
    <w:rsid w:val="009B3624"/>
    <w:rsid w:val="009B3BFF"/>
    <w:rsid w:val="009B3E75"/>
    <w:rsid w:val="009B3EBA"/>
    <w:rsid w:val="009B3EFA"/>
    <w:rsid w:val="009B42F4"/>
    <w:rsid w:val="009B496D"/>
    <w:rsid w:val="009B4A9B"/>
    <w:rsid w:val="009B5026"/>
    <w:rsid w:val="009B5039"/>
    <w:rsid w:val="009B570F"/>
    <w:rsid w:val="009B585F"/>
    <w:rsid w:val="009B5C4A"/>
    <w:rsid w:val="009B6A33"/>
    <w:rsid w:val="009B6DDA"/>
    <w:rsid w:val="009B6E04"/>
    <w:rsid w:val="009B6EBC"/>
    <w:rsid w:val="009B7413"/>
    <w:rsid w:val="009B74CB"/>
    <w:rsid w:val="009B7606"/>
    <w:rsid w:val="009B7A84"/>
    <w:rsid w:val="009B7A96"/>
    <w:rsid w:val="009B7ACB"/>
    <w:rsid w:val="009B7BF3"/>
    <w:rsid w:val="009B7C85"/>
    <w:rsid w:val="009B7E02"/>
    <w:rsid w:val="009B7E22"/>
    <w:rsid w:val="009B7F90"/>
    <w:rsid w:val="009B7FD9"/>
    <w:rsid w:val="009C04E9"/>
    <w:rsid w:val="009C08B7"/>
    <w:rsid w:val="009C09B8"/>
    <w:rsid w:val="009C0B9A"/>
    <w:rsid w:val="009C0D95"/>
    <w:rsid w:val="009C0DAD"/>
    <w:rsid w:val="009C0ED1"/>
    <w:rsid w:val="009C0F3A"/>
    <w:rsid w:val="009C1633"/>
    <w:rsid w:val="009C1655"/>
    <w:rsid w:val="009C17C5"/>
    <w:rsid w:val="009C17E2"/>
    <w:rsid w:val="009C181F"/>
    <w:rsid w:val="009C1AD6"/>
    <w:rsid w:val="009C202A"/>
    <w:rsid w:val="009C2214"/>
    <w:rsid w:val="009C22A9"/>
    <w:rsid w:val="009C239A"/>
    <w:rsid w:val="009C24A2"/>
    <w:rsid w:val="009C25A4"/>
    <w:rsid w:val="009C27FB"/>
    <w:rsid w:val="009C2E53"/>
    <w:rsid w:val="009C3130"/>
    <w:rsid w:val="009C32DE"/>
    <w:rsid w:val="009C33B0"/>
    <w:rsid w:val="009C34BB"/>
    <w:rsid w:val="009C3668"/>
    <w:rsid w:val="009C36AB"/>
    <w:rsid w:val="009C3838"/>
    <w:rsid w:val="009C387F"/>
    <w:rsid w:val="009C3BC4"/>
    <w:rsid w:val="009C404D"/>
    <w:rsid w:val="009C42BD"/>
    <w:rsid w:val="009C42D6"/>
    <w:rsid w:val="009C489D"/>
    <w:rsid w:val="009C4A1B"/>
    <w:rsid w:val="009C4AE7"/>
    <w:rsid w:val="009C4C39"/>
    <w:rsid w:val="009C4CDB"/>
    <w:rsid w:val="009C4D09"/>
    <w:rsid w:val="009C4DC8"/>
    <w:rsid w:val="009C4ECF"/>
    <w:rsid w:val="009C539E"/>
    <w:rsid w:val="009C53E7"/>
    <w:rsid w:val="009C610F"/>
    <w:rsid w:val="009C659F"/>
    <w:rsid w:val="009C65A2"/>
    <w:rsid w:val="009C673A"/>
    <w:rsid w:val="009C6DB8"/>
    <w:rsid w:val="009C6EA2"/>
    <w:rsid w:val="009C6ECF"/>
    <w:rsid w:val="009C70D8"/>
    <w:rsid w:val="009C73E3"/>
    <w:rsid w:val="009C7615"/>
    <w:rsid w:val="009C76D3"/>
    <w:rsid w:val="009C775F"/>
    <w:rsid w:val="009C7762"/>
    <w:rsid w:val="009C77BF"/>
    <w:rsid w:val="009C7959"/>
    <w:rsid w:val="009C7AE3"/>
    <w:rsid w:val="009C7C37"/>
    <w:rsid w:val="009C7CDD"/>
    <w:rsid w:val="009D0196"/>
    <w:rsid w:val="009D03AC"/>
    <w:rsid w:val="009D06E5"/>
    <w:rsid w:val="009D0DB2"/>
    <w:rsid w:val="009D0F39"/>
    <w:rsid w:val="009D0FD1"/>
    <w:rsid w:val="009D1077"/>
    <w:rsid w:val="009D11E4"/>
    <w:rsid w:val="009D171A"/>
    <w:rsid w:val="009D1A78"/>
    <w:rsid w:val="009D1AA9"/>
    <w:rsid w:val="009D1BD6"/>
    <w:rsid w:val="009D2096"/>
    <w:rsid w:val="009D2210"/>
    <w:rsid w:val="009D23A2"/>
    <w:rsid w:val="009D2484"/>
    <w:rsid w:val="009D2529"/>
    <w:rsid w:val="009D262A"/>
    <w:rsid w:val="009D29C9"/>
    <w:rsid w:val="009D2B03"/>
    <w:rsid w:val="009D2CD6"/>
    <w:rsid w:val="009D2F81"/>
    <w:rsid w:val="009D302B"/>
    <w:rsid w:val="009D3161"/>
    <w:rsid w:val="009D343D"/>
    <w:rsid w:val="009D3502"/>
    <w:rsid w:val="009D39D6"/>
    <w:rsid w:val="009D3BF0"/>
    <w:rsid w:val="009D3F97"/>
    <w:rsid w:val="009D4309"/>
    <w:rsid w:val="009D4C9F"/>
    <w:rsid w:val="009D4D90"/>
    <w:rsid w:val="009D4F2F"/>
    <w:rsid w:val="009D4F93"/>
    <w:rsid w:val="009D505E"/>
    <w:rsid w:val="009D5081"/>
    <w:rsid w:val="009D53F2"/>
    <w:rsid w:val="009D5747"/>
    <w:rsid w:val="009D5986"/>
    <w:rsid w:val="009D5CAD"/>
    <w:rsid w:val="009D5F65"/>
    <w:rsid w:val="009D62D9"/>
    <w:rsid w:val="009D6576"/>
    <w:rsid w:val="009D65A0"/>
    <w:rsid w:val="009D65C9"/>
    <w:rsid w:val="009D6A08"/>
    <w:rsid w:val="009D6AC0"/>
    <w:rsid w:val="009D6CBA"/>
    <w:rsid w:val="009D6D69"/>
    <w:rsid w:val="009D6E07"/>
    <w:rsid w:val="009D7162"/>
    <w:rsid w:val="009D7226"/>
    <w:rsid w:val="009D73E3"/>
    <w:rsid w:val="009D77A8"/>
    <w:rsid w:val="009D7A5B"/>
    <w:rsid w:val="009D7DCA"/>
    <w:rsid w:val="009D7E2C"/>
    <w:rsid w:val="009D7F1A"/>
    <w:rsid w:val="009E00F5"/>
    <w:rsid w:val="009E05A1"/>
    <w:rsid w:val="009E0E64"/>
    <w:rsid w:val="009E1113"/>
    <w:rsid w:val="009E15BA"/>
    <w:rsid w:val="009E17B4"/>
    <w:rsid w:val="009E17D9"/>
    <w:rsid w:val="009E1A18"/>
    <w:rsid w:val="009E1A69"/>
    <w:rsid w:val="009E1B6C"/>
    <w:rsid w:val="009E1DFB"/>
    <w:rsid w:val="009E25D4"/>
    <w:rsid w:val="009E3284"/>
    <w:rsid w:val="009E3299"/>
    <w:rsid w:val="009E3321"/>
    <w:rsid w:val="009E33BA"/>
    <w:rsid w:val="009E33D7"/>
    <w:rsid w:val="009E34F2"/>
    <w:rsid w:val="009E35A8"/>
    <w:rsid w:val="009E3A5F"/>
    <w:rsid w:val="009E3BC7"/>
    <w:rsid w:val="009E3C8F"/>
    <w:rsid w:val="009E3CEB"/>
    <w:rsid w:val="009E425A"/>
    <w:rsid w:val="009E4E20"/>
    <w:rsid w:val="009E505F"/>
    <w:rsid w:val="009E57F4"/>
    <w:rsid w:val="009E5815"/>
    <w:rsid w:val="009E5C98"/>
    <w:rsid w:val="009E5F03"/>
    <w:rsid w:val="009E6094"/>
    <w:rsid w:val="009E610F"/>
    <w:rsid w:val="009E61EB"/>
    <w:rsid w:val="009E63F3"/>
    <w:rsid w:val="009E6753"/>
    <w:rsid w:val="009E688A"/>
    <w:rsid w:val="009E692D"/>
    <w:rsid w:val="009E6C4E"/>
    <w:rsid w:val="009E6DDC"/>
    <w:rsid w:val="009E6E43"/>
    <w:rsid w:val="009E6EA8"/>
    <w:rsid w:val="009E6F32"/>
    <w:rsid w:val="009E717D"/>
    <w:rsid w:val="009E72CB"/>
    <w:rsid w:val="009E73F1"/>
    <w:rsid w:val="009F0591"/>
    <w:rsid w:val="009F08BF"/>
    <w:rsid w:val="009F0C2B"/>
    <w:rsid w:val="009F1158"/>
    <w:rsid w:val="009F12F9"/>
    <w:rsid w:val="009F132D"/>
    <w:rsid w:val="009F14D4"/>
    <w:rsid w:val="009F1C65"/>
    <w:rsid w:val="009F1E95"/>
    <w:rsid w:val="009F222F"/>
    <w:rsid w:val="009F22C2"/>
    <w:rsid w:val="009F22CF"/>
    <w:rsid w:val="009F232F"/>
    <w:rsid w:val="009F289B"/>
    <w:rsid w:val="009F2CA6"/>
    <w:rsid w:val="009F3357"/>
    <w:rsid w:val="009F3547"/>
    <w:rsid w:val="009F364B"/>
    <w:rsid w:val="009F36EC"/>
    <w:rsid w:val="009F384E"/>
    <w:rsid w:val="009F3959"/>
    <w:rsid w:val="009F39E6"/>
    <w:rsid w:val="009F4104"/>
    <w:rsid w:val="009F418B"/>
    <w:rsid w:val="009F456B"/>
    <w:rsid w:val="009F46AD"/>
    <w:rsid w:val="009F48DF"/>
    <w:rsid w:val="009F4B97"/>
    <w:rsid w:val="009F4E0F"/>
    <w:rsid w:val="009F5110"/>
    <w:rsid w:val="009F5237"/>
    <w:rsid w:val="009F52C6"/>
    <w:rsid w:val="009F54BA"/>
    <w:rsid w:val="009F5576"/>
    <w:rsid w:val="009F55AB"/>
    <w:rsid w:val="009F56AB"/>
    <w:rsid w:val="009F57AF"/>
    <w:rsid w:val="009F58DF"/>
    <w:rsid w:val="009F5D01"/>
    <w:rsid w:val="009F5D02"/>
    <w:rsid w:val="009F5DF3"/>
    <w:rsid w:val="009F6117"/>
    <w:rsid w:val="009F6150"/>
    <w:rsid w:val="009F6229"/>
    <w:rsid w:val="009F622D"/>
    <w:rsid w:val="009F6536"/>
    <w:rsid w:val="009F65D3"/>
    <w:rsid w:val="009F66E8"/>
    <w:rsid w:val="009F6701"/>
    <w:rsid w:val="009F6818"/>
    <w:rsid w:val="009F68F0"/>
    <w:rsid w:val="009F6930"/>
    <w:rsid w:val="009F6E86"/>
    <w:rsid w:val="009F7293"/>
    <w:rsid w:val="009F739F"/>
    <w:rsid w:val="009F7437"/>
    <w:rsid w:val="009F7512"/>
    <w:rsid w:val="009F7748"/>
    <w:rsid w:val="009F7857"/>
    <w:rsid w:val="009F7B53"/>
    <w:rsid w:val="00A000A2"/>
    <w:rsid w:val="00A00316"/>
    <w:rsid w:val="00A00685"/>
    <w:rsid w:val="00A008B2"/>
    <w:rsid w:val="00A008B4"/>
    <w:rsid w:val="00A008F4"/>
    <w:rsid w:val="00A00A4E"/>
    <w:rsid w:val="00A00AD7"/>
    <w:rsid w:val="00A00E13"/>
    <w:rsid w:val="00A00FFC"/>
    <w:rsid w:val="00A0182E"/>
    <w:rsid w:val="00A018E6"/>
    <w:rsid w:val="00A01900"/>
    <w:rsid w:val="00A01AE7"/>
    <w:rsid w:val="00A01AF6"/>
    <w:rsid w:val="00A01F60"/>
    <w:rsid w:val="00A02024"/>
    <w:rsid w:val="00A021A1"/>
    <w:rsid w:val="00A0268B"/>
    <w:rsid w:val="00A02756"/>
    <w:rsid w:val="00A02947"/>
    <w:rsid w:val="00A02A36"/>
    <w:rsid w:val="00A02B12"/>
    <w:rsid w:val="00A031EE"/>
    <w:rsid w:val="00A03714"/>
    <w:rsid w:val="00A03768"/>
    <w:rsid w:val="00A037A8"/>
    <w:rsid w:val="00A037CA"/>
    <w:rsid w:val="00A039C8"/>
    <w:rsid w:val="00A03A80"/>
    <w:rsid w:val="00A03B4E"/>
    <w:rsid w:val="00A03DFB"/>
    <w:rsid w:val="00A04005"/>
    <w:rsid w:val="00A04ADC"/>
    <w:rsid w:val="00A04C02"/>
    <w:rsid w:val="00A04F2A"/>
    <w:rsid w:val="00A04F30"/>
    <w:rsid w:val="00A0541F"/>
    <w:rsid w:val="00A05612"/>
    <w:rsid w:val="00A05749"/>
    <w:rsid w:val="00A05D83"/>
    <w:rsid w:val="00A05DBE"/>
    <w:rsid w:val="00A05F76"/>
    <w:rsid w:val="00A05FF8"/>
    <w:rsid w:val="00A067BF"/>
    <w:rsid w:val="00A067C0"/>
    <w:rsid w:val="00A06999"/>
    <w:rsid w:val="00A06ABB"/>
    <w:rsid w:val="00A06AD0"/>
    <w:rsid w:val="00A06C25"/>
    <w:rsid w:val="00A06E22"/>
    <w:rsid w:val="00A07088"/>
    <w:rsid w:val="00A070AF"/>
    <w:rsid w:val="00A0751F"/>
    <w:rsid w:val="00A075DE"/>
    <w:rsid w:val="00A076CB"/>
    <w:rsid w:val="00A077BA"/>
    <w:rsid w:val="00A07924"/>
    <w:rsid w:val="00A07AF7"/>
    <w:rsid w:val="00A07B61"/>
    <w:rsid w:val="00A07CB7"/>
    <w:rsid w:val="00A103BD"/>
    <w:rsid w:val="00A10573"/>
    <w:rsid w:val="00A107DF"/>
    <w:rsid w:val="00A10B47"/>
    <w:rsid w:val="00A10FDB"/>
    <w:rsid w:val="00A1156A"/>
    <w:rsid w:val="00A11589"/>
    <w:rsid w:val="00A11AD2"/>
    <w:rsid w:val="00A11C87"/>
    <w:rsid w:val="00A11F58"/>
    <w:rsid w:val="00A12016"/>
    <w:rsid w:val="00A12059"/>
    <w:rsid w:val="00A122AA"/>
    <w:rsid w:val="00A122E1"/>
    <w:rsid w:val="00A1242F"/>
    <w:rsid w:val="00A127A9"/>
    <w:rsid w:val="00A12938"/>
    <w:rsid w:val="00A12C70"/>
    <w:rsid w:val="00A12CE4"/>
    <w:rsid w:val="00A1328C"/>
    <w:rsid w:val="00A13377"/>
    <w:rsid w:val="00A135A6"/>
    <w:rsid w:val="00A135B0"/>
    <w:rsid w:val="00A13621"/>
    <w:rsid w:val="00A13671"/>
    <w:rsid w:val="00A139D2"/>
    <w:rsid w:val="00A13B8D"/>
    <w:rsid w:val="00A13D50"/>
    <w:rsid w:val="00A1400A"/>
    <w:rsid w:val="00A14085"/>
    <w:rsid w:val="00A141FA"/>
    <w:rsid w:val="00A1429A"/>
    <w:rsid w:val="00A14370"/>
    <w:rsid w:val="00A146D1"/>
    <w:rsid w:val="00A14D51"/>
    <w:rsid w:val="00A14E04"/>
    <w:rsid w:val="00A15012"/>
    <w:rsid w:val="00A1506E"/>
    <w:rsid w:val="00A150E4"/>
    <w:rsid w:val="00A150E9"/>
    <w:rsid w:val="00A1514F"/>
    <w:rsid w:val="00A1515E"/>
    <w:rsid w:val="00A152D9"/>
    <w:rsid w:val="00A15539"/>
    <w:rsid w:val="00A15544"/>
    <w:rsid w:val="00A1556E"/>
    <w:rsid w:val="00A15EDA"/>
    <w:rsid w:val="00A162F2"/>
    <w:rsid w:val="00A1647D"/>
    <w:rsid w:val="00A16583"/>
    <w:rsid w:val="00A16D1B"/>
    <w:rsid w:val="00A16EEB"/>
    <w:rsid w:val="00A1706F"/>
    <w:rsid w:val="00A17435"/>
    <w:rsid w:val="00A17883"/>
    <w:rsid w:val="00A179E2"/>
    <w:rsid w:val="00A17CDA"/>
    <w:rsid w:val="00A17E45"/>
    <w:rsid w:val="00A17F75"/>
    <w:rsid w:val="00A200E6"/>
    <w:rsid w:val="00A20330"/>
    <w:rsid w:val="00A203F9"/>
    <w:rsid w:val="00A205C5"/>
    <w:rsid w:val="00A205F5"/>
    <w:rsid w:val="00A20838"/>
    <w:rsid w:val="00A20857"/>
    <w:rsid w:val="00A20912"/>
    <w:rsid w:val="00A20F23"/>
    <w:rsid w:val="00A21351"/>
    <w:rsid w:val="00A21390"/>
    <w:rsid w:val="00A215A1"/>
    <w:rsid w:val="00A217AB"/>
    <w:rsid w:val="00A21B72"/>
    <w:rsid w:val="00A21B97"/>
    <w:rsid w:val="00A21BAC"/>
    <w:rsid w:val="00A221B4"/>
    <w:rsid w:val="00A2235E"/>
    <w:rsid w:val="00A2236B"/>
    <w:rsid w:val="00A224D2"/>
    <w:rsid w:val="00A2275D"/>
    <w:rsid w:val="00A228E9"/>
    <w:rsid w:val="00A22CC9"/>
    <w:rsid w:val="00A22D11"/>
    <w:rsid w:val="00A22E0D"/>
    <w:rsid w:val="00A22E57"/>
    <w:rsid w:val="00A22EC6"/>
    <w:rsid w:val="00A23099"/>
    <w:rsid w:val="00A230B8"/>
    <w:rsid w:val="00A23470"/>
    <w:rsid w:val="00A23559"/>
    <w:rsid w:val="00A23C96"/>
    <w:rsid w:val="00A23E9B"/>
    <w:rsid w:val="00A24133"/>
    <w:rsid w:val="00A2458D"/>
    <w:rsid w:val="00A245F3"/>
    <w:rsid w:val="00A24774"/>
    <w:rsid w:val="00A24784"/>
    <w:rsid w:val="00A24B48"/>
    <w:rsid w:val="00A24F53"/>
    <w:rsid w:val="00A24F6F"/>
    <w:rsid w:val="00A2511D"/>
    <w:rsid w:val="00A2514B"/>
    <w:rsid w:val="00A25189"/>
    <w:rsid w:val="00A25220"/>
    <w:rsid w:val="00A255A1"/>
    <w:rsid w:val="00A25694"/>
    <w:rsid w:val="00A25ABE"/>
    <w:rsid w:val="00A25CA5"/>
    <w:rsid w:val="00A25F09"/>
    <w:rsid w:val="00A260B9"/>
    <w:rsid w:val="00A2611F"/>
    <w:rsid w:val="00A2640B"/>
    <w:rsid w:val="00A26418"/>
    <w:rsid w:val="00A2645A"/>
    <w:rsid w:val="00A26C48"/>
    <w:rsid w:val="00A26CA1"/>
    <w:rsid w:val="00A26CAE"/>
    <w:rsid w:val="00A26CE0"/>
    <w:rsid w:val="00A26E88"/>
    <w:rsid w:val="00A2716C"/>
    <w:rsid w:val="00A27245"/>
    <w:rsid w:val="00A27384"/>
    <w:rsid w:val="00A274B1"/>
    <w:rsid w:val="00A27656"/>
    <w:rsid w:val="00A2783B"/>
    <w:rsid w:val="00A278C2"/>
    <w:rsid w:val="00A278ED"/>
    <w:rsid w:val="00A27F34"/>
    <w:rsid w:val="00A27FDA"/>
    <w:rsid w:val="00A3013F"/>
    <w:rsid w:val="00A30214"/>
    <w:rsid w:val="00A30262"/>
    <w:rsid w:val="00A306A3"/>
    <w:rsid w:val="00A306C7"/>
    <w:rsid w:val="00A30851"/>
    <w:rsid w:val="00A30855"/>
    <w:rsid w:val="00A308F7"/>
    <w:rsid w:val="00A30A4C"/>
    <w:rsid w:val="00A30B15"/>
    <w:rsid w:val="00A30CDE"/>
    <w:rsid w:val="00A30F44"/>
    <w:rsid w:val="00A31230"/>
    <w:rsid w:val="00A313C7"/>
    <w:rsid w:val="00A314D6"/>
    <w:rsid w:val="00A316C7"/>
    <w:rsid w:val="00A318CD"/>
    <w:rsid w:val="00A31C08"/>
    <w:rsid w:val="00A32115"/>
    <w:rsid w:val="00A321D8"/>
    <w:rsid w:val="00A323E0"/>
    <w:rsid w:val="00A323F8"/>
    <w:rsid w:val="00A324E6"/>
    <w:rsid w:val="00A32976"/>
    <w:rsid w:val="00A32AD5"/>
    <w:rsid w:val="00A32F26"/>
    <w:rsid w:val="00A331EE"/>
    <w:rsid w:val="00A3398C"/>
    <w:rsid w:val="00A33C06"/>
    <w:rsid w:val="00A33D0C"/>
    <w:rsid w:val="00A33ECF"/>
    <w:rsid w:val="00A3497D"/>
    <w:rsid w:val="00A34C1B"/>
    <w:rsid w:val="00A34DC1"/>
    <w:rsid w:val="00A35099"/>
    <w:rsid w:val="00A35624"/>
    <w:rsid w:val="00A356D0"/>
    <w:rsid w:val="00A360E9"/>
    <w:rsid w:val="00A36117"/>
    <w:rsid w:val="00A36550"/>
    <w:rsid w:val="00A367F4"/>
    <w:rsid w:val="00A36A27"/>
    <w:rsid w:val="00A36AAE"/>
    <w:rsid w:val="00A36DBE"/>
    <w:rsid w:val="00A36E14"/>
    <w:rsid w:val="00A36EFB"/>
    <w:rsid w:val="00A36F86"/>
    <w:rsid w:val="00A370BA"/>
    <w:rsid w:val="00A372A8"/>
    <w:rsid w:val="00A373C8"/>
    <w:rsid w:val="00A373EE"/>
    <w:rsid w:val="00A37AEC"/>
    <w:rsid w:val="00A37CCC"/>
    <w:rsid w:val="00A37DA4"/>
    <w:rsid w:val="00A37E78"/>
    <w:rsid w:val="00A37EB8"/>
    <w:rsid w:val="00A37F3A"/>
    <w:rsid w:val="00A4010C"/>
    <w:rsid w:val="00A40BC5"/>
    <w:rsid w:val="00A40BEE"/>
    <w:rsid w:val="00A40CE5"/>
    <w:rsid w:val="00A40F02"/>
    <w:rsid w:val="00A40F11"/>
    <w:rsid w:val="00A4108A"/>
    <w:rsid w:val="00A41091"/>
    <w:rsid w:val="00A410F6"/>
    <w:rsid w:val="00A41353"/>
    <w:rsid w:val="00A41628"/>
    <w:rsid w:val="00A41808"/>
    <w:rsid w:val="00A41944"/>
    <w:rsid w:val="00A42314"/>
    <w:rsid w:val="00A423D0"/>
    <w:rsid w:val="00A42994"/>
    <w:rsid w:val="00A42C4A"/>
    <w:rsid w:val="00A43068"/>
    <w:rsid w:val="00A43169"/>
    <w:rsid w:val="00A432AF"/>
    <w:rsid w:val="00A43303"/>
    <w:rsid w:val="00A43378"/>
    <w:rsid w:val="00A43532"/>
    <w:rsid w:val="00A43911"/>
    <w:rsid w:val="00A439A0"/>
    <w:rsid w:val="00A43B57"/>
    <w:rsid w:val="00A43C72"/>
    <w:rsid w:val="00A43D37"/>
    <w:rsid w:val="00A43ECC"/>
    <w:rsid w:val="00A44351"/>
    <w:rsid w:val="00A446BB"/>
    <w:rsid w:val="00A4486E"/>
    <w:rsid w:val="00A44AA9"/>
    <w:rsid w:val="00A44AE3"/>
    <w:rsid w:val="00A44C61"/>
    <w:rsid w:val="00A44D4D"/>
    <w:rsid w:val="00A44F3C"/>
    <w:rsid w:val="00A457FA"/>
    <w:rsid w:val="00A457FC"/>
    <w:rsid w:val="00A45B6E"/>
    <w:rsid w:val="00A45D1E"/>
    <w:rsid w:val="00A45E1D"/>
    <w:rsid w:val="00A45E22"/>
    <w:rsid w:val="00A45FC3"/>
    <w:rsid w:val="00A468DA"/>
    <w:rsid w:val="00A46BE0"/>
    <w:rsid w:val="00A46DB3"/>
    <w:rsid w:val="00A470DE"/>
    <w:rsid w:val="00A477B6"/>
    <w:rsid w:val="00A47B80"/>
    <w:rsid w:val="00A47CB2"/>
    <w:rsid w:val="00A47EDC"/>
    <w:rsid w:val="00A47FD4"/>
    <w:rsid w:val="00A5000F"/>
    <w:rsid w:val="00A5029F"/>
    <w:rsid w:val="00A502CD"/>
    <w:rsid w:val="00A502FB"/>
    <w:rsid w:val="00A50446"/>
    <w:rsid w:val="00A505E6"/>
    <w:rsid w:val="00A509A8"/>
    <w:rsid w:val="00A5107F"/>
    <w:rsid w:val="00A5111B"/>
    <w:rsid w:val="00A511E2"/>
    <w:rsid w:val="00A51251"/>
    <w:rsid w:val="00A5130C"/>
    <w:rsid w:val="00A5134B"/>
    <w:rsid w:val="00A51426"/>
    <w:rsid w:val="00A514C5"/>
    <w:rsid w:val="00A515E5"/>
    <w:rsid w:val="00A515F4"/>
    <w:rsid w:val="00A517A4"/>
    <w:rsid w:val="00A519AB"/>
    <w:rsid w:val="00A51CEB"/>
    <w:rsid w:val="00A51E39"/>
    <w:rsid w:val="00A521C4"/>
    <w:rsid w:val="00A5259B"/>
    <w:rsid w:val="00A5278C"/>
    <w:rsid w:val="00A52B23"/>
    <w:rsid w:val="00A53133"/>
    <w:rsid w:val="00A536A6"/>
    <w:rsid w:val="00A53A0D"/>
    <w:rsid w:val="00A53A2A"/>
    <w:rsid w:val="00A53AF6"/>
    <w:rsid w:val="00A53D09"/>
    <w:rsid w:val="00A541A8"/>
    <w:rsid w:val="00A5424A"/>
    <w:rsid w:val="00A54399"/>
    <w:rsid w:val="00A5452D"/>
    <w:rsid w:val="00A54745"/>
    <w:rsid w:val="00A547A7"/>
    <w:rsid w:val="00A54830"/>
    <w:rsid w:val="00A54930"/>
    <w:rsid w:val="00A550B1"/>
    <w:rsid w:val="00A550F4"/>
    <w:rsid w:val="00A553B6"/>
    <w:rsid w:val="00A55655"/>
    <w:rsid w:val="00A5585F"/>
    <w:rsid w:val="00A55EAE"/>
    <w:rsid w:val="00A55F5A"/>
    <w:rsid w:val="00A5689F"/>
    <w:rsid w:val="00A56906"/>
    <w:rsid w:val="00A5690B"/>
    <w:rsid w:val="00A56CE6"/>
    <w:rsid w:val="00A56DBB"/>
    <w:rsid w:val="00A57043"/>
    <w:rsid w:val="00A571D0"/>
    <w:rsid w:val="00A57549"/>
    <w:rsid w:val="00A575BB"/>
    <w:rsid w:val="00A5760B"/>
    <w:rsid w:val="00A576C8"/>
    <w:rsid w:val="00A5781F"/>
    <w:rsid w:val="00A57A51"/>
    <w:rsid w:val="00A57D8A"/>
    <w:rsid w:val="00A57D8F"/>
    <w:rsid w:val="00A57FD0"/>
    <w:rsid w:val="00A60085"/>
    <w:rsid w:val="00A60334"/>
    <w:rsid w:val="00A603D4"/>
    <w:rsid w:val="00A607E6"/>
    <w:rsid w:val="00A60BF3"/>
    <w:rsid w:val="00A60C66"/>
    <w:rsid w:val="00A60CD8"/>
    <w:rsid w:val="00A60D0E"/>
    <w:rsid w:val="00A60D15"/>
    <w:rsid w:val="00A60DCE"/>
    <w:rsid w:val="00A60E81"/>
    <w:rsid w:val="00A610D4"/>
    <w:rsid w:val="00A613FB"/>
    <w:rsid w:val="00A615DC"/>
    <w:rsid w:val="00A61899"/>
    <w:rsid w:val="00A61A30"/>
    <w:rsid w:val="00A61C57"/>
    <w:rsid w:val="00A61CF8"/>
    <w:rsid w:val="00A61EC1"/>
    <w:rsid w:val="00A61F6B"/>
    <w:rsid w:val="00A621DE"/>
    <w:rsid w:val="00A6225C"/>
    <w:rsid w:val="00A623B3"/>
    <w:rsid w:val="00A6240E"/>
    <w:rsid w:val="00A62509"/>
    <w:rsid w:val="00A625B4"/>
    <w:rsid w:val="00A62677"/>
    <w:rsid w:val="00A626D6"/>
    <w:rsid w:val="00A627D3"/>
    <w:rsid w:val="00A628F0"/>
    <w:rsid w:val="00A62B41"/>
    <w:rsid w:val="00A62C29"/>
    <w:rsid w:val="00A62DBC"/>
    <w:rsid w:val="00A62E44"/>
    <w:rsid w:val="00A63157"/>
    <w:rsid w:val="00A635D0"/>
    <w:rsid w:val="00A63669"/>
    <w:rsid w:val="00A63748"/>
    <w:rsid w:val="00A63790"/>
    <w:rsid w:val="00A637BC"/>
    <w:rsid w:val="00A638E9"/>
    <w:rsid w:val="00A63E31"/>
    <w:rsid w:val="00A63E97"/>
    <w:rsid w:val="00A63F11"/>
    <w:rsid w:val="00A63F61"/>
    <w:rsid w:val="00A646A5"/>
    <w:rsid w:val="00A646C5"/>
    <w:rsid w:val="00A64724"/>
    <w:rsid w:val="00A6477A"/>
    <w:rsid w:val="00A64AC4"/>
    <w:rsid w:val="00A64B7E"/>
    <w:rsid w:val="00A65211"/>
    <w:rsid w:val="00A65514"/>
    <w:rsid w:val="00A65B3F"/>
    <w:rsid w:val="00A65F0D"/>
    <w:rsid w:val="00A6635B"/>
    <w:rsid w:val="00A6637E"/>
    <w:rsid w:val="00A668E7"/>
    <w:rsid w:val="00A66E3F"/>
    <w:rsid w:val="00A66EF9"/>
    <w:rsid w:val="00A67147"/>
    <w:rsid w:val="00A6715A"/>
    <w:rsid w:val="00A6761C"/>
    <w:rsid w:val="00A6788F"/>
    <w:rsid w:val="00A67BD4"/>
    <w:rsid w:val="00A67E4C"/>
    <w:rsid w:val="00A67F45"/>
    <w:rsid w:val="00A701D5"/>
    <w:rsid w:val="00A7024C"/>
    <w:rsid w:val="00A703E7"/>
    <w:rsid w:val="00A70496"/>
    <w:rsid w:val="00A7061A"/>
    <w:rsid w:val="00A70689"/>
    <w:rsid w:val="00A71362"/>
    <w:rsid w:val="00A713F9"/>
    <w:rsid w:val="00A7142F"/>
    <w:rsid w:val="00A71714"/>
    <w:rsid w:val="00A71723"/>
    <w:rsid w:val="00A717D3"/>
    <w:rsid w:val="00A71890"/>
    <w:rsid w:val="00A71AED"/>
    <w:rsid w:val="00A71F0D"/>
    <w:rsid w:val="00A721D9"/>
    <w:rsid w:val="00A722BF"/>
    <w:rsid w:val="00A7244B"/>
    <w:rsid w:val="00A72561"/>
    <w:rsid w:val="00A72740"/>
    <w:rsid w:val="00A727FB"/>
    <w:rsid w:val="00A7289E"/>
    <w:rsid w:val="00A72FF7"/>
    <w:rsid w:val="00A73121"/>
    <w:rsid w:val="00A73466"/>
    <w:rsid w:val="00A734C6"/>
    <w:rsid w:val="00A73701"/>
    <w:rsid w:val="00A739DB"/>
    <w:rsid w:val="00A739FE"/>
    <w:rsid w:val="00A73AAD"/>
    <w:rsid w:val="00A73CAB"/>
    <w:rsid w:val="00A73EBE"/>
    <w:rsid w:val="00A7403D"/>
    <w:rsid w:val="00A7418D"/>
    <w:rsid w:val="00A7427A"/>
    <w:rsid w:val="00A74528"/>
    <w:rsid w:val="00A74873"/>
    <w:rsid w:val="00A74A13"/>
    <w:rsid w:val="00A74CED"/>
    <w:rsid w:val="00A74F3B"/>
    <w:rsid w:val="00A74F51"/>
    <w:rsid w:val="00A75133"/>
    <w:rsid w:val="00A752A0"/>
    <w:rsid w:val="00A752D3"/>
    <w:rsid w:val="00A75482"/>
    <w:rsid w:val="00A7565B"/>
    <w:rsid w:val="00A758CC"/>
    <w:rsid w:val="00A75AFD"/>
    <w:rsid w:val="00A75B8C"/>
    <w:rsid w:val="00A76359"/>
    <w:rsid w:val="00A76806"/>
    <w:rsid w:val="00A769AA"/>
    <w:rsid w:val="00A769D2"/>
    <w:rsid w:val="00A76B2D"/>
    <w:rsid w:val="00A76CDA"/>
    <w:rsid w:val="00A76DBD"/>
    <w:rsid w:val="00A76EA6"/>
    <w:rsid w:val="00A76F35"/>
    <w:rsid w:val="00A76FAD"/>
    <w:rsid w:val="00A7737D"/>
    <w:rsid w:val="00A775E5"/>
    <w:rsid w:val="00A7765A"/>
    <w:rsid w:val="00A77789"/>
    <w:rsid w:val="00A77800"/>
    <w:rsid w:val="00A77844"/>
    <w:rsid w:val="00A778CE"/>
    <w:rsid w:val="00A7794A"/>
    <w:rsid w:val="00A77B09"/>
    <w:rsid w:val="00A77C7A"/>
    <w:rsid w:val="00A77DD8"/>
    <w:rsid w:val="00A77E05"/>
    <w:rsid w:val="00A77F13"/>
    <w:rsid w:val="00A80178"/>
    <w:rsid w:val="00A80298"/>
    <w:rsid w:val="00A80353"/>
    <w:rsid w:val="00A80459"/>
    <w:rsid w:val="00A804DF"/>
    <w:rsid w:val="00A80630"/>
    <w:rsid w:val="00A80789"/>
    <w:rsid w:val="00A80A52"/>
    <w:rsid w:val="00A80AF5"/>
    <w:rsid w:val="00A80B79"/>
    <w:rsid w:val="00A80BE4"/>
    <w:rsid w:val="00A81507"/>
    <w:rsid w:val="00A8165A"/>
    <w:rsid w:val="00A81A0C"/>
    <w:rsid w:val="00A81A2F"/>
    <w:rsid w:val="00A81B09"/>
    <w:rsid w:val="00A81BEB"/>
    <w:rsid w:val="00A81DD2"/>
    <w:rsid w:val="00A81F10"/>
    <w:rsid w:val="00A8222C"/>
    <w:rsid w:val="00A82467"/>
    <w:rsid w:val="00A827BD"/>
    <w:rsid w:val="00A8284D"/>
    <w:rsid w:val="00A82C1B"/>
    <w:rsid w:val="00A82E27"/>
    <w:rsid w:val="00A82F07"/>
    <w:rsid w:val="00A83786"/>
    <w:rsid w:val="00A83E85"/>
    <w:rsid w:val="00A83EC4"/>
    <w:rsid w:val="00A84051"/>
    <w:rsid w:val="00A84265"/>
    <w:rsid w:val="00A84301"/>
    <w:rsid w:val="00A84396"/>
    <w:rsid w:val="00A84457"/>
    <w:rsid w:val="00A84598"/>
    <w:rsid w:val="00A8469A"/>
    <w:rsid w:val="00A84885"/>
    <w:rsid w:val="00A84988"/>
    <w:rsid w:val="00A84B75"/>
    <w:rsid w:val="00A84F05"/>
    <w:rsid w:val="00A84FC5"/>
    <w:rsid w:val="00A85058"/>
    <w:rsid w:val="00A858DF"/>
    <w:rsid w:val="00A85A2B"/>
    <w:rsid w:val="00A86506"/>
    <w:rsid w:val="00A86669"/>
    <w:rsid w:val="00A866A3"/>
    <w:rsid w:val="00A867A3"/>
    <w:rsid w:val="00A86B25"/>
    <w:rsid w:val="00A86EAA"/>
    <w:rsid w:val="00A8715A"/>
    <w:rsid w:val="00A87589"/>
    <w:rsid w:val="00A876F6"/>
    <w:rsid w:val="00A87763"/>
    <w:rsid w:val="00A8798A"/>
    <w:rsid w:val="00A87B6B"/>
    <w:rsid w:val="00A87B8A"/>
    <w:rsid w:val="00A9005B"/>
    <w:rsid w:val="00A90398"/>
    <w:rsid w:val="00A9047E"/>
    <w:rsid w:val="00A907A8"/>
    <w:rsid w:val="00A90B88"/>
    <w:rsid w:val="00A90F5C"/>
    <w:rsid w:val="00A91046"/>
    <w:rsid w:val="00A917CE"/>
    <w:rsid w:val="00A9188E"/>
    <w:rsid w:val="00A91967"/>
    <w:rsid w:val="00A928E9"/>
    <w:rsid w:val="00A92969"/>
    <w:rsid w:val="00A92CCA"/>
    <w:rsid w:val="00A93F0E"/>
    <w:rsid w:val="00A94149"/>
    <w:rsid w:val="00A943B4"/>
    <w:rsid w:val="00A944C8"/>
    <w:rsid w:val="00A953D8"/>
    <w:rsid w:val="00A958FF"/>
    <w:rsid w:val="00A95944"/>
    <w:rsid w:val="00A959E1"/>
    <w:rsid w:val="00A95BC4"/>
    <w:rsid w:val="00A960CE"/>
    <w:rsid w:val="00A96165"/>
    <w:rsid w:val="00A96193"/>
    <w:rsid w:val="00A9629E"/>
    <w:rsid w:val="00A966B8"/>
    <w:rsid w:val="00A96A6F"/>
    <w:rsid w:val="00A96B19"/>
    <w:rsid w:val="00A96C87"/>
    <w:rsid w:val="00A96CAD"/>
    <w:rsid w:val="00A96DBE"/>
    <w:rsid w:val="00A96E5F"/>
    <w:rsid w:val="00A9704E"/>
    <w:rsid w:val="00A972E2"/>
    <w:rsid w:val="00A973F7"/>
    <w:rsid w:val="00A9750B"/>
    <w:rsid w:val="00A97B29"/>
    <w:rsid w:val="00A97DC3"/>
    <w:rsid w:val="00A97E7A"/>
    <w:rsid w:val="00AA00C4"/>
    <w:rsid w:val="00AA01F9"/>
    <w:rsid w:val="00AA0264"/>
    <w:rsid w:val="00AA02ED"/>
    <w:rsid w:val="00AA0640"/>
    <w:rsid w:val="00AA0668"/>
    <w:rsid w:val="00AA0833"/>
    <w:rsid w:val="00AA0A7E"/>
    <w:rsid w:val="00AA0A86"/>
    <w:rsid w:val="00AA0BB9"/>
    <w:rsid w:val="00AA0C32"/>
    <w:rsid w:val="00AA0CB5"/>
    <w:rsid w:val="00AA0F7B"/>
    <w:rsid w:val="00AA1036"/>
    <w:rsid w:val="00AA10A0"/>
    <w:rsid w:val="00AA111F"/>
    <w:rsid w:val="00AA138B"/>
    <w:rsid w:val="00AA1445"/>
    <w:rsid w:val="00AA17AB"/>
    <w:rsid w:val="00AA1F23"/>
    <w:rsid w:val="00AA1F70"/>
    <w:rsid w:val="00AA206D"/>
    <w:rsid w:val="00AA2AD8"/>
    <w:rsid w:val="00AA2B2E"/>
    <w:rsid w:val="00AA2DF9"/>
    <w:rsid w:val="00AA30EC"/>
    <w:rsid w:val="00AA3350"/>
    <w:rsid w:val="00AA337E"/>
    <w:rsid w:val="00AA34B2"/>
    <w:rsid w:val="00AA35FE"/>
    <w:rsid w:val="00AA3734"/>
    <w:rsid w:val="00AA380D"/>
    <w:rsid w:val="00AA3A0B"/>
    <w:rsid w:val="00AA3BCC"/>
    <w:rsid w:val="00AA3CF4"/>
    <w:rsid w:val="00AA3E2F"/>
    <w:rsid w:val="00AA3EAF"/>
    <w:rsid w:val="00AA3EE1"/>
    <w:rsid w:val="00AA4119"/>
    <w:rsid w:val="00AA4146"/>
    <w:rsid w:val="00AA414C"/>
    <w:rsid w:val="00AA41C6"/>
    <w:rsid w:val="00AA4333"/>
    <w:rsid w:val="00AA47C9"/>
    <w:rsid w:val="00AA4E3B"/>
    <w:rsid w:val="00AA4FE1"/>
    <w:rsid w:val="00AA5249"/>
    <w:rsid w:val="00AA524D"/>
    <w:rsid w:val="00AA53D0"/>
    <w:rsid w:val="00AA5409"/>
    <w:rsid w:val="00AA5510"/>
    <w:rsid w:val="00AA558B"/>
    <w:rsid w:val="00AA59E1"/>
    <w:rsid w:val="00AA5BAB"/>
    <w:rsid w:val="00AA5E17"/>
    <w:rsid w:val="00AA5EB7"/>
    <w:rsid w:val="00AA5FD2"/>
    <w:rsid w:val="00AA6029"/>
    <w:rsid w:val="00AA638C"/>
    <w:rsid w:val="00AA63D7"/>
    <w:rsid w:val="00AA65F2"/>
    <w:rsid w:val="00AA6D45"/>
    <w:rsid w:val="00AA7068"/>
    <w:rsid w:val="00AA7131"/>
    <w:rsid w:val="00AA719D"/>
    <w:rsid w:val="00AA71CF"/>
    <w:rsid w:val="00AA747B"/>
    <w:rsid w:val="00AA750F"/>
    <w:rsid w:val="00AA798E"/>
    <w:rsid w:val="00AA79AD"/>
    <w:rsid w:val="00AA7B91"/>
    <w:rsid w:val="00AA7C9B"/>
    <w:rsid w:val="00AB0189"/>
    <w:rsid w:val="00AB027A"/>
    <w:rsid w:val="00AB029E"/>
    <w:rsid w:val="00AB09A0"/>
    <w:rsid w:val="00AB0DE6"/>
    <w:rsid w:val="00AB130D"/>
    <w:rsid w:val="00AB13B9"/>
    <w:rsid w:val="00AB1401"/>
    <w:rsid w:val="00AB1450"/>
    <w:rsid w:val="00AB1734"/>
    <w:rsid w:val="00AB18E9"/>
    <w:rsid w:val="00AB1A48"/>
    <w:rsid w:val="00AB1BAE"/>
    <w:rsid w:val="00AB1D65"/>
    <w:rsid w:val="00AB262D"/>
    <w:rsid w:val="00AB264F"/>
    <w:rsid w:val="00AB2807"/>
    <w:rsid w:val="00AB2961"/>
    <w:rsid w:val="00AB2B60"/>
    <w:rsid w:val="00AB2C2B"/>
    <w:rsid w:val="00AB2FA6"/>
    <w:rsid w:val="00AB3324"/>
    <w:rsid w:val="00AB3359"/>
    <w:rsid w:val="00AB3381"/>
    <w:rsid w:val="00AB3478"/>
    <w:rsid w:val="00AB35DD"/>
    <w:rsid w:val="00AB38F0"/>
    <w:rsid w:val="00AB392B"/>
    <w:rsid w:val="00AB3959"/>
    <w:rsid w:val="00AB3C8E"/>
    <w:rsid w:val="00AB3CD9"/>
    <w:rsid w:val="00AB3D6E"/>
    <w:rsid w:val="00AB3E75"/>
    <w:rsid w:val="00AB45A0"/>
    <w:rsid w:val="00AB4785"/>
    <w:rsid w:val="00AB49AA"/>
    <w:rsid w:val="00AB4C5D"/>
    <w:rsid w:val="00AB4D28"/>
    <w:rsid w:val="00AB4EEF"/>
    <w:rsid w:val="00AB51CA"/>
    <w:rsid w:val="00AB5485"/>
    <w:rsid w:val="00AB5569"/>
    <w:rsid w:val="00AB57A7"/>
    <w:rsid w:val="00AB5B2B"/>
    <w:rsid w:val="00AB5F49"/>
    <w:rsid w:val="00AB646A"/>
    <w:rsid w:val="00AB66AC"/>
    <w:rsid w:val="00AB6950"/>
    <w:rsid w:val="00AB6CA8"/>
    <w:rsid w:val="00AB6EFF"/>
    <w:rsid w:val="00AB71B1"/>
    <w:rsid w:val="00AB7312"/>
    <w:rsid w:val="00AB7502"/>
    <w:rsid w:val="00AB7534"/>
    <w:rsid w:val="00AB7588"/>
    <w:rsid w:val="00AB7763"/>
    <w:rsid w:val="00AB78B2"/>
    <w:rsid w:val="00AB7CB5"/>
    <w:rsid w:val="00AB7F10"/>
    <w:rsid w:val="00AC0229"/>
    <w:rsid w:val="00AC0240"/>
    <w:rsid w:val="00AC051C"/>
    <w:rsid w:val="00AC056A"/>
    <w:rsid w:val="00AC07B4"/>
    <w:rsid w:val="00AC0BCA"/>
    <w:rsid w:val="00AC12C8"/>
    <w:rsid w:val="00AC1363"/>
    <w:rsid w:val="00AC1381"/>
    <w:rsid w:val="00AC1712"/>
    <w:rsid w:val="00AC17BB"/>
    <w:rsid w:val="00AC2199"/>
    <w:rsid w:val="00AC2599"/>
    <w:rsid w:val="00AC25E6"/>
    <w:rsid w:val="00AC29C9"/>
    <w:rsid w:val="00AC2BB7"/>
    <w:rsid w:val="00AC33F6"/>
    <w:rsid w:val="00AC3462"/>
    <w:rsid w:val="00AC35C9"/>
    <w:rsid w:val="00AC36A4"/>
    <w:rsid w:val="00AC38D7"/>
    <w:rsid w:val="00AC39A3"/>
    <w:rsid w:val="00AC39C2"/>
    <w:rsid w:val="00AC3A7A"/>
    <w:rsid w:val="00AC3CB2"/>
    <w:rsid w:val="00AC4136"/>
    <w:rsid w:val="00AC43CC"/>
    <w:rsid w:val="00AC4624"/>
    <w:rsid w:val="00AC46E1"/>
    <w:rsid w:val="00AC4ADF"/>
    <w:rsid w:val="00AC4B96"/>
    <w:rsid w:val="00AC4D32"/>
    <w:rsid w:val="00AC4E64"/>
    <w:rsid w:val="00AC5399"/>
    <w:rsid w:val="00AC56B6"/>
    <w:rsid w:val="00AC5700"/>
    <w:rsid w:val="00AC573D"/>
    <w:rsid w:val="00AC57C4"/>
    <w:rsid w:val="00AC58E2"/>
    <w:rsid w:val="00AC59C0"/>
    <w:rsid w:val="00AC5A8D"/>
    <w:rsid w:val="00AC5BBE"/>
    <w:rsid w:val="00AC5DED"/>
    <w:rsid w:val="00AC6114"/>
    <w:rsid w:val="00AC638C"/>
    <w:rsid w:val="00AC63B4"/>
    <w:rsid w:val="00AC64A8"/>
    <w:rsid w:val="00AC673A"/>
    <w:rsid w:val="00AC680F"/>
    <w:rsid w:val="00AC68A7"/>
    <w:rsid w:val="00AC6BA8"/>
    <w:rsid w:val="00AC6C12"/>
    <w:rsid w:val="00AC6DE0"/>
    <w:rsid w:val="00AC71A9"/>
    <w:rsid w:val="00AC73B4"/>
    <w:rsid w:val="00AC77B9"/>
    <w:rsid w:val="00AC7C6E"/>
    <w:rsid w:val="00AC7CAC"/>
    <w:rsid w:val="00AC7D29"/>
    <w:rsid w:val="00AC7E3B"/>
    <w:rsid w:val="00AC7E98"/>
    <w:rsid w:val="00AD04AE"/>
    <w:rsid w:val="00AD0824"/>
    <w:rsid w:val="00AD0AC6"/>
    <w:rsid w:val="00AD0E35"/>
    <w:rsid w:val="00AD0EF9"/>
    <w:rsid w:val="00AD0F0A"/>
    <w:rsid w:val="00AD0F9A"/>
    <w:rsid w:val="00AD109E"/>
    <w:rsid w:val="00AD154C"/>
    <w:rsid w:val="00AD17BF"/>
    <w:rsid w:val="00AD189D"/>
    <w:rsid w:val="00AD190A"/>
    <w:rsid w:val="00AD1E2D"/>
    <w:rsid w:val="00AD2000"/>
    <w:rsid w:val="00AD20B2"/>
    <w:rsid w:val="00AD20E2"/>
    <w:rsid w:val="00AD2338"/>
    <w:rsid w:val="00AD2773"/>
    <w:rsid w:val="00AD2EEE"/>
    <w:rsid w:val="00AD2FB7"/>
    <w:rsid w:val="00AD3572"/>
    <w:rsid w:val="00AD37E1"/>
    <w:rsid w:val="00AD3B3A"/>
    <w:rsid w:val="00AD3BD9"/>
    <w:rsid w:val="00AD3D26"/>
    <w:rsid w:val="00AD436F"/>
    <w:rsid w:val="00AD4483"/>
    <w:rsid w:val="00AD44D4"/>
    <w:rsid w:val="00AD4A4F"/>
    <w:rsid w:val="00AD4C3E"/>
    <w:rsid w:val="00AD4EFB"/>
    <w:rsid w:val="00AD4FBE"/>
    <w:rsid w:val="00AD5602"/>
    <w:rsid w:val="00AD565B"/>
    <w:rsid w:val="00AD5740"/>
    <w:rsid w:val="00AD57A1"/>
    <w:rsid w:val="00AD5B03"/>
    <w:rsid w:val="00AD5B7B"/>
    <w:rsid w:val="00AD5C61"/>
    <w:rsid w:val="00AD5E6F"/>
    <w:rsid w:val="00AD5EDC"/>
    <w:rsid w:val="00AD5EEC"/>
    <w:rsid w:val="00AD6152"/>
    <w:rsid w:val="00AD63C8"/>
    <w:rsid w:val="00AD681A"/>
    <w:rsid w:val="00AD6954"/>
    <w:rsid w:val="00AD6C0F"/>
    <w:rsid w:val="00AD6C2A"/>
    <w:rsid w:val="00AD6D68"/>
    <w:rsid w:val="00AD6ECE"/>
    <w:rsid w:val="00AD6F53"/>
    <w:rsid w:val="00AD7352"/>
    <w:rsid w:val="00AD73BB"/>
    <w:rsid w:val="00AD74E4"/>
    <w:rsid w:val="00AD7577"/>
    <w:rsid w:val="00AD7789"/>
    <w:rsid w:val="00AD78D4"/>
    <w:rsid w:val="00AD7C05"/>
    <w:rsid w:val="00AD7EB6"/>
    <w:rsid w:val="00AD7FE8"/>
    <w:rsid w:val="00AE0048"/>
    <w:rsid w:val="00AE014D"/>
    <w:rsid w:val="00AE0B82"/>
    <w:rsid w:val="00AE0BA8"/>
    <w:rsid w:val="00AE0BFA"/>
    <w:rsid w:val="00AE0DCF"/>
    <w:rsid w:val="00AE0F15"/>
    <w:rsid w:val="00AE0F56"/>
    <w:rsid w:val="00AE14BB"/>
    <w:rsid w:val="00AE1580"/>
    <w:rsid w:val="00AE182F"/>
    <w:rsid w:val="00AE18A5"/>
    <w:rsid w:val="00AE19F9"/>
    <w:rsid w:val="00AE1B7C"/>
    <w:rsid w:val="00AE1DD7"/>
    <w:rsid w:val="00AE28D8"/>
    <w:rsid w:val="00AE290F"/>
    <w:rsid w:val="00AE2B80"/>
    <w:rsid w:val="00AE2D20"/>
    <w:rsid w:val="00AE2D3B"/>
    <w:rsid w:val="00AE2E76"/>
    <w:rsid w:val="00AE2F23"/>
    <w:rsid w:val="00AE342D"/>
    <w:rsid w:val="00AE356F"/>
    <w:rsid w:val="00AE358D"/>
    <w:rsid w:val="00AE3696"/>
    <w:rsid w:val="00AE3743"/>
    <w:rsid w:val="00AE3908"/>
    <w:rsid w:val="00AE391E"/>
    <w:rsid w:val="00AE3999"/>
    <w:rsid w:val="00AE39E1"/>
    <w:rsid w:val="00AE3A3B"/>
    <w:rsid w:val="00AE3A3C"/>
    <w:rsid w:val="00AE3D9E"/>
    <w:rsid w:val="00AE3DCD"/>
    <w:rsid w:val="00AE3E51"/>
    <w:rsid w:val="00AE4002"/>
    <w:rsid w:val="00AE40F7"/>
    <w:rsid w:val="00AE44B3"/>
    <w:rsid w:val="00AE471D"/>
    <w:rsid w:val="00AE47C4"/>
    <w:rsid w:val="00AE4DF9"/>
    <w:rsid w:val="00AE5044"/>
    <w:rsid w:val="00AE50C0"/>
    <w:rsid w:val="00AE53BB"/>
    <w:rsid w:val="00AE5529"/>
    <w:rsid w:val="00AE56E0"/>
    <w:rsid w:val="00AE5948"/>
    <w:rsid w:val="00AE5E10"/>
    <w:rsid w:val="00AE6542"/>
    <w:rsid w:val="00AE656E"/>
    <w:rsid w:val="00AE666D"/>
    <w:rsid w:val="00AE6AE5"/>
    <w:rsid w:val="00AE6B3B"/>
    <w:rsid w:val="00AE6D4B"/>
    <w:rsid w:val="00AE727C"/>
    <w:rsid w:val="00AE73E9"/>
    <w:rsid w:val="00AE75F9"/>
    <w:rsid w:val="00AE7666"/>
    <w:rsid w:val="00AE794B"/>
    <w:rsid w:val="00AE7C98"/>
    <w:rsid w:val="00AE7E21"/>
    <w:rsid w:val="00AE7F5C"/>
    <w:rsid w:val="00AE7F9D"/>
    <w:rsid w:val="00AF01DD"/>
    <w:rsid w:val="00AF0476"/>
    <w:rsid w:val="00AF06E4"/>
    <w:rsid w:val="00AF076F"/>
    <w:rsid w:val="00AF0868"/>
    <w:rsid w:val="00AF095A"/>
    <w:rsid w:val="00AF0AD2"/>
    <w:rsid w:val="00AF10AC"/>
    <w:rsid w:val="00AF11B3"/>
    <w:rsid w:val="00AF19F8"/>
    <w:rsid w:val="00AF2311"/>
    <w:rsid w:val="00AF23DD"/>
    <w:rsid w:val="00AF244A"/>
    <w:rsid w:val="00AF2455"/>
    <w:rsid w:val="00AF251E"/>
    <w:rsid w:val="00AF27AA"/>
    <w:rsid w:val="00AF2B42"/>
    <w:rsid w:val="00AF2C19"/>
    <w:rsid w:val="00AF2D1D"/>
    <w:rsid w:val="00AF2F58"/>
    <w:rsid w:val="00AF3468"/>
    <w:rsid w:val="00AF346E"/>
    <w:rsid w:val="00AF3802"/>
    <w:rsid w:val="00AF3AEF"/>
    <w:rsid w:val="00AF3BD5"/>
    <w:rsid w:val="00AF3C81"/>
    <w:rsid w:val="00AF3CC6"/>
    <w:rsid w:val="00AF3F6A"/>
    <w:rsid w:val="00AF4972"/>
    <w:rsid w:val="00AF4CD6"/>
    <w:rsid w:val="00AF4DA5"/>
    <w:rsid w:val="00AF4FBB"/>
    <w:rsid w:val="00AF5711"/>
    <w:rsid w:val="00AF5833"/>
    <w:rsid w:val="00AF59B1"/>
    <w:rsid w:val="00AF5C54"/>
    <w:rsid w:val="00AF5C5B"/>
    <w:rsid w:val="00AF5D43"/>
    <w:rsid w:val="00AF6128"/>
    <w:rsid w:val="00AF6380"/>
    <w:rsid w:val="00AF650F"/>
    <w:rsid w:val="00AF658C"/>
    <w:rsid w:val="00AF67B0"/>
    <w:rsid w:val="00AF6888"/>
    <w:rsid w:val="00AF6A67"/>
    <w:rsid w:val="00AF6CA5"/>
    <w:rsid w:val="00AF6D0C"/>
    <w:rsid w:val="00AF6E9D"/>
    <w:rsid w:val="00AF717F"/>
    <w:rsid w:val="00AF7301"/>
    <w:rsid w:val="00AF75DA"/>
    <w:rsid w:val="00AF7D91"/>
    <w:rsid w:val="00B00692"/>
    <w:rsid w:val="00B006EB"/>
    <w:rsid w:val="00B00739"/>
    <w:rsid w:val="00B008AC"/>
    <w:rsid w:val="00B0092E"/>
    <w:rsid w:val="00B00D11"/>
    <w:rsid w:val="00B00E3E"/>
    <w:rsid w:val="00B00EAC"/>
    <w:rsid w:val="00B01087"/>
    <w:rsid w:val="00B013A5"/>
    <w:rsid w:val="00B0184E"/>
    <w:rsid w:val="00B018CA"/>
    <w:rsid w:val="00B019F2"/>
    <w:rsid w:val="00B01C17"/>
    <w:rsid w:val="00B01CE9"/>
    <w:rsid w:val="00B02128"/>
    <w:rsid w:val="00B027ED"/>
    <w:rsid w:val="00B02A25"/>
    <w:rsid w:val="00B02A52"/>
    <w:rsid w:val="00B02B60"/>
    <w:rsid w:val="00B02CE8"/>
    <w:rsid w:val="00B02EAF"/>
    <w:rsid w:val="00B02EBB"/>
    <w:rsid w:val="00B032A5"/>
    <w:rsid w:val="00B0383D"/>
    <w:rsid w:val="00B0387D"/>
    <w:rsid w:val="00B039F8"/>
    <w:rsid w:val="00B03E52"/>
    <w:rsid w:val="00B04441"/>
    <w:rsid w:val="00B04568"/>
    <w:rsid w:val="00B046E8"/>
    <w:rsid w:val="00B047A4"/>
    <w:rsid w:val="00B04D82"/>
    <w:rsid w:val="00B04E1D"/>
    <w:rsid w:val="00B04E2F"/>
    <w:rsid w:val="00B04FE5"/>
    <w:rsid w:val="00B05296"/>
    <w:rsid w:val="00B05519"/>
    <w:rsid w:val="00B05664"/>
    <w:rsid w:val="00B056E1"/>
    <w:rsid w:val="00B0580C"/>
    <w:rsid w:val="00B05A8D"/>
    <w:rsid w:val="00B05DBF"/>
    <w:rsid w:val="00B05E2A"/>
    <w:rsid w:val="00B05F86"/>
    <w:rsid w:val="00B0617A"/>
    <w:rsid w:val="00B066BD"/>
    <w:rsid w:val="00B06ABF"/>
    <w:rsid w:val="00B06C13"/>
    <w:rsid w:val="00B07069"/>
    <w:rsid w:val="00B0716E"/>
    <w:rsid w:val="00B074F9"/>
    <w:rsid w:val="00B075FE"/>
    <w:rsid w:val="00B076CD"/>
    <w:rsid w:val="00B07D67"/>
    <w:rsid w:val="00B07F6B"/>
    <w:rsid w:val="00B100BE"/>
    <w:rsid w:val="00B10340"/>
    <w:rsid w:val="00B10570"/>
    <w:rsid w:val="00B10AAB"/>
    <w:rsid w:val="00B10AD2"/>
    <w:rsid w:val="00B10B33"/>
    <w:rsid w:val="00B10D2B"/>
    <w:rsid w:val="00B10E33"/>
    <w:rsid w:val="00B10EB8"/>
    <w:rsid w:val="00B110CD"/>
    <w:rsid w:val="00B1143F"/>
    <w:rsid w:val="00B11939"/>
    <w:rsid w:val="00B11D8B"/>
    <w:rsid w:val="00B12294"/>
    <w:rsid w:val="00B12442"/>
    <w:rsid w:val="00B124B4"/>
    <w:rsid w:val="00B127CF"/>
    <w:rsid w:val="00B12AC4"/>
    <w:rsid w:val="00B13205"/>
    <w:rsid w:val="00B1324C"/>
    <w:rsid w:val="00B13392"/>
    <w:rsid w:val="00B13780"/>
    <w:rsid w:val="00B138B4"/>
    <w:rsid w:val="00B13BB1"/>
    <w:rsid w:val="00B13F30"/>
    <w:rsid w:val="00B13FB7"/>
    <w:rsid w:val="00B1458F"/>
    <w:rsid w:val="00B145A1"/>
    <w:rsid w:val="00B14A9E"/>
    <w:rsid w:val="00B14BBF"/>
    <w:rsid w:val="00B14DBE"/>
    <w:rsid w:val="00B1512E"/>
    <w:rsid w:val="00B153BD"/>
    <w:rsid w:val="00B15446"/>
    <w:rsid w:val="00B1558E"/>
    <w:rsid w:val="00B155C5"/>
    <w:rsid w:val="00B15A52"/>
    <w:rsid w:val="00B15CC5"/>
    <w:rsid w:val="00B15E8B"/>
    <w:rsid w:val="00B15E96"/>
    <w:rsid w:val="00B161A0"/>
    <w:rsid w:val="00B1622B"/>
    <w:rsid w:val="00B162EA"/>
    <w:rsid w:val="00B16557"/>
    <w:rsid w:val="00B165A1"/>
    <w:rsid w:val="00B166A8"/>
    <w:rsid w:val="00B16838"/>
    <w:rsid w:val="00B16924"/>
    <w:rsid w:val="00B16945"/>
    <w:rsid w:val="00B16A28"/>
    <w:rsid w:val="00B16AA9"/>
    <w:rsid w:val="00B17019"/>
    <w:rsid w:val="00B17169"/>
    <w:rsid w:val="00B17869"/>
    <w:rsid w:val="00B179F0"/>
    <w:rsid w:val="00B17C02"/>
    <w:rsid w:val="00B17CC1"/>
    <w:rsid w:val="00B20131"/>
    <w:rsid w:val="00B203B3"/>
    <w:rsid w:val="00B20664"/>
    <w:rsid w:val="00B2077B"/>
    <w:rsid w:val="00B207A5"/>
    <w:rsid w:val="00B20D69"/>
    <w:rsid w:val="00B20DF1"/>
    <w:rsid w:val="00B211AB"/>
    <w:rsid w:val="00B2147B"/>
    <w:rsid w:val="00B214D8"/>
    <w:rsid w:val="00B2150D"/>
    <w:rsid w:val="00B216C5"/>
    <w:rsid w:val="00B219F8"/>
    <w:rsid w:val="00B21A9F"/>
    <w:rsid w:val="00B21D68"/>
    <w:rsid w:val="00B21ECB"/>
    <w:rsid w:val="00B21EF9"/>
    <w:rsid w:val="00B21FC8"/>
    <w:rsid w:val="00B225D8"/>
    <w:rsid w:val="00B22AD8"/>
    <w:rsid w:val="00B22DBD"/>
    <w:rsid w:val="00B23291"/>
    <w:rsid w:val="00B23292"/>
    <w:rsid w:val="00B234BD"/>
    <w:rsid w:val="00B2369D"/>
    <w:rsid w:val="00B238C6"/>
    <w:rsid w:val="00B23A85"/>
    <w:rsid w:val="00B23BB4"/>
    <w:rsid w:val="00B23CD9"/>
    <w:rsid w:val="00B23E66"/>
    <w:rsid w:val="00B23E8E"/>
    <w:rsid w:val="00B23FB0"/>
    <w:rsid w:val="00B24754"/>
    <w:rsid w:val="00B24812"/>
    <w:rsid w:val="00B249D0"/>
    <w:rsid w:val="00B24A46"/>
    <w:rsid w:val="00B24AD9"/>
    <w:rsid w:val="00B24C82"/>
    <w:rsid w:val="00B25002"/>
    <w:rsid w:val="00B250AF"/>
    <w:rsid w:val="00B251F0"/>
    <w:rsid w:val="00B25735"/>
    <w:rsid w:val="00B25F41"/>
    <w:rsid w:val="00B260F8"/>
    <w:rsid w:val="00B2671E"/>
    <w:rsid w:val="00B26C6B"/>
    <w:rsid w:val="00B26CE3"/>
    <w:rsid w:val="00B26D34"/>
    <w:rsid w:val="00B273A9"/>
    <w:rsid w:val="00B27867"/>
    <w:rsid w:val="00B27A3D"/>
    <w:rsid w:val="00B27A4D"/>
    <w:rsid w:val="00B27B6B"/>
    <w:rsid w:val="00B27CED"/>
    <w:rsid w:val="00B300C3"/>
    <w:rsid w:val="00B300D5"/>
    <w:rsid w:val="00B30216"/>
    <w:rsid w:val="00B3097B"/>
    <w:rsid w:val="00B30C28"/>
    <w:rsid w:val="00B30D64"/>
    <w:rsid w:val="00B3103C"/>
    <w:rsid w:val="00B3149B"/>
    <w:rsid w:val="00B31D29"/>
    <w:rsid w:val="00B31D3C"/>
    <w:rsid w:val="00B31D5F"/>
    <w:rsid w:val="00B31DED"/>
    <w:rsid w:val="00B3206C"/>
    <w:rsid w:val="00B32120"/>
    <w:rsid w:val="00B3248E"/>
    <w:rsid w:val="00B326D5"/>
    <w:rsid w:val="00B327CC"/>
    <w:rsid w:val="00B32BFA"/>
    <w:rsid w:val="00B32CDA"/>
    <w:rsid w:val="00B32FC5"/>
    <w:rsid w:val="00B32FEC"/>
    <w:rsid w:val="00B3320D"/>
    <w:rsid w:val="00B335C1"/>
    <w:rsid w:val="00B335D5"/>
    <w:rsid w:val="00B33705"/>
    <w:rsid w:val="00B3378C"/>
    <w:rsid w:val="00B33918"/>
    <w:rsid w:val="00B33A27"/>
    <w:rsid w:val="00B33FF2"/>
    <w:rsid w:val="00B34308"/>
    <w:rsid w:val="00B3450E"/>
    <w:rsid w:val="00B3463A"/>
    <w:rsid w:val="00B3484F"/>
    <w:rsid w:val="00B349BD"/>
    <w:rsid w:val="00B34A52"/>
    <w:rsid w:val="00B34D26"/>
    <w:rsid w:val="00B34D8B"/>
    <w:rsid w:val="00B34E39"/>
    <w:rsid w:val="00B35218"/>
    <w:rsid w:val="00B355CF"/>
    <w:rsid w:val="00B35835"/>
    <w:rsid w:val="00B35896"/>
    <w:rsid w:val="00B35A63"/>
    <w:rsid w:val="00B35E90"/>
    <w:rsid w:val="00B36379"/>
    <w:rsid w:val="00B36426"/>
    <w:rsid w:val="00B3652C"/>
    <w:rsid w:val="00B3673D"/>
    <w:rsid w:val="00B3695E"/>
    <w:rsid w:val="00B36BDB"/>
    <w:rsid w:val="00B36BDF"/>
    <w:rsid w:val="00B3750E"/>
    <w:rsid w:val="00B3757A"/>
    <w:rsid w:val="00B375F5"/>
    <w:rsid w:val="00B37652"/>
    <w:rsid w:val="00B37712"/>
    <w:rsid w:val="00B37844"/>
    <w:rsid w:val="00B37A12"/>
    <w:rsid w:val="00B37B66"/>
    <w:rsid w:val="00B37B90"/>
    <w:rsid w:val="00B37EDE"/>
    <w:rsid w:val="00B40037"/>
    <w:rsid w:val="00B4026F"/>
    <w:rsid w:val="00B403C3"/>
    <w:rsid w:val="00B409E8"/>
    <w:rsid w:val="00B40B0D"/>
    <w:rsid w:val="00B40BA2"/>
    <w:rsid w:val="00B41019"/>
    <w:rsid w:val="00B4123D"/>
    <w:rsid w:val="00B41EBD"/>
    <w:rsid w:val="00B41F7E"/>
    <w:rsid w:val="00B42359"/>
    <w:rsid w:val="00B4236A"/>
    <w:rsid w:val="00B423BC"/>
    <w:rsid w:val="00B4255B"/>
    <w:rsid w:val="00B426B6"/>
    <w:rsid w:val="00B42C5A"/>
    <w:rsid w:val="00B435B7"/>
    <w:rsid w:val="00B435D2"/>
    <w:rsid w:val="00B43678"/>
    <w:rsid w:val="00B436AE"/>
    <w:rsid w:val="00B4373D"/>
    <w:rsid w:val="00B43883"/>
    <w:rsid w:val="00B43C25"/>
    <w:rsid w:val="00B44383"/>
    <w:rsid w:val="00B44595"/>
    <w:rsid w:val="00B448A0"/>
    <w:rsid w:val="00B448EC"/>
    <w:rsid w:val="00B44C43"/>
    <w:rsid w:val="00B44D64"/>
    <w:rsid w:val="00B45288"/>
    <w:rsid w:val="00B45B3D"/>
    <w:rsid w:val="00B45C6D"/>
    <w:rsid w:val="00B4620E"/>
    <w:rsid w:val="00B462C6"/>
    <w:rsid w:val="00B463AF"/>
    <w:rsid w:val="00B46811"/>
    <w:rsid w:val="00B46859"/>
    <w:rsid w:val="00B46CCA"/>
    <w:rsid w:val="00B46D59"/>
    <w:rsid w:val="00B46FD9"/>
    <w:rsid w:val="00B47481"/>
    <w:rsid w:val="00B47690"/>
    <w:rsid w:val="00B476BC"/>
    <w:rsid w:val="00B4773A"/>
    <w:rsid w:val="00B47767"/>
    <w:rsid w:val="00B47B6A"/>
    <w:rsid w:val="00B47BD2"/>
    <w:rsid w:val="00B47E7F"/>
    <w:rsid w:val="00B47E94"/>
    <w:rsid w:val="00B504B9"/>
    <w:rsid w:val="00B505B2"/>
    <w:rsid w:val="00B5078E"/>
    <w:rsid w:val="00B50961"/>
    <w:rsid w:val="00B50972"/>
    <w:rsid w:val="00B50BF7"/>
    <w:rsid w:val="00B50D18"/>
    <w:rsid w:val="00B50EBB"/>
    <w:rsid w:val="00B512CA"/>
    <w:rsid w:val="00B51303"/>
    <w:rsid w:val="00B51403"/>
    <w:rsid w:val="00B515B9"/>
    <w:rsid w:val="00B51791"/>
    <w:rsid w:val="00B517B3"/>
    <w:rsid w:val="00B5187B"/>
    <w:rsid w:val="00B51A1C"/>
    <w:rsid w:val="00B51FFC"/>
    <w:rsid w:val="00B52337"/>
    <w:rsid w:val="00B5242D"/>
    <w:rsid w:val="00B524FD"/>
    <w:rsid w:val="00B5271A"/>
    <w:rsid w:val="00B528B5"/>
    <w:rsid w:val="00B52C3B"/>
    <w:rsid w:val="00B52D7A"/>
    <w:rsid w:val="00B52E71"/>
    <w:rsid w:val="00B52FFF"/>
    <w:rsid w:val="00B530A8"/>
    <w:rsid w:val="00B53431"/>
    <w:rsid w:val="00B53478"/>
    <w:rsid w:val="00B53587"/>
    <w:rsid w:val="00B53813"/>
    <w:rsid w:val="00B539EE"/>
    <w:rsid w:val="00B53E79"/>
    <w:rsid w:val="00B53FA4"/>
    <w:rsid w:val="00B540DD"/>
    <w:rsid w:val="00B5429E"/>
    <w:rsid w:val="00B54780"/>
    <w:rsid w:val="00B54861"/>
    <w:rsid w:val="00B54AFB"/>
    <w:rsid w:val="00B54B90"/>
    <w:rsid w:val="00B54C97"/>
    <w:rsid w:val="00B54E35"/>
    <w:rsid w:val="00B55245"/>
    <w:rsid w:val="00B554BA"/>
    <w:rsid w:val="00B559CA"/>
    <w:rsid w:val="00B55A00"/>
    <w:rsid w:val="00B55C30"/>
    <w:rsid w:val="00B55F50"/>
    <w:rsid w:val="00B5652C"/>
    <w:rsid w:val="00B56584"/>
    <w:rsid w:val="00B56634"/>
    <w:rsid w:val="00B567FE"/>
    <w:rsid w:val="00B56D7F"/>
    <w:rsid w:val="00B56E02"/>
    <w:rsid w:val="00B57319"/>
    <w:rsid w:val="00B57347"/>
    <w:rsid w:val="00B57BA8"/>
    <w:rsid w:val="00B57C45"/>
    <w:rsid w:val="00B57D10"/>
    <w:rsid w:val="00B57DE7"/>
    <w:rsid w:val="00B57F11"/>
    <w:rsid w:val="00B601E7"/>
    <w:rsid w:val="00B60628"/>
    <w:rsid w:val="00B6066E"/>
    <w:rsid w:val="00B6079F"/>
    <w:rsid w:val="00B60A7A"/>
    <w:rsid w:val="00B614FF"/>
    <w:rsid w:val="00B621ED"/>
    <w:rsid w:val="00B6237B"/>
    <w:rsid w:val="00B624B8"/>
    <w:rsid w:val="00B626F3"/>
    <w:rsid w:val="00B628A0"/>
    <w:rsid w:val="00B62921"/>
    <w:rsid w:val="00B62B5F"/>
    <w:rsid w:val="00B62BC2"/>
    <w:rsid w:val="00B62C50"/>
    <w:rsid w:val="00B62DF9"/>
    <w:rsid w:val="00B62E03"/>
    <w:rsid w:val="00B630FC"/>
    <w:rsid w:val="00B632DE"/>
    <w:rsid w:val="00B632E9"/>
    <w:rsid w:val="00B63694"/>
    <w:rsid w:val="00B63AB2"/>
    <w:rsid w:val="00B63BA0"/>
    <w:rsid w:val="00B63E65"/>
    <w:rsid w:val="00B63FB4"/>
    <w:rsid w:val="00B64112"/>
    <w:rsid w:val="00B6425A"/>
    <w:rsid w:val="00B643C2"/>
    <w:rsid w:val="00B64424"/>
    <w:rsid w:val="00B646F0"/>
    <w:rsid w:val="00B649EC"/>
    <w:rsid w:val="00B64D61"/>
    <w:rsid w:val="00B64F0D"/>
    <w:rsid w:val="00B651B4"/>
    <w:rsid w:val="00B654C2"/>
    <w:rsid w:val="00B65828"/>
    <w:rsid w:val="00B6585E"/>
    <w:rsid w:val="00B65907"/>
    <w:rsid w:val="00B65A9E"/>
    <w:rsid w:val="00B65C42"/>
    <w:rsid w:val="00B65DDE"/>
    <w:rsid w:val="00B660B0"/>
    <w:rsid w:val="00B6649C"/>
    <w:rsid w:val="00B6650A"/>
    <w:rsid w:val="00B66550"/>
    <w:rsid w:val="00B66745"/>
    <w:rsid w:val="00B667EB"/>
    <w:rsid w:val="00B668CE"/>
    <w:rsid w:val="00B6692E"/>
    <w:rsid w:val="00B669FC"/>
    <w:rsid w:val="00B673C0"/>
    <w:rsid w:val="00B67543"/>
    <w:rsid w:val="00B67584"/>
    <w:rsid w:val="00B67619"/>
    <w:rsid w:val="00B67643"/>
    <w:rsid w:val="00B679D2"/>
    <w:rsid w:val="00B70164"/>
    <w:rsid w:val="00B702A4"/>
    <w:rsid w:val="00B704A5"/>
    <w:rsid w:val="00B70DF4"/>
    <w:rsid w:val="00B70FB3"/>
    <w:rsid w:val="00B7102C"/>
    <w:rsid w:val="00B712B9"/>
    <w:rsid w:val="00B71340"/>
    <w:rsid w:val="00B7136A"/>
    <w:rsid w:val="00B71518"/>
    <w:rsid w:val="00B71ABE"/>
    <w:rsid w:val="00B72A81"/>
    <w:rsid w:val="00B72AA9"/>
    <w:rsid w:val="00B72ADE"/>
    <w:rsid w:val="00B72E0A"/>
    <w:rsid w:val="00B72E1E"/>
    <w:rsid w:val="00B72F0D"/>
    <w:rsid w:val="00B733FF"/>
    <w:rsid w:val="00B735C8"/>
    <w:rsid w:val="00B73A36"/>
    <w:rsid w:val="00B73A3D"/>
    <w:rsid w:val="00B73A55"/>
    <w:rsid w:val="00B73DAD"/>
    <w:rsid w:val="00B74169"/>
    <w:rsid w:val="00B7431C"/>
    <w:rsid w:val="00B744C5"/>
    <w:rsid w:val="00B745BB"/>
    <w:rsid w:val="00B7487F"/>
    <w:rsid w:val="00B748CF"/>
    <w:rsid w:val="00B749AB"/>
    <w:rsid w:val="00B74C48"/>
    <w:rsid w:val="00B74F01"/>
    <w:rsid w:val="00B74FC4"/>
    <w:rsid w:val="00B75161"/>
    <w:rsid w:val="00B7563F"/>
    <w:rsid w:val="00B756E4"/>
    <w:rsid w:val="00B756E5"/>
    <w:rsid w:val="00B75707"/>
    <w:rsid w:val="00B75783"/>
    <w:rsid w:val="00B757AA"/>
    <w:rsid w:val="00B7588F"/>
    <w:rsid w:val="00B75971"/>
    <w:rsid w:val="00B75BB8"/>
    <w:rsid w:val="00B7610C"/>
    <w:rsid w:val="00B763F0"/>
    <w:rsid w:val="00B76712"/>
    <w:rsid w:val="00B7686B"/>
    <w:rsid w:val="00B76A33"/>
    <w:rsid w:val="00B76C2B"/>
    <w:rsid w:val="00B76F4E"/>
    <w:rsid w:val="00B7707A"/>
    <w:rsid w:val="00B77315"/>
    <w:rsid w:val="00B773BA"/>
    <w:rsid w:val="00B775C7"/>
    <w:rsid w:val="00B77738"/>
    <w:rsid w:val="00B77A36"/>
    <w:rsid w:val="00B77B33"/>
    <w:rsid w:val="00B77F19"/>
    <w:rsid w:val="00B8006E"/>
    <w:rsid w:val="00B807E7"/>
    <w:rsid w:val="00B80BB2"/>
    <w:rsid w:val="00B80D60"/>
    <w:rsid w:val="00B81060"/>
    <w:rsid w:val="00B810AF"/>
    <w:rsid w:val="00B810B8"/>
    <w:rsid w:val="00B813AE"/>
    <w:rsid w:val="00B81A2A"/>
    <w:rsid w:val="00B81D29"/>
    <w:rsid w:val="00B81D6C"/>
    <w:rsid w:val="00B81E47"/>
    <w:rsid w:val="00B82161"/>
    <w:rsid w:val="00B8222B"/>
    <w:rsid w:val="00B82264"/>
    <w:rsid w:val="00B827C7"/>
    <w:rsid w:val="00B829D9"/>
    <w:rsid w:val="00B82B8F"/>
    <w:rsid w:val="00B82C93"/>
    <w:rsid w:val="00B82D53"/>
    <w:rsid w:val="00B82E48"/>
    <w:rsid w:val="00B8366F"/>
    <w:rsid w:val="00B83BC7"/>
    <w:rsid w:val="00B83C2E"/>
    <w:rsid w:val="00B83F0D"/>
    <w:rsid w:val="00B83F29"/>
    <w:rsid w:val="00B83F4B"/>
    <w:rsid w:val="00B84108"/>
    <w:rsid w:val="00B84663"/>
    <w:rsid w:val="00B84B7C"/>
    <w:rsid w:val="00B84E07"/>
    <w:rsid w:val="00B84E59"/>
    <w:rsid w:val="00B8534A"/>
    <w:rsid w:val="00B8574E"/>
    <w:rsid w:val="00B85AEE"/>
    <w:rsid w:val="00B85FE2"/>
    <w:rsid w:val="00B86573"/>
    <w:rsid w:val="00B86732"/>
    <w:rsid w:val="00B86C78"/>
    <w:rsid w:val="00B86C85"/>
    <w:rsid w:val="00B86D11"/>
    <w:rsid w:val="00B87372"/>
    <w:rsid w:val="00B875A4"/>
    <w:rsid w:val="00B87700"/>
    <w:rsid w:val="00B877F4"/>
    <w:rsid w:val="00B8797F"/>
    <w:rsid w:val="00B87FEA"/>
    <w:rsid w:val="00B904C1"/>
    <w:rsid w:val="00B90634"/>
    <w:rsid w:val="00B909ED"/>
    <w:rsid w:val="00B90C2E"/>
    <w:rsid w:val="00B90E19"/>
    <w:rsid w:val="00B91025"/>
    <w:rsid w:val="00B91559"/>
    <w:rsid w:val="00B915FB"/>
    <w:rsid w:val="00B9177F"/>
    <w:rsid w:val="00B91F6F"/>
    <w:rsid w:val="00B9207A"/>
    <w:rsid w:val="00B92123"/>
    <w:rsid w:val="00B921EE"/>
    <w:rsid w:val="00B928D9"/>
    <w:rsid w:val="00B929BC"/>
    <w:rsid w:val="00B929EC"/>
    <w:rsid w:val="00B92C64"/>
    <w:rsid w:val="00B92D64"/>
    <w:rsid w:val="00B933FD"/>
    <w:rsid w:val="00B939BA"/>
    <w:rsid w:val="00B93D00"/>
    <w:rsid w:val="00B9405C"/>
    <w:rsid w:val="00B940DF"/>
    <w:rsid w:val="00B940E7"/>
    <w:rsid w:val="00B94169"/>
    <w:rsid w:val="00B941B7"/>
    <w:rsid w:val="00B9454B"/>
    <w:rsid w:val="00B9464D"/>
    <w:rsid w:val="00B9492F"/>
    <w:rsid w:val="00B94C4F"/>
    <w:rsid w:val="00B94C95"/>
    <w:rsid w:val="00B94E27"/>
    <w:rsid w:val="00B9523A"/>
    <w:rsid w:val="00B95A01"/>
    <w:rsid w:val="00B95AA9"/>
    <w:rsid w:val="00B95BBB"/>
    <w:rsid w:val="00B95EE4"/>
    <w:rsid w:val="00B95EFC"/>
    <w:rsid w:val="00B960D7"/>
    <w:rsid w:val="00B961BC"/>
    <w:rsid w:val="00B9633D"/>
    <w:rsid w:val="00B96484"/>
    <w:rsid w:val="00B96513"/>
    <w:rsid w:val="00B968FE"/>
    <w:rsid w:val="00B96EAE"/>
    <w:rsid w:val="00B97465"/>
    <w:rsid w:val="00B97535"/>
    <w:rsid w:val="00B9787D"/>
    <w:rsid w:val="00BA004D"/>
    <w:rsid w:val="00BA019D"/>
    <w:rsid w:val="00BA0257"/>
    <w:rsid w:val="00BA058B"/>
    <w:rsid w:val="00BA0BCF"/>
    <w:rsid w:val="00BA0C4C"/>
    <w:rsid w:val="00BA138D"/>
    <w:rsid w:val="00BA149F"/>
    <w:rsid w:val="00BA1708"/>
    <w:rsid w:val="00BA18B0"/>
    <w:rsid w:val="00BA18D2"/>
    <w:rsid w:val="00BA1976"/>
    <w:rsid w:val="00BA1A89"/>
    <w:rsid w:val="00BA1BDA"/>
    <w:rsid w:val="00BA1C9F"/>
    <w:rsid w:val="00BA1E3A"/>
    <w:rsid w:val="00BA2020"/>
    <w:rsid w:val="00BA2053"/>
    <w:rsid w:val="00BA21DB"/>
    <w:rsid w:val="00BA22CB"/>
    <w:rsid w:val="00BA2346"/>
    <w:rsid w:val="00BA2532"/>
    <w:rsid w:val="00BA2571"/>
    <w:rsid w:val="00BA2B89"/>
    <w:rsid w:val="00BA2D53"/>
    <w:rsid w:val="00BA3404"/>
    <w:rsid w:val="00BA3458"/>
    <w:rsid w:val="00BA36DD"/>
    <w:rsid w:val="00BA38C8"/>
    <w:rsid w:val="00BA38E4"/>
    <w:rsid w:val="00BA39F7"/>
    <w:rsid w:val="00BA3A6C"/>
    <w:rsid w:val="00BA3B00"/>
    <w:rsid w:val="00BA3D82"/>
    <w:rsid w:val="00BA4029"/>
    <w:rsid w:val="00BA43F7"/>
    <w:rsid w:val="00BA459C"/>
    <w:rsid w:val="00BA46B2"/>
    <w:rsid w:val="00BA4AB8"/>
    <w:rsid w:val="00BA4BC5"/>
    <w:rsid w:val="00BA4C46"/>
    <w:rsid w:val="00BA4DD2"/>
    <w:rsid w:val="00BA4E72"/>
    <w:rsid w:val="00BA4FFE"/>
    <w:rsid w:val="00BA5629"/>
    <w:rsid w:val="00BA57B2"/>
    <w:rsid w:val="00BA5990"/>
    <w:rsid w:val="00BA59DA"/>
    <w:rsid w:val="00BA5A5C"/>
    <w:rsid w:val="00BA5A99"/>
    <w:rsid w:val="00BA5D78"/>
    <w:rsid w:val="00BA6262"/>
    <w:rsid w:val="00BA67F1"/>
    <w:rsid w:val="00BA68E1"/>
    <w:rsid w:val="00BA6B16"/>
    <w:rsid w:val="00BA6E60"/>
    <w:rsid w:val="00BA77DF"/>
    <w:rsid w:val="00BA7842"/>
    <w:rsid w:val="00BA7CBF"/>
    <w:rsid w:val="00BA7F96"/>
    <w:rsid w:val="00BB061C"/>
    <w:rsid w:val="00BB0BE4"/>
    <w:rsid w:val="00BB0DB4"/>
    <w:rsid w:val="00BB1184"/>
    <w:rsid w:val="00BB1275"/>
    <w:rsid w:val="00BB1900"/>
    <w:rsid w:val="00BB1A63"/>
    <w:rsid w:val="00BB1A8F"/>
    <w:rsid w:val="00BB1B9B"/>
    <w:rsid w:val="00BB1E50"/>
    <w:rsid w:val="00BB20C8"/>
    <w:rsid w:val="00BB21BC"/>
    <w:rsid w:val="00BB22F7"/>
    <w:rsid w:val="00BB2391"/>
    <w:rsid w:val="00BB2AF2"/>
    <w:rsid w:val="00BB2DBA"/>
    <w:rsid w:val="00BB36D8"/>
    <w:rsid w:val="00BB3D4C"/>
    <w:rsid w:val="00BB3D8E"/>
    <w:rsid w:val="00BB437B"/>
    <w:rsid w:val="00BB4883"/>
    <w:rsid w:val="00BB4A08"/>
    <w:rsid w:val="00BB4ACF"/>
    <w:rsid w:val="00BB4F7E"/>
    <w:rsid w:val="00BB53E2"/>
    <w:rsid w:val="00BB5C41"/>
    <w:rsid w:val="00BB61CE"/>
    <w:rsid w:val="00BB6605"/>
    <w:rsid w:val="00BB6868"/>
    <w:rsid w:val="00BB6948"/>
    <w:rsid w:val="00BB69C2"/>
    <w:rsid w:val="00BB69EA"/>
    <w:rsid w:val="00BB6AE9"/>
    <w:rsid w:val="00BB6C2A"/>
    <w:rsid w:val="00BB6C8A"/>
    <w:rsid w:val="00BB6CD3"/>
    <w:rsid w:val="00BB6E87"/>
    <w:rsid w:val="00BB7727"/>
    <w:rsid w:val="00BB794E"/>
    <w:rsid w:val="00BB7A0C"/>
    <w:rsid w:val="00BB7A3D"/>
    <w:rsid w:val="00BB7AEC"/>
    <w:rsid w:val="00BB7D8A"/>
    <w:rsid w:val="00BB7E96"/>
    <w:rsid w:val="00BC015A"/>
    <w:rsid w:val="00BC03FF"/>
    <w:rsid w:val="00BC0438"/>
    <w:rsid w:val="00BC0463"/>
    <w:rsid w:val="00BC059A"/>
    <w:rsid w:val="00BC0703"/>
    <w:rsid w:val="00BC0AAF"/>
    <w:rsid w:val="00BC0E95"/>
    <w:rsid w:val="00BC0FAE"/>
    <w:rsid w:val="00BC0FCA"/>
    <w:rsid w:val="00BC14BE"/>
    <w:rsid w:val="00BC187B"/>
    <w:rsid w:val="00BC18C0"/>
    <w:rsid w:val="00BC1952"/>
    <w:rsid w:val="00BC1B45"/>
    <w:rsid w:val="00BC1B8F"/>
    <w:rsid w:val="00BC1DBF"/>
    <w:rsid w:val="00BC1EE9"/>
    <w:rsid w:val="00BC1FC8"/>
    <w:rsid w:val="00BC2283"/>
    <w:rsid w:val="00BC291C"/>
    <w:rsid w:val="00BC2B03"/>
    <w:rsid w:val="00BC2F1E"/>
    <w:rsid w:val="00BC322F"/>
    <w:rsid w:val="00BC34BE"/>
    <w:rsid w:val="00BC35AC"/>
    <w:rsid w:val="00BC3791"/>
    <w:rsid w:val="00BC3A84"/>
    <w:rsid w:val="00BC3BBE"/>
    <w:rsid w:val="00BC3DB8"/>
    <w:rsid w:val="00BC3F17"/>
    <w:rsid w:val="00BC3F78"/>
    <w:rsid w:val="00BC3FFD"/>
    <w:rsid w:val="00BC40C1"/>
    <w:rsid w:val="00BC40C9"/>
    <w:rsid w:val="00BC4150"/>
    <w:rsid w:val="00BC45BE"/>
    <w:rsid w:val="00BC4705"/>
    <w:rsid w:val="00BC48AB"/>
    <w:rsid w:val="00BC48C6"/>
    <w:rsid w:val="00BC4DD4"/>
    <w:rsid w:val="00BC4E91"/>
    <w:rsid w:val="00BC51BC"/>
    <w:rsid w:val="00BC5219"/>
    <w:rsid w:val="00BC52F2"/>
    <w:rsid w:val="00BC5547"/>
    <w:rsid w:val="00BC55F5"/>
    <w:rsid w:val="00BC5946"/>
    <w:rsid w:val="00BC59CE"/>
    <w:rsid w:val="00BC5F0A"/>
    <w:rsid w:val="00BC613A"/>
    <w:rsid w:val="00BC635B"/>
    <w:rsid w:val="00BC6378"/>
    <w:rsid w:val="00BC64BF"/>
    <w:rsid w:val="00BC678E"/>
    <w:rsid w:val="00BC68C2"/>
    <w:rsid w:val="00BC6A08"/>
    <w:rsid w:val="00BC6AEB"/>
    <w:rsid w:val="00BC73AE"/>
    <w:rsid w:val="00BC7617"/>
    <w:rsid w:val="00BC768B"/>
    <w:rsid w:val="00BC772A"/>
    <w:rsid w:val="00BC7829"/>
    <w:rsid w:val="00BC7868"/>
    <w:rsid w:val="00BC788D"/>
    <w:rsid w:val="00BC7BAB"/>
    <w:rsid w:val="00BC7BE1"/>
    <w:rsid w:val="00BC7D17"/>
    <w:rsid w:val="00BD01D8"/>
    <w:rsid w:val="00BD023D"/>
    <w:rsid w:val="00BD03BA"/>
    <w:rsid w:val="00BD088E"/>
    <w:rsid w:val="00BD098F"/>
    <w:rsid w:val="00BD0B76"/>
    <w:rsid w:val="00BD0C5B"/>
    <w:rsid w:val="00BD0F94"/>
    <w:rsid w:val="00BD0FE9"/>
    <w:rsid w:val="00BD150B"/>
    <w:rsid w:val="00BD1704"/>
    <w:rsid w:val="00BD1754"/>
    <w:rsid w:val="00BD18A7"/>
    <w:rsid w:val="00BD1907"/>
    <w:rsid w:val="00BD1943"/>
    <w:rsid w:val="00BD1B3A"/>
    <w:rsid w:val="00BD1C88"/>
    <w:rsid w:val="00BD209D"/>
    <w:rsid w:val="00BD2180"/>
    <w:rsid w:val="00BD2400"/>
    <w:rsid w:val="00BD2493"/>
    <w:rsid w:val="00BD2972"/>
    <w:rsid w:val="00BD2980"/>
    <w:rsid w:val="00BD2B0C"/>
    <w:rsid w:val="00BD2C14"/>
    <w:rsid w:val="00BD2C18"/>
    <w:rsid w:val="00BD2E0F"/>
    <w:rsid w:val="00BD2E63"/>
    <w:rsid w:val="00BD2F5C"/>
    <w:rsid w:val="00BD3144"/>
    <w:rsid w:val="00BD383D"/>
    <w:rsid w:val="00BD3A76"/>
    <w:rsid w:val="00BD3C42"/>
    <w:rsid w:val="00BD3CD4"/>
    <w:rsid w:val="00BD3D66"/>
    <w:rsid w:val="00BD4511"/>
    <w:rsid w:val="00BD4556"/>
    <w:rsid w:val="00BD4710"/>
    <w:rsid w:val="00BD490C"/>
    <w:rsid w:val="00BD4A1B"/>
    <w:rsid w:val="00BD4BBA"/>
    <w:rsid w:val="00BD4BF4"/>
    <w:rsid w:val="00BD540C"/>
    <w:rsid w:val="00BD556B"/>
    <w:rsid w:val="00BD5627"/>
    <w:rsid w:val="00BD579A"/>
    <w:rsid w:val="00BD6143"/>
    <w:rsid w:val="00BD61C4"/>
    <w:rsid w:val="00BD642D"/>
    <w:rsid w:val="00BD677D"/>
    <w:rsid w:val="00BD6A64"/>
    <w:rsid w:val="00BD6D76"/>
    <w:rsid w:val="00BD726E"/>
    <w:rsid w:val="00BD7505"/>
    <w:rsid w:val="00BD7657"/>
    <w:rsid w:val="00BD766F"/>
    <w:rsid w:val="00BD7731"/>
    <w:rsid w:val="00BD7CA0"/>
    <w:rsid w:val="00BD7E9E"/>
    <w:rsid w:val="00BE0272"/>
    <w:rsid w:val="00BE02E1"/>
    <w:rsid w:val="00BE0867"/>
    <w:rsid w:val="00BE0A0D"/>
    <w:rsid w:val="00BE0A46"/>
    <w:rsid w:val="00BE0AC4"/>
    <w:rsid w:val="00BE0D14"/>
    <w:rsid w:val="00BE1089"/>
    <w:rsid w:val="00BE1215"/>
    <w:rsid w:val="00BE123F"/>
    <w:rsid w:val="00BE152A"/>
    <w:rsid w:val="00BE182F"/>
    <w:rsid w:val="00BE1855"/>
    <w:rsid w:val="00BE1AE5"/>
    <w:rsid w:val="00BE1B31"/>
    <w:rsid w:val="00BE1EA8"/>
    <w:rsid w:val="00BE1EC5"/>
    <w:rsid w:val="00BE205E"/>
    <w:rsid w:val="00BE2469"/>
    <w:rsid w:val="00BE2528"/>
    <w:rsid w:val="00BE2816"/>
    <w:rsid w:val="00BE29EB"/>
    <w:rsid w:val="00BE2A46"/>
    <w:rsid w:val="00BE2C7F"/>
    <w:rsid w:val="00BE2CCB"/>
    <w:rsid w:val="00BE2DFE"/>
    <w:rsid w:val="00BE3347"/>
    <w:rsid w:val="00BE3504"/>
    <w:rsid w:val="00BE3A7B"/>
    <w:rsid w:val="00BE3D22"/>
    <w:rsid w:val="00BE3D84"/>
    <w:rsid w:val="00BE3EA4"/>
    <w:rsid w:val="00BE3F8C"/>
    <w:rsid w:val="00BE40B7"/>
    <w:rsid w:val="00BE41BD"/>
    <w:rsid w:val="00BE431D"/>
    <w:rsid w:val="00BE46BD"/>
    <w:rsid w:val="00BE4A44"/>
    <w:rsid w:val="00BE4D0D"/>
    <w:rsid w:val="00BE4E1D"/>
    <w:rsid w:val="00BE510A"/>
    <w:rsid w:val="00BE5240"/>
    <w:rsid w:val="00BE5542"/>
    <w:rsid w:val="00BE55AA"/>
    <w:rsid w:val="00BE5626"/>
    <w:rsid w:val="00BE5C16"/>
    <w:rsid w:val="00BE5C3F"/>
    <w:rsid w:val="00BE5FB1"/>
    <w:rsid w:val="00BE6206"/>
    <w:rsid w:val="00BE63A0"/>
    <w:rsid w:val="00BE6579"/>
    <w:rsid w:val="00BE6782"/>
    <w:rsid w:val="00BE679B"/>
    <w:rsid w:val="00BE6A12"/>
    <w:rsid w:val="00BE6AA9"/>
    <w:rsid w:val="00BE6C2A"/>
    <w:rsid w:val="00BE6C7B"/>
    <w:rsid w:val="00BE6F7E"/>
    <w:rsid w:val="00BE7008"/>
    <w:rsid w:val="00BE7282"/>
    <w:rsid w:val="00BE7364"/>
    <w:rsid w:val="00BE7503"/>
    <w:rsid w:val="00BE782C"/>
    <w:rsid w:val="00BE7B17"/>
    <w:rsid w:val="00BE7ED9"/>
    <w:rsid w:val="00BF0137"/>
    <w:rsid w:val="00BF0420"/>
    <w:rsid w:val="00BF04E2"/>
    <w:rsid w:val="00BF06F5"/>
    <w:rsid w:val="00BF08EE"/>
    <w:rsid w:val="00BF0B3D"/>
    <w:rsid w:val="00BF0BD8"/>
    <w:rsid w:val="00BF12A4"/>
    <w:rsid w:val="00BF1399"/>
    <w:rsid w:val="00BF1575"/>
    <w:rsid w:val="00BF158D"/>
    <w:rsid w:val="00BF15BA"/>
    <w:rsid w:val="00BF1713"/>
    <w:rsid w:val="00BF1771"/>
    <w:rsid w:val="00BF1804"/>
    <w:rsid w:val="00BF1986"/>
    <w:rsid w:val="00BF1BBE"/>
    <w:rsid w:val="00BF1CB1"/>
    <w:rsid w:val="00BF1D2B"/>
    <w:rsid w:val="00BF1DE9"/>
    <w:rsid w:val="00BF2002"/>
    <w:rsid w:val="00BF2354"/>
    <w:rsid w:val="00BF248D"/>
    <w:rsid w:val="00BF2556"/>
    <w:rsid w:val="00BF2B41"/>
    <w:rsid w:val="00BF2B76"/>
    <w:rsid w:val="00BF2E87"/>
    <w:rsid w:val="00BF2F0E"/>
    <w:rsid w:val="00BF2F5F"/>
    <w:rsid w:val="00BF2F95"/>
    <w:rsid w:val="00BF3E17"/>
    <w:rsid w:val="00BF3E3B"/>
    <w:rsid w:val="00BF4078"/>
    <w:rsid w:val="00BF4608"/>
    <w:rsid w:val="00BF479A"/>
    <w:rsid w:val="00BF4CA2"/>
    <w:rsid w:val="00BF4D0B"/>
    <w:rsid w:val="00BF4F01"/>
    <w:rsid w:val="00BF4F81"/>
    <w:rsid w:val="00BF52E1"/>
    <w:rsid w:val="00BF5368"/>
    <w:rsid w:val="00BF55FF"/>
    <w:rsid w:val="00BF56CC"/>
    <w:rsid w:val="00BF5739"/>
    <w:rsid w:val="00BF5889"/>
    <w:rsid w:val="00BF594E"/>
    <w:rsid w:val="00BF59CD"/>
    <w:rsid w:val="00BF63DC"/>
    <w:rsid w:val="00BF6663"/>
    <w:rsid w:val="00BF6722"/>
    <w:rsid w:val="00BF68E0"/>
    <w:rsid w:val="00BF68EB"/>
    <w:rsid w:val="00BF6BB4"/>
    <w:rsid w:val="00BF6E99"/>
    <w:rsid w:val="00BF6F54"/>
    <w:rsid w:val="00BF6FEC"/>
    <w:rsid w:val="00BF701B"/>
    <w:rsid w:val="00BF702B"/>
    <w:rsid w:val="00BF7524"/>
    <w:rsid w:val="00BF7792"/>
    <w:rsid w:val="00BF7900"/>
    <w:rsid w:val="00BF7A9B"/>
    <w:rsid w:val="00BF7BDB"/>
    <w:rsid w:val="00C0075D"/>
    <w:rsid w:val="00C00850"/>
    <w:rsid w:val="00C008D2"/>
    <w:rsid w:val="00C009AF"/>
    <w:rsid w:val="00C00A57"/>
    <w:rsid w:val="00C00B5A"/>
    <w:rsid w:val="00C00C87"/>
    <w:rsid w:val="00C00E9F"/>
    <w:rsid w:val="00C00EFA"/>
    <w:rsid w:val="00C013C3"/>
    <w:rsid w:val="00C0144E"/>
    <w:rsid w:val="00C01678"/>
    <w:rsid w:val="00C01E82"/>
    <w:rsid w:val="00C01EC9"/>
    <w:rsid w:val="00C01F5F"/>
    <w:rsid w:val="00C02065"/>
    <w:rsid w:val="00C02416"/>
    <w:rsid w:val="00C02585"/>
    <w:rsid w:val="00C0284A"/>
    <w:rsid w:val="00C028A0"/>
    <w:rsid w:val="00C02C54"/>
    <w:rsid w:val="00C02F18"/>
    <w:rsid w:val="00C0317B"/>
    <w:rsid w:val="00C031D2"/>
    <w:rsid w:val="00C0320C"/>
    <w:rsid w:val="00C0323B"/>
    <w:rsid w:val="00C032CA"/>
    <w:rsid w:val="00C03372"/>
    <w:rsid w:val="00C034E3"/>
    <w:rsid w:val="00C035C2"/>
    <w:rsid w:val="00C03605"/>
    <w:rsid w:val="00C03FA9"/>
    <w:rsid w:val="00C041D0"/>
    <w:rsid w:val="00C04630"/>
    <w:rsid w:val="00C04AAE"/>
    <w:rsid w:val="00C04B8A"/>
    <w:rsid w:val="00C04D60"/>
    <w:rsid w:val="00C04FD8"/>
    <w:rsid w:val="00C05430"/>
    <w:rsid w:val="00C05483"/>
    <w:rsid w:val="00C055E0"/>
    <w:rsid w:val="00C05618"/>
    <w:rsid w:val="00C0563C"/>
    <w:rsid w:val="00C05766"/>
    <w:rsid w:val="00C0581A"/>
    <w:rsid w:val="00C05A02"/>
    <w:rsid w:val="00C05FE2"/>
    <w:rsid w:val="00C062D4"/>
    <w:rsid w:val="00C06425"/>
    <w:rsid w:val="00C066EF"/>
    <w:rsid w:val="00C06A42"/>
    <w:rsid w:val="00C06C17"/>
    <w:rsid w:val="00C06CA1"/>
    <w:rsid w:val="00C06D6E"/>
    <w:rsid w:val="00C06EAA"/>
    <w:rsid w:val="00C0701B"/>
    <w:rsid w:val="00C0701C"/>
    <w:rsid w:val="00C073F4"/>
    <w:rsid w:val="00C078D5"/>
    <w:rsid w:val="00C07AC4"/>
    <w:rsid w:val="00C07B22"/>
    <w:rsid w:val="00C07CFE"/>
    <w:rsid w:val="00C1008C"/>
    <w:rsid w:val="00C104D6"/>
    <w:rsid w:val="00C10567"/>
    <w:rsid w:val="00C1079E"/>
    <w:rsid w:val="00C1086B"/>
    <w:rsid w:val="00C108C2"/>
    <w:rsid w:val="00C11084"/>
    <w:rsid w:val="00C110B3"/>
    <w:rsid w:val="00C11374"/>
    <w:rsid w:val="00C11BC4"/>
    <w:rsid w:val="00C11D15"/>
    <w:rsid w:val="00C11D29"/>
    <w:rsid w:val="00C11DC3"/>
    <w:rsid w:val="00C11DF3"/>
    <w:rsid w:val="00C11ECD"/>
    <w:rsid w:val="00C121ED"/>
    <w:rsid w:val="00C122F7"/>
    <w:rsid w:val="00C12357"/>
    <w:rsid w:val="00C1246A"/>
    <w:rsid w:val="00C127A7"/>
    <w:rsid w:val="00C12901"/>
    <w:rsid w:val="00C12A54"/>
    <w:rsid w:val="00C12B69"/>
    <w:rsid w:val="00C12C26"/>
    <w:rsid w:val="00C133CF"/>
    <w:rsid w:val="00C1344F"/>
    <w:rsid w:val="00C13908"/>
    <w:rsid w:val="00C1395C"/>
    <w:rsid w:val="00C139C5"/>
    <w:rsid w:val="00C13B8E"/>
    <w:rsid w:val="00C13C44"/>
    <w:rsid w:val="00C13E94"/>
    <w:rsid w:val="00C13EB9"/>
    <w:rsid w:val="00C13F97"/>
    <w:rsid w:val="00C13FFF"/>
    <w:rsid w:val="00C14120"/>
    <w:rsid w:val="00C14306"/>
    <w:rsid w:val="00C14699"/>
    <w:rsid w:val="00C148E6"/>
    <w:rsid w:val="00C14917"/>
    <w:rsid w:val="00C14D64"/>
    <w:rsid w:val="00C14DA6"/>
    <w:rsid w:val="00C14FCB"/>
    <w:rsid w:val="00C15020"/>
    <w:rsid w:val="00C15AA7"/>
    <w:rsid w:val="00C15B87"/>
    <w:rsid w:val="00C15CF5"/>
    <w:rsid w:val="00C15D7E"/>
    <w:rsid w:val="00C16311"/>
    <w:rsid w:val="00C163CB"/>
    <w:rsid w:val="00C1644D"/>
    <w:rsid w:val="00C167AF"/>
    <w:rsid w:val="00C16D9A"/>
    <w:rsid w:val="00C16E9B"/>
    <w:rsid w:val="00C17131"/>
    <w:rsid w:val="00C17229"/>
    <w:rsid w:val="00C175CF"/>
    <w:rsid w:val="00C17DFF"/>
    <w:rsid w:val="00C17F53"/>
    <w:rsid w:val="00C20081"/>
    <w:rsid w:val="00C201C1"/>
    <w:rsid w:val="00C208EA"/>
    <w:rsid w:val="00C20D51"/>
    <w:rsid w:val="00C20E78"/>
    <w:rsid w:val="00C20EDE"/>
    <w:rsid w:val="00C20F3A"/>
    <w:rsid w:val="00C210AB"/>
    <w:rsid w:val="00C211F5"/>
    <w:rsid w:val="00C214A0"/>
    <w:rsid w:val="00C21933"/>
    <w:rsid w:val="00C21B33"/>
    <w:rsid w:val="00C21DCE"/>
    <w:rsid w:val="00C21E26"/>
    <w:rsid w:val="00C21E6E"/>
    <w:rsid w:val="00C21F99"/>
    <w:rsid w:val="00C2227E"/>
    <w:rsid w:val="00C22474"/>
    <w:rsid w:val="00C2250B"/>
    <w:rsid w:val="00C22569"/>
    <w:rsid w:val="00C226FA"/>
    <w:rsid w:val="00C22817"/>
    <w:rsid w:val="00C22DF9"/>
    <w:rsid w:val="00C22E24"/>
    <w:rsid w:val="00C22F8A"/>
    <w:rsid w:val="00C22FDA"/>
    <w:rsid w:val="00C231FF"/>
    <w:rsid w:val="00C237B9"/>
    <w:rsid w:val="00C239AA"/>
    <w:rsid w:val="00C24338"/>
    <w:rsid w:val="00C24513"/>
    <w:rsid w:val="00C246ED"/>
    <w:rsid w:val="00C24726"/>
    <w:rsid w:val="00C248A5"/>
    <w:rsid w:val="00C24ABB"/>
    <w:rsid w:val="00C24E67"/>
    <w:rsid w:val="00C25447"/>
    <w:rsid w:val="00C2546A"/>
    <w:rsid w:val="00C254B2"/>
    <w:rsid w:val="00C255D3"/>
    <w:rsid w:val="00C25A29"/>
    <w:rsid w:val="00C25C1A"/>
    <w:rsid w:val="00C263A0"/>
    <w:rsid w:val="00C263FD"/>
    <w:rsid w:val="00C267AA"/>
    <w:rsid w:val="00C26B8B"/>
    <w:rsid w:val="00C26CC1"/>
    <w:rsid w:val="00C26D1C"/>
    <w:rsid w:val="00C26DBC"/>
    <w:rsid w:val="00C26F5E"/>
    <w:rsid w:val="00C26FCF"/>
    <w:rsid w:val="00C2703C"/>
    <w:rsid w:val="00C27118"/>
    <w:rsid w:val="00C2713C"/>
    <w:rsid w:val="00C2735D"/>
    <w:rsid w:val="00C273A3"/>
    <w:rsid w:val="00C27460"/>
    <w:rsid w:val="00C27A9F"/>
    <w:rsid w:val="00C27C99"/>
    <w:rsid w:val="00C27D5B"/>
    <w:rsid w:val="00C27E47"/>
    <w:rsid w:val="00C302D1"/>
    <w:rsid w:val="00C305BF"/>
    <w:rsid w:val="00C30BAB"/>
    <w:rsid w:val="00C3106A"/>
    <w:rsid w:val="00C31077"/>
    <w:rsid w:val="00C311C6"/>
    <w:rsid w:val="00C31224"/>
    <w:rsid w:val="00C3165F"/>
    <w:rsid w:val="00C316A4"/>
    <w:rsid w:val="00C31756"/>
    <w:rsid w:val="00C318FA"/>
    <w:rsid w:val="00C31947"/>
    <w:rsid w:val="00C31AED"/>
    <w:rsid w:val="00C31C37"/>
    <w:rsid w:val="00C31C40"/>
    <w:rsid w:val="00C31F96"/>
    <w:rsid w:val="00C32332"/>
    <w:rsid w:val="00C32375"/>
    <w:rsid w:val="00C323BC"/>
    <w:rsid w:val="00C32401"/>
    <w:rsid w:val="00C32A79"/>
    <w:rsid w:val="00C32B9A"/>
    <w:rsid w:val="00C32C36"/>
    <w:rsid w:val="00C32C69"/>
    <w:rsid w:val="00C32D48"/>
    <w:rsid w:val="00C32E74"/>
    <w:rsid w:val="00C33175"/>
    <w:rsid w:val="00C332D7"/>
    <w:rsid w:val="00C33405"/>
    <w:rsid w:val="00C33557"/>
    <w:rsid w:val="00C336E1"/>
    <w:rsid w:val="00C337DF"/>
    <w:rsid w:val="00C3380E"/>
    <w:rsid w:val="00C3384D"/>
    <w:rsid w:val="00C33D23"/>
    <w:rsid w:val="00C34034"/>
    <w:rsid w:val="00C34136"/>
    <w:rsid w:val="00C3462F"/>
    <w:rsid w:val="00C34702"/>
    <w:rsid w:val="00C3470C"/>
    <w:rsid w:val="00C34745"/>
    <w:rsid w:val="00C34BA0"/>
    <w:rsid w:val="00C34C86"/>
    <w:rsid w:val="00C35318"/>
    <w:rsid w:val="00C35A0E"/>
    <w:rsid w:val="00C35BC6"/>
    <w:rsid w:val="00C35D41"/>
    <w:rsid w:val="00C36050"/>
    <w:rsid w:val="00C361A8"/>
    <w:rsid w:val="00C36471"/>
    <w:rsid w:val="00C36C95"/>
    <w:rsid w:val="00C36CA0"/>
    <w:rsid w:val="00C36F48"/>
    <w:rsid w:val="00C36FCC"/>
    <w:rsid w:val="00C36FED"/>
    <w:rsid w:val="00C370CA"/>
    <w:rsid w:val="00C37768"/>
    <w:rsid w:val="00C37AB4"/>
    <w:rsid w:val="00C37B5B"/>
    <w:rsid w:val="00C37D76"/>
    <w:rsid w:val="00C405F6"/>
    <w:rsid w:val="00C4080C"/>
    <w:rsid w:val="00C40CF8"/>
    <w:rsid w:val="00C41204"/>
    <w:rsid w:val="00C41274"/>
    <w:rsid w:val="00C41370"/>
    <w:rsid w:val="00C413D9"/>
    <w:rsid w:val="00C41693"/>
    <w:rsid w:val="00C416EA"/>
    <w:rsid w:val="00C419B0"/>
    <w:rsid w:val="00C419EC"/>
    <w:rsid w:val="00C41BDE"/>
    <w:rsid w:val="00C41E8C"/>
    <w:rsid w:val="00C41F5E"/>
    <w:rsid w:val="00C4232E"/>
    <w:rsid w:val="00C42360"/>
    <w:rsid w:val="00C423C7"/>
    <w:rsid w:val="00C42465"/>
    <w:rsid w:val="00C4279E"/>
    <w:rsid w:val="00C42A14"/>
    <w:rsid w:val="00C42E37"/>
    <w:rsid w:val="00C42EC0"/>
    <w:rsid w:val="00C430F5"/>
    <w:rsid w:val="00C43422"/>
    <w:rsid w:val="00C4376C"/>
    <w:rsid w:val="00C43778"/>
    <w:rsid w:val="00C43C51"/>
    <w:rsid w:val="00C43E90"/>
    <w:rsid w:val="00C43F30"/>
    <w:rsid w:val="00C43F9B"/>
    <w:rsid w:val="00C440C3"/>
    <w:rsid w:val="00C44247"/>
    <w:rsid w:val="00C4450B"/>
    <w:rsid w:val="00C44538"/>
    <w:rsid w:val="00C44555"/>
    <w:rsid w:val="00C448A2"/>
    <w:rsid w:val="00C451C8"/>
    <w:rsid w:val="00C45217"/>
    <w:rsid w:val="00C45237"/>
    <w:rsid w:val="00C453DB"/>
    <w:rsid w:val="00C45525"/>
    <w:rsid w:val="00C45EAD"/>
    <w:rsid w:val="00C4649B"/>
    <w:rsid w:val="00C46C46"/>
    <w:rsid w:val="00C46CB7"/>
    <w:rsid w:val="00C46F81"/>
    <w:rsid w:val="00C473F0"/>
    <w:rsid w:val="00C474DC"/>
    <w:rsid w:val="00C47672"/>
    <w:rsid w:val="00C478B9"/>
    <w:rsid w:val="00C479D7"/>
    <w:rsid w:val="00C479EF"/>
    <w:rsid w:val="00C47A91"/>
    <w:rsid w:val="00C47B32"/>
    <w:rsid w:val="00C47D06"/>
    <w:rsid w:val="00C50343"/>
    <w:rsid w:val="00C50621"/>
    <w:rsid w:val="00C50816"/>
    <w:rsid w:val="00C50877"/>
    <w:rsid w:val="00C5096E"/>
    <w:rsid w:val="00C509E2"/>
    <w:rsid w:val="00C50C2A"/>
    <w:rsid w:val="00C50D17"/>
    <w:rsid w:val="00C50D22"/>
    <w:rsid w:val="00C50D63"/>
    <w:rsid w:val="00C50DB5"/>
    <w:rsid w:val="00C50E39"/>
    <w:rsid w:val="00C50F34"/>
    <w:rsid w:val="00C51262"/>
    <w:rsid w:val="00C5182D"/>
    <w:rsid w:val="00C51951"/>
    <w:rsid w:val="00C52019"/>
    <w:rsid w:val="00C52058"/>
    <w:rsid w:val="00C5205D"/>
    <w:rsid w:val="00C5238C"/>
    <w:rsid w:val="00C52486"/>
    <w:rsid w:val="00C52725"/>
    <w:rsid w:val="00C52A54"/>
    <w:rsid w:val="00C537E2"/>
    <w:rsid w:val="00C53939"/>
    <w:rsid w:val="00C542ED"/>
    <w:rsid w:val="00C5468A"/>
    <w:rsid w:val="00C54CAB"/>
    <w:rsid w:val="00C550D6"/>
    <w:rsid w:val="00C5516B"/>
    <w:rsid w:val="00C5516C"/>
    <w:rsid w:val="00C55368"/>
    <w:rsid w:val="00C55615"/>
    <w:rsid w:val="00C5573D"/>
    <w:rsid w:val="00C55998"/>
    <w:rsid w:val="00C55FAD"/>
    <w:rsid w:val="00C562D4"/>
    <w:rsid w:val="00C565E6"/>
    <w:rsid w:val="00C567A2"/>
    <w:rsid w:val="00C567B7"/>
    <w:rsid w:val="00C56B58"/>
    <w:rsid w:val="00C56C4B"/>
    <w:rsid w:val="00C56C71"/>
    <w:rsid w:val="00C56F42"/>
    <w:rsid w:val="00C572CB"/>
    <w:rsid w:val="00C57524"/>
    <w:rsid w:val="00C576DA"/>
    <w:rsid w:val="00C5786F"/>
    <w:rsid w:val="00C57A96"/>
    <w:rsid w:val="00C57D0B"/>
    <w:rsid w:val="00C57F91"/>
    <w:rsid w:val="00C601C0"/>
    <w:rsid w:val="00C6043A"/>
    <w:rsid w:val="00C60446"/>
    <w:rsid w:val="00C60507"/>
    <w:rsid w:val="00C605DE"/>
    <w:rsid w:val="00C607A9"/>
    <w:rsid w:val="00C60A0B"/>
    <w:rsid w:val="00C60E00"/>
    <w:rsid w:val="00C61347"/>
    <w:rsid w:val="00C61475"/>
    <w:rsid w:val="00C61670"/>
    <w:rsid w:val="00C617BE"/>
    <w:rsid w:val="00C6182E"/>
    <w:rsid w:val="00C61A90"/>
    <w:rsid w:val="00C61D8F"/>
    <w:rsid w:val="00C62BC6"/>
    <w:rsid w:val="00C62F59"/>
    <w:rsid w:val="00C6309E"/>
    <w:rsid w:val="00C6345F"/>
    <w:rsid w:val="00C636C3"/>
    <w:rsid w:val="00C63B43"/>
    <w:rsid w:val="00C64369"/>
    <w:rsid w:val="00C644F1"/>
    <w:rsid w:val="00C64CB5"/>
    <w:rsid w:val="00C64D99"/>
    <w:rsid w:val="00C64F30"/>
    <w:rsid w:val="00C64F49"/>
    <w:rsid w:val="00C6522F"/>
    <w:rsid w:val="00C652EE"/>
    <w:rsid w:val="00C65466"/>
    <w:rsid w:val="00C65776"/>
    <w:rsid w:val="00C65A3A"/>
    <w:rsid w:val="00C65AD1"/>
    <w:rsid w:val="00C65B85"/>
    <w:rsid w:val="00C65C49"/>
    <w:rsid w:val="00C65CF2"/>
    <w:rsid w:val="00C65ED9"/>
    <w:rsid w:val="00C660A0"/>
    <w:rsid w:val="00C66339"/>
    <w:rsid w:val="00C664E7"/>
    <w:rsid w:val="00C6666F"/>
    <w:rsid w:val="00C668BD"/>
    <w:rsid w:val="00C66B33"/>
    <w:rsid w:val="00C66BA4"/>
    <w:rsid w:val="00C67260"/>
    <w:rsid w:val="00C677FD"/>
    <w:rsid w:val="00C67E50"/>
    <w:rsid w:val="00C67F0C"/>
    <w:rsid w:val="00C70004"/>
    <w:rsid w:val="00C7053D"/>
    <w:rsid w:val="00C7087A"/>
    <w:rsid w:val="00C70DEA"/>
    <w:rsid w:val="00C71365"/>
    <w:rsid w:val="00C71658"/>
    <w:rsid w:val="00C71830"/>
    <w:rsid w:val="00C71C7C"/>
    <w:rsid w:val="00C71CF5"/>
    <w:rsid w:val="00C72020"/>
    <w:rsid w:val="00C72062"/>
    <w:rsid w:val="00C723F1"/>
    <w:rsid w:val="00C7241D"/>
    <w:rsid w:val="00C725F5"/>
    <w:rsid w:val="00C726B6"/>
    <w:rsid w:val="00C72820"/>
    <w:rsid w:val="00C72CA8"/>
    <w:rsid w:val="00C732B0"/>
    <w:rsid w:val="00C73D1F"/>
    <w:rsid w:val="00C73F93"/>
    <w:rsid w:val="00C74040"/>
    <w:rsid w:val="00C749B3"/>
    <w:rsid w:val="00C74E42"/>
    <w:rsid w:val="00C75439"/>
    <w:rsid w:val="00C7563D"/>
    <w:rsid w:val="00C757F2"/>
    <w:rsid w:val="00C7585F"/>
    <w:rsid w:val="00C75985"/>
    <w:rsid w:val="00C75CFA"/>
    <w:rsid w:val="00C75E03"/>
    <w:rsid w:val="00C75EDF"/>
    <w:rsid w:val="00C76004"/>
    <w:rsid w:val="00C76221"/>
    <w:rsid w:val="00C76245"/>
    <w:rsid w:val="00C76356"/>
    <w:rsid w:val="00C763AB"/>
    <w:rsid w:val="00C76734"/>
    <w:rsid w:val="00C76BC0"/>
    <w:rsid w:val="00C77481"/>
    <w:rsid w:val="00C77503"/>
    <w:rsid w:val="00C778B9"/>
    <w:rsid w:val="00C7790A"/>
    <w:rsid w:val="00C77BA6"/>
    <w:rsid w:val="00C77BE5"/>
    <w:rsid w:val="00C77CF5"/>
    <w:rsid w:val="00C77E1E"/>
    <w:rsid w:val="00C77E4C"/>
    <w:rsid w:val="00C80072"/>
    <w:rsid w:val="00C801C3"/>
    <w:rsid w:val="00C802B3"/>
    <w:rsid w:val="00C809D6"/>
    <w:rsid w:val="00C80AB7"/>
    <w:rsid w:val="00C80CBC"/>
    <w:rsid w:val="00C81106"/>
    <w:rsid w:val="00C81140"/>
    <w:rsid w:val="00C81180"/>
    <w:rsid w:val="00C816F1"/>
    <w:rsid w:val="00C8178F"/>
    <w:rsid w:val="00C81AC1"/>
    <w:rsid w:val="00C81B39"/>
    <w:rsid w:val="00C81CB7"/>
    <w:rsid w:val="00C826EE"/>
    <w:rsid w:val="00C827FE"/>
    <w:rsid w:val="00C828EB"/>
    <w:rsid w:val="00C82921"/>
    <w:rsid w:val="00C829DA"/>
    <w:rsid w:val="00C82D85"/>
    <w:rsid w:val="00C82DCA"/>
    <w:rsid w:val="00C82E03"/>
    <w:rsid w:val="00C82F60"/>
    <w:rsid w:val="00C83068"/>
    <w:rsid w:val="00C831AF"/>
    <w:rsid w:val="00C831DF"/>
    <w:rsid w:val="00C83861"/>
    <w:rsid w:val="00C83A0F"/>
    <w:rsid w:val="00C83C3E"/>
    <w:rsid w:val="00C83D3B"/>
    <w:rsid w:val="00C8423D"/>
    <w:rsid w:val="00C8447F"/>
    <w:rsid w:val="00C84797"/>
    <w:rsid w:val="00C8496E"/>
    <w:rsid w:val="00C84AC5"/>
    <w:rsid w:val="00C84D23"/>
    <w:rsid w:val="00C84D66"/>
    <w:rsid w:val="00C84EE8"/>
    <w:rsid w:val="00C85490"/>
    <w:rsid w:val="00C8550B"/>
    <w:rsid w:val="00C85606"/>
    <w:rsid w:val="00C859BA"/>
    <w:rsid w:val="00C85B21"/>
    <w:rsid w:val="00C85C22"/>
    <w:rsid w:val="00C85F71"/>
    <w:rsid w:val="00C86003"/>
    <w:rsid w:val="00C860FF"/>
    <w:rsid w:val="00C8610A"/>
    <w:rsid w:val="00C864F2"/>
    <w:rsid w:val="00C86927"/>
    <w:rsid w:val="00C869B4"/>
    <w:rsid w:val="00C86BC2"/>
    <w:rsid w:val="00C86D6A"/>
    <w:rsid w:val="00C86DC1"/>
    <w:rsid w:val="00C86EAA"/>
    <w:rsid w:val="00C86ED7"/>
    <w:rsid w:val="00C871FD"/>
    <w:rsid w:val="00C8747B"/>
    <w:rsid w:val="00C87C03"/>
    <w:rsid w:val="00C90103"/>
    <w:rsid w:val="00C901CE"/>
    <w:rsid w:val="00C9022C"/>
    <w:rsid w:val="00C90322"/>
    <w:rsid w:val="00C90AB6"/>
    <w:rsid w:val="00C90BF8"/>
    <w:rsid w:val="00C90E1B"/>
    <w:rsid w:val="00C90F76"/>
    <w:rsid w:val="00C91552"/>
    <w:rsid w:val="00C9235E"/>
    <w:rsid w:val="00C923B8"/>
    <w:rsid w:val="00C92578"/>
    <w:rsid w:val="00C9279B"/>
    <w:rsid w:val="00C92CC6"/>
    <w:rsid w:val="00C92D71"/>
    <w:rsid w:val="00C932E3"/>
    <w:rsid w:val="00C933EF"/>
    <w:rsid w:val="00C9384E"/>
    <w:rsid w:val="00C938EB"/>
    <w:rsid w:val="00C939F2"/>
    <w:rsid w:val="00C93BDC"/>
    <w:rsid w:val="00C94086"/>
    <w:rsid w:val="00C94152"/>
    <w:rsid w:val="00C9435A"/>
    <w:rsid w:val="00C9451D"/>
    <w:rsid w:val="00C94664"/>
    <w:rsid w:val="00C946E5"/>
    <w:rsid w:val="00C948D6"/>
    <w:rsid w:val="00C949D7"/>
    <w:rsid w:val="00C94BFF"/>
    <w:rsid w:val="00C94DB0"/>
    <w:rsid w:val="00C94EFE"/>
    <w:rsid w:val="00C94F1A"/>
    <w:rsid w:val="00C954DA"/>
    <w:rsid w:val="00C95635"/>
    <w:rsid w:val="00C9568B"/>
    <w:rsid w:val="00C956BC"/>
    <w:rsid w:val="00C95CC2"/>
    <w:rsid w:val="00C95E0F"/>
    <w:rsid w:val="00C95F79"/>
    <w:rsid w:val="00C961CD"/>
    <w:rsid w:val="00C96234"/>
    <w:rsid w:val="00C9631A"/>
    <w:rsid w:val="00C9638C"/>
    <w:rsid w:val="00C9648A"/>
    <w:rsid w:val="00C969C6"/>
    <w:rsid w:val="00C96C40"/>
    <w:rsid w:val="00C96DB7"/>
    <w:rsid w:val="00C97367"/>
    <w:rsid w:val="00C97807"/>
    <w:rsid w:val="00C97C10"/>
    <w:rsid w:val="00C97C4B"/>
    <w:rsid w:val="00C97DB0"/>
    <w:rsid w:val="00C97F38"/>
    <w:rsid w:val="00C97FB7"/>
    <w:rsid w:val="00CA0144"/>
    <w:rsid w:val="00CA0538"/>
    <w:rsid w:val="00CA08B9"/>
    <w:rsid w:val="00CA096B"/>
    <w:rsid w:val="00CA0DE8"/>
    <w:rsid w:val="00CA0F46"/>
    <w:rsid w:val="00CA12E1"/>
    <w:rsid w:val="00CA1765"/>
    <w:rsid w:val="00CA18A1"/>
    <w:rsid w:val="00CA1C43"/>
    <w:rsid w:val="00CA1D04"/>
    <w:rsid w:val="00CA2086"/>
    <w:rsid w:val="00CA211D"/>
    <w:rsid w:val="00CA22DE"/>
    <w:rsid w:val="00CA259B"/>
    <w:rsid w:val="00CA26DE"/>
    <w:rsid w:val="00CA2B74"/>
    <w:rsid w:val="00CA332E"/>
    <w:rsid w:val="00CA345A"/>
    <w:rsid w:val="00CA3771"/>
    <w:rsid w:val="00CA38F8"/>
    <w:rsid w:val="00CA390C"/>
    <w:rsid w:val="00CA3910"/>
    <w:rsid w:val="00CA393D"/>
    <w:rsid w:val="00CA3A46"/>
    <w:rsid w:val="00CA3D16"/>
    <w:rsid w:val="00CA3D96"/>
    <w:rsid w:val="00CA4010"/>
    <w:rsid w:val="00CA438C"/>
    <w:rsid w:val="00CA45F2"/>
    <w:rsid w:val="00CA47D3"/>
    <w:rsid w:val="00CA4848"/>
    <w:rsid w:val="00CA4BF8"/>
    <w:rsid w:val="00CA4E24"/>
    <w:rsid w:val="00CA5036"/>
    <w:rsid w:val="00CA50C9"/>
    <w:rsid w:val="00CA5331"/>
    <w:rsid w:val="00CA53EE"/>
    <w:rsid w:val="00CA56C1"/>
    <w:rsid w:val="00CA596D"/>
    <w:rsid w:val="00CA5E02"/>
    <w:rsid w:val="00CA5E3B"/>
    <w:rsid w:val="00CA60EC"/>
    <w:rsid w:val="00CA6284"/>
    <w:rsid w:val="00CA64D4"/>
    <w:rsid w:val="00CA66DB"/>
    <w:rsid w:val="00CA6A75"/>
    <w:rsid w:val="00CA6E8D"/>
    <w:rsid w:val="00CA6F13"/>
    <w:rsid w:val="00CA7608"/>
    <w:rsid w:val="00CA784D"/>
    <w:rsid w:val="00CB0126"/>
    <w:rsid w:val="00CB0363"/>
    <w:rsid w:val="00CB0386"/>
    <w:rsid w:val="00CB04F4"/>
    <w:rsid w:val="00CB0665"/>
    <w:rsid w:val="00CB06AD"/>
    <w:rsid w:val="00CB06CB"/>
    <w:rsid w:val="00CB08B0"/>
    <w:rsid w:val="00CB08CC"/>
    <w:rsid w:val="00CB09AA"/>
    <w:rsid w:val="00CB0E0F"/>
    <w:rsid w:val="00CB0E70"/>
    <w:rsid w:val="00CB1025"/>
    <w:rsid w:val="00CB105F"/>
    <w:rsid w:val="00CB129B"/>
    <w:rsid w:val="00CB137B"/>
    <w:rsid w:val="00CB1597"/>
    <w:rsid w:val="00CB16EE"/>
    <w:rsid w:val="00CB1E64"/>
    <w:rsid w:val="00CB1F62"/>
    <w:rsid w:val="00CB2111"/>
    <w:rsid w:val="00CB23E4"/>
    <w:rsid w:val="00CB24E9"/>
    <w:rsid w:val="00CB2575"/>
    <w:rsid w:val="00CB2964"/>
    <w:rsid w:val="00CB2B32"/>
    <w:rsid w:val="00CB2BAB"/>
    <w:rsid w:val="00CB2F83"/>
    <w:rsid w:val="00CB2FC2"/>
    <w:rsid w:val="00CB325B"/>
    <w:rsid w:val="00CB3286"/>
    <w:rsid w:val="00CB346F"/>
    <w:rsid w:val="00CB3586"/>
    <w:rsid w:val="00CB3841"/>
    <w:rsid w:val="00CB3996"/>
    <w:rsid w:val="00CB3D51"/>
    <w:rsid w:val="00CB3DC2"/>
    <w:rsid w:val="00CB3F2E"/>
    <w:rsid w:val="00CB47B0"/>
    <w:rsid w:val="00CB4B15"/>
    <w:rsid w:val="00CB4F35"/>
    <w:rsid w:val="00CB4FCD"/>
    <w:rsid w:val="00CB4FE2"/>
    <w:rsid w:val="00CB53AF"/>
    <w:rsid w:val="00CB5731"/>
    <w:rsid w:val="00CB5803"/>
    <w:rsid w:val="00CB5B2E"/>
    <w:rsid w:val="00CB5BAC"/>
    <w:rsid w:val="00CB5C5E"/>
    <w:rsid w:val="00CB61E1"/>
    <w:rsid w:val="00CB63DB"/>
    <w:rsid w:val="00CB667E"/>
    <w:rsid w:val="00CB6AE7"/>
    <w:rsid w:val="00CB6E47"/>
    <w:rsid w:val="00CB6F82"/>
    <w:rsid w:val="00CB6FB4"/>
    <w:rsid w:val="00CB71DF"/>
    <w:rsid w:val="00CB7383"/>
    <w:rsid w:val="00CB78CD"/>
    <w:rsid w:val="00CB7AC1"/>
    <w:rsid w:val="00CB7ED4"/>
    <w:rsid w:val="00CC00BB"/>
    <w:rsid w:val="00CC0182"/>
    <w:rsid w:val="00CC01B9"/>
    <w:rsid w:val="00CC0791"/>
    <w:rsid w:val="00CC0C43"/>
    <w:rsid w:val="00CC1267"/>
    <w:rsid w:val="00CC128F"/>
    <w:rsid w:val="00CC148B"/>
    <w:rsid w:val="00CC14A5"/>
    <w:rsid w:val="00CC1738"/>
    <w:rsid w:val="00CC1804"/>
    <w:rsid w:val="00CC18D3"/>
    <w:rsid w:val="00CC18DC"/>
    <w:rsid w:val="00CC1991"/>
    <w:rsid w:val="00CC19FE"/>
    <w:rsid w:val="00CC1A96"/>
    <w:rsid w:val="00CC1C4D"/>
    <w:rsid w:val="00CC1C54"/>
    <w:rsid w:val="00CC1DE5"/>
    <w:rsid w:val="00CC1FB5"/>
    <w:rsid w:val="00CC2520"/>
    <w:rsid w:val="00CC2576"/>
    <w:rsid w:val="00CC26D0"/>
    <w:rsid w:val="00CC2949"/>
    <w:rsid w:val="00CC2ED9"/>
    <w:rsid w:val="00CC3A23"/>
    <w:rsid w:val="00CC3AF9"/>
    <w:rsid w:val="00CC3B76"/>
    <w:rsid w:val="00CC3E1E"/>
    <w:rsid w:val="00CC4048"/>
    <w:rsid w:val="00CC406C"/>
    <w:rsid w:val="00CC414A"/>
    <w:rsid w:val="00CC44FD"/>
    <w:rsid w:val="00CC4620"/>
    <w:rsid w:val="00CC47AE"/>
    <w:rsid w:val="00CC47C0"/>
    <w:rsid w:val="00CC48BD"/>
    <w:rsid w:val="00CC48FC"/>
    <w:rsid w:val="00CC4A6F"/>
    <w:rsid w:val="00CC4E34"/>
    <w:rsid w:val="00CC4F94"/>
    <w:rsid w:val="00CC50AB"/>
    <w:rsid w:val="00CC5199"/>
    <w:rsid w:val="00CC51BB"/>
    <w:rsid w:val="00CC531A"/>
    <w:rsid w:val="00CC540A"/>
    <w:rsid w:val="00CC5500"/>
    <w:rsid w:val="00CC5CAA"/>
    <w:rsid w:val="00CC609D"/>
    <w:rsid w:val="00CC60B2"/>
    <w:rsid w:val="00CC61D8"/>
    <w:rsid w:val="00CC647E"/>
    <w:rsid w:val="00CC65EE"/>
    <w:rsid w:val="00CC66B5"/>
    <w:rsid w:val="00CC6703"/>
    <w:rsid w:val="00CC6995"/>
    <w:rsid w:val="00CC6D0B"/>
    <w:rsid w:val="00CC6EA8"/>
    <w:rsid w:val="00CC72E5"/>
    <w:rsid w:val="00CC7559"/>
    <w:rsid w:val="00CC79D0"/>
    <w:rsid w:val="00CC7E16"/>
    <w:rsid w:val="00CD0147"/>
    <w:rsid w:val="00CD0238"/>
    <w:rsid w:val="00CD076B"/>
    <w:rsid w:val="00CD0866"/>
    <w:rsid w:val="00CD0A2E"/>
    <w:rsid w:val="00CD0F06"/>
    <w:rsid w:val="00CD1128"/>
    <w:rsid w:val="00CD120E"/>
    <w:rsid w:val="00CD1229"/>
    <w:rsid w:val="00CD1408"/>
    <w:rsid w:val="00CD14BB"/>
    <w:rsid w:val="00CD177C"/>
    <w:rsid w:val="00CD17F5"/>
    <w:rsid w:val="00CD18CC"/>
    <w:rsid w:val="00CD1C15"/>
    <w:rsid w:val="00CD1D6F"/>
    <w:rsid w:val="00CD1E15"/>
    <w:rsid w:val="00CD2188"/>
    <w:rsid w:val="00CD2297"/>
    <w:rsid w:val="00CD26A5"/>
    <w:rsid w:val="00CD272E"/>
    <w:rsid w:val="00CD2A44"/>
    <w:rsid w:val="00CD2C52"/>
    <w:rsid w:val="00CD2C81"/>
    <w:rsid w:val="00CD3389"/>
    <w:rsid w:val="00CD3491"/>
    <w:rsid w:val="00CD34E4"/>
    <w:rsid w:val="00CD36B6"/>
    <w:rsid w:val="00CD3806"/>
    <w:rsid w:val="00CD38B7"/>
    <w:rsid w:val="00CD3901"/>
    <w:rsid w:val="00CD3C0E"/>
    <w:rsid w:val="00CD3D74"/>
    <w:rsid w:val="00CD3DBF"/>
    <w:rsid w:val="00CD3E4A"/>
    <w:rsid w:val="00CD3E93"/>
    <w:rsid w:val="00CD4095"/>
    <w:rsid w:val="00CD409E"/>
    <w:rsid w:val="00CD42DA"/>
    <w:rsid w:val="00CD4411"/>
    <w:rsid w:val="00CD488F"/>
    <w:rsid w:val="00CD4AEF"/>
    <w:rsid w:val="00CD4C92"/>
    <w:rsid w:val="00CD4CCD"/>
    <w:rsid w:val="00CD4E65"/>
    <w:rsid w:val="00CD5365"/>
    <w:rsid w:val="00CD576A"/>
    <w:rsid w:val="00CD5853"/>
    <w:rsid w:val="00CD635C"/>
    <w:rsid w:val="00CD6427"/>
    <w:rsid w:val="00CD648F"/>
    <w:rsid w:val="00CD659F"/>
    <w:rsid w:val="00CD66D6"/>
    <w:rsid w:val="00CD6D15"/>
    <w:rsid w:val="00CD6D31"/>
    <w:rsid w:val="00CD6E28"/>
    <w:rsid w:val="00CD6FD8"/>
    <w:rsid w:val="00CD736B"/>
    <w:rsid w:val="00CD778E"/>
    <w:rsid w:val="00CD7953"/>
    <w:rsid w:val="00CD79BE"/>
    <w:rsid w:val="00CD7C29"/>
    <w:rsid w:val="00CD7D27"/>
    <w:rsid w:val="00CE02C8"/>
    <w:rsid w:val="00CE0404"/>
    <w:rsid w:val="00CE04BE"/>
    <w:rsid w:val="00CE0608"/>
    <w:rsid w:val="00CE09D1"/>
    <w:rsid w:val="00CE0BDF"/>
    <w:rsid w:val="00CE0C54"/>
    <w:rsid w:val="00CE0D19"/>
    <w:rsid w:val="00CE0E36"/>
    <w:rsid w:val="00CE0E5C"/>
    <w:rsid w:val="00CE100F"/>
    <w:rsid w:val="00CE12A6"/>
    <w:rsid w:val="00CE1374"/>
    <w:rsid w:val="00CE14D1"/>
    <w:rsid w:val="00CE1966"/>
    <w:rsid w:val="00CE1978"/>
    <w:rsid w:val="00CE1A51"/>
    <w:rsid w:val="00CE1C89"/>
    <w:rsid w:val="00CE1ED0"/>
    <w:rsid w:val="00CE2117"/>
    <w:rsid w:val="00CE2278"/>
    <w:rsid w:val="00CE249A"/>
    <w:rsid w:val="00CE2502"/>
    <w:rsid w:val="00CE25A4"/>
    <w:rsid w:val="00CE3250"/>
    <w:rsid w:val="00CE33AC"/>
    <w:rsid w:val="00CE34DA"/>
    <w:rsid w:val="00CE3867"/>
    <w:rsid w:val="00CE3893"/>
    <w:rsid w:val="00CE3964"/>
    <w:rsid w:val="00CE3F54"/>
    <w:rsid w:val="00CE40AA"/>
    <w:rsid w:val="00CE4BCB"/>
    <w:rsid w:val="00CE539B"/>
    <w:rsid w:val="00CE5401"/>
    <w:rsid w:val="00CE5475"/>
    <w:rsid w:val="00CE573A"/>
    <w:rsid w:val="00CE5929"/>
    <w:rsid w:val="00CE5A32"/>
    <w:rsid w:val="00CE5C37"/>
    <w:rsid w:val="00CE5CD6"/>
    <w:rsid w:val="00CE5D8B"/>
    <w:rsid w:val="00CE5DAE"/>
    <w:rsid w:val="00CE6457"/>
    <w:rsid w:val="00CE64E4"/>
    <w:rsid w:val="00CE67D6"/>
    <w:rsid w:val="00CE6DE0"/>
    <w:rsid w:val="00CE6E1B"/>
    <w:rsid w:val="00CE7092"/>
    <w:rsid w:val="00CE73C2"/>
    <w:rsid w:val="00CE744F"/>
    <w:rsid w:val="00CE74DB"/>
    <w:rsid w:val="00CE7807"/>
    <w:rsid w:val="00CE78CA"/>
    <w:rsid w:val="00CE7A90"/>
    <w:rsid w:val="00CE7B50"/>
    <w:rsid w:val="00CE7BF6"/>
    <w:rsid w:val="00CF03DC"/>
    <w:rsid w:val="00CF06BA"/>
    <w:rsid w:val="00CF082A"/>
    <w:rsid w:val="00CF0CEF"/>
    <w:rsid w:val="00CF103C"/>
    <w:rsid w:val="00CF111E"/>
    <w:rsid w:val="00CF11E8"/>
    <w:rsid w:val="00CF1251"/>
    <w:rsid w:val="00CF14DF"/>
    <w:rsid w:val="00CF18A8"/>
    <w:rsid w:val="00CF1EAF"/>
    <w:rsid w:val="00CF1F3E"/>
    <w:rsid w:val="00CF1F6B"/>
    <w:rsid w:val="00CF2015"/>
    <w:rsid w:val="00CF2247"/>
    <w:rsid w:val="00CF234A"/>
    <w:rsid w:val="00CF235C"/>
    <w:rsid w:val="00CF288F"/>
    <w:rsid w:val="00CF2A64"/>
    <w:rsid w:val="00CF2D79"/>
    <w:rsid w:val="00CF2DC1"/>
    <w:rsid w:val="00CF2E52"/>
    <w:rsid w:val="00CF30A4"/>
    <w:rsid w:val="00CF31C1"/>
    <w:rsid w:val="00CF3218"/>
    <w:rsid w:val="00CF32DC"/>
    <w:rsid w:val="00CF335C"/>
    <w:rsid w:val="00CF346E"/>
    <w:rsid w:val="00CF3740"/>
    <w:rsid w:val="00CF38F9"/>
    <w:rsid w:val="00CF3C38"/>
    <w:rsid w:val="00CF3DF2"/>
    <w:rsid w:val="00CF405A"/>
    <w:rsid w:val="00CF416C"/>
    <w:rsid w:val="00CF42B8"/>
    <w:rsid w:val="00CF42C3"/>
    <w:rsid w:val="00CF42DF"/>
    <w:rsid w:val="00CF442C"/>
    <w:rsid w:val="00CF4833"/>
    <w:rsid w:val="00CF48FC"/>
    <w:rsid w:val="00CF4968"/>
    <w:rsid w:val="00CF4B04"/>
    <w:rsid w:val="00CF4B56"/>
    <w:rsid w:val="00CF508A"/>
    <w:rsid w:val="00CF528E"/>
    <w:rsid w:val="00CF52C7"/>
    <w:rsid w:val="00CF5932"/>
    <w:rsid w:val="00CF5B6B"/>
    <w:rsid w:val="00CF5B9A"/>
    <w:rsid w:val="00CF5C6A"/>
    <w:rsid w:val="00CF5E09"/>
    <w:rsid w:val="00CF618F"/>
    <w:rsid w:val="00CF61A7"/>
    <w:rsid w:val="00CF6756"/>
    <w:rsid w:val="00CF69C6"/>
    <w:rsid w:val="00CF6E2E"/>
    <w:rsid w:val="00CF7655"/>
    <w:rsid w:val="00CF7750"/>
    <w:rsid w:val="00CF78CA"/>
    <w:rsid w:val="00CF7C6E"/>
    <w:rsid w:val="00CF7D09"/>
    <w:rsid w:val="00D00038"/>
    <w:rsid w:val="00D002A3"/>
    <w:rsid w:val="00D00311"/>
    <w:rsid w:val="00D007B8"/>
    <w:rsid w:val="00D00D86"/>
    <w:rsid w:val="00D012E2"/>
    <w:rsid w:val="00D0191E"/>
    <w:rsid w:val="00D01A61"/>
    <w:rsid w:val="00D01C1B"/>
    <w:rsid w:val="00D01D45"/>
    <w:rsid w:val="00D02297"/>
    <w:rsid w:val="00D02AF0"/>
    <w:rsid w:val="00D02C7F"/>
    <w:rsid w:val="00D02DD1"/>
    <w:rsid w:val="00D02E0B"/>
    <w:rsid w:val="00D02F55"/>
    <w:rsid w:val="00D032AC"/>
    <w:rsid w:val="00D03826"/>
    <w:rsid w:val="00D03D1F"/>
    <w:rsid w:val="00D04692"/>
    <w:rsid w:val="00D04947"/>
    <w:rsid w:val="00D04BE0"/>
    <w:rsid w:val="00D04D5E"/>
    <w:rsid w:val="00D04E44"/>
    <w:rsid w:val="00D04E5B"/>
    <w:rsid w:val="00D04E71"/>
    <w:rsid w:val="00D0556F"/>
    <w:rsid w:val="00D0561E"/>
    <w:rsid w:val="00D05646"/>
    <w:rsid w:val="00D056F7"/>
    <w:rsid w:val="00D05AAE"/>
    <w:rsid w:val="00D05CB6"/>
    <w:rsid w:val="00D05D68"/>
    <w:rsid w:val="00D061C7"/>
    <w:rsid w:val="00D061F0"/>
    <w:rsid w:val="00D067A5"/>
    <w:rsid w:val="00D068C6"/>
    <w:rsid w:val="00D069C9"/>
    <w:rsid w:val="00D06A4C"/>
    <w:rsid w:val="00D06C78"/>
    <w:rsid w:val="00D06F47"/>
    <w:rsid w:val="00D07440"/>
    <w:rsid w:val="00D0776C"/>
    <w:rsid w:val="00D0778C"/>
    <w:rsid w:val="00D07A4A"/>
    <w:rsid w:val="00D07D71"/>
    <w:rsid w:val="00D103A9"/>
    <w:rsid w:val="00D1043D"/>
    <w:rsid w:val="00D10A16"/>
    <w:rsid w:val="00D10C26"/>
    <w:rsid w:val="00D11339"/>
    <w:rsid w:val="00D1155C"/>
    <w:rsid w:val="00D11594"/>
    <w:rsid w:val="00D11983"/>
    <w:rsid w:val="00D11AFB"/>
    <w:rsid w:val="00D11D11"/>
    <w:rsid w:val="00D1217E"/>
    <w:rsid w:val="00D122FE"/>
    <w:rsid w:val="00D12A33"/>
    <w:rsid w:val="00D12F3D"/>
    <w:rsid w:val="00D12F70"/>
    <w:rsid w:val="00D13044"/>
    <w:rsid w:val="00D13169"/>
    <w:rsid w:val="00D132DF"/>
    <w:rsid w:val="00D134E3"/>
    <w:rsid w:val="00D13963"/>
    <w:rsid w:val="00D13C6E"/>
    <w:rsid w:val="00D13DF4"/>
    <w:rsid w:val="00D140C6"/>
    <w:rsid w:val="00D141BC"/>
    <w:rsid w:val="00D143FF"/>
    <w:rsid w:val="00D14511"/>
    <w:rsid w:val="00D14538"/>
    <w:rsid w:val="00D14D42"/>
    <w:rsid w:val="00D14DA5"/>
    <w:rsid w:val="00D150B1"/>
    <w:rsid w:val="00D15193"/>
    <w:rsid w:val="00D158D5"/>
    <w:rsid w:val="00D1595F"/>
    <w:rsid w:val="00D15BCB"/>
    <w:rsid w:val="00D15DD0"/>
    <w:rsid w:val="00D16570"/>
    <w:rsid w:val="00D16E24"/>
    <w:rsid w:val="00D17107"/>
    <w:rsid w:val="00D17221"/>
    <w:rsid w:val="00D1748B"/>
    <w:rsid w:val="00D17742"/>
    <w:rsid w:val="00D178B7"/>
    <w:rsid w:val="00D1792E"/>
    <w:rsid w:val="00D17AD7"/>
    <w:rsid w:val="00D17DEB"/>
    <w:rsid w:val="00D17F4E"/>
    <w:rsid w:val="00D17FF1"/>
    <w:rsid w:val="00D20204"/>
    <w:rsid w:val="00D20258"/>
    <w:rsid w:val="00D203F8"/>
    <w:rsid w:val="00D208D4"/>
    <w:rsid w:val="00D20998"/>
    <w:rsid w:val="00D2099A"/>
    <w:rsid w:val="00D20B8E"/>
    <w:rsid w:val="00D20C73"/>
    <w:rsid w:val="00D20D5F"/>
    <w:rsid w:val="00D20E16"/>
    <w:rsid w:val="00D211F7"/>
    <w:rsid w:val="00D21D6E"/>
    <w:rsid w:val="00D221A2"/>
    <w:rsid w:val="00D223A6"/>
    <w:rsid w:val="00D224AF"/>
    <w:rsid w:val="00D227A7"/>
    <w:rsid w:val="00D22803"/>
    <w:rsid w:val="00D228EE"/>
    <w:rsid w:val="00D22CE9"/>
    <w:rsid w:val="00D22F5F"/>
    <w:rsid w:val="00D236F8"/>
    <w:rsid w:val="00D23803"/>
    <w:rsid w:val="00D24017"/>
    <w:rsid w:val="00D240FF"/>
    <w:rsid w:val="00D2413E"/>
    <w:rsid w:val="00D24568"/>
    <w:rsid w:val="00D2493C"/>
    <w:rsid w:val="00D24B71"/>
    <w:rsid w:val="00D24CE7"/>
    <w:rsid w:val="00D24E8F"/>
    <w:rsid w:val="00D24ECE"/>
    <w:rsid w:val="00D24F67"/>
    <w:rsid w:val="00D25066"/>
    <w:rsid w:val="00D25251"/>
    <w:rsid w:val="00D2563B"/>
    <w:rsid w:val="00D261EC"/>
    <w:rsid w:val="00D26406"/>
    <w:rsid w:val="00D26764"/>
    <w:rsid w:val="00D26A13"/>
    <w:rsid w:val="00D26A66"/>
    <w:rsid w:val="00D26CA7"/>
    <w:rsid w:val="00D26E3D"/>
    <w:rsid w:val="00D26F32"/>
    <w:rsid w:val="00D27218"/>
    <w:rsid w:val="00D272C9"/>
    <w:rsid w:val="00D275E5"/>
    <w:rsid w:val="00D275EF"/>
    <w:rsid w:val="00D277C9"/>
    <w:rsid w:val="00D27888"/>
    <w:rsid w:val="00D27A7F"/>
    <w:rsid w:val="00D27FA9"/>
    <w:rsid w:val="00D303F9"/>
    <w:rsid w:val="00D305BC"/>
    <w:rsid w:val="00D3083E"/>
    <w:rsid w:val="00D30A36"/>
    <w:rsid w:val="00D30AF0"/>
    <w:rsid w:val="00D30CAC"/>
    <w:rsid w:val="00D30ED3"/>
    <w:rsid w:val="00D310E0"/>
    <w:rsid w:val="00D312CA"/>
    <w:rsid w:val="00D315A9"/>
    <w:rsid w:val="00D31684"/>
    <w:rsid w:val="00D3170B"/>
    <w:rsid w:val="00D31CA7"/>
    <w:rsid w:val="00D3221D"/>
    <w:rsid w:val="00D322C8"/>
    <w:rsid w:val="00D324E0"/>
    <w:rsid w:val="00D3253A"/>
    <w:rsid w:val="00D32585"/>
    <w:rsid w:val="00D3279C"/>
    <w:rsid w:val="00D328C5"/>
    <w:rsid w:val="00D3293D"/>
    <w:rsid w:val="00D32D9A"/>
    <w:rsid w:val="00D32DD5"/>
    <w:rsid w:val="00D32E91"/>
    <w:rsid w:val="00D33114"/>
    <w:rsid w:val="00D33120"/>
    <w:rsid w:val="00D336DB"/>
    <w:rsid w:val="00D337BD"/>
    <w:rsid w:val="00D34093"/>
    <w:rsid w:val="00D3412F"/>
    <w:rsid w:val="00D342A2"/>
    <w:rsid w:val="00D34466"/>
    <w:rsid w:val="00D34506"/>
    <w:rsid w:val="00D34582"/>
    <w:rsid w:val="00D34680"/>
    <w:rsid w:val="00D347BC"/>
    <w:rsid w:val="00D349EF"/>
    <w:rsid w:val="00D34A46"/>
    <w:rsid w:val="00D34B50"/>
    <w:rsid w:val="00D34BB7"/>
    <w:rsid w:val="00D34CCB"/>
    <w:rsid w:val="00D34F7F"/>
    <w:rsid w:val="00D35261"/>
    <w:rsid w:val="00D35326"/>
    <w:rsid w:val="00D35476"/>
    <w:rsid w:val="00D3558A"/>
    <w:rsid w:val="00D35A38"/>
    <w:rsid w:val="00D35AA8"/>
    <w:rsid w:val="00D35AD2"/>
    <w:rsid w:val="00D35B63"/>
    <w:rsid w:val="00D35BEF"/>
    <w:rsid w:val="00D35C07"/>
    <w:rsid w:val="00D35D89"/>
    <w:rsid w:val="00D35EC4"/>
    <w:rsid w:val="00D35F3B"/>
    <w:rsid w:val="00D36373"/>
    <w:rsid w:val="00D36423"/>
    <w:rsid w:val="00D36426"/>
    <w:rsid w:val="00D36626"/>
    <w:rsid w:val="00D36A50"/>
    <w:rsid w:val="00D36CA1"/>
    <w:rsid w:val="00D371B2"/>
    <w:rsid w:val="00D37258"/>
    <w:rsid w:val="00D374E9"/>
    <w:rsid w:val="00D37529"/>
    <w:rsid w:val="00D378E8"/>
    <w:rsid w:val="00D37C80"/>
    <w:rsid w:val="00D37F47"/>
    <w:rsid w:val="00D400CA"/>
    <w:rsid w:val="00D4011C"/>
    <w:rsid w:val="00D4017D"/>
    <w:rsid w:val="00D4028C"/>
    <w:rsid w:val="00D40374"/>
    <w:rsid w:val="00D40383"/>
    <w:rsid w:val="00D40635"/>
    <w:rsid w:val="00D4068D"/>
    <w:rsid w:val="00D40789"/>
    <w:rsid w:val="00D407A3"/>
    <w:rsid w:val="00D4088E"/>
    <w:rsid w:val="00D40B01"/>
    <w:rsid w:val="00D40BA9"/>
    <w:rsid w:val="00D40C17"/>
    <w:rsid w:val="00D40CC0"/>
    <w:rsid w:val="00D41006"/>
    <w:rsid w:val="00D4121D"/>
    <w:rsid w:val="00D41495"/>
    <w:rsid w:val="00D41526"/>
    <w:rsid w:val="00D416AB"/>
    <w:rsid w:val="00D41866"/>
    <w:rsid w:val="00D41A3B"/>
    <w:rsid w:val="00D41BF8"/>
    <w:rsid w:val="00D41CDF"/>
    <w:rsid w:val="00D41F9B"/>
    <w:rsid w:val="00D41FAB"/>
    <w:rsid w:val="00D422BA"/>
    <w:rsid w:val="00D422DA"/>
    <w:rsid w:val="00D42381"/>
    <w:rsid w:val="00D426BF"/>
    <w:rsid w:val="00D42791"/>
    <w:rsid w:val="00D4284C"/>
    <w:rsid w:val="00D42A2B"/>
    <w:rsid w:val="00D42FCF"/>
    <w:rsid w:val="00D43081"/>
    <w:rsid w:val="00D43132"/>
    <w:rsid w:val="00D4322F"/>
    <w:rsid w:val="00D4345D"/>
    <w:rsid w:val="00D435C2"/>
    <w:rsid w:val="00D435EC"/>
    <w:rsid w:val="00D4365D"/>
    <w:rsid w:val="00D439E5"/>
    <w:rsid w:val="00D43BF2"/>
    <w:rsid w:val="00D43DA9"/>
    <w:rsid w:val="00D43EEA"/>
    <w:rsid w:val="00D43F7A"/>
    <w:rsid w:val="00D44037"/>
    <w:rsid w:val="00D440EC"/>
    <w:rsid w:val="00D4412E"/>
    <w:rsid w:val="00D441B7"/>
    <w:rsid w:val="00D4450F"/>
    <w:rsid w:val="00D44754"/>
    <w:rsid w:val="00D448EC"/>
    <w:rsid w:val="00D44A5E"/>
    <w:rsid w:val="00D44B4E"/>
    <w:rsid w:val="00D44C57"/>
    <w:rsid w:val="00D44E7D"/>
    <w:rsid w:val="00D44FCC"/>
    <w:rsid w:val="00D45187"/>
    <w:rsid w:val="00D453D8"/>
    <w:rsid w:val="00D45778"/>
    <w:rsid w:val="00D45784"/>
    <w:rsid w:val="00D459A2"/>
    <w:rsid w:val="00D45A93"/>
    <w:rsid w:val="00D45B67"/>
    <w:rsid w:val="00D45FD5"/>
    <w:rsid w:val="00D4660B"/>
    <w:rsid w:val="00D46884"/>
    <w:rsid w:val="00D46B6D"/>
    <w:rsid w:val="00D46CA8"/>
    <w:rsid w:val="00D474C5"/>
    <w:rsid w:val="00D474F0"/>
    <w:rsid w:val="00D476ED"/>
    <w:rsid w:val="00D47820"/>
    <w:rsid w:val="00D47998"/>
    <w:rsid w:val="00D47A7F"/>
    <w:rsid w:val="00D47C3A"/>
    <w:rsid w:val="00D47D34"/>
    <w:rsid w:val="00D47DE1"/>
    <w:rsid w:val="00D47F00"/>
    <w:rsid w:val="00D502CD"/>
    <w:rsid w:val="00D50458"/>
    <w:rsid w:val="00D50615"/>
    <w:rsid w:val="00D508EC"/>
    <w:rsid w:val="00D50C09"/>
    <w:rsid w:val="00D50F89"/>
    <w:rsid w:val="00D5103F"/>
    <w:rsid w:val="00D5111B"/>
    <w:rsid w:val="00D515DF"/>
    <w:rsid w:val="00D516DB"/>
    <w:rsid w:val="00D51998"/>
    <w:rsid w:val="00D519C5"/>
    <w:rsid w:val="00D519EA"/>
    <w:rsid w:val="00D51A43"/>
    <w:rsid w:val="00D51E1A"/>
    <w:rsid w:val="00D51FB2"/>
    <w:rsid w:val="00D520C8"/>
    <w:rsid w:val="00D5245B"/>
    <w:rsid w:val="00D52F66"/>
    <w:rsid w:val="00D53053"/>
    <w:rsid w:val="00D530DA"/>
    <w:rsid w:val="00D53189"/>
    <w:rsid w:val="00D532A0"/>
    <w:rsid w:val="00D536B6"/>
    <w:rsid w:val="00D53779"/>
    <w:rsid w:val="00D538F4"/>
    <w:rsid w:val="00D54020"/>
    <w:rsid w:val="00D54231"/>
    <w:rsid w:val="00D545AB"/>
    <w:rsid w:val="00D5462F"/>
    <w:rsid w:val="00D5470A"/>
    <w:rsid w:val="00D54939"/>
    <w:rsid w:val="00D54A0C"/>
    <w:rsid w:val="00D54C95"/>
    <w:rsid w:val="00D54CFA"/>
    <w:rsid w:val="00D5515E"/>
    <w:rsid w:val="00D5538D"/>
    <w:rsid w:val="00D55A91"/>
    <w:rsid w:val="00D5637E"/>
    <w:rsid w:val="00D56570"/>
    <w:rsid w:val="00D568BB"/>
    <w:rsid w:val="00D56C39"/>
    <w:rsid w:val="00D56D4C"/>
    <w:rsid w:val="00D56D5D"/>
    <w:rsid w:val="00D57019"/>
    <w:rsid w:val="00D5713B"/>
    <w:rsid w:val="00D5729A"/>
    <w:rsid w:val="00D572C6"/>
    <w:rsid w:val="00D575E9"/>
    <w:rsid w:val="00D57704"/>
    <w:rsid w:val="00D577FA"/>
    <w:rsid w:val="00D5790B"/>
    <w:rsid w:val="00D57941"/>
    <w:rsid w:val="00D57A78"/>
    <w:rsid w:val="00D57B9B"/>
    <w:rsid w:val="00D57BD1"/>
    <w:rsid w:val="00D57D8C"/>
    <w:rsid w:val="00D57F6B"/>
    <w:rsid w:val="00D601D9"/>
    <w:rsid w:val="00D60358"/>
    <w:rsid w:val="00D60411"/>
    <w:rsid w:val="00D605ED"/>
    <w:rsid w:val="00D606A3"/>
    <w:rsid w:val="00D60B62"/>
    <w:rsid w:val="00D60D06"/>
    <w:rsid w:val="00D60DA5"/>
    <w:rsid w:val="00D61046"/>
    <w:rsid w:val="00D6119E"/>
    <w:rsid w:val="00D612D2"/>
    <w:rsid w:val="00D615E0"/>
    <w:rsid w:val="00D61676"/>
    <w:rsid w:val="00D61883"/>
    <w:rsid w:val="00D619CB"/>
    <w:rsid w:val="00D61D8E"/>
    <w:rsid w:val="00D62040"/>
    <w:rsid w:val="00D623B7"/>
    <w:rsid w:val="00D6274D"/>
    <w:rsid w:val="00D62782"/>
    <w:rsid w:val="00D62903"/>
    <w:rsid w:val="00D62AAB"/>
    <w:rsid w:val="00D62B0F"/>
    <w:rsid w:val="00D62B93"/>
    <w:rsid w:val="00D62C06"/>
    <w:rsid w:val="00D62C9B"/>
    <w:rsid w:val="00D62F97"/>
    <w:rsid w:val="00D62F99"/>
    <w:rsid w:val="00D63250"/>
    <w:rsid w:val="00D6325B"/>
    <w:rsid w:val="00D633CC"/>
    <w:rsid w:val="00D635D9"/>
    <w:rsid w:val="00D6369A"/>
    <w:rsid w:val="00D63A2D"/>
    <w:rsid w:val="00D63B87"/>
    <w:rsid w:val="00D63C1A"/>
    <w:rsid w:val="00D63CBC"/>
    <w:rsid w:val="00D63DBD"/>
    <w:rsid w:val="00D6406B"/>
    <w:rsid w:val="00D640ED"/>
    <w:rsid w:val="00D64248"/>
    <w:rsid w:val="00D6456E"/>
    <w:rsid w:val="00D648CB"/>
    <w:rsid w:val="00D64B25"/>
    <w:rsid w:val="00D64B8D"/>
    <w:rsid w:val="00D64BAD"/>
    <w:rsid w:val="00D651E3"/>
    <w:rsid w:val="00D651EF"/>
    <w:rsid w:val="00D6552B"/>
    <w:rsid w:val="00D65555"/>
    <w:rsid w:val="00D65709"/>
    <w:rsid w:val="00D657D6"/>
    <w:rsid w:val="00D660FF"/>
    <w:rsid w:val="00D667E7"/>
    <w:rsid w:val="00D667F6"/>
    <w:rsid w:val="00D669CB"/>
    <w:rsid w:val="00D66C47"/>
    <w:rsid w:val="00D66EF2"/>
    <w:rsid w:val="00D66F91"/>
    <w:rsid w:val="00D67161"/>
    <w:rsid w:val="00D6719A"/>
    <w:rsid w:val="00D67371"/>
    <w:rsid w:val="00D67413"/>
    <w:rsid w:val="00D6754B"/>
    <w:rsid w:val="00D67A93"/>
    <w:rsid w:val="00D67B13"/>
    <w:rsid w:val="00D7039D"/>
    <w:rsid w:val="00D703E5"/>
    <w:rsid w:val="00D705B9"/>
    <w:rsid w:val="00D70CFA"/>
    <w:rsid w:val="00D70DDB"/>
    <w:rsid w:val="00D71000"/>
    <w:rsid w:val="00D71005"/>
    <w:rsid w:val="00D71148"/>
    <w:rsid w:val="00D711AA"/>
    <w:rsid w:val="00D7131E"/>
    <w:rsid w:val="00D71410"/>
    <w:rsid w:val="00D71543"/>
    <w:rsid w:val="00D715F9"/>
    <w:rsid w:val="00D71846"/>
    <w:rsid w:val="00D719A1"/>
    <w:rsid w:val="00D71C0E"/>
    <w:rsid w:val="00D71FE0"/>
    <w:rsid w:val="00D72449"/>
    <w:rsid w:val="00D729A4"/>
    <w:rsid w:val="00D72F92"/>
    <w:rsid w:val="00D730A2"/>
    <w:rsid w:val="00D730F3"/>
    <w:rsid w:val="00D73611"/>
    <w:rsid w:val="00D73776"/>
    <w:rsid w:val="00D73892"/>
    <w:rsid w:val="00D73962"/>
    <w:rsid w:val="00D73B16"/>
    <w:rsid w:val="00D73E17"/>
    <w:rsid w:val="00D73F64"/>
    <w:rsid w:val="00D7404A"/>
    <w:rsid w:val="00D7406F"/>
    <w:rsid w:val="00D74165"/>
    <w:rsid w:val="00D7432A"/>
    <w:rsid w:val="00D746AC"/>
    <w:rsid w:val="00D7488F"/>
    <w:rsid w:val="00D74CDD"/>
    <w:rsid w:val="00D7512E"/>
    <w:rsid w:val="00D755FF"/>
    <w:rsid w:val="00D756BC"/>
    <w:rsid w:val="00D757D9"/>
    <w:rsid w:val="00D758A2"/>
    <w:rsid w:val="00D762D4"/>
    <w:rsid w:val="00D7634A"/>
    <w:rsid w:val="00D763A8"/>
    <w:rsid w:val="00D76430"/>
    <w:rsid w:val="00D76483"/>
    <w:rsid w:val="00D768F4"/>
    <w:rsid w:val="00D76FBF"/>
    <w:rsid w:val="00D76FEC"/>
    <w:rsid w:val="00D770F6"/>
    <w:rsid w:val="00D77294"/>
    <w:rsid w:val="00D775D9"/>
    <w:rsid w:val="00D775DC"/>
    <w:rsid w:val="00D77A2A"/>
    <w:rsid w:val="00D77B14"/>
    <w:rsid w:val="00D77B17"/>
    <w:rsid w:val="00D77BC2"/>
    <w:rsid w:val="00D77FDE"/>
    <w:rsid w:val="00D8013C"/>
    <w:rsid w:val="00D80158"/>
    <w:rsid w:val="00D801EB"/>
    <w:rsid w:val="00D802FE"/>
    <w:rsid w:val="00D8053C"/>
    <w:rsid w:val="00D805E1"/>
    <w:rsid w:val="00D80831"/>
    <w:rsid w:val="00D80AA9"/>
    <w:rsid w:val="00D80CBD"/>
    <w:rsid w:val="00D80E72"/>
    <w:rsid w:val="00D815A0"/>
    <w:rsid w:val="00D815E5"/>
    <w:rsid w:val="00D81680"/>
    <w:rsid w:val="00D818E9"/>
    <w:rsid w:val="00D819F3"/>
    <w:rsid w:val="00D81B18"/>
    <w:rsid w:val="00D81F36"/>
    <w:rsid w:val="00D81F78"/>
    <w:rsid w:val="00D821A6"/>
    <w:rsid w:val="00D82354"/>
    <w:rsid w:val="00D82845"/>
    <w:rsid w:val="00D828CC"/>
    <w:rsid w:val="00D82A11"/>
    <w:rsid w:val="00D82A22"/>
    <w:rsid w:val="00D82B2C"/>
    <w:rsid w:val="00D83841"/>
    <w:rsid w:val="00D83CA3"/>
    <w:rsid w:val="00D83CCF"/>
    <w:rsid w:val="00D83E21"/>
    <w:rsid w:val="00D83E55"/>
    <w:rsid w:val="00D84337"/>
    <w:rsid w:val="00D84487"/>
    <w:rsid w:val="00D844E5"/>
    <w:rsid w:val="00D8464B"/>
    <w:rsid w:val="00D848F9"/>
    <w:rsid w:val="00D84A31"/>
    <w:rsid w:val="00D84A94"/>
    <w:rsid w:val="00D84F9A"/>
    <w:rsid w:val="00D8524F"/>
    <w:rsid w:val="00D85271"/>
    <w:rsid w:val="00D85E3A"/>
    <w:rsid w:val="00D86038"/>
    <w:rsid w:val="00D86180"/>
    <w:rsid w:val="00D8654A"/>
    <w:rsid w:val="00D865D0"/>
    <w:rsid w:val="00D866D0"/>
    <w:rsid w:val="00D86780"/>
    <w:rsid w:val="00D86A63"/>
    <w:rsid w:val="00D86B20"/>
    <w:rsid w:val="00D86C64"/>
    <w:rsid w:val="00D8700E"/>
    <w:rsid w:val="00D87177"/>
    <w:rsid w:val="00D875C2"/>
    <w:rsid w:val="00D87761"/>
    <w:rsid w:val="00D87A74"/>
    <w:rsid w:val="00D87D41"/>
    <w:rsid w:val="00D87DCC"/>
    <w:rsid w:val="00D902E2"/>
    <w:rsid w:val="00D9043E"/>
    <w:rsid w:val="00D9050D"/>
    <w:rsid w:val="00D907E9"/>
    <w:rsid w:val="00D90829"/>
    <w:rsid w:val="00D908C9"/>
    <w:rsid w:val="00D90974"/>
    <w:rsid w:val="00D9099B"/>
    <w:rsid w:val="00D90DC6"/>
    <w:rsid w:val="00D9130F"/>
    <w:rsid w:val="00D913A2"/>
    <w:rsid w:val="00D91931"/>
    <w:rsid w:val="00D91BC3"/>
    <w:rsid w:val="00D91E7D"/>
    <w:rsid w:val="00D9230B"/>
    <w:rsid w:val="00D92599"/>
    <w:rsid w:val="00D92A46"/>
    <w:rsid w:val="00D92B0C"/>
    <w:rsid w:val="00D92D04"/>
    <w:rsid w:val="00D933CE"/>
    <w:rsid w:val="00D935FF"/>
    <w:rsid w:val="00D93D57"/>
    <w:rsid w:val="00D93F65"/>
    <w:rsid w:val="00D94007"/>
    <w:rsid w:val="00D94050"/>
    <w:rsid w:val="00D94139"/>
    <w:rsid w:val="00D94207"/>
    <w:rsid w:val="00D942F5"/>
    <w:rsid w:val="00D94357"/>
    <w:rsid w:val="00D943E9"/>
    <w:rsid w:val="00D94485"/>
    <w:rsid w:val="00D944B6"/>
    <w:rsid w:val="00D9452C"/>
    <w:rsid w:val="00D94862"/>
    <w:rsid w:val="00D9492C"/>
    <w:rsid w:val="00D94D85"/>
    <w:rsid w:val="00D95009"/>
    <w:rsid w:val="00D951D7"/>
    <w:rsid w:val="00D957C4"/>
    <w:rsid w:val="00D958DF"/>
    <w:rsid w:val="00D95902"/>
    <w:rsid w:val="00D95B2A"/>
    <w:rsid w:val="00D95EE7"/>
    <w:rsid w:val="00D9600A"/>
    <w:rsid w:val="00D9635E"/>
    <w:rsid w:val="00D96474"/>
    <w:rsid w:val="00D967D7"/>
    <w:rsid w:val="00D96818"/>
    <w:rsid w:val="00D968A3"/>
    <w:rsid w:val="00D968AA"/>
    <w:rsid w:val="00D96925"/>
    <w:rsid w:val="00D96AA6"/>
    <w:rsid w:val="00D96AAC"/>
    <w:rsid w:val="00D96D40"/>
    <w:rsid w:val="00D96EDA"/>
    <w:rsid w:val="00D97411"/>
    <w:rsid w:val="00D9741D"/>
    <w:rsid w:val="00D978CE"/>
    <w:rsid w:val="00D97AA2"/>
    <w:rsid w:val="00DA0299"/>
    <w:rsid w:val="00DA057B"/>
    <w:rsid w:val="00DA0870"/>
    <w:rsid w:val="00DA0BBB"/>
    <w:rsid w:val="00DA0E70"/>
    <w:rsid w:val="00DA10C5"/>
    <w:rsid w:val="00DA10FE"/>
    <w:rsid w:val="00DA1795"/>
    <w:rsid w:val="00DA1ABE"/>
    <w:rsid w:val="00DA1B16"/>
    <w:rsid w:val="00DA20DA"/>
    <w:rsid w:val="00DA22A6"/>
    <w:rsid w:val="00DA2648"/>
    <w:rsid w:val="00DA27F1"/>
    <w:rsid w:val="00DA27FB"/>
    <w:rsid w:val="00DA2848"/>
    <w:rsid w:val="00DA2A87"/>
    <w:rsid w:val="00DA2AA5"/>
    <w:rsid w:val="00DA2BF2"/>
    <w:rsid w:val="00DA2E25"/>
    <w:rsid w:val="00DA34B7"/>
    <w:rsid w:val="00DA3775"/>
    <w:rsid w:val="00DA37AC"/>
    <w:rsid w:val="00DA3878"/>
    <w:rsid w:val="00DA391D"/>
    <w:rsid w:val="00DA3A49"/>
    <w:rsid w:val="00DA3B1B"/>
    <w:rsid w:val="00DA3BC8"/>
    <w:rsid w:val="00DA3BDC"/>
    <w:rsid w:val="00DA418F"/>
    <w:rsid w:val="00DA45A6"/>
    <w:rsid w:val="00DA484A"/>
    <w:rsid w:val="00DA4C61"/>
    <w:rsid w:val="00DA4DA4"/>
    <w:rsid w:val="00DA5213"/>
    <w:rsid w:val="00DA54D4"/>
    <w:rsid w:val="00DA5597"/>
    <w:rsid w:val="00DA5645"/>
    <w:rsid w:val="00DA5CB9"/>
    <w:rsid w:val="00DA5F28"/>
    <w:rsid w:val="00DA5F5D"/>
    <w:rsid w:val="00DA659B"/>
    <w:rsid w:val="00DA664E"/>
    <w:rsid w:val="00DA6928"/>
    <w:rsid w:val="00DA6AAF"/>
    <w:rsid w:val="00DA6BAD"/>
    <w:rsid w:val="00DA6C9B"/>
    <w:rsid w:val="00DA70A1"/>
    <w:rsid w:val="00DA7213"/>
    <w:rsid w:val="00DA73BB"/>
    <w:rsid w:val="00DA7492"/>
    <w:rsid w:val="00DA74A5"/>
    <w:rsid w:val="00DA7523"/>
    <w:rsid w:val="00DA7555"/>
    <w:rsid w:val="00DA770E"/>
    <w:rsid w:val="00DA7849"/>
    <w:rsid w:val="00DA7BB3"/>
    <w:rsid w:val="00DA7C64"/>
    <w:rsid w:val="00DA7DF6"/>
    <w:rsid w:val="00DA7ECB"/>
    <w:rsid w:val="00DA7FCD"/>
    <w:rsid w:val="00DB03C6"/>
    <w:rsid w:val="00DB04BA"/>
    <w:rsid w:val="00DB05C3"/>
    <w:rsid w:val="00DB0B8D"/>
    <w:rsid w:val="00DB12A8"/>
    <w:rsid w:val="00DB153C"/>
    <w:rsid w:val="00DB15CA"/>
    <w:rsid w:val="00DB17CC"/>
    <w:rsid w:val="00DB191A"/>
    <w:rsid w:val="00DB1C13"/>
    <w:rsid w:val="00DB2106"/>
    <w:rsid w:val="00DB2519"/>
    <w:rsid w:val="00DB2618"/>
    <w:rsid w:val="00DB272F"/>
    <w:rsid w:val="00DB28A7"/>
    <w:rsid w:val="00DB2B2F"/>
    <w:rsid w:val="00DB3122"/>
    <w:rsid w:val="00DB321B"/>
    <w:rsid w:val="00DB3394"/>
    <w:rsid w:val="00DB33B5"/>
    <w:rsid w:val="00DB3461"/>
    <w:rsid w:val="00DB3491"/>
    <w:rsid w:val="00DB35FB"/>
    <w:rsid w:val="00DB3695"/>
    <w:rsid w:val="00DB38AC"/>
    <w:rsid w:val="00DB3EE0"/>
    <w:rsid w:val="00DB3F7E"/>
    <w:rsid w:val="00DB430E"/>
    <w:rsid w:val="00DB44D6"/>
    <w:rsid w:val="00DB4649"/>
    <w:rsid w:val="00DB48AB"/>
    <w:rsid w:val="00DB48D8"/>
    <w:rsid w:val="00DB4B0B"/>
    <w:rsid w:val="00DB4B18"/>
    <w:rsid w:val="00DB4B2A"/>
    <w:rsid w:val="00DB50D3"/>
    <w:rsid w:val="00DB517E"/>
    <w:rsid w:val="00DB56A2"/>
    <w:rsid w:val="00DB580D"/>
    <w:rsid w:val="00DB5C02"/>
    <w:rsid w:val="00DB5DA0"/>
    <w:rsid w:val="00DB64EB"/>
    <w:rsid w:val="00DB676C"/>
    <w:rsid w:val="00DB67A0"/>
    <w:rsid w:val="00DB6884"/>
    <w:rsid w:val="00DB6895"/>
    <w:rsid w:val="00DB6E79"/>
    <w:rsid w:val="00DB6F46"/>
    <w:rsid w:val="00DB77B8"/>
    <w:rsid w:val="00DB7A62"/>
    <w:rsid w:val="00DB7C9B"/>
    <w:rsid w:val="00DB7CC1"/>
    <w:rsid w:val="00DC0054"/>
    <w:rsid w:val="00DC006D"/>
    <w:rsid w:val="00DC0238"/>
    <w:rsid w:val="00DC045F"/>
    <w:rsid w:val="00DC0654"/>
    <w:rsid w:val="00DC09D8"/>
    <w:rsid w:val="00DC0AC6"/>
    <w:rsid w:val="00DC0BD4"/>
    <w:rsid w:val="00DC1172"/>
    <w:rsid w:val="00DC13E3"/>
    <w:rsid w:val="00DC16E2"/>
    <w:rsid w:val="00DC1786"/>
    <w:rsid w:val="00DC1BA5"/>
    <w:rsid w:val="00DC2100"/>
    <w:rsid w:val="00DC237C"/>
    <w:rsid w:val="00DC2527"/>
    <w:rsid w:val="00DC2771"/>
    <w:rsid w:val="00DC2789"/>
    <w:rsid w:val="00DC284F"/>
    <w:rsid w:val="00DC339F"/>
    <w:rsid w:val="00DC36D2"/>
    <w:rsid w:val="00DC36FC"/>
    <w:rsid w:val="00DC3B1F"/>
    <w:rsid w:val="00DC3E19"/>
    <w:rsid w:val="00DC4238"/>
    <w:rsid w:val="00DC426D"/>
    <w:rsid w:val="00DC4B0E"/>
    <w:rsid w:val="00DC4F1E"/>
    <w:rsid w:val="00DC51A7"/>
    <w:rsid w:val="00DC5488"/>
    <w:rsid w:val="00DC5499"/>
    <w:rsid w:val="00DC58E9"/>
    <w:rsid w:val="00DC60A4"/>
    <w:rsid w:val="00DC60C8"/>
    <w:rsid w:val="00DC62EA"/>
    <w:rsid w:val="00DC638D"/>
    <w:rsid w:val="00DC65E5"/>
    <w:rsid w:val="00DC6945"/>
    <w:rsid w:val="00DC6C2D"/>
    <w:rsid w:val="00DC6DC3"/>
    <w:rsid w:val="00DC6DCD"/>
    <w:rsid w:val="00DC736F"/>
    <w:rsid w:val="00DC740F"/>
    <w:rsid w:val="00DC760D"/>
    <w:rsid w:val="00DC7678"/>
    <w:rsid w:val="00DC76B3"/>
    <w:rsid w:val="00DC7B59"/>
    <w:rsid w:val="00DC7CCD"/>
    <w:rsid w:val="00DC7CF1"/>
    <w:rsid w:val="00DC7D56"/>
    <w:rsid w:val="00DC7DC5"/>
    <w:rsid w:val="00DC7E8A"/>
    <w:rsid w:val="00DC7FC2"/>
    <w:rsid w:val="00DD0167"/>
    <w:rsid w:val="00DD0300"/>
    <w:rsid w:val="00DD043D"/>
    <w:rsid w:val="00DD0ADD"/>
    <w:rsid w:val="00DD0D72"/>
    <w:rsid w:val="00DD122C"/>
    <w:rsid w:val="00DD163F"/>
    <w:rsid w:val="00DD16EF"/>
    <w:rsid w:val="00DD1905"/>
    <w:rsid w:val="00DD1924"/>
    <w:rsid w:val="00DD194E"/>
    <w:rsid w:val="00DD1C93"/>
    <w:rsid w:val="00DD1DB2"/>
    <w:rsid w:val="00DD1E0F"/>
    <w:rsid w:val="00DD217C"/>
    <w:rsid w:val="00DD22EB"/>
    <w:rsid w:val="00DD233B"/>
    <w:rsid w:val="00DD2370"/>
    <w:rsid w:val="00DD2404"/>
    <w:rsid w:val="00DD2F84"/>
    <w:rsid w:val="00DD3213"/>
    <w:rsid w:val="00DD3364"/>
    <w:rsid w:val="00DD3BDD"/>
    <w:rsid w:val="00DD3C10"/>
    <w:rsid w:val="00DD3DB1"/>
    <w:rsid w:val="00DD4078"/>
    <w:rsid w:val="00DD41ED"/>
    <w:rsid w:val="00DD43E2"/>
    <w:rsid w:val="00DD45BD"/>
    <w:rsid w:val="00DD45EC"/>
    <w:rsid w:val="00DD4653"/>
    <w:rsid w:val="00DD483A"/>
    <w:rsid w:val="00DD4C71"/>
    <w:rsid w:val="00DD4EF9"/>
    <w:rsid w:val="00DD50EF"/>
    <w:rsid w:val="00DD5112"/>
    <w:rsid w:val="00DD5405"/>
    <w:rsid w:val="00DD58ED"/>
    <w:rsid w:val="00DD58F5"/>
    <w:rsid w:val="00DD59AB"/>
    <w:rsid w:val="00DD5C06"/>
    <w:rsid w:val="00DD6120"/>
    <w:rsid w:val="00DD61EC"/>
    <w:rsid w:val="00DD6386"/>
    <w:rsid w:val="00DD63D5"/>
    <w:rsid w:val="00DD6F80"/>
    <w:rsid w:val="00DD7053"/>
    <w:rsid w:val="00DD7124"/>
    <w:rsid w:val="00DD742A"/>
    <w:rsid w:val="00DD74AD"/>
    <w:rsid w:val="00DD774B"/>
    <w:rsid w:val="00DD78D8"/>
    <w:rsid w:val="00DD7A63"/>
    <w:rsid w:val="00DD7B4C"/>
    <w:rsid w:val="00DD7C48"/>
    <w:rsid w:val="00DE0049"/>
    <w:rsid w:val="00DE018A"/>
    <w:rsid w:val="00DE01B4"/>
    <w:rsid w:val="00DE01CF"/>
    <w:rsid w:val="00DE033B"/>
    <w:rsid w:val="00DE04DE"/>
    <w:rsid w:val="00DE0687"/>
    <w:rsid w:val="00DE0BA0"/>
    <w:rsid w:val="00DE0D70"/>
    <w:rsid w:val="00DE0ED8"/>
    <w:rsid w:val="00DE0F1A"/>
    <w:rsid w:val="00DE0FFF"/>
    <w:rsid w:val="00DE1073"/>
    <w:rsid w:val="00DE12CB"/>
    <w:rsid w:val="00DE14D6"/>
    <w:rsid w:val="00DE1604"/>
    <w:rsid w:val="00DE169D"/>
    <w:rsid w:val="00DE17B9"/>
    <w:rsid w:val="00DE1889"/>
    <w:rsid w:val="00DE192D"/>
    <w:rsid w:val="00DE196B"/>
    <w:rsid w:val="00DE1D7F"/>
    <w:rsid w:val="00DE1DBE"/>
    <w:rsid w:val="00DE1E62"/>
    <w:rsid w:val="00DE1EA3"/>
    <w:rsid w:val="00DE1F43"/>
    <w:rsid w:val="00DE2227"/>
    <w:rsid w:val="00DE22D9"/>
    <w:rsid w:val="00DE265E"/>
    <w:rsid w:val="00DE2EDA"/>
    <w:rsid w:val="00DE3170"/>
    <w:rsid w:val="00DE31BB"/>
    <w:rsid w:val="00DE39E4"/>
    <w:rsid w:val="00DE39F0"/>
    <w:rsid w:val="00DE3CEE"/>
    <w:rsid w:val="00DE3DD2"/>
    <w:rsid w:val="00DE41C3"/>
    <w:rsid w:val="00DE44A0"/>
    <w:rsid w:val="00DE45E1"/>
    <w:rsid w:val="00DE46B4"/>
    <w:rsid w:val="00DE4A05"/>
    <w:rsid w:val="00DE4DEA"/>
    <w:rsid w:val="00DE4E1B"/>
    <w:rsid w:val="00DE4F03"/>
    <w:rsid w:val="00DE4FA9"/>
    <w:rsid w:val="00DE511D"/>
    <w:rsid w:val="00DE51AC"/>
    <w:rsid w:val="00DE53C5"/>
    <w:rsid w:val="00DE5550"/>
    <w:rsid w:val="00DE5FF7"/>
    <w:rsid w:val="00DE601A"/>
    <w:rsid w:val="00DE684F"/>
    <w:rsid w:val="00DE68E5"/>
    <w:rsid w:val="00DE6F16"/>
    <w:rsid w:val="00DE718A"/>
    <w:rsid w:val="00DE73E0"/>
    <w:rsid w:val="00DE7455"/>
    <w:rsid w:val="00DE7522"/>
    <w:rsid w:val="00DE7A87"/>
    <w:rsid w:val="00DF02F5"/>
    <w:rsid w:val="00DF0684"/>
    <w:rsid w:val="00DF07E8"/>
    <w:rsid w:val="00DF0872"/>
    <w:rsid w:val="00DF09F0"/>
    <w:rsid w:val="00DF0A22"/>
    <w:rsid w:val="00DF139D"/>
    <w:rsid w:val="00DF168B"/>
    <w:rsid w:val="00DF19A4"/>
    <w:rsid w:val="00DF1AED"/>
    <w:rsid w:val="00DF233C"/>
    <w:rsid w:val="00DF2667"/>
    <w:rsid w:val="00DF27B5"/>
    <w:rsid w:val="00DF27EF"/>
    <w:rsid w:val="00DF2A81"/>
    <w:rsid w:val="00DF2D42"/>
    <w:rsid w:val="00DF2D9C"/>
    <w:rsid w:val="00DF2EA4"/>
    <w:rsid w:val="00DF317E"/>
    <w:rsid w:val="00DF3655"/>
    <w:rsid w:val="00DF36C3"/>
    <w:rsid w:val="00DF3B4B"/>
    <w:rsid w:val="00DF3B8B"/>
    <w:rsid w:val="00DF3C0C"/>
    <w:rsid w:val="00DF3FE8"/>
    <w:rsid w:val="00DF4046"/>
    <w:rsid w:val="00DF43B3"/>
    <w:rsid w:val="00DF4840"/>
    <w:rsid w:val="00DF4873"/>
    <w:rsid w:val="00DF4E43"/>
    <w:rsid w:val="00DF517B"/>
    <w:rsid w:val="00DF52B9"/>
    <w:rsid w:val="00DF53F5"/>
    <w:rsid w:val="00DF53FE"/>
    <w:rsid w:val="00DF558A"/>
    <w:rsid w:val="00DF5592"/>
    <w:rsid w:val="00DF55B6"/>
    <w:rsid w:val="00DF560F"/>
    <w:rsid w:val="00DF597A"/>
    <w:rsid w:val="00DF5A99"/>
    <w:rsid w:val="00DF5BC0"/>
    <w:rsid w:val="00DF606F"/>
    <w:rsid w:val="00DF647E"/>
    <w:rsid w:val="00DF66FC"/>
    <w:rsid w:val="00DF6778"/>
    <w:rsid w:val="00DF6862"/>
    <w:rsid w:val="00DF6CB1"/>
    <w:rsid w:val="00DF73B6"/>
    <w:rsid w:val="00DF74BC"/>
    <w:rsid w:val="00DF758E"/>
    <w:rsid w:val="00DF7674"/>
    <w:rsid w:val="00DF7967"/>
    <w:rsid w:val="00DF7A37"/>
    <w:rsid w:val="00DF7DF1"/>
    <w:rsid w:val="00DF7F92"/>
    <w:rsid w:val="00DF7FA7"/>
    <w:rsid w:val="00E001AD"/>
    <w:rsid w:val="00E003A7"/>
    <w:rsid w:val="00E004E6"/>
    <w:rsid w:val="00E004F7"/>
    <w:rsid w:val="00E00629"/>
    <w:rsid w:val="00E00654"/>
    <w:rsid w:val="00E00680"/>
    <w:rsid w:val="00E0073B"/>
    <w:rsid w:val="00E007AD"/>
    <w:rsid w:val="00E00C92"/>
    <w:rsid w:val="00E00CCB"/>
    <w:rsid w:val="00E00DAA"/>
    <w:rsid w:val="00E00DD2"/>
    <w:rsid w:val="00E00FC1"/>
    <w:rsid w:val="00E00FD4"/>
    <w:rsid w:val="00E01037"/>
    <w:rsid w:val="00E010D6"/>
    <w:rsid w:val="00E01110"/>
    <w:rsid w:val="00E01A6B"/>
    <w:rsid w:val="00E02327"/>
    <w:rsid w:val="00E02715"/>
    <w:rsid w:val="00E027D0"/>
    <w:rsid w:val="00E02A26"/>
    <w:rsid w:val="00E0316C"/>
    <w:rsid w:val="00E031C8"/>
    <w:rsid w:val="00E034CD"/>
    <w:rsid w:val="00E03F85"/>
    <w:rsid w:val="00E04363"/>
    <w:rsid w:val="00E04451"/>
    <w:rsid w:val="00E048E2"/>
    <w:rsid w:val="00E04D21"/>
    <w:rsid w:val="00E04D5C"/>
    <w:rsid w:val="00E04F60"/>
    <w:rsid w:val="00E050C6"/>
    <w:rsid w:val="00E053E4"/>
    <w:rsid w:val="00E054D8"/>
    <w:rsid w:val="00E05529"/>
    <w:rsid w:val="00E05539"/>
    <w:rsid w:val="00E058F6"/>
    <w:rsid w:val="00E05B4F"/>
    <w:rsid w:val="00E05C04"/>
    <w:rsid w:val="00E05DFF"/>
    <w:rsid w:val="00E05FB4"/>
    <w:rsid w:val="00E06B3A"/>
    <w:rsid w:val="00E06DCE"/>
    <w:rsid w:val="00E06E43"/>
    <w:rsid w:val="00E06E6F"/>
    <w:rsid w:val="00E07217"/>
    <w:rsid w:val="00E076F1"/>
    <w:rsid w:val="00E0778E"/>
    <w:rsid w:val="00E07964"/>
    <w:rsid w:val="00E07DF0"/>
    <w:rsid w:val="00E07F9C"/>
    <w:rsid w:val="00E10065"/>
    <w:rsid w:val="00E1040F"/>
    <w:rsid w:val="00E105C1"/>
    <w:rsid w:val="00E108B0"/>
    <w:rsid w:val="00E10CDA"/>
    <w:rsid w:val="00E111BA"/>
    <w:rsid w:val="00E11418"/>
    <w:rsid w:val="00E114FE"/>
    <w:rsid w:val="00E1159D"/>
    <w:rsid w:val="00E117E9"/>
    <w:rsid w:val="00E11A65"/>
    <w:rsid w:val="00E11ACC"/>
    <w:rsid w:val="00E11B3E"/>
    <w:rsid w:val="00E11E54"/>
    <w:rsid w:val="00E12080"/>
    <w:rsid w:val="00E12237"/>
    <w:rsid w:val="00E123ED"/>
    <w:rsid w:val="00E12630"/>
    <w:rsid w:val="00E126ED"/>
    <w:rsid w:val="00E12882"/>
    <w:rsid w:val="00E12B6B"/>
    <w:rsid w:val="00E12EF5"/>
    <w:rsid w:val="00E13067"/>
    <w:rsid w:val="00E137C3"/>
    <w:rsid w:val="00E139FC"/>
    <w:rsid w:val="00E13A61"/>
    <w:rsid w:val="00E13C63"/>
    <w:rsid w:val="00E13C95"/>
    <w:rsid w:val="00E13EB2"/>
    <w:rsid w:val="00E140DC"/>
    <w:rsid w:val="00E14564"/>
    <w:rsid w:val="00E15136"/>
    <w:rsid w:val="00E151A0"/>
    <w:rsid w:val="00E153C5"/>
    <w:rsid w:val="00E156F0"/>
    <w:rsid w:val="00E15738"/>
    <w:rsid w:val="00E1578D"/>
    <w:rsid w:val="00E158A3"/>
    <w:rsid w:val="00E15F0C"/>
    <w:rsid w:val="00E162DD"/>
    <w:rsid w:val="00E16312"/>
    <w:rsid w:val="00E16351"/>
    <w:rsid w:val="00E169CE"/>
    <w:rsid w:val="00E16B19"/>
    <w:rsid w:val="00E16B72"/>
    <w:rsid w:val="00E17043"/>
    <w:rsid w:val="00E1722D"/>
    <w:rsid w:val="00E17241"/>
    <w:rsid w:val="00E1727D"/>
    <w:rsid w:val="00E173C2"/>
    <w:rsid w:val="00E17446"/>
    <w:rsid w:val="00E17860"/>
    <w:rsid w:val="00E179E0"/>
    <w:rsid w:val="00E17A9F"/>
    <w:rsid w:val="00E17E18"/>
    <w:rsid w:val="00E17EBE"/>
    <w:rsid w:val="00E17F74"/>
    <w:rsid w:val="00E20072"/>
    <w:rsid w:val="00E201F9"/>
    <w:rsid w:val="00E2032D"/>
    <w:rsid w:val="00E20493"/>
    <w:rsid w:val="00E2078F"/>
    <w:rsid w:val="00E20874"/>
    <w:rsid w:val="00E208AF"/>
    <w:rsid w:val="00E20B71"/>
    <w:rsid w:val="00E21446"/>
    <w:rsid w:val="00E2150C"/>
    <w:rsid w:val="00E219AA"/>
    <w:rsid w:val="00E21F48"/>
    <w:rsid w:val="00E224CF"/>
    <w:rsid w:val="00E228A4"/>
    <w:rsid w:val="00E2315B"/>
    <w:rsid w:val="00E23187"/>
    <w:rsid w:val="00E232A2"/>
    <w:rsid w:val="00E232B2"/>
    <w:rsid w:val="00E233CD"/>
    <w:rsid w:val="00E233F7"/>
    <w:rsid w:val="00E235E0"/>
    <w:rsid w:val="00E235FB"/>
    <w:rsid w:val="00E236C3"/>
    <w:rsid w:val="00E23779"/>
    <w:rsid w:val="00E237C9"/>
    <w:rsid w:val="00E23909"/>
    <w:rsid w:val="00E239D0"/>
    <w:rsid w:val="00E23A28"/>
    <w:rsid w:val="00E23A4A"/>
    <w:rsid w:val="00E23D31"/>
    <w:rsid w:val="00E23D6C"/>
    <w:rsid w:val="00E2444C"/>
    <w:rsid w:val="00E244D1"/>
    <w:rsid w:val="00E2461B"/>
    <w:rsid w:val="00E247F8"/>
    <w:rsid w:val="00E24B36"/>
    <w:rsid w:val="00E24C53"/>
    <w:rsid w:val="00E2503A"/>
    <w:rsid w:val="00E253A2"/>
    <w:rsid w:val="00E25526"/>
    <w:rsid w:val="00E2552F"/>
    <w:rsid w:val="00E25558"/>
    <w:rsid w:val="00E25976"/>
    <w:rsid w:val="00E25A68"/>
    <w:rsid w:val="00E25CA6"/>
    <w:rsid w:val="00E25DE0"/>
    <w:rsid w:val="00E25E1C"/>
    <w:rsid w:val="00E26219"/>
    <w:rsid w:val="00E26443"/>
    <w:rsid w:val="00E265AC"/>
    <w:rsid w:val="00E26602"/>
    <w:rsid w:val="00E27127"/>
    <w:rsid w:val="00E272CD"/>
    <w:rsid w:val="00E27609"/>
    <w:rsid w:val="00E27839"/>
    <w:rsid w:val="00E2795D"/>
    <w:rsid w:val="00E27B9F"/>
    <w:rsid w:val="00E27D03"/>
    <w:rsid w:val="00E30199"/>
    <w:rsid w:val="00E30381"/>
    <w:rsid w:val="00E30879"/>
    <w:rsid w:val="00E30A68"/>
    <w:rsid w:val="00E30D41"/>
    <w:rsid w:val="00E30D79"/>
    <w:rsid w:val="00E30F38"/>
    <w:rsid w:val="00E3105C"/>
    <w:rsid w:val="00E31063"/>
    <w:rsid w:val="00E3115A"/>
    <w:rsid w:val="00E313DB"/>
    <w:rsid w:val="00E3170F"/>
    <w:rsid w:val="00E3177D"/>
    <w:rsid w:val="00E31852"/>
    <w:rsid w:val="00E3199A"/>
    <w:rsid w:val="00E31B50"/>
    <w:rsid w:val="00E31C73"/>
    <w:rsid w:val="00E31CBD"/>
    <w:rsid w:val="00E31F10"/>
    <w:rsid w:val="00E327CB"/>
    <w:rsid w:val="00E32A57"/>
    <w:rsid w:val="00E32C2C"/>
    <w:rsid w:val="00E32C6C"/>
    <w:rsid w:val="00E32FFF"/>
    <w:rsid w:val="00E332AB"/>
    <w:rsid w:val="00E33682"/>
    <w:rsid w:val="00E3368D"/>
    <w:rsid w:val="00E33F64"/>
    <w:rsid w:val="00E34044"/>
    <w:rsid w:val="00E3530B"/>
    <w:rsid w:val="00E35491"/>
    <w:rsid w:val="00E35902"/>
    <w:rsid w:val="00E35A90"/>
    <w:rsid w:val="00E35CEE"/>
    <w:rsid w:val="00E35D07"/>
    <w:rsid w:val="00E36481"/>
    <w:rsid w:val="00E36DC7"/>
    <w:rsid w:val="00E370E7"/>
    <w:rsid w:val="00E37156"/>
    <w:rsid w:val="00E371D5"/>
    <w:rsid w:val="00E3733D"/>
    <w:rsid w:val="00E374AA"/>
    <w:rsid w:val="00E375F4"/>
    <w:rsid w:val="00E37947"/>
    <w:rsid w:val="00E37A51"/>
    <w:rsid w:val="00E37A8E"/>
    <w:rsid w:val="00E37C21"/>
    <w:rsid w:val="00E37C61"/>
    <w:rsid w:val="00E37C69"/>
    <w:rsid w:val="00E37CDC"/>
    <w:rsid w:val="00E37D3A"/>
    <w:rsid w:val="00E37E2C"/>
    <w:rsid w:val="00E37EE1"/>
    <w:rsid w:val="00E401E9"/>
    <w:rsid w:val="00E40369"/>
    <w:rsid w:val="00E40545"/>
    <w:rsid w:val="00E405C8"/>
    <w:rsid w:val="00E4062E"/>
    <w:rsid w:val="00E40A2B"/>
    <w:rsid w:val="00E40B91"/>
    <w:rsid w:val="00E40FA2"/>
    <w:rsid w:val="00E4102D"/>
    <w:rsid w:val="00E4130D"/>
    <w:rsid w:val="00E41E40"/>
    <w:rsid w:val="00E420B4"/>
    <w:rsid w:val="00E42471"/>
    <w:rsid w:val="00E42630"/>
    <w:rsid w:val="00E426D7"/>
    <w:rsid w:val="00E4276D"/>
    <w:rsid w:val="00E427B8"/>
    <w:rsid w:val="00E428AB"/>
    <w:rsid w:val="00E428E0"/>
    <w:rsid w:val="00E4295B"/>
    <w:rsid w:val="00E42A03"/>
    <w:rsid w:val="00E42A95"/>
    <w:rsid w:val="00E42BA7"/>
    <w:rsid w:val="00E42C47"/>
    <w:rsid w:val="00E42CC6"/>
    <w:rsid w:val="00E42D43"/>
    <w:rsid w:val="00E42D77"/>
    <w:rsid w:val="00E42DE9"/>
    <w:rsid w:val="00E42E25"/>
    <w:rsid w:val="00E42E97"/>
    <w:rsid w:val="00E42EDF"/>
    <w:rsid w:val="00E42F7E"/>
    <w:rsid w:val="00E432E1"/>
    <w:rsid w:val="00E43321"/>
    <w:rsid w:val="00E43AD5"/>
    <w:rsid w:val="00E43DEF"/>
    <w:rsid w:val="00E44075"/>
    <w:rsid w:val="00E4452E"/>
    <w:rsid w:val="00E44C7A"/>
    <w:rsid w:val="00E44C99"/>
    <w:rsid w:val="00E44C9D"/>
    <w:rsid w:val="00E44D64"/>
    <w:rsid w:val="00E44FEB"/>
    <w:rsid w:val="00E452DF"/>
    <w:rsid w:val="00E45750"/>
    <w:rsid w:val="00E4577B"/>
    <w:rsid w:val="00E45A65"/>
    <w:rsid w:val="00E45DCC"/>
    <w:rsid w:val="00E45F6C"/>
    <w:rsid w:val="00E4650F"/>
    <w:rsid w:val="00E46649"/>
    <w:rsid w:val="00E46775"/>
    <w:rsid w:val="00E46926"/>
    <w:rsid w:val="00E46C32"/>
    <w:rsid w:val="00E46E64"/>
    <w:rsid w:val="00E472F5"/>
    <w:rsid w:val="00E474A1"/>
    <w:rsid w:val="00E47505"/>
    <w:rsid w:val="00E47D3F"/>
    <w:rsid w:val="00E47DCE"/>
    <w:rsid w:val="00E50074"/>
    <w:rsid w:val="00E501E8"/>
    <w:rsid w:val="00E50311"/>
    <w:rsid w:val="00E50369"/>
    <w:rsid w:val="00E505B1"/>
    <w:rsid w:val="00E50640"/>
    <w:rsid w:val="00E50BAD"/>
    <w:rsid w:val="00E50DD8"/>
    <w:rsid w:val="00E5175D"/>
    <w:rsid w:val="00E5192F"/>
    <w:rsid w:val="00E51AA2"/>
    <w:rsid w:val="00E51AB0"/>
    <w:rsid w:val="00E52106"/>
    <w:rsid w:val="00E5259B"/>
    <w:rsid w:val="00E525CD"/>
    <w:rsid w:val="00E52711"/>
    <w:rsid w:val="00E52805"/>
    <w:rsid w:val="00E52816"/>
    <w:rsid w:val="00E52B7F"/>
    <w:rsid w:val="00E52CA6"/>
    <w:rsid w:val="00E52FA3"/>
    <w:rsid w:val="00E5344B"/>
    <w:rsid w:val="00E5345A"/>
    <w:rsid w:val="00E534EF"/>
    <w:rsid w:val="00E53642"/>
    <w:rsid w:val="00E536DE"/>
    <w:rsid w:val="00E53976"/>
    <w:rsid w:val="00E53E9E"/>
    <w:rsid w:val="00E53ECB"/>
    <w:rsid w:val="00E540FB"/>
    <w:rsid w:val="00E54335"/>
    <w:rsid w:val="00E544C0"/>
    <w:rsid w:val="00E546BE"/>
    <w:rsid w:val="00E546D4"/>
    <w:rsid w:val="00E54A55"/>
    <w:rsid w:val="00E54AFD"/>
    <w:rsid w:val="00E54B69"/>
    <w:rsid w:val="00E54D2E"/>
    <w:rsid w:val="00E54D4D"/>
    <w:rsid w:val="00E54EBC"/>
    <w:rsid w:val="00E54EC8"/>
    <w:rsid w:val="00E5526E"/>
    <w:rsid w:val="00E553A8"/>
    <w:rsid w:val="00E55714"/>
    <w:rsid w:val="00E55DA6"/>
    <w:rsid w:val="00E56042"/>
    <w:rsid w:val="00E5648B"/>
    <w:rsid w:val="00E5680A"/>
    <w:rsid w:val="00E56928"/>
    <w:rsid w:val="00E5693C"/>
    <w:rsid w:val="00E56B69"/>
    <w:rsid w:val="00E56B89"/>
    <w:rsid w:val="00E56CE1"/>
    <w:rsid w:val="00E56E72"/>
    <w:rsid w:val="00E56EED"/>
    <w:rsid w:val="00E5726C"/>
    <w:rsid w:val="00E574CA"/>
    <w:rsid w:val="00E57799"/>
    <w:rsid w:val="00E57A0B"/>
    <w:rsid w:val="00E60258"/>
    <w:rsid w:val="00E6034B"/>
    <w:rsid w:val="00E60754"/>
    <w:rsid w:val="00E60CB7"/>
    <w:rsid w:val="00E61070"/>
    <w:rsid w:val="00E6126A"/>
    <w:rsid w:val="00E615A0"/>
    <w:rsid w:val="00E61920"/>
    <w:rsid w:val="00E61ECE"/>
    <w:rsid w:val="00E61F22"/>
    <w:rsid w:val="00E61F58"/>
    <w:rsid w:val="00E62525"/>
    <w:rsid w:val="00E625ED"/>
    <w:rsid w:val="00E62880"/>
    <w:rsid w:val="00E62C8B"/>
    <w:rsid w:val="00E62E7D"/>
    <w:rsid w:val="00E631BE"/>
    <w:rsid w:val="00E63232"/>
    <w:rsid w:val="00E6359F"/>
    <w:rsid w:val="00E63618"/>
    <w:rsid w:val="00E636C2"/>
    <w:rsid w:val="00E63756"/>
    <w:rsid w:val="00E6386D"/>
    <w:rsid w:val="00E638C6"/>
    <w:rsid w:val="00E63A8D"/>
    <w:rsid w:val="00E63B4F"/>
    <w:rsid w:val="00E63EE8"/>
    <w:rsid w:val="00E63EEF"/>
    <w:rsid w:val="00E640A8"/>
    <w:rsid w:val="00E642BA"/>
    <w:rsid w:val="00E644F3"/>
    <w:rsid w:val="00E644F5"/>
    <w:rsid w:val="00E64727"/>
    <w:rsid w:val="00E647F1"/>
    <w:rsid w:val="00E6487E"/>
    <w:rsid w:val="00E649CB"/>
    <w:rsid w:val="00E649E2"/>
    <w:rsid w:val="00E64A8C"/>
    <w:rsid w:val="00E6507A"/>
    <w:rsid w:val="00E65112"/>
    <w:rsid w:val="00E65141"/>
    <w:rsid w:val="00E65339"/>
    <w:rsid w:val="00E65388"/>
    <w:rsid w:val="00E65395"/>
    <w:rsid w:val="00E65453"/>
    <w:rsid w:val="00E655A7"/>
    <w:rsid w:val="00E6597F"/>
    <w:rsid w:val="00E65A55"/>
    <w:rsid w:val="00E65BC3"/>
    <w:rsid w:val="00E660CB"/>
    <w:rsid w:val="00E66150"/>
    <w:rsid w:val="00E665D4"/>
    <w:rsid w:val="00E669F2"/>
    <w:rsid w:val="00E66BC8"/>
    <w:rsid w:val="00E66C37"/>
    <w:rsid w:val="00E66E95"/>
    <w:rsid w:val="00E670AF"/>
    <w:rsid w:val="00E6754F"/>
    <w:rsid w:val="00E677B9"/>
    <w:rsid w:val="00E67B8D"/>
    <w:rsid w:val="00E67CD0"/>
    <w:rsid w:val="00E67D52"/>
    <w:rsid w:val="00E67D69"/>
    <w:rsid w:val="00E67F23"/>
    <w:rsid w:val="00E7011D"/>
    <w:rsid w:val="00E704FA"/>
    <w:rsid w:val="00E70800"/>
    <w:rsid w:val="00E71247"/>
    <w:rsid w:val="00E715B3"/>
    <w:rsid w:val="00E71605"/>
    <w:rsid w:val="00E71941"/>
    <w:rsid w:val="00E719DC"/>
    <w:rsid w:val="00E71B50"/>
    <w:rsid w:val="00E71CCA"/>
    <w:rsid w:val="00E72022"/>
    <w:rsid w:val="00E72130"/>
    <w:rsid w:val="00E722B2"/>
    <w:rsid w:val="00E7237D"/>
    <w:rsid w:val="00E72599"/>
    <w:rsid w:val="00E72750"/>
    <w:rsid w:val="00E72800"/>
    <w:rsid w:val="00E72918"/>
    <w:rsid w:val="00E72949"/>
    <w:rsid w:val="00E72BCB"/>
    <w:rsid w:val="00E72DAD"/>
    <w:rsid w:val="00E73223"/>
    <w:rsid w:val="00E73943"/>
    <w:rsid w:val="00E73C46"/>
    <w:rsid w:val="00E73C54"/>
    <w:rsid w:val="00E73CB0"/>
    <w:rsid w:val="00E73DDF"/>
    <w:rsid w:val="00E741B5"/>
    <w:rsid w:val="00E742E3"/>
    <w:rsid w:val="00E74A35"/>
    <w:rsid w:val="00E74B30"/>
    <w:rsid w:val="00E74CD4"/>
    <w:rsid w:val="00E74DE8"/>
    <w:rsid w:val="00E74F9B"/>
    <w:rsid w:val="00E751E3"/>
    <w:rsid w:val="00E75620"/>
    <w:rsid w:val="00E7583D"/>
    <w:rsid w:val="00E758DE"/>
    <w:rsid w:val="00E75A98"/>
    <w:rsid w:val="00E75B24"/>
    <w:rsid w:val="00E75C61"/>
    <w:rsid w:val="00E75D6D"/>
    <w:rsid w:val="00E75DCC"/>
    <w:rsid w:val="00E7678E"/>
    <w:rsid w:val="00E76915"/>
    <w:rsid w:val="00E76C05"/>
    <w:rsid w:val="00E76CE2"/>
    <w:rsid w:val="00E76D14"/>
    <w:rsid w:val="00E76E13"/>
    <w:rsid w:val="00E76F61"/>
    <w:rsid w:val="00E76FB4"/>
    <w:rsid w:val="00E77101"/>
    <w:rsid w:val="00E77ADB"/>
    <w:rsid w:val="00E8024C"/>
    <w:rsid w:val="00E8042C"/>
    <w:rsid w:val="00E80666"/>
    <w:rsid w:val="00E806E1"/>
    <w:rsid w:val="00E809ED"/>
    <w:rsid w:val="00E80EC6"/>
    <w:rsid w:val="00E80EE5"/>
    <w:rsid w:val="00E80F5A"/>
    <w:rsid w:val="00E80FB8"/>
    <w:rsid w:val="00E8118B"/>
    <w:rsid w:val="00E81931"/>
    <w:rsid w:val="00E81CE8"/>
    <w:rsid w:val="00E81CEC"/>
    <w:rsid w:val="00E8213A"/>
    <w:rsid w:val="00E827E7"/>
    <w:rsid w:val="00E82AE9"/>
    <w:rsid w:val="00E82E2A"/>
    <w:rsid w:val="00E831A6"/>
    <w:rsid w:val="00E83747"/>
    <w:rsid w:val="00E83AA1"/>
    <w:rsid w:val="00E83CF2"/>
    <w:rsid w:val="00E83E63"/>
    <w:rsid w:val="00E83ED3"/>
    <w:rsid w:val="00E8442C"/>
    <w:rsid w:val="00E8459D"/>
    <w:rsid w:val="00E847C2"/>
    <w:rsid w:val="00E848D1"/>
    <w:rsid w:val="00E84AC5"/>
    <w:rsid w:val="00E84C82"/>
    <w:rsid w:val="00E84CCE"/>
    <w:rsid w:val="00E84DC9"/>
    <w:rsid w:val="00E84E4F"/>
    <w:rsid w:val="00E84EC2"/>
    <w:rsid w:val="00E84F99"/>
    <w:rsid w:val="00E856EB"/>
    <w:rsid w:val="00E85786"/>
    <w:rsid w:val="00E8582D"/>
    <w:rsid w:val="00E8589C"/>
    <w:rsid w:val="00E85DE1"/>
    <w:rsid w:val="00E85EAB"/>
    <w:rsid w:val="00E85F10"/>
    <w:rsid w:val="00E860AB"/>
    <w:rsid w:val="00E860AD"/>
    <w:rsid w:val="00E8621B"/>
    <w:rsid w:val="00E8628A"/>
    <w:rsid w:val="00E862E0"/>
    <w:rsid w:val="00E86635"/>
    <w:rsid w:val="00E86B0F"/>
    <w:rsid w:val="00E86C2A"/>
    <w:rsid w:val="00E86D5B"/>
    <w:rsid w:val="00E8704F"/>
    <w:rsid w:val="00E87136"/>
    <w:rsid w:val="00E875DC"/>
    <w:rsid w:val="00E87927"/>
    <w:rsid w:val="00E9016C"/>
    <w:rsid w:val="00E9048C"/>
    <w:rsid w:val="00E9062E"/>
    <w:rsid w:val="00E906A7"/>
    <w:rsid w:val="00E90C77"/>
    <w:rsid w:val="00E90FC4"/>
    <w:rsid w:val="00E910EA"/>
    <w:rsid w:val="00E91459"/>
    <w:rsid w:val="00E91506"/>
    <w:rsid w:val="00E91C6A"/>
    <w:rsid w:val="00E920D4"/>
    <w:rsid w:val="00E922AF"/>
    <w:rsid w:val="00E924AB"/>
    <w:rsid w:val="00E9256C"/>
    <w:rsid w:val="00E92809"/>
    <w:rsid w:val="00E92817"/>
    <w:rsid w:val="00E92B04"/>
    <w:rsid w:val="00E9302F"/>
    <w:rsid w:val="00E9307E"/>
    <w:rsid w:val="00E93C4A"/>
    <w:rsid w:val="00E93DA2"/>
    <w:rsid w:val="00E942AB"/>
    <w:rsid w:val="00E94416"/>
    <w:rsid w:val="00E94576"/>
    <w:rsid w:val="00E9481A"/>
    <w:rsid w:val="00E9482A"/>
    <w:rsid w:val="00E948D7"/>
    <w:rsid w:val="00E9543D"/>
    <w:rsid w:val="00E9564F"/>
    <w:rsid w:val="00E95A99"/>
    <w:rsid w:val="00E95C26"/>
    <w:rsid w:val="00E960F9"/>
    <w:rsid w:val="00E96482"/>
    <w:rsid w:val="00E96AC9"/>
    <w:rsid w:val="00E96B7E"/>
    <w:rsid w:val="00E97008"/>
    <w:rsid w:val="00E9738A"/>
    <w:rsid w:val="00E974AA"/>
    <w:rsid w:val="00E977C4"/>
    <w:rsid w:val="00E97A66"/>
    <w:rsid w:val="00E97A6A"/>
    <w:rsid w:val="00E97A6B"/>
    <w:rsid w:val="00EA0278"/>
    <w:rsid w:val="00EA029A"/>
    <w:rsid w:val="00EA036C"/>
    <w:rsid w:val="00EA03DD"/>
    <w:rsid w:val="00EA0885"/>
    <w:rsid w:val="00EA08C8"/>
    <w:rsid w:val="00EA09A2"/>
    <w:rsid w:val="00EA0A64"/>
    <w:rsid w:val="00EA0A8A"/>
    <w:rsid w:val="00EA0B32"/>
    <w:rsid w:val="00EA0E22"/>
    <w:rsid w:val="00EA116A"/>
    <w:rsid w:val="00EA116C"/>
    <w:rsid w:val="00EA12E0"/>
    <w:rsid w:val="00EA132E"/>
    <w:rsid w:val="00EA1395"/>
    <w:rsid w:val="00EA1435"/>
    <w:rsid w:val="00EA165E"/>
    <w:rsid w:val="00EA1737"/>
    <w:rsid w:val="00EA1812"/>
    <w:rsid w:val="00EA1837"/>
    <w:rsid w:val="00EA1B2B"/>
    <w:rsid w:val="00EA1BAB"/>
    <w:rsid w:val="00EA1BE1"/>
    <w:rsid w:val="00EA1CB5"/>
    <w:rsid w:val="00EA1E72"/>
    <w:rsid w:val="00EA1F1D"/>
    <w:rsid w:val="00EA1FE5"/>
    <w:rsid w:val="00EA20B4"/>
    <w:rsid w:val="00EA2113"/>
    <w:rsid w:val="00EA244E"/>
    <w:rsid w:val="00EA25BB"/>
    <w:rsid w:val="00EA26DD"/>
    <w:rsid w:val="00EA276C"/>
    <w:rsid w:val="00EA289D"/>
    <w:rsid w:val="00EA2A7A"/>
    <w:rsid w:val="00EA2C3A"/>
    <w:rsid w:val="00EA2D27"/>
    <w:rsid w:val="00EA30A4"/>
    <w:rsid w:val="00EA316C"/>
    <w:rsid w:val="00EA3708"/>
    <w:rsid w:val="00EA3A41"/>
    <w:rsid w:val="00EA3B6D"/>
    <w:rsid w:val="00EA3D28"/>
    <w:rsid w:val="00EA3F08"/>
    <w:rsid w:val="00EA401A"/>
    <w:rsid w:val="00EA4146"/>
    <w:rsid w:val="00EA41AE"/>
    <w:rsid w:val="00EA4456"/>
    <w:rsid w:val="00EA44F0"/>
    <w:rsid w:val="00EA4684"/>
    <w:rsid w:val="00EA4806"/>
    <w:rsid w:val="00EA48E6"/>
    <w:rsid w:val="00EA4E81"/>
    <w:rsid w:val="00EA5515"/>
    <w:rsid w:val="00EA593D"/>
    <w:rsid w:val="00EA5C26"/>
    <w:rsid w:val="00EA5C4B"/>
    <w:rsid w:val="00EA5DF4"/>
    <w:rsid w:val="00EA6167"/>
    <w:rsid w:val="00EA6267"/>
    <w:rsid w:val="00EA6287"/>
    <w:rsid w:val="00EA6467"/>
    <w:rsid w:val="00EA6765"/>
    <w:rsid w:val="00EA67D5"/>
    <w:rsid w:val="00EA683C"/>
    <w:rsid w:val="00EA6878"/>
    <w:rsid w:val="00EA6D8A"/>
    <w:rsid w:val="00EA6ED9"/>
    <w:rsid w:val="00EA71B6"/>
    <w:rsid w:val="00EA7738"/>
    <w:rsid w:val="00EA7B5A"/>
    <w:rsid w:val="00EA7E0F"/>
    <w:rsid w:val="00EB02F0"/>
    <w:rsid w:val="00EB053B"/>
    <w:rsid w:val="00EB0573"/>
    <w:rsid w:val="00EB0583"/>
    <w:rsid w:val="00EB07B6"/>
    <w:rsid w:val="00EB0FAF"/>
    <w:rsid w:val="00EB1003"/>
    <w:rsid w:val="00EB10E0"/>
    <w:rsid w:val="00EB1300"/>
    <w:rsid w:val="00EB1566"/>
    <w:rsid w:val="00EB1574"/>
    <w:rsid w:val="00EB158F"/>
    <w:rsid w:val="00EB161C"/>
    <w:rsid w:val="00EB1906"/>
    <w:rsid w:val="00EB1926"/>
    <w:rsid w:val="00EB1C92"/>
    <w:rsid w:val="00EB1C99"/>
    <w:rsid w:val="00EB1EAB"/>
    <w:rsid w:val="00EB2176"/>
    <w:rsid w:val="00EB21A2"/>
    <w:rsid w:val="00EB2288"/>
    <w:rsid w:val="00EB2356"/>
    <w:rsid w:val="00EB2412"/>
    <w:rsid w:val="00EB24CF"/>
    <w:rsid w:val="00EB2895"/>
    <w:rsid w:val="00EB2990"/>
    <w:rsid w:val="00EB2A65"/>
    <w:rsid w:val="00EB34B4"/>
    <w:rsid w:val="00EB3552"/>
    <w:rsid w:val="00EB3559"/>
    <w:rsid w:val="00EB360F"/>
    <w:rsid w:val="00EB36ED"/>
    <w:rsid w:val="00EB3A59"/>
    <w:rsid w:val="00EB3AA0"/>
    <w:rsid w:val="00EB3DB1"/>
    <w:rsid w:val="00EB3E2F"/>
    <w:rsid w:val="00EB3E42"/>
    <w:rsid w:val="00EB40A9"/>
    <w:rsid w:val="00EB41D2"/>
    <w:rsid w:val="00EB430D"/>
    <w:rsid w:val="00EB4465"/>
    <w:rsid w:val="00EB46BF"/>
    <w:rsid w:val="00EB5107"/>
    <w:rsid w:val="00EB5658"/>
    <w:rsid w:val="00EB57EB"/>
    <w:rsid w:val="00EB5806"/>
    <w:rsid w:val="00EB5AC6"/>
    <w:rsid w:val="00EB5B09"/>
    <w:rsid w:val="00EB5B11"/>
    <w:rsid w:val="00EB5B9C"/>
    <w:rsid w:val="00EB5C24"/>
    <w:rsid w:val="00EB5CA0"/>
    <w:rsid w:val="00EB62DF"/>
    <w:rsid w:val="00EB6894"/>
    <w:rsid w:val="00EB68FB"/>
    <w:rsid w:val="00EB6CD0"/>
    <w:rsid w:val="00EB6DB5"/>
    <w:rsid w:val="00EB712C"/>
    <w:rsid w:val="00EB7191"/>
    <w:rsid w:val="00EB71CB"/>
    <w:rsid w:val="00EB7281"/>
    <w:rsid w:val="00EB728B"/>
    <w:rsid w:val="00EB75F5"/>
    <w:rsid w:val="00EB7848"/>
    <w:rsid w:val="00EB7C8C"/>
    <w:rsid w:val="00EB7C97"/>
    <w:rsid w:val="00EC0373"/>
    <w:rsid w:val="00EC05E0"/>
    <w:rsid w:val="00EC06BD"/>
    <w:rsid w:val="00EC0ACE"/>
    <w:rsid w:val="00EC0B82"/>
    <w:rsid w:val="00EC0DA7"/>
    <w:rsid w:val="00EC0DD9"/>
    <w:rsid w:val="00EC0E6A"/>
    <w:rsid w:val="00EC0F77"/>
    <w:rsid w:val="00EC11DE"/>
    <w:rsid w:val="00EC121E"/>
    <w:rsid w:val="00EC1344"/>
    <w:rsid w:val="00EC13FA"/>
    <w:rsid w:val="00EC1484"/>
    <w:rsid w:val="00EC157B"/>
    <w:rsid w:val="00EC17C0"/>
    <w:rsid w:val="00EC189F"/>
    <w:rsid w:val="00EC1D26"/>
    <w:rsid w:val="00EC21E1"/>
    <w:rsid w:val="00EC2262"/>
    <w:rsid w:val="00EC22F9"/>
    <w:rsid w:val="00EC237A"/>
    <w:rsid w:val="00EC248B"/>
    <w:rsid w:val="00EC24C1"/>
    <w:rsid w:val="00EC28B9"/>
    <w:rsid w:val="00EC2D86"/>
    <w:rsid w:val="00EC2F32"/>
    <w:rsid w:val="00EC2FDE"/>
    <w:rsid w:val="00EC3261"/>
    <w:rsid w:val="00EC38DA"/>
    <w:rsid w:val="00EC3F42"/>
    <w:rsid w:val="00EC3FE2"/>
    <w:rsid w:val="00EC429F"/>
    <w:rsid w:val="00EC4465"/>
    <w:rsid w:val="00EC474D"/>
    <w:rsid w:val="00EC486A"/>
    <w:rsid w:val="00EC4A89"/>
    <w:rsid w:val="00EC4D5F"/>
    <w:rsid w:val="00EC4EED"/>
    <w:rsid w:val="00EC535A"/>
    <w:rsid w:val="00EC565E"/>
    <w:rsid w:val="00EC5845"/>
    <w:rsid w:val="00EC5963"/>
    <w:rsid w:val="00EC5BEE"/>
    <w:rsid w:val="00EC5D0C"/>
    <w:rsid w:val="00EC5F05"/>
    <w:rsid w:val="00EC5F9D"/>
    <w:rsid w:val="00EC6116"/>
    <w:rsid w:val="00EC62EE"/>
    <w:rsid w:val="00EC63DE"/>
    <w:rsid w:val="00EC644E"/>
    <w:rsid w:val="00EC67E6"/>
    <w:rsid w:val="00EC68D4"/>
    <w:rsid w:val="00EC6CC3"/>
    <w:rsid w:val="00EC71A5"/>
    <w:rsid w:val="00EC74B6"/>
    <w:rsid w:val="00EC77C7"/>
    <w:rsid w:val="00EC7FF6"/>
    <w:rsid w:val="00ED017F"/>
    <w:rsid w:val="00ED0329"/>
    <w:rsid w:val="00ED043E"/>
    <w:rsid w:val="00ED0496"/>
    <w:rsid w:val="00ED0962"/>
    <w:rsid w:val="00ED0CD1"/>
    <w:rsid w:val="00ED1109"/>
    <w:rsid w:val="00ED135C"/>
    <w:rsid w:val="00ED1755"/>
    <w:rsid w:val="00ED1A3B"/>
    <w:rsid w:val="00ED1AEA"/>
    <w:rsid w:val="00ED1C2A"/>
    <w:rsid w:val="00ED1E37"/>
    <w:rsid w:val="00ED1F47"/>
    <w:rsid w:val="00ED2157"/>
    <w:rsid w:val="00ED21D7"/>
    <w:rsid w:val="00ED295B"/>
    <w:rsid w:val="00ED29FF"/>
    <w:rsid w:val="00ED2F1D"/>
    <w:rsid w:val="00ED2F8D"/>
    <w:rsid w:val="00ED30FD"/>
    <w:rsid w:val="00ED3750"/>
    <w:rsid w:val="00ED3BBF"/>
    <w:rsid w:val="00ED3CD3"/>
    <w:rsid w:val="00ED3EA4"/>
    <w:rsid w:val="00ED3FAB"/>
    <w:rsid w:val="00ED4470"/>
    <w:rsid w:val="00ED4481"/>
    <w:rsid w:val="00ED4657"/>
    <w:rsid w:val="00ED46D2"/>
    <w:rsid w:val="00ED4AB0"/>
    <w:rsid w:val="00ED548B"/>
    <w:rsid w:val="00ED5547"/>
    <w:rsid w:val="00ED5A9C"/>
    <w:rsid w:val="00ED5E25"/>
    <w:rsid w:val="00ED6006"/>
    <w:rsid w:val="00ED623B"/>
    <w:rsid w:val="00ED6274"/>
    <w:rsid w:val="00ED6332"/>
    <w:rsid w:val="00ED6747"/>
    <w:rsid w:val="00ED67E2"/>
    <w:rsid w:val="00ED69F9"/>
    <w:rsid w:val="00ED6A05"/>
    <w:rsid w:val="00ED6CDF"/>
    <w:rsid w:val="00ED7473"/>
    <w:rsid w:val="00ED750C"/>
    <w:rsid w:val="00ED7DE6"/>
    <w:rsid w:val="00EE00C8"/>
    <w:rsid w:val="00EE04C8"/>
    <w:rsid w:val="00EE0631"/>
    <w:rsid w:val="00EE07EE"/>
    <w:rsid w:val="00EE0F6D"/>
    <w:rsid w:val="00EE0FDF"/>
    <w:rsid w:val="00EE11A4"/>
    <w:rsid w:val="00EE135F"/>
    <w:rsid w:val="00EE16A1"/>
    <w:rsid w:val="00EE17D0"/>
    <w:rsid w:val="00EE1823"/>
    <w:rsid w:val="00EE1828"/>
    <w:rsid w:val="00EE184E"/>
    <w:rsid w:val="00EE1912"/>
    <w:rsid w:val="00EE1A3A"/>
    <w:rsid w:val="00EE1ABD"/>
    <w:rsid w:val="00EE1C11"/>
    <w:rsid w:val="00EE1C49"/>
    <w:rsid w:val="00EE2061"/>
    <w:rsid w:val="00EE20DF"/>
    <w:rsid w:val="00EE25CA"/>
    <w:rsid w:val="00EE28CF"/>
    <w:rsid w:val="00EE28F0"/>
    <w:rsid w:val="00EE2B0F"/>
    <w:rsid w:val="00EE2B30"/>
    <w:rsid w:val="00EE2D39"/>
    <w:rsid w:val="00EE2EA6"/>
    <w:rsid w:val="00EE3419"/>
    <w:rsid w:val="00EE3754"/>
    <w:rsid w:val="00EE3787"/>
    <w:rsid w:val="00EE3CD1"/>
    <w:rsid w:val="00EE40CE"/>
    <w:rsid w:val="00EE42DD"/>
    <w:rsid w:val="00EE46BD"/>
    <w:rsid w:val="00EE46F1"/>
    <w:rsid w:val="00EE4A0F"/>
    <w:rsid w:val="00EE50DD"/>
    <w:rsid w:val="00EE50EA"/>
    <w:rsid w:val="00EE5133"/>
    <w:rsid w:val="00EE5301"/>
    <w:rsid w:val="00EE535A"/>
    <w:rsid w:val="00EE5993"/>
    <w:rsid w:val="00EE5A17"/>
    <w:rsid w:val="00EE5C44"/>
    <w:rsid w:val="00EE5E29"/>
    <w:rsid w:val="00EE5E6C"/>
    <w:rsid w:val="00EE6003"/>
    <w:rsid w:val="00EE62E8"/>
    <w:rsid w:val="00EE63D6"/>
    <w:rsid w:val="00EE6896"/>
    <w:rsid w:val="00EE6939"/>
    <w:rsid w:val="00EE6D94"/>
    <w:rsid w:val="00EE71F0"/>
    <w:rsid w:val="00EE74F5"/>
    <w:rsid w:val="00EE7558"/>
    <w:rsid w:val="00EE7AE9"/>
    <w:rsid w:val="00EE7CFC"/>
    <w:rsid w:val="00EF00BC"/>
    <w:rsid w:val="00EF02AD"/>
    <w:rsid w:val="00EF0393"/>
    <w:rsid w:val="00EF05B9"/>
    <w:rsid w:val="00EF0B50"/>
    <w:rsid w:val="00EF0C17"/>
    <w:rsid w:val="00EF0E3F"/>
    <w:rsid w:val="00EF12EE"/>
    <w:rsid w:val="00EF18AF"/>
    <w:rsid w:val="00EF19D1"/>
    <w:rsid w:val="00EF1A5A"/>
    <w:rsid w:val="00EF1C55"/>
    <w:rsid w:val="00EF1E99"/>
    <w:rsid w:val="00EF1EA3"/>
    <w:rsid w:val="00EF1EB2"/>
    <w:rsid w:val="00EF2054"/>
    <w:rsid w:val="00EF20C7"/>
    <w:rsid w:val="00EF21D2"/>
    <w:rsid w:val="00EF228A"/>
    <w:rsid w:val="00EF23E8"/>
    <w:rsid w:val="00EF260C"/>
    <w:rsid w:val="00EF276A"/>
    <w:rsid w:val="00EF2D1F"/>
    <w:rsid w:val="00EF31E3"/>
    <w:rsid w:val="00EF322A"/>
    <w:rsid w:val="00EF34A1"/>
    <w:rsid w:val="00EF390D"/>
    <w:rsid w:val="00EF3C01"/>
    <w:rsid w:val="00EF3C4E"/>
    <w:rsid w:val="00EF3D17"/>
    <w:rsid w:val="00EF3DA6"/>
    <w:rsid w:val="00EF3FA4"/>
    <w:rsid w:val="00EF40C4"/>
    <w:rsid w:val="00EF4385"/>
    <w:rsid w:val="00EF4397"/>
    <w:rsid w:val="00EF4431"/>
    <w:rsid w:val="00EF44C3"/>
    <w:rsid w:val="00EF46AC"/>
    <w:rsid w:val="00EF46E4"/>
    <w:rsid w:val="00EF49E6"/>
    <w:rsid w:val="00EF4E35"/>
    <w:rsid w:val="00EF4F2D"/>
    <w:rsid w:val="00EF4FD4"/>
    <w:rsid w:val="00EF51DE"/>
    <w:rsid w:val="00EF5243"/>
    <w:rsid w:val="00EF52EC"/>
    <w:rsid w:val="00EF56BE"/>
    <w:rsid w:val="00EF57E4"/>
    <w:rsid w:val="00EF5BEA"/>
    <w:rsid w:val="00EF5C3E"/>
    <w:rsid w:val="00EF7133"/>
    <w:rsid w:val="00EF7540"/>
    <w:rsid w:val="00EF7990"/>
    <w:rsid w:val="00EF7A93"/>
    <w:rsid w:val="00F00397"/>
    <w:rsid w:val="00F00744"/>
    <w:rsid w:val="00F008B9"/>
    <w:rsid w:val="00F008C2"/>
    <w:rsid w:val="00F008D1"/>
    <w:rsid w:val="00F01010"/>
    <w:rsid w:val="00F01158"/>
    <w:rsid w:val="00F01533"/>
    <w:rsid w:val="00F01542"/>
    <w:rsid w:val="00F015FC"/>
    <w:rsid w:val="00F016C0"/>
    <w:rsid w:val="00F019EC"/>
    <w:rsid w:val="00F01C1A"/>
    <w:rsid w:val="00F01DA9"/>
    <w:rsid w:val="00F023E7"/>
    <w:rsid w:val="00F023EA"/>
    <w:rsid w:val="00F024CC"/>
    <w:rsid w:val="00F0276B"/>
    <w:rsid w:val="00F02A5D"/>
    <w:rsid w:val="00F02E79"/>
    <w:rsid w:val="00F02E7A"/>
    <w:rsid w:val="00F02F40"/>
    <w:rsid w:val="00F02FCD"/>
    <w:rsid w:val="00F02FEE"/>
    <w:rsid w:val="00F03139"/>
    <w:rsid w:val="00F0317B"/>
    <w:rsid w:val="00F0341B"/>
    <w:rsid w:val="00F037A1"/>
    <w:rsid w:val="00F0384C"/>
    <w:rsid w:val="00F04052"/>
    <w:rsid w:val="00F04081"/>
    <w:rsid w:val="00F04624"/>
    <w:rsid w:val="00F04773"/>
    <w:rsid w:val="00F0478E"/>
    <w:rsid w:val="00F047FA"/>
    <w:rsid w:val="00F0519D"/>
    <w:rsid w:val="00F051E7"/>
    <w:rsid w:val="00F057BD"/>
    <w:rsid w:val="00F0584E"/>
    <w:rsid w:val="00F05B63"/>
    <w:rsid w:val="00F05CA2"/>
    <w:rsid w:val="00F05FF9"/>
    <w:rsid w:val="00F060B5"/>
    <w:rsid w:val="00F0637B"/>
    <w:rsid w:val="00F06479"/>
    <w:rsid w:val="00F066F2"/>
    <w:rsid w:val="00F0670C"/>
    <w:rsid w:val="00F06D46"/>
    <w:rsid w:val="00F06E9B"/>
    <w:rsid w:val="00F0719B"/>
    <w:rsid w:val="00F073A2"/>
    <w:rsid w:val="00F0747B"/>
    <w:rsid w:val="00F07766"/>
    <w:rsid w:val="00F078FD"/>
    <w:rsid w:val="00F07F71"/>
    <w:rsid w:val="00F1033E"/>
    <w:rsid w:val="00F10431"/>
    <w:rsid w:val="00F105B0"/>
    <w:rsid w:val="00F10637"/>
    <w:rsid w:val="00F10929"/>
    <w:rsid w:val="00F10A21"/>
    <w:rsid w:val="00F10E1E"/>
    <w:rsid w:val="00F1159B"/>
    <w:rsid w:val="00F116D4"/>
    <w:rsid w:val="00F11A05"/>
    <w:rsid w:val="00F11AA1"/>
    <w:rsid w:val="00F11B23"/>
    <w:rsid w:val="00F11D89"/>
    <w:rsid w:val="00F11EA1"/>
    <w:rsid w:val="00F11FFA"/>
    <w:rsid w:val="00F12172"/>
    <w:rsid w:val="00F1278E"/>
    <w:rsid w:val="00F1293B"/>
    <w:rsid w:val="00F12AEF"/>
    <w:rsid w:val="00F12F39"/>
    <w:rsid w:val="00F13045"/>
    <w:rsid w:val="00F130CE"/>
    <w:rsid w:val="00F131F2"/>
    <w:rsid w:val="00F13355"/>
    <w:rsid w:val="00F13986"/>
    <w:rsid w:val="00F13E84"/>
    <w:rsid w:val="00F13EC4"/>
    <w:rsid w:val="00F140DF"/>
    <w:rsid w:val="00F14546"/>
    <w:rsid w:val="00F14685"/>
    <w:rsid w:val="00F148A0"/>
    <w:rsid w:val="00F14949"/>
    <w:rsid w:val="00F149E3"/>
    <w:rsid w:val="00F14C52"/>
    <w:rsid w:val="00F14DD5"/>
    <w:rsid w:val="00F14E2F"/>
    <w:rsid w:val="00F150B0"/>
    <w:rsid w:val="00F154B0"/>
    <w:rsid w:val="00F15A81"/>
    <w:rsid w:val="00F15B12"/>
    <w:rsid w:val="00F15BBB"/>
    <w:rsid w:val="00F15F00"/>
    <w:rsid w:val="00F16B5C"/>
    <w:rsid w:val="00F171D9"/>
    <w:rsid w:val="00F17209"/>
    <w:rsid w:val="00F17336"/>
    <w:rsid w:val="00F174C3"/>
    <w:rsid w:val="00F17606"/>
    <w:rsid w:val="00F17997"/>
    <w:rsid w:val="00F17F39"/>
    <w:rsid w:val="00F20199"/>
    <w:rsid w:val="00F20209"/>
    <w:rsid w:val="00F20232"/>
    <w:rsid w:val="00F2039B"/>
    <w:rsid w:val="00F206CB"/>
    <w:rsid w:val="00F20905"/>
    <w:rsid w:val="00F2090B"/>
    <w:rsid w:val="00F20953"/>
    <w:rsid w:val="00F209E2"/>
    <w:rsid w:val="00F20FF1"/>
    <w:rsid w:val="00F21116"/>
    <w:rsid w:val="00F2115F"/>
    <w:rsid w:val="00F21481"/>
    <w:rsid w:val="00F214EE"/>
    <w:rsid w:val="00F217FD"/>
    <w:rsid w:val="00F21925"/>
    <w:rsid w:val="00F21E70"/>
    <w:rsid w:val="00F21FD1"/>
    <w:rsid w:val="00F22298"/>
    <w:rsid w:val="00F224A3"/>
    <w:rsid w:val="00F22E59"/>
    <w:rsid w:val="00F23257"/>
    <w:rsid w:val="00F234FD"/>
    <w:rsid w:val="00F2351E"/>
    <w:rsid w:val="00F23681"/>
    <w:rsid w:val="00F236BE"/>
    <w:rsid w:val="00F23793"/>
    <w:rsid w:val="00F23C6D"/>
    <w:rsid w:val="00F249EB"/>
    <w:rsid w:val="00F24EE5"/>
    <w:rsid w:val="00F25001"/>
    <w:rsid w:val="00F25104"/>
    <w:rsid w:val="00F2515F"/>
    <w:rsid w:val="00F256FB"/>
    <w:rsid w:val="00F25834"/>
    <w:rsid w:val="00F2591B"/>
    <w:rsid w:val="00F25BA4"/>
    <w:rsid w:val="00F25BCD"/>
    <w:rsid w:val="00F261B8"/>
    <w:rsid w:val="00F2631E"/>
    <w:rsid w:val="00F26996"/>
    <w:rsid w:val="00F26CE9"/>
    <w:rsid w:val="00F26DF9"/>
    <w:rsid w:val="00F26EF9"/>
    <w:rsid w:val="00F26F70"/>
    <w:rsid w:val="00F27107"/>
    <w:rsid w:val="00F2730E"/>
    <w:rsid w:val="00F2733D"/>
    <w:rsid w:val="00F273E2"/>
    <w:rsid w:val="00F27716"/>
    <w:rsid w:val="00F279BC"/>
    <w:rsid w:val="00F27AA6"/>
    <w:rsid w:val="00F27C6A"/>
    <w:rsid w:val="00F30141"/>
    <w:rsid w:val="00F302F3"/>
    <w:rsid w:val="00F30329"/>
    <w:rsid w:val="00F3044B"/>
    <w:rsid w:val="00F308C9"/>
    <w:rsid w:val="00F30BC9"/>
    <w:rsid w:val="00F311A8"/>
    <w:rsid w:val="00F31459"/>
    <w:rsid w:val="00F31785"/>
    <w:rsid w:val="00F317A6"/>
    <w:rsid w:val="00F31834"/>
    <w:rsid w:val="00F31D46"/>
    <w:rsid w:val="00F31DB1"/>
    <w:rsid w:val="00F321F0"/>
    <w:rsid w:val="00F32299"/>
    <w:rsid w:val="00F3234A"/>
    <w:rsid w:val="00F3239A"/>
    <w:rsid w:val="00F3249B"/>
    <w:rsid w:val="00F3276F"/>
    <w:rsid w:val="00F32A25"/>
    <w:rsid w:val="00F32CB4"/>
    <w:rsid w:val="00F32FCD"/>
    <w:rsid w:val="00F331E4"/>
    <w:rsid w:val="00F33518"/>
    <w:rsid w:val="00F335DC"/>
    <w:rsid w:val="00F33634"/>
    <w:rsid w:val="00F33684"/>
    <w:rsid w:val="00F33731"/>
    <w:rsid w:val="00F33955"/>
    <w:rsid w:val="00F33B32"/>
    <w:rsid w:val="00F33CDE"/>
    <w:rsid w:val="00F33F21"/>
    <w:rsid w:val="00F34245"/>
    <w:rsid w:val="00F34540"/>
    <w:rsid w:val="00F3482D"/>
    <w:rsid w:val="00F3498E"/>
    <w:rsid w:val="00F349BA"/>
    <w:rsid w:val="00F34B5D"/>
    <w:rsid w:val="00F34BB8"/>
    <w:rsid w:val="00F34C75"/>
    <w:rsid w:val="00F356F4"/>
    <w:rsid w:val="00F357A8"/>
    <w:rsid w:val="00F3594F"/>
    <w:rsid w:val="00F35AA6"/>
    <w:rsid w:val="00F35C19"/>
    <w:rsid w:val="00F35C1F"/>
    <w:rsid w:val="00F35C4F"/>
    <w:rsid w:val="00F3613F"/>
    <w:rsid w:val="00F364AF"/>
    <w:rsid w:val="00F364FE"/>
    <w:rsid w:val="00F36600"/>
    <w:rsid w:val="00F368DB"/>
    <w:rsid w:val="00F36D59"/>
    <w:rsid w:val="00F36DEC"/>
    <w:rsid w:val="00F3708C"/>
    <w:rsid w:val="00F37309"/>
    <w:rsid w:val="00F3746F"/>
    <w:rsid w:val="00F37481"/>
    <w:rsid w:val="00F374E1"/>
    <w:rsid w:val="00F3754B"/>
    <w:rsid w:val="00F37771"/>
    <w:rsid w:val="00F37C11"/>
    <w:rsid w:val="00F37F4E"/>
    <w:rsid w:val="00F4031C"/>
    <w:rsid w:val="00F40902"/>
    <w:rsid w:val="00F40F0E"/>
    <w:rsid w:val="00F410D0"/>
    <w:rsid w:val="00F411A5"/>
    <w:rsid w:val="00F41429"/>
    <w:rsid w:val="00F41791"/>
    <w:rsid w:val="00F41795"/>
    <w:rsid w:val="00F418D8"/>
    <w:rsid w:val="00F41A99"/>
    <w:rsid w:val="00F41AA2"/>
    <w:rsid w:val="00F41AAD"/>
    <w:rsid w:val="00F41CF3"/>
    <w:rsid w:val="00F41EC4"/>
    <w:rsid w:val="00F41F8E"/>
    <w:rsid w:val="00F41FE5"/>
    <w:rsid w:val="00F4215E"/>
    <w:rsid w:val="00F42194"/>
    <w:rsid w:val="00F423FD"/>
    <w:rsid w:val="00F4287A"/>
    <w:rsid w:val="00F42CD0"/>
    <w:rsid w:val="00F4368F"/>
    <w:rsid w:val="00F43732"/>
    <w:rsid w:val="00F43758"/>
    <w:rsid w:val="00F437A7"/>
    <w:rsid w:val="00F43960"/>
    <w:rsid w:val="00F43A17"/>
    <w:rsid w:val="00F43C50"/>
    <w:rsid w:val="00F43DE1"/>
    <w:rsid w:val="00F43F4A"/>
    <w:rsid w:val="00F44399"/>
    <w:rsid w:val="00F44518"/>
    <w:rsid w:val="00F44F05"/>
    <w:rsid w:val="00F45487"/>
    <w:rsid w:val="00F458B0"/>
    <w:rsid w:val="00F45EC3"/>
    <w:rsid w:val="00F460F1"/>
    <w:rsid w:val="00F466D8"/>
    <w:rsid w:val="00F466FD"/>
    <w:rsid w:val="00F467E7"/>
    <w:rsid w:val="00F46CD4"/>
    <w:rsid w:val="00F46FF9"/>
    <w:rsid w:val="00F47162"/>
    <w:rsid w:val="00F47177"/>
    <w:rsid w:val="00F47292"/>
    <w:rsid w:val="00F47361"/>
    <w:rsid w:val="00F47530"/>
    <w:rsid w:val="00F47726"/>
    <w:rsid w:val="00F4788C"/>
    <w:rsid w:val="00F478D3"/>
    <w:rsid w:val="00F47C22"/>
    <w:rsid w:val="00F50146"/>
    <w:rsid w:val="00F501D7"/>
    <w:rsid w:val="00F50762"/>
    <w:rsid w:val="00F50783"/>
    <w:rsid w:val="00F5086C"/>
    <w:rsid w:val="00F50CB7"/>
    <w:rsid w:val="00F50F75"/>
    <w:rsid w:val="00F51136"/>
    <w:rsid w:val="00F5124D"/>
    <w:rsid w:val="00F51433"/>
    <w:rsid w:val="00F515CD"/>
    <w:rsid w:val="00F517A8"/>
    <w:rsid w:val="00F518EA"/>
    <w:rsid w:val="00F51911"/>
    <w:rsid w:val="00F51E1B"/>
    <w:rsid w:val="00F52221"/>
    <w:rsid w:val="00F524E0"/>
    <w:rsid w:val="00F527AD"/>
    <w:rsid w:val="00F52AD0"/>
    <w:rsid w:val="00F52F78"/>
    <w:rsid w:val="00F52FB8"/>
    <w:rsid w:val="00F53290"/>
    <w:rsid w:val="00F533CE"/>
    <w:rsid w:val="00F535C4"/>
    <w:rsid w:val="00F53928"/>
    <w:rsid w:val="00F539CC"/>
    <w:rsid w:val="00F53BCB"/>
    <w:rsid w:val="00F53C41"/>
    <w:rsid w:val="00F53F11"/>
    <w:rsid w:val="00F5444E"/>
    <w:rsid w:val="00F54682"/>
    <w:rsid w:val="00F54842"/>
    <w:rsid w:val="00F54D53"/>
    <w:rsid w:val="00F54D8F"/>
    <w:rsid w:val="00F54F19"/>
    <w:rsid w:val="00F55226"/>
    <w:rsid w:val="00F5575E"/>
    <w:rsid w:val="00F55A98"/>
    <w:rsid w:val="00F55E40"/>
    <w:rsid w:val="00F5647B"/>
    <w:rsid w:val="00F566D9"/>
    <w:rsid w:val="00F567CF"/>
    <w:rsid w:val="00F56A0A"/>
    <w:rsid w:val="00F56D63"/>
    <w:rsid w:val="00F56F04"/>
    <w:rsid w:val="00F57232"/>
    <w:rsid w:val="00F576A4"/>
    <w:rsid w:val="00F6015F"/>
    <w:rsid w:val="00F60252"/>
    <w:rsid w:val="00F60485"/>
    <w:rsid w:val="00F60771"/>
    <w:rsid w:val="00F60773"/>
    <w:rsid w:val="00F60812"/>
    <w:rsid w:val="00F60B65"/>
    <w:rsid w:val="00F60C9C"/>
    <w:rsid w:val="00F61244"/>
    <w:rsid w:val="00F6131D"/>
    <w:rsid w:val="00F61913"/>
    <w:rsid w:val="00F61F02"/>
    <w:rsid w:val="00F625DF"/>
    <w:rsid w:val="00F627D6"/>
    <w:rsid w:val="00F62AA0"/>
    <w:rsid w:val="00F62D33"/>
    <w:rsid w:val="00F62E1A"/>
    <w:rsid w:val="00F62F80"/>
    <w:rsid w:val="00F632C4"/>
    <w:rsid w:val="00F63A87"/>
    <w:rsid w:val="00F64280"/>
    <w:rsid w:val="00F642FA"/>
    <w:rsid w:val="00F6461E"/>
    <w:rsid w:val="00F64A03"/>
    <w:rsid w:val="00F64AEC"/>
    <w:rsid w:val="00F64ECC"/>
    <w:rsid w:val="00F64F07"/>
    <w:rsid w:val="00F65327"/>
    <w:rsid w:val="00F6561E"/>
    <w:rsid w:val="00F6598C"/>
    <w:rsid w:val="00F65BB8"/>
    <w:rsid w:val="00F65E77"/>
    <w:rsid w:val="00F662A5"/>
    <w:rsid w:val="00F66433"/>
    <w:rsid w:val="00F6663E"/>
    <w:rsid w:val="00F666D5"/>
    <w:rsid w:val="00F66775"/>
    <w:rsid w:val="00F667A4"/>
    <w:rsid w:val="00F667D5"/>
    <w:rsid w:val="00F66C18"/>
    <w:rsid w:val="00F66D4F"/>
    <w:rsid w:val="00F67308"/>
    <w:rsid w:val="00F674FD"/>
    <w:rsid w:val="00F677CD"/>
    <w:rsid w:val="00F67C20"/>
    <w:rsid w:val="00F67C96"/>
    <w:rsid w:val="00F67EDA"/>
    <w:rsid w:val="00F70719"/>
    <w:rsid w:val="00F7072F"/>
    <w:rsid w:val="00F70F91"/>
    <w:rsid w:val="00F710A8"/>
    <w:rsid w:val="00F71508"/>
    <w:rsid w:val="00F71509"/>
    <w:rsid w:val="00F71623"/>
    <w:rsid w:val="00F7176C"/>
    <w:rsid w:val="00F717EB"/>
    <w:rsid w:val="00F71986"/>
    <w:rsid w:val="00F720CC"/>
    <w:rsid w:val="00F724E8"/>
    <w:rsid w:val="00F72538"/>
    <w:rsid w:val="00F725C3"/>
    <w:rsid w:val="00F72679"/>
    <w:rsid w:val="00F7270F"/>
    <w:rsid w:val="00F72805"/>
    <w:rsid w:val="00F729B7"/>
    <w:rsid w:val="00F72A48"/>
    <w:rsid w:val="00F72C85"/>
    <w:rsid w:val="00F72E7D"/>
    <w:rsid w:val="00F72F8D"/>
    <w:rsid w:val="00F730ED"/>
    <w:rsid w:val="00F73176"/>
    <w:rsid w:val="00F732EC"/>
    <w:rsid w:val="00F736F1"/>
    <w:rsid w:val="00F73845"/>
    <w:rsid w:val="00F7399C"/>
    <w:rsid w:val="00F73AFF"/>
    <w:rsid w:val="00F73D20"/>
    <w:rsid w:val="00F73E85"/>
    <w:rsid w:val="00F73EC7"/>
    <w:rsid w:val="00F73F05"/>
    <w:rsid w:val="00F743C2"/>
    <w:rsid w:val="00F745AD"/>
    <w:rsid w:val="00F74678"/>
    <w:rsid w:val="00F74746"/>
    <w:rsid w:val="00F7491C"/>
    <w:rsid w:val="00F74993"/>
    <w:rsid w:val="00F74BD3"/>
    <w:rsid w:val="00F75060"/>
    <w:rsid w:val="00F755F7"/>
    <w:rsid w:val="00F756FF"/>
    <w:rsid w:val="00F75793"/>
    <w:rsid w:val="00F758FD"/>
    <w:rsid w:val="00F75A40"/>
    <w:rsid w:val="00F75CBF"/>
    <w:rsid w:val="00F76098"/>
    <w:rsid w:val="00F76403"/>
    <w:rsid w:val="00F76417"/>
    <w:rsid w:val="00F765BB"/>
    <w:rsid w:val="00F766B8"/>
    <w:rsid w:val="00F766F9"/>
    <w:rsid w:val="00F76C16"/>
    <w:rsid w:val="00F76EDA"/>
    <w:rsid w:val="00F76F78"/>
    <w:rsid w:val="00F77422"/>
    <w:rsid w:val="00F77C79"/>
    <w:rsid w:val="00F77CCB"/>
    <w:rsid w:val="00F8004D"/>
    <w:rsid w:val="00F802FF"/>
    <w:rsid w:val="00F8051A"/>
    <w:rsid w:val="00F80526"/>
    <w:rsid w:val="00F805A4"/>
    <w:rsid w:val="00F80764"/>
    <w:rsid w:val="00F807AD"/>
    <w:rsid w:val="00F80B56"/>
    <w:rsid w:val="00F80C59"/>
    <w:rsid w:val="00F80C64"/>
    <w:rsid w:val="00F81468"/>
    <w:rsid w:val="00F81767"/>
    <w:rsid w:val="00F819BB"/>
    <w:rsid w:val="00F81B60"/>
    <w:rsid w:val="00F82170"/>
    <w:rsid w:val="00F826D1"/>
    <w:rsid w:val="00F82906"/>
    <w:rsid w:val="00F8291D"/>
    <w:rsid w:val="00F82B4B"/>
    <w:rsid w:val="00F82E82"/>
    <w:rsid w:val="00F830E3"/>
    <w:rsid w:val="00F831C4"/>
    <w:rsid w:val="00F832FE"/>
    <w:rsid w:val="00F836D6"/>
    <w:rsid w:val="00F83728"/>
    <w:rsid w:val="00F838E5"/>
    <w:rsid w:val="00F8396B"/>
    <w:rsid w:val="00F83A78"/>
    <w:rsid w:val="00F83B5D"/>
    <w:rsid w:val="00F840D7"/>
    <w:rsid w:val="00F841B5"/>
    <w:rsid w:val="00F84290"/>
    <w:rsid w:val="00F8429D"/>
    <w:rsid w:val="00F844D1"/>
    <w:rsid w:val="00F84646"/>
    <w:rsid w:val="00F8477E"/>
    <w:rsid w:val="00F84CCF"/>
    <w:rsid w:val="00F84DBD"/>
    <w:rsid w:val="00F84F38"/>
    <w:rsid w:val="00F84F62"/>
    <w:rsid w:val="00F84FFB"/>
    <w:rsid w:val="00F85046"/>
    <w:rsid w:val="00F8538B"/>
    <w:rsid w:val="00F85A87"/>
    <w:rsid w:val="00F85A92"/>
    <w:rsid w:val="00F85AAC"/>
    <w:rsid w:val="00F85E18"/>
    <w:rsid w:val="00F86295"/>
    <w:rsid w:val="00F865D6"/>
    <w:rsid w:val="00F8677B"/>
    <w:rsid w:val="00F867B3"/>
    <w:rsid w:val="00F8694F"/>
    <w:rsid w:val="00F86B73"/>
    <w:rsid w:val="00F86C1F"/>
    <w:rsid w:val="00F8763A"/>
    <w:rsid w:val="00F87C79"/>
    <w:rsid w:val="00F87CC2"/>
    <w:rsid w:val="00F901C7"/>
    <w:rsid w:val="00F903B3"/>
    <w:rsid w:val="00F90D21"/>
    <w:rsid w:val="00F90DD7"/>
    <w:rsid w:val="00F910FD"/>
    <w:rsid w:val="00F911C5"/>
    <w:rsid w:val="00F9154F"/>
    <w:rsid w:val="00F91930"/>
    <w:rsid w:val="00F91CEF"/>
    <w:rsid w:val="00F92545"/>
    <w:rsid w:val="00F92DA1"/>
    <w:rsid w:val="00F92DB2"/>
    <w:rsid w:val="00F933DF"/>
    <w:rsid w:val="00F937C9"/>
    <w:rsid w:val="00F93915"/>
    <w:rsid w:val="00F93B27"/>
    <w:rsid w:val="00F93E95"/>
    <w:rsid w:val="00F94044"/>
    <w:rsid w:val="00F94370"/>
    <w:rsid w:val="00F945AD"/>
    <w:rsid w:val="00F94D81"/>
    <w:rsid w:val="00F94F2C"/>
    <w:rsid w:val="00F950D1"/>
    <w:rsid w:val="00F953C9"/>
    <w:rsid w:val="00F9544D"/>
    <w:rsid w:val="00F957F3"/>
    <w:rsid w:val="00F9592B"/>
    <w:rsid w:val="00F95A85"/>
    <w:rsid w:val="00F95CE8"/>
    <w:rsid w:val="00F95E29"/>
    <w:rsid w:val="00F9607B"/>
    <w:rsid w:val="00F9615F"/>
    <w:rsid w:val="00F962B0"/>
    <w:rsid w:val="00F969A9"/>
    <w:rsid w:val="00F96B62"/>
    <w:rsid w:val="00F96BD9"/>
    <w:rsid w:val="00F96D32"/>
    <w:rsid w:val="00F970BE"/>
    <w:rsid w:val="00F979BF"/>
    <w:rsid w:val="00F97A48"/>
    <w:rsid w:val="00F97A66"/>
    <w:rsid w:val="00F97B48"/>
    <w:rsid w:val="00F97CB5"/>
    <w:rsid w:val="00FA001F"/>
    <w:rsid w:val="00FA0113"/>
    <w:rsid w:val="00FA013F"/>
    <w:rsid w:val="00FA016D"/>
    <w:rsid w:val="00FA0218"/>
    <w:rsid w:val="00FA0265"/>
    <w:rsid w:val="00FA0522"/>
    <w:rsid w:val="00FA099F"/>
    <w:rsid w:val="00FA0C53"/>
    <w:rsid w:val="00FA0C75"/>
    <w:rsid w:val="00FA0D4E"/>
    <w:rsid w:val="00FA0D6F"/>
    <w:rsid w:val="00FA0FE1"/>
    <w:rsid w:val="00FA115B"/>
    <w:rsid w:val="00FA14BA"/>
    <w:rsid w:val="00FA1532"/>
    <w:rsid w:val="00FA163D"/>
    <w:rsid w:val="00FA17AD"/>
    <w:rsid w:val="00FA17CB"/>
    <w:rsid w:val="00FA17F9"/>
    <w:rsid w:val="00FA1902"/>
    <w:rsid w:val="00FA1B85"/>
    <w:rsid w:val="00FA1EFA"/>
    <w:rsid w:val="00FA252D"/>
    <w:rsid w:val="00FA25EE"/>
    <w:rsid w:val="00FA2635"/>
    <w:rsid w:val="00FA278C"/>
    <w:rsid w:val="00FA27EC"/>
    <w:rsid w:val="00FA2CA1"/>
    <w:rsid w:val="00FA2CC9"/>
    <w:rsid w:val="00FA3240"/>
    <w:rsid w:val="00FA347F"/>
    <w:rsid w:val="00FA3736"/>
    <w:rsid w:val="00FA3789"/>
    <w:rsid w:val="00FA37B9"/>
    <w:rsid w:val="00FA3947"/>
    <w:rsid w:val="00FA3BDD"/>
    <w:rsid w:val="00FA3CD2"/>
    <w:rsid w:val="00FA41F0"/>
    <w:rsid w:val="00FA48B0"/>
    <w:rsid w:val="00FA4AD4"/>
    <w:rsid w:val="00FA4DB5"/>
    <w:rsid w:val="00FA5231"/>
    <w:rsid w:val="00FA5999"/>
    <w:rsid w:val="00FA5A93"/>
    <w:rsid w:val="00FA5DE4"/>
    <w:rsid w:val="00FA63A6"/>
    <w:rsid w:val="00FA63BD"/>
    <w:rsid w:val="00FA649C"/>
    <w:rsid w:val="00FA6649"/>
    <w:rsid w:val="00FA67A1"/>
    <w:rsid w:val="00FA692F"/>
    <w:rsid w:val="00FA693E"/>
    <w:rsid w:val="00FA6A2A"/>
    <w:rsid w:val="00FA6CA8"/>
    <w:rsid w:val="00FA6E9A"/>
    <w:rsid w:val="00FA6EDE"/>
    <w:rsid w:val="00FA7038"/>
    <w:rsid w:val="00FA7094"/>
    <w:rsid w:val="00FA70A9"/>
    <w:rsid w:val="00FA7548"/>
    <w:rsid w:val="00FA7647"/>
    <w:rsid w:val="00FA76CE"/>
    <w:rsid w:val="00FA7A98"/>
    <w:rsid w:val="00FA7C17"/>
    <w:rsid w:val="00FB010B"/>
    <w:rsid w:val="00FB0879"/>
    <w:rsid w:val="00FB0971"/>
    <w:rsid w:val="00FB0C5C"/>
    <w:rsid w:val="00FB0E8C"/>
    <w:rsid w:val="00FB0F05"/>
    <w:rsid w:val="00FB10CA"/>
    <w:rsid w:val="00FB1160"/>
    <w:rsid w:val="00FB1684"/>
    <w:rsid w:val="00FB1989"/>
    <w:rsid w:val="00FB19A8"/>
    <w:rsid w:val="00FB1B45"/>
    <w:rsid w:val="00FB1CB3"/>
    <w:rsid w:val="00FB2341"/>
    <w:rsid w:val="00FB23AD"/>
    <w:rsid w:val="00FB23D9"/>
    <w:rsid w:val="00FB255D"/>
    <w:rsid w:val="00FB2602"/>
    <w:rsid w:val="00FB2772"/>
    <w:rsid w:val="00FB2A88"/>
    <w:rsid w:val="00FB2D78"/>
    <w:rsid w:val="00FB2F56"/>
    <w:rsid w:val="00FB314B"/>
    <w:rsid w:val="00FB32CE"/>
    <w:rsid w:val="00FB3339"/>
    <w:rsid w:val="00FB36D0"/>
    <w:rsid w:val="00FB3D65"/>
    <w:rsid w:val="00FB3E56"/>
    <w:rsid w:val="00FB3FA7"/>
    <w:rsid w:val="00FB40B4"/>
    <w:rsid w:val="00FB421E"/>
    <w:rsid w:val="00FB429C"/>
    <w:rsid w:val="00FB4437"/>
    <w:rsid w:val="00FB4508"/>
    <w:rsid w:val="00FB4546"/>
    <w:rsid w:val="00FB473F"/>
    <w:rsid w:val="00FB4750"/>
    <w:rsid w:val="00FB47FD"/>
    <w:rsid w:val="00FB4918"/>
    <w:rsid w:val="00FB4A57"/>
    <w:rsid w:val="00FB4CC9"/>
    <w:rsid w:val="00FB4D01"/>
    <w:rsid w:val="00FB4EE1"/>
    <w:rsid w:val="00FB5018"/>
    <w:rsid w:val="00FB50EB"/>
    <w:rsid w:val="00FB5952"/>
    <w:rsid w:val="00FB59DF"/>
    <w:rsid w:val="00FB5A43"/>
    <w:rsid w:val="00FB5DBC"/>
    <w:rsid w:val="00FB6198"/>
    <w:rsid w:val="00FB6297"/>
    <w:rsid w:val="00FB62E0"/>
    <w:rsid w:val="00FB655E"/>
    <w:rsid w:val="00FB6783"/>
    <w:rsid w:val="00FB685B"/>
    <w:rsid w:val="00FB6C16"/>
    <w:rsid w:val="00FB6C45"/>
    <w:rsid w:val="00FB6F44"/>
    <w:rsid w:val="00FB706E"/>
    <w:rsid w:val="00FB77C7"/>
    <w:rsid w:val="00FB7AE2"/>
    <w:rsid w:val="00FB7DD0"/>
    <w:rsid w:val="00FB7E89"/>
    <w:rsid w:val="00FC0480"/>
    <w:rsid w:val="00FC07A8"/>
    <w:rsid w:val="00FC08A3"/>
    <w:rsid w:val="00FC08AA"/>
    <w:rsid w:val="00FC08B6"/>
    <w:rsid w:val="00FC1242"/>
    <w:rsid w:val="00FC1266"/>
    <w:rsid w:val="00FC12CF"/>
    <w:rsid w:val="00FC148B"/>
    <w:rsid w:val="00FC1795"/>
    <w:rsid w:val="00FC17BD"/>
    <w:rsid w:val="00FC17F8"/>
    <w:rsid w:val="00FC1A94"/>
    <w:rsid w:val="00FC1BA0"/>
    <w:rsid w:val="00FC1DBA"/>
    <w:rsid w:val="00FC1DCE"/>
    <w:rsid w:val="00FC1E06"/>
    <w:rsid w:val="00FC20D1"/>
    <w:rsid w:val="00FC2258"/>
    <w:rsid w:val="00FC2427"/>
    <w:rsid w:val="00FC242A"/>
    <w:rsid w:val="00FC2584"/>
    <w:rsid w:val="00FC25F9"/>
    <w:rsid w:val="00FC2730"/>
    <w:rsid w:val="00FC29E1"/>
    <w:rsid w:val="00FC2A8B"/>
    <w:rsid w:val="00FC2BBD"/>
    <w:rsid w:val="00FC2F7F"/>
    <w:rsid w:val="00FC3209"/>
    <w:rsid w:val="00FC328E"/>
    <w:rsid w:val="00FC3866"/>
    <w:rsid w:val="00FC3C7E"/>
    <w:rsid w:val="00FC3CBE"/>
    <w:rsid w:val="00FC405B"/>
    <w:rsid w:val="00FC45EF"/>
    <w:rsid w:val="00FC4794"/>
    <w:rsid w:val="00FC47CC"/>
    <w:rsid w:val="00FC48FE"/>
    <w:rsid w:val="00FC4916"/>
    <w:rsid w:val="00FC4B4B"/>
    <w:rsid w:val="00FC507A"/>
    <w:rsid w:val="00FC525E"/>
    <w:rsid w:val="00FC5369"/>
    <w:rsid w:val="00FC5766"/>
    <w:rsid w:val="00FC5A26"/>
    <w:rsid w:val="00FC5BC6"/>
    <w:rsid w:val="00FC5EC5"/>
    <w:rsid w:val="00FC6042"/>
    <w:rsid w:val="00FC6287"/>
    <w:rsid w:val="00FC6365"/>
    <w:rsid w:val="00FC63BA"/>
    <w:rsid w:val="00FC6FE1"/>
    <w:rsid w:val="00FC7094"/>
    <w:rsid w:val="00FC7289"/>
    <w:rsid w:val="00FC731E"/>
    <w:rsid w:val="00FC73A2"/>
    <w:rsid w:val="00FC757A"/>
    <w:rsid w:val="00FC75F7"/>
    <w:rsid w:val="00FC78A4"/>
    <w:rsid w:val="00FC7F0F"/>
    <w:rsid w:val="00FD0001"/>
    <w:rsid w:val="00FD0083"/>
    <w:rsid w:val="00FD014C"/>
    <w:rsid w:val="00FD04FD"/>
    <w:rsid w:val="00FD07B2"/>
    <w:rsid w:val="00FD09AC"/>
    <w:rsid w:val="00FD0E32"/>
    <w:rsid w:val="00FD0FE3"/>
    <w:rsid w:val="00FD154E"/>
    <w:rsid w:val="00FD1740"/>
    <w:rsid w:val="00FD17E4"/>
    <w:rsid w:val="00FD1874"/>
    <w:rsid w:val="00FD1E61"/>
    <w:rsid w:val="00FD1EEE"/>
    <w:rsid w:val="00FD2141"/>
    <w:rsid w:val="00FD2274"/>
    <w:rsid w:val="00FD23CA"/>
    <w:rsid w:val="00FD263C"/>
    <w:rsid w:val="00FD28CF"/>
    <w:rsid w:val="00FD291A"/>
    <w:rsid w:val="00FD296A"/>
    <w:rsid w:val="00FD2AFD"/>
    <w:rsid w:val="00FD2B30"/>
    <w:rsid w:val="00FD2B6F"/>
    <w:rsid w:val="00FD2D6F"/>
    <w:rsid w:val="00FD2EE9"/>
    <w:rsid w:val="00FD2FB8"/>
    <w:rsid w:val="00FD35DE"/>
    <w:rsid w:val="00FD3702"/>
    <w:rsid w:val="00FD371A"/>
    <w:rsid w:val="00FD3C49"/>
    <w:rsid w:val="00FD3FF3"/>
    <w:rsid w:val="00FD4052"/>
    <w:rsid w:val="00FD42A4"/>
    <w:rsid w:val="00FD439D"/>
    <w:rsid w:val="00FD449B"/>
    <w:rsid w:val="00FD4596"/>
    <w:rsid w:val="00FD479F"/>
    <w:rsid w:val="00FD4AB3"/>
    <w:rsid w:val="00FD4AF9"/>
    <w:rsid w:val="00FD4E45"/>
    <w:rsid w:val="00FD505D"/>
    <w:rsid w:val="00FD5674"/>
    <w:rsid w:val="00FD56AD"/>
    <w:rsid w:val="00FD5B7E"/>
    <w:rsid w:val="00FD5BF9"/>
    <w:rsid w:val="00FD600E"/>
    <w:rsid w:val="00FD648B"/>
    <w:rsid w:val="00FD6591"/>
    <w:rsid w:val="00FD681A"/>
    <w:rsid w:val="00FD6D9C"/>
    <w:rsid w:val="00FD7549"/>
    <w:rsid w:val="00FD754F"/>
    <w:rsid w:val="00FD75FB"/>
    <w:rsid w:val="00FD76B1"/>
    <w:rsid w:val="00FD7884"/>
    <w:rsid w:val="00FD7A29"/>
    <w:rsid w:val="00FD7A5A"/>
    <w:rsid w:val="00FD7ADD"/>
    <w:rsid w:val="00FE04B8"/>
    <w:rsid w:val="00FE0513"/>
    <w:rsid w:val="00FE05D6"/>
    <w:rsid w:val="00FE069A"/>
    <w:rsid w:val="00FE06E0"/>
    <w:rsid w:val="00FE086D"/>
    <w:rsid w:val="00FE0A1D"/>
    <w:rsid w:val="00FE0AE2"/>
    <w:rsid w:val="00FE0B9E"/>
    <w:rsid w:val="00FE0EE1"/>
    <w:rsid w:val="00FE120E"/>
    <w:rsid w:val="00FE1414"/>
    <w:rsid w:val="00FE166E"/>
    <w:rsid w:val="00FE185E"/>
    <w:rsid w:val="00FE21B3"/>
    <w:rsid w:val="00FE2333"/>
    <w:rsid w:val="00FE24AC"/>
    <w:rsid w:val="00FE2789"/>
    <w:rsid w:val="00FE27F4"/>
    <w:rsid w:val="00FE2840"/>
    <w:rsid w:val="00FE29DB"/>
    <w:rsid w:val="00FE2A6B"/>
    <w:rsid w:val="00FE2E9F"/>
    <w:rsid w:val="00FE30F6"/>
    <w:rsid w:val="00FE3186"/>
    <w:rsid w:val="00FE3877"/>
    <w:rsid w:val="00FE3ABA"/>
    <w:rsid w:val="00FE3AF1"/>
    <w:rsid w:val="00FE3FF7"/>
    <w:rsid w:val="00FE4297"/>
    <w:rsid w:val="00FE44C9"/>
    <w:rsid w:val="00FE4793"/>
    <w:rsid w:val="00FE4A51"/>
    <w:rsid w:val="00FE4A60"/>
    <w:rsid w:val="00FE4C3C"/>
    <w:rsid w:val="00FE4CD8"/>
    <w:rsid w:val="00FE4D9B"/>
    <w:rsid w:val="00FE4DA1"/>
    <w:rsid w:val="00FE4DE3"/>
    <w:rsid w:val="00FE4E8D"/>
    <w:rsid w:val="00FE5421"/>
    <w:rsid w:val="00FE5540"/>
    <w:rsid w:val="00FE560B"/>
    <w:rsid w:val="00FE5743"/>
    <w:rsid w:val="00FE5B80"/>
    <w:rsid w:val="00FE5F3B"/>
    <w:rsid w:val="00FE6021"/>
    <w:rsid w:val="00FE60FD"/>
    <w:rsid w:val="00FE6115"/>
    <w:rsid w:val="00FE6300"/>
    <w:rsid w:val="00FE634B"/>
    <w:rsid w:val="00FE63FD"/>
    <w:rsid w:val="00FE6C4F"/>
    <w:rsid w:val="00FE6D6E"/>
    <w:rsid w:val="00FE6E67"/>
    <w:rsid w:val="00FE6EB2"/>
    <w:rsid w:val="00FE76FC"/>
    <w:rsid w:val="00FE788F"/>
    <w:rsid w:val="00FE7A6C"/>
    <w:rsid w:val="00FE7FD9"/>
    <w:rsid w:val="00FF0061"/>
    <w:rsid w:val="00FF0A05"/>
    <w:rsid w:val="00FF0CFB"/>
    <w:rsid w:val="00FF0DA2"/>
    <w:rsid w:val="00FF0E7D"/>
    <w:rsid w:val="00FF0EE0"/>
    <w:rsid w:val="00FF1095"/>
    <w:rsid w:val="00FF1163"/>
    <w:rsid w:val="00FF13DC"/>
    <w:rsid w:val="00FF16BE"/>
    <w:rsid w:val="00FF18B5"/>
    <w:rsid w:val="00FF1A1A"/>
    <w:rsid w:val="00FF1B48"/>
    <w:rsid w:val="00FF1CC5"/>
    <w:rsid w:val="00FF1EDE"/>
    <w:rsid w:val="00FF208B"/>
    <w:rsid w:val="00FF2163"/>
    <w:rsid w:val="00FF2237"/>
    <w:rsid w:val="00FF241E"/>
    <w:rsid w:val="00FF2766"/>
    <w:rsid w:val="00FF2ADE"/>
    <w:rsid w:val="00FF2BD7"/>
    <w:rsid w:val="00FF2D1C"/>
    <w:rsid w:val="00FF2D24"/>
    <w:rsid w:val="00FF2D9D"/>
    <w:rsid w:val="00FF2FCA"/>
    <w:rsid w:val="00FF3528"/>
    <w:rsid w:val="00FF3564"/>
    <w:rsid w:val="00FF360A"/>
    <w:rsid w:val="00FF3804"/>
    <w:rsid w:val="00FF3A5E"/>
    <w:rsid w:val="00FF3B0B"/>
    <w:rsid w:val="00FF3B8E"/>
    <w:rsid w:val="00FF3F9E"/>
    <w:rsid w:val="00FF4083"/>
    <w:rsid w:val="00FF4176"/>
    <w:rsid w:val="00FF4194"/>
    <w:rsid w:val="00FF4B37"/>
    <w:rsid w:val="00FF4E67"/>
    <w:rsid w:val="00FF4F6A"/>
    <w:rsid w:val="00FF5327"/>
    <w:rsid w:val="00FF54AF"/>
    <w:rsid w:val="00FF56E1"/>
    <w:rsid w:val="00FF582A"/>
    <w:rsid w:val="00FF5AFE"/>
    <w:rsid w:val="00FF6014"/>
    <w:rsid w:val="00FF61C6"/>
    <w:rsid w:val="00FF64E7"/>
    <w:rsid w:val="00FF650D"/>
    <w:rsid w:val="00FF65A5"/>
    <w:rsid w:val="00FF65BA"/>
    <w:rsid w:val="00FF6B87"/>
    <w:rsid w:val="00FF6BBB"/>
    <w:rsid w:val="00FF6E19"/>
    <w:rsid w:val="00FF701E"/>
    <w:rsid w:val="00FF744F"/>
    <w:rsid w:val="00FF7535"/>
    <w:rsid w:val="00FF7713"/>
    <w:rsid w:val="00FF782A"/>
    <w:rsid w:val="00FF7B0E"/>
    <w:rsid w:val="00FF7D47"/>
    <w:rsid w:val="00FF7EB5"/>
    <w:rsid w:val="00FF7FD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style="mso-position-horizontal:center;mso-width-percent:400;mso-height-percent:200;mso-width-relative:margin;mso-height-relative:margin" fillcolor="white">
      <v:fill color="white"/>
      <v:textbox style="mso-fit-shape-to-text:t"/>
    </o:shapedefaults>
    <o:shapelayout v:ext="edit">
      <o:idmap v:ext="edit" data="1"/>
    </o:shapelayout>
  </w:shapeDefaults>
  <w:decimalSymbol w:val=","/>
  <w:listSeparator w:val=";"/>
  <w14:docId w14:val="244FECA5"/>
  <w15:docId w15:val="{A1374678-BEC0-455C-B887-FF70DA025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4"/>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090451"/>
    <w:rPr>
      <w:sz w:val="24"/>
      <w:szCs w:val="24"/>
    </w:rPr>
  </w:style>
  <w:style w:type="paragraph" w:styleId="Titolo1">
    <w:name w:val="heading 1"/>
    <w:basedOn w:val="Normale"/>
    <w:next w:val="Normale"/>
    <w:link w:val="Titolo1Carattere"/>
    <w:uiPriority w:val="99"/>
    <w:qFormat/>
    <w:rsid w:val="00BC3FFD"/>
    <w:pPr>
      <w:keepNext/>
      <w:spacing w:after="120"/>
      <w:jc w:val="both"/>
      <w:outlineLvl w:val="0"/>
    </w:pPr>
    <w:rPr>
      <w:rFonts w:ascii="Cambria" w:hAnsi="Cambria"/>
      <w:b/>
      <w:kern w:val="32"/>
      <w:sz w:val="32"/>
    </w:rPr>
  </w:style>
  <w:style w:type="paragraph" w:styleId="Titolo2">
    <w:name w:val="heading 2"/>
    <w:basedOn w:val="Normale"/>
    <w:next w:val="Normale"/>
    <w:link w:val="Titolo2Carattere"/>
    <w:semiHidden/>
    <w:unhideWhenUsed/>
    <w:qFormat/>
    <w:locked/>
    <w:rsid w:val="00BF702B"/>
    <w:pPr>
      <w:keepNext/>
      <w:spacing w:before="240" w:after="60"/>
      <w:outlineLvl w:val="1"/>
    </w:pPr>
    <w:rPr>
      <w:rFonts w:ascii="Cambria" w:hAnsi="Cambria"/>
      <w:b/>
      <w:bCs/>
      <w:i/>
      <w:iCs/>
      <w:sz w:val="28"/>
      <w:szCs w:val="28"/>
    </w:rPr>
  </w:style>
  <w:style w:type="paragraph" w:styleId="Titolo4">
    <w:name w:val="heading 4"/>
    <w:basedOn w:val="Normale"/>
    <w:next w:val="Normale"/>
    <w:link w:val="Titolo4Carattere"/>
    <w:qFormat/>
    <w:locked/>
    <w:rsid w:val="00CD17F5"/>
    <w:pPr>
      <w:keepNext/>
      <w:keepLines/>
      <w:spacing w:before="200"/>
      <w:outlineLvl w:val="3"/>
    </w:pPr>
    <w:rPr>
      <w:rFonts w:ascii="Cambria" w:hAnsi="Cambria"/>
      <w:b/>
      <w:bCs/>
      <w:i/>
      <w:iCs/>
      <w:color w:val="4F81BD"/>
    </w:rPr>
  </w:style>
  <w:style w:type="paragraph" w:styleId="Titolo8">
    <w:name w:val="heading 8"/>
    <w:basedOn w:val="Normale"/>
    <w:next w:val="Normale"/>
    <w:link w:val="Titolo8Carattere"/>
    <w:unhideWhenUsed/>
    <w:qFormat/>
    <w:locked/>
    <w:rsid w:val="003A6105"/>
    <w:pPr>
      <w:spacing w:before="240" w:after="60"/>
      <w:outlineLvl w:val="7"/>
    </w:pPr>
    <w:rPr>
      <w:rFonts w:ascii="Calibri" w:hAnsi="Calibri"/>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9"/>
    <w:locked/>
    <w:rsid w:val="00226782"/>
    <w:rPr>
      <w:rFonts w:ascii="Cambria" w:hAnsi="Cambria" w:cs="Times New Roman"/>
      <w:b/>
      <w:kern w:val="32"/>
      <w:sz w:val="32"/>
    </w:rPr>
  </w:style>
  <w:style w:type="paragraph" w:styleId="Corpotesto">
    <w:name w:val="Body Text"/>
    <w:basedOn w:val="Normale"/>
    <w:link w:val="CorpotestoCarattere"/>
    <w:uiPriority w:val="99"/>
    <w:rsid w:val="00BC3FFD"/>
    <w:pPr>
      <w:spacing w:line="360" w:lineRule="auto"/>
    </w:pPr>
  </w:style>
  <w:style w:type="character" w:customStyle="1" w:styleId="CorpotestoCarattere">
    <w:name w:val="Corpo testo Carattere"/>
    <w:link w:val="Corpotesto"/>
    <w:uiPriority w:val="99"/>
    <w:locked/>
    <w:rsid w:val="00226782"/>
    <w:rPr>
      <w:rFonts w:cs="Times New Roman"/>
      <w:kern w:val="28"/>
      <w:sz w:val="20"/>
    </w:rPr>
  </w:style>
  <w:style w:type="paragraph" w:styleId="Pidipagina">
    <w:name w:val="footer"/>
    <w:basedOn w:val="Normale"/>
    <w:link w:val="PidipaginaCarattere"/>
    <w:rsid w:val="00BC3FFD"/>
    <w:pPr>
      <w:tabs>
        <w:tab w:val="center" w:pos="4818"/>
        <w:tab w:val="right" w:pos="9637"/>
      </w:tabs>
      <w:jc w:val="both"/>
    </w:pPr>
  </w:style>
  <w:style w:type="character" w:customStyle="1" w:styleId="PidipaginaCarattere">
    <w:name w:val="Piè di pagina Carattere"/>
    <w:link w:val="Pidipagina"/>
    <w:uiPriority w:val="99"/>
    <w:locked/>
    <w:rsid w:val="00226782"/>
    <w:rPr>
      <w:rFonts w:cs="Times New Roman"/>
      <w:kern w:val="28"/>
      <w:sz w:val="20"/>
    </w:rPr>
  </w:style>
  <w:style w:type="character" w:styleId="Collegamentoipertestuale">
    <w:name w:val="Hyperlink"/>
    <w:uiPriority w:val="99"/>
    <w:rsid w:val="001F7282"/>
    <w:rPr>
      <w:rFonts w:cs="Times New Roman"/>
      <w:color w:val="0000FF"/>
      <w:u w:val="single"/>
    </w:rPr>
  </w:style>
  <w:style w:type="paragraph" w:styleId="Intestazione">
    <w:name w:val="header"/>
    <w:basedOn w:val="Normale"/>
    <w:link w:val="IntestazioneCarattere"/>
    <w:uiPriority w:val="99"/>
    <w:rsid w:val="000F6161"/>
    <w:pPr>
      <w:tabs>
        <w:tab w:val="center" w:pos="4819"/>
        <w:tab w:val="right" w:pos="9638"/>
      </w:tabs>
    </w:pPr>
  </w:style>
  <w:style w:type="character" w:customStyle="1" w:styleId="IntestazioneCarattere">
    <w:name w:val="Intestazione Carattere"/>
    <w:link w:val="Intestazione"/>
    <w:uiPriority w:val="99"/>
    <w:locked/>
    <w:rsid w:val="00226782"/>
    <w:rPr>
      <w:rFonts w:cs="Times New Roman"/>
      <w:kern w:val="28"/>
      <w:sz w:val="20"/>
    </w:rPr>
  </w:style>
  <w:style w:type="character" w:styleId="Numeropagina">
    <w:name w:val="page number"/>
    <w:uiPriority w:val="99"/>
    <w:rsid w:val="0026018C"/>
    <w:rPr>
      <w:rFonts w:cs="Times New Roman"/>
    </w:rPr>
  </w:style>
  <w:style w:type="paragraph" w:styleId="Testofumetto">
    <w:name w:val="Balloon Text"/>
    <w:basedOn w:val="Normale"/>
    <w:link w:val="TestofumettoCarattere"/>
    <w:uiPriority w:val="99"/>
    <w:semiHidden/>
    <w:rsid w:val="00486F36"/>
    <w:rPr>
      <w:sz w:val="2"/>
    </w:rPr>
  </w:style>
  <w:style w:type="character" w:customStyle="1" w:styleId="TestofumettoCarattere">
    <w:name w:val="Testo fumetto Carattere"/>
    <w:link w:val="Testofumetto"/>
    <w:uiPriority w:val="99"/>
    <w:semiHidden/>
    <w:locked/>
    <w:rsid w:val="00226782"/>
    <w:rPr>
      <w:rFonts w:cs="Times New Roman"/>
      <w:kern w:val="28"/>
      <w:sz w:val="2"/>
    </w:rPr>
  </w:style>
  <w:style w:type="paragraph" w:styleId="NormaleWeb">
    <w:name w:val="Normal (Web)"/>
    <w:basedOn w:val="Normale"/>
    <w:uiPriority w:val="99"/>
    <w:rsid w:val="00100058"/>
    <w:pPr>
      <w:spacing w:beforeAutospacing="1" w:afterAutospacing="1"/>
    </w:pPr>
  </w:style>
  <w:style w:type="paragraph" w:styleId="PreformattatoHTML">
    <w:name w:val="HTML Preformatted"/>
    <w:basedOn w:val="Normale"/>
    <w:link w:val="PreformattatoHTMLCarattere"/>
    <w:uiPriority w:val="99"/>
    <w:rsid w:val="009060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rPr>
  </w:style>
  <w:style w:type="character" w:customStyle="1" w:styleId="PreformattatoHTMLCarattere">
    <w:name w:val="Preformattato HTML Carattere"/>
    <w:link w:val="PreformattatoHTML"/>
    <w:uiPriority w:val="99"/>
    <w:semiHidden/>
    <w:locked/>
    <w:rsid w:val="00226782"/>
    <w:rPr>
      <w:rFonts w:ascii="Courier New" w:hAnsi="Courier New" w:cs="Times New Roman"/>
      <w:kern w:val="28"/>
      <w:sz w:val="20"/>
    </w:rPr>
  </w:style>
  <w:style w:type="character" w:styleId="Enfasigrassetto">
    <w:name w:val="Strong"/>
    <w:uiPriority w:val="22"/>
    <w:qFormat/>
    <w:rsid w:val="008C6EAA"/>
    <w:rPr>
      <w:rFonts w:cs="Times New Roman"/>
      <w:b/>
    </w:rPr>
  </w:style>
  <w:style w:type="table" w:styleId="Grigliatabella">
    <w:name w:val="Table Grid"/>
    <w:basedOn w:val="Tabellanormale"/>
    <w:uiPriority w:val="59"/>
    <w:locked/>
    <w:rsid w:val="00E75DC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style-span">
    <w:name w:val="apple-style-span"/>
    <w:uiPriority w:val="99"/>
    <w:rsid w:val="00E75DCC"/>
  </w:style>
  <w:style w:type="paragraph" w:styleId="Testonotaapidipagina">
    <w:name w:val="footnote text"/>
    <w:aliases w:val="Testo nota a piè di pagina Carattere Carattere,Testo nota a piè di pagina Carattere Carattere Carattere Carattere Carattere Carattere"/>
    <w:basedOn w:val="Normale"/>
    <w:link w:val="TestonotaapidipaginaCarattere"/>
    <w:uiPriority w:val="99"/>
    <w:rsid w:val="006C145B"/>
  </w:style>
  <w:style w:type="character" w:customStyle="1" w:styleId="TestonotaapidipaginaCarattere">
    <w:name w:val="Testo nota a piè di pagina Carattere"/>
    <w:aliases w:val="Testo nota a piè di pagina Carattere Carattere Carattere,Testo nota a piè di pagina Carattere Carattere Carattere Carattere Carattere Carattere Carattere"/>
    <w:link w:val="Testonotaapidipagina"/>
    <w:uiPriority w:val="99"/>
    <w:locked/>
    <w:rsid w:val="00F05FF9"/>
    <w:rPr>
      <w:rFonts w:cs="Times New Roman"/>
      <w:kern w:val="28"/>
      <w:sz w:val="20"/>
    </w:rPr>
  </w:style>
  <w:style w:type="character" w:styleId="Rimandonotaapidipagina">
    <w:name w:val="footnote reference"/>
    <w:uiPriority w:val="99"/>
    <w:rsid w:val="006C145B"/>
    <w:rPr>
      <w:rFonts w:cs="Times New Roman"/>
      <w:vertAlign w:val="superscript"/>
    </w:rPr>
  </w:style>
  <w:style w:type="character" w:styleId="Enfasicorsivo">
    <w:name w:val="Emphasis"/>
    <w:uiPriority w:val="20"/>
    <w:qFormat/>
    <w:locked/>
    <w:rsid w:val="00E80FB8"/>
    <w:rPr>
      <w:rFonts w:cs="Times New Roman"/>
      <w:i/>
    </w:rPr>
  </w:style>
  <w:style w:type="paragraph" w:customStyle="1" w:styleId="Grigliamedia1-Colore21">
    <w:name w:val="Griglia media 1 - Colore 21"/>
    <w:basedOn w:val="Normale"/>
    <w:uiPriority w:val="34"/>
    <w:qFormat/>
    <w:rsid w:val="0022535F"/>
    <w:pPr>
      <w:ind w:left="720"/>
      <w:contextualSpacing/>
    </w:pPr>
  </w:style>
  <w:style w:type="character" w:styleId="Rimandocommento">
    <w:name w:val="annotation reference"/>
    <w:uiPriority w:val="99"/>
    <w:semiHidden/>
    <w:unhideWhenUsed/>
    <w:rsid w:val="00407D29"/>
    <w:rPr>
      <w:sz w:val="16"/>
      <w:szCs w:val="16"/>
    </w:rPr>
  </w:style>
  <w:style w:type="paragraph" w:styleId="Testocommento">
    <w:name w:val="annotation text"/>
    <w:basedOn w:val="Normale"/>
    <w:link w:val="TestocommentoCarattere"/>
    <w:uiPriority w:val="99"/>
    <w:semiHidden/>
    <w:unhideWhenUsed/>
    <w:rsid w:val="00E338F3"/>
    <w:rPr>
      <w:sz w:val="20"/>
      <w:szCs w:val="20"/>
    </w:rPr>
  </w:style>
  <w:style w:type="character" w:customStyle="1" w:styleId="TestocommentoCarattere">
    <w:name w:val="Testo commento Carattere"/>
    <w:link w:val="Testocommento"/>
    <w:uiPriority w:val="99"/>
    <w:semiHidden/>
    <w:rsid w:val="00407D29"/>
    <w:rPr>
      <w:kern w:val="28"/>
      <w:sz w:val="20"/>
      <w:szCs w:val="20"/>
    </w:rPr>
  </w:style>
  <w:style w:type="paragraph" w:styleId="Soggettocommento">
    <w:name w:val="annotation subject"/>
    <w:basedOn w:val="Testocommento"/>
    <w:next w:val="Testocommento"/>
    <w:link w:val="SoggettocommentoCarattere"/>
    <w:unhideWhenUsed/>
    <w:rsid w:val="00407D29"/>
    <w:rPr>
      <w:b/>
      <w:bCs/>
    </w:rPr>
  </w:style>
  <w:style w:type="character" w:customStyle="1" w:styleId="SoggettocommentoCarattere">
    <w:name w:val="Soggetto commento Carattere"/>
    <w:link w:val="Soggettocommento"/>
    <w:rsid w:val="00407D29"/>
    <w:rPr>
      <w:b/>
      <w:bCs/>
      <w:kern w:val="28"/>
      <w:sz w:val="20"/>
      <w:szCs w:val="20"/>
    </w:rPr>
  </w:style>
  <w:style w:type="paragraph" w:styleId="Sottotitolo">
    <w:name w:val="Subtitle"/>
    <w:basedOn w:val="Normale"/>
    <w:next w:val="Normale"/>
    <w:link w:val="SottotitoloCarattere"/>
    <w:qFormat/>
    <w:locked/>
    <w:rsid w:val="006166D3"/>
    <w:pPr>
      <w:numPr>
        <w:ilvl w:val="1"/>
      </w:numPr>
    </w:pPr>
    <w:rPr>
      <w:rFonts w:ascii="Cambria" w:hAnsi="Cambria"/>
      <w:i/>
      <w:iCs/>
      <w:color w:val="4F81BD"/>
      <w:spacing w:val="15"/>
    </w:rPr>
  </w:style>
  <w:style w:type="character" w:customStyle="1" w:styleId="SottotitoloCarattere">
    <w:name w:val="Sottotitolo Carattere"/>
    <w:link w:val="Sottotitolo"/>
    <w:rsid w:val="006166D3"/>
    <w:rPr>
      <w:rFonts w:ascii="Cambria" w:eastAsia="Times New Roman" w:hAnsi="Cambria" w:cs="Times New Roman"/>
      <w:i/>
      <w:iCs/>
      <w:color w:val="4F81BD"/>
      <w:spacing w:val="15"/>
      <w:kern w:val="28"/>
      <w:sz w:val="24"/>
      <w:szCs w:val="24"/>
    </w:rPr>
  </w:style>
  <w:style w:type="character" w:customStyle="1" w:styleId="Titolo4Carattere">
    <w:name w:val="Titolo 4 Carattere"/>
    <w:link w:val="Titolo4"/>
    <w:uiPriority w:val="9"/>
    <w:rsid w:val="00CD17F5"/>
    <w:rPr>
      <w:rFonts w:ascii="Cambria" w:eastAsia="Times New Roman" w:hAnsi="Cambria" w:cs="Times New Roman"/>
      <w:b/>
      <w:bCs/>
      <w:i/>
      <w:iCs/>
      <w:color w:val="4F81BD"/>
      <w:kern w:val="28"/>
      <w:sz w:val="20"/>
      <w:szCs w:val="20"/>
    </w:rPr>
  </w:style>
  <w:style w:type="paragraph" w:customStyle="1" w:styleId="Default">
    <w:name w:val="Default"/>
    <w:rsid w:val="00417ECD"/>
    <w:pPr>
      <w:autoSpaceDE w:val="0"/>
      <w:autoSpaceDN w:val="0"/>
      <w:adjustRightInd w:val="0"/>
    </w:pPr>
    <w:rPr>
      <w:rFonts w:ascii="Arial Narrow" w:hAnsi="Arial Narrow"/>
      <w:color w:val="000000"/>
      <w:sz w:val="24"/>
      <w:szCs w:val="24"/>
    </w:rPr>
  </w:style>
  <w:style w:type="paragraph" w:customStyle="1" w:styleId="Paragrafobase">
    <w:name w:val="[Paragrafo base]"/>
    <w:basedOn w:val="Normale"/>
    <w:uiPriority w:val="99"/>
    <w:rsid w:val="00083173"/>
    <w:pPr>
      <w:spacing w:line="288" w:lineRule="auto"/>
      <w:textAlignment w:val="center"/>
    </w:pPr>
    <w:rPr>
      <w:rFonts w:ascii="Times-Roman" w:hAnsi="Times-Roman" w:cs="Times-Roman"/>
      <w:color w:val="000000"/>
    </w:rPr>
  </w:style>
  <w:style w:type="table" w:customStyle="1" w:styleId="Grigliatabella1">
    <w:name w:val="Griglia tabella1"/>
    <w:basedOn w:val="Tabellanormale"/>
    <w:next w:val="Grigliatabella"/>
    <w:uiPriority w:val="99"/>
    <w:rsid w:val="00A365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001TitoGra">
    <w:name w:val="001TitoGra"/>
    <w:basedOn w:val="Normale"/>
    <w:qFormat/>
    <w:rsid w:val="00FF1163"/>
    <w:pPr>
      <w:spacing w:line="240" w:lineRule="exact"/>
    </w:pPr>
    <w:rPr>
      <w:rFonts w:ascii="Arial Narrow" w:hAnsi="Arial Narrow" w:cs="Arial"/>
      <w:b/>
      <w:color w:val="5F5F5F"/>
      <w:sz w:val="22"/>
      <w:szCs w:val="22"/>
    </w:rPr>
  </w:style>
  <w:style w:type="paragraph" w:customStyle="1" w:styleId="001TitoloBolocco">
    <w:name w:val="001TitoloBolocco"/>
    <w:basedOn w:val="Titolo1"/>
    <w:link w:val="001TitoloBoloccoCarattere"/>
    <w:qFormat/>
    <w:rsid w:val="00E53642"/>
    <w:pPr>
      <w:pBdr>
        <w:bottom w:val="single" w:sz="18" w:space="1" w:color="E31C18"/>
      </w:pBdr>
      <w:spacing w:after="240" w:line="240" w:lineRule="exact"/>
    </w:pPr>
    <w:rPr>
      <w:rFonts w:ascii="Calibri" w:hAnsi="Calibri" w:cs="Arial"/>
      <w:bCs/>
      <w:caps/>
      <w:color w:val="000000"/>
      <w:sz w:val="26"/>
      <w:szCs w:val="28"/>
    </w:rPr>
  </w:style>
  <w:style w:type="character" w:customStyle="1" w:styleId="001TitoloBoloccoCarattere">
    <w:name w:val="001TitoloBolocco Carattere"/>
    <w:link w:val="001TitoloBolocco"/>
    <w:rsid w:val="00E53642"/>
    <w:rPr>
      <w:rFonts w:ascii="Calibri" w:hAnsi="Calibri" w:cs="Arial"/>
      <w:b/>
      <w:bCs/>
      <w:caps/>
      <w:color w:val="000000"/>
      <w:kern w:val="32"/>
      <w:sz w:val="26"/>
      <w:szCs w:val="28"/>
    </w:rPr>
  </w:style>
  <w:style w:type="paragraph" w:customStyle="1" w:styleId="00TitoGra1">
    <w:name w:val="00TitoGra1"/>
    <w:basedOn w:val="Normale"/>
    <w:qFormat/>
    <w:rsid w:val="00E53642"/>
    <w:pPr>
      <w:spacing w:line="280" w:lineRule="exact"/>
    </w:pPr>
    <w:rPr>
      <w:rFonts w:ascii="Calibri" w:hAnsi="Calibri" w:cs="Arial"/>
      <w:b/>
      <w:color w:val="D90B13"/>
      <w:sz w:val="28"/>
      <w:szCs w:val="28"/>
    </w:rPr>
  </w:style>
  <w:style w:type="character" w:customStyle="1" w:styleId="001TitoGraRed">
    <w:name w:val="001TitoGraRed"/>
    <w:uiPriority w:val="1"/>
    <w:qFormat/>
    <w:rsid w:val="00FF1163"/>
    <w:rPr>
      <w:color w:val="E31C18"/>
    </w:rPr>
  </w:style>
  <w:style w:type="paragraph" w:customStyle="1" w:styleId="001SottotitoloGra">
    <w:name w:val="001SottotitoloGra"/>
    <w:basedOn w:val="001TitoGra"/>
    <w:qFormat/>
    <w:rsid w:val="00FF1163"/>
    <w:pPr>
      <w:spacing w:after="120"/>
    </w:pPr>
    <w:rPr>
      <w:b w:val="0"/>
      <w:sz w:val="20"/>
      <w:szCs w:val="20"/>
    </w:rPr>
  </w:style>
  <w:style w:type="paragraph" w:styleId="Rientrocorpodeltesto">
    <w:name w:val="Body Text Indent"/>
    <w:basedOn w:val="Normale"/>
    <w:link w:val="RientrocorpodeltestoCarattere"/>
    <w:uiPriority w:val="99"/>
    <w:unhideWhenUsed/>
    <w:rsid w:val="00A53D09"/>
    <w:pPr>
      <w:spacing w:after="120"/>
      <w:ind w:left="283"/>
    </w:pPr>
  </w:style>
  <w:style w:type="character" w:customStyle="1" w:styleId="RientrocorpodeltestoCarattere">
    <w:name w:val="Rientro corpo del testo Carattere"/>
    <w:link w:val="Rientrocorpodeltesto"/>
    <w:uiPriority w:val="99"/>
    <w:rsid w:val="00A53D09"/>
    <w:rPr>
      <w:kern w:val="28"/>
    </w:rPr>
  </w:style>
  <w:style w:type="character" w:customStyle="1" w:styleId="st">
    <w:name w:val="st"/>
    <w:rsid w:val="00431975"/>
  </w:style>
  <w:style w:type="paragraph" w:styleId="Corpodeltesto3">
    <w:name w:val="Body Text 3"/>
    <w:basedOn w:val="Normale"/>
    <w:link w:val="Corpodeltesto3Carattere"/>
    <w:rsid w:val="000B233D"/>
    <w:pPr>
      <w:spacing w:after="120"/>
    </w:pPr>
    <w:rPr>
      <w:sz w:val="16"/>
      <w:szCs w:val="16"/>
    </w:rPr>
  </w:style>
  <w:style w:type="character" w:customStyle="1" w:styleId="Corpodeltesto3Carattere">
    <w:name w:val="Corpo del testo 3 Carattere"/>
    <w:link w:val="Corpodeltesto3"/>
    <w:rsid w:val="000B233D"/>
    <w:rPr>
      <w:sz w:val="16"/>
      <w:szCs w:val="16"/>
    </w:rPr>
  </w:style>
  <w:style w:type="paragraph" w:customStyle="1" w:styleId="Corpotesto1">
    <w:name w:val="Corpo testo1"/>
    <w:basedOn w:val="Normale"/>
    <w:rsid w:val="00AE6AE5"/>
    <w:pPr>
      <w:jc w:val="both"/>
    </w:pPr>
    <w:rPr>
      <w:b/>
      <w:lang w:val="en-US" w:eastAsia="en-US"/>
    </w:rPr>
  </w:style>
  <w:style w:type="paragraph" w:styleId="Corpodeltesto2">
    <w:name w:val="Body Text 2"/>
    <w:basedOn w:val="Normale"/>
    <w:link w:val="Corpodeltesto2Carattere"/>
    <w:rsid w:val="00833A77"/>
    <w:pPr>
      <w:spacing w:after="120" w:line="480" w:lineRule="auto"/>
    </w:pPr>
  </w:style>
  <w:style w:type="character" w:customStyle="1" w:styleId="Corpodeltesto2Carattere">
    <w:name w:val="Corpo del testo 2 Carattere"/>
    <w:link w:val="Corpodeltesto2"/>
    <w:rsid w:val="00833A77"/>
    <w:rPr>
      <w:kern w:val="28"/>
    </w:rPr>
  </w:style>
  <w:style w:type="paragraph" w:customStyle="1" w:styleId="Corpodeltesto1">
    <w:name w:val="Corpo del testo1"/>
    <w:basedOn w:val="Normale"/>
    <w:rsid w:val="00833A77"/>
    <w:pPr>
      <w:jc w:val="both"/>
    </w:pPr>
    <w:rPr>
      <w:b/>
    </w:rPr>
  </w:style>
  <w:style w:type="character" w:customStyle="1" w:styleId="Titolo2Carattere">
    <w:name w:val="Titolo 2 Carattere"/>
    <w:link w:val="Titolo2"/>
    <w:semiHidden/>
    <w:rsid w:val="00BF702B"/>
    <w:rPr>
      <w:rFonts w:ascii="Cambria" w:eastAsia="Times New Roman" w:hAnsi="Cambria" w:cs="Times New Roman"/>
      <w:b/>
      <w:bCs/>
      <w:i/>
      <w:iCs/>
      <w:kern w:val="28"/>
      <w:sz w:val="28"/>
      <w:szCs w:val="28"/>
    </w:rPr>
  </w:style>
  <w:style w:type="paragraph" w:customStyle="1" w:styleId="Rientrocorpodeltesto31">
    <w:name w:val="Rientro corpo del testo 31"/>
    <w:basedOn w:val="Normale"/>
    <w:uiPriority w:val="99"/>
    <w:rsid w:val="000A2EF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240" w:lineRule="exact"/>
      <w:ind w:left="-567"/>
      <w:jc w:val="both"/>
    </w:pPr>
    <w:rPr>
      <w:spacing w:val="-3"/>
      <w:sz w:val="22"/>
      <w:lang w:eastAsia="ar-SA"/>
    </w:rPr>
  </w:style>
  <w:style w:type="paragraph" w:styleId="Paragrafoelenco">
    <w:name w:val="List Paragraph"/>
    <w:basedOn w:val="Normale"/>
    <w:link w:val="ParagrafoelencoCarattere"/>
    <w:uiPriority w:val="34"/>
    <w:qFormat/>
    <w:rsid w:val="000A2EFD"/>
    <w:pPr>
      <w:tabs>
        <w:tab w:val="left" w:pos="426"/>
      </w:tabs>
      <w:spacing w:after="120"/>
      <w:ind w:left="720"/>
      <w:contextualSpacing/>
      <w:jc w:val="both"/>
    </w:pPr>
    <w:rPr>
      <w:rFonts w:ascii="Calibri" w:hAnsi="Calibri" w:cs="Calibri"/>
      <w:color w:val="000000"/>
      <w:lang w:eastAsia="zh-CN"/>
    </w:rPr>
  </w:style>
  <w:style w:type="character" w:customStyle="1" w:styleId="ParagrafoelencoCarattere">
    <w:name w:val="Paragrafo elenco Carattere"/>
    <w:link w:val="Paragrafoelenco"/>
    <w:uiPriority w:val="34"/>
    <w:rsid w:val="000A2EFD"/>
    <w:rPr>
      <w:rFonts w:ascii="Calibri" w:hAnsi="Calibri" w:cs="Calibri"/>
      <w:color w:val="000000"/>
      <w:sz w:val="24"/>
      <w:szCs w:val="24"/>
      <w:lang w:eastAsia="zh-CN"/>
    </w:rPr>
  </w:style>
  <w:style w:type="table" w:styleId="Sfondomedio2-Colore5">
    <w:name w:val="Medium Shading 2 Accent 5"/>
    <w:basedOn w:val="Tabellanormale"/>
    <w:uiPriority w:val="64"/>
    <w:rsid w:val="000A2EFD"/>
    <w:rPr>
      <w:rFonts w:ascii="Calibri" w:hAnsi="Calibri"/>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character" w:customStyle="1" w:styleId="Titolo8Carattere">
    <w:name w:val="Titolo 8 Carattere"/>
    <w:link w:val="Titolo8"/>
    <w:rsid w:val="003A6105"/>
    <w:rPr>
      <w:rFonts w:ascii="Calibri" w:eastAsia="Times New Roman" w:hAnsi="Calibri" w:cs="Times New Roman"/>
      <w:i/>
      <w:iCs/>
      <w:kern w:val="28"/>
      <w:sz w:val="24"/>
      <w:szCs w:val="24"/>
    </w:rPr>
  </w:style>
  <w:style w:type="character" w:styleId="Collegamentovisitato">
    <w:name w:val="FollowedHyperlink"/>
    <w:uiPriority w:val="99"/>
    <w:semiHidden/>
    <w:unhideWhenUsed/>
    <w:rsid w:val="00A72740"/>
    <w:rPr>
      <w:color w:val="800080"/>
      <w:u w:val="single"/>
    </w:rPr>
  </w:style>
  <w:style w:type="paragraph" w:styleId="Revisione">
    <w:name w:val="Revision"/>
    <w:hidden/>
    <w:uiPriority w:val="71"/>
    <w:rsid w:val="005301CF"/>
    <w:rPr>
      <w:kern w:val="28"/>
    </w:rPr>
  </w:style>
  <w:style w:type="character" w:customStyle="1" w:styleId="seocontent">
    <w:name w:val="seocontent"/>
    <w:basedOn w:val="Carpredefinitoparagrafo"/>
    <w:rsid w:val="00EF7A93"/>
  </w:style>
  <w:style w:type="character" w:customStyle="1" w:styleId="object">
    <w:name w:val="object"/>
    <w:basedOn w:val="Carpredefinitoparagrafo"/>
    <w:rsid w:val="00A80789"/>
  </w:style>
  <w:style w:type="paragraph" w:customStyle="1" w:styleId="A">
    <w:name w:val="A"/>
    <w:basedOn w:val="Normale"/>
    <w:next w:val="Corpotesto"/>
    <w:uiPriority w:val="99"/>
    <w:rsid w:val="00282B90"/>
    <w:pPr>
      <w:jc w:val="both"/>
    </w:pPr>
    <w:rPr>
      <w:b/>
      <w:lang w:eastAsia="ar-SA"/>
    </w:rPr>
  </w:style>
  <w:style w:type="character" w:customStyle="1" w:styleId="markedcontent">
    <w:name w:val="markedcontent"/>
    <w:basedOn w:val="Carpredefinitoparagrafo"/>
    <w:rsid w:val="00C1395C"/>
  </w:style>
  <w:style w:type="paragraph" w:customStyle="1" w:styleId="Testocorrente">
    <w:name w:val="Testo corrente"/>
    <w:basedOn w:val="Titolo2"/>
    <w:rsid w:val="00501E02"/>
    <w:pPr>
      <w:spacing w:before="0"/>
      <w:jc w:val="both"/>
    </w:pPr>
    <w:rPr>
      <w:rFonts w:ascii="Times New Roman" w:hAnsi="Times New Roman"/>
      <w:bCs w:val="0"/>
      <w:iCs w:val="0"/>
      <w:sz w:val="24"/>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3486">
      <w:bodyDiv w:val="1"/>
      <w:marLeft w:val="0"/>
      <w:marRight w:val="0"/>
      <w:marTop w:val="0"/>
      <w:marBottom w:val="0"/>
      <w:divBdr>
        <w:top w:val="none" w:sz="0" w:space="0" w:color="auto"/>
        <w:left w:val="none" w:sz="0" w:space="0" w:color="auto"/>
        <w:bottom w:val="none" w:sz="0" w:space="0" w:color="auto"/>
        <w:right w:val="none" w:sz="0" w:space="0" w:color="auto"/>
      </w:divBdr>
    </w:div>
    <w:div w:id="6180447">
      <w:bodyDiv w:val="1"/>
      <w:marLeft w:val="0"/>
      <w:marRight w:val="0"/>
      <w:marTop w:val="0"/>
      <w:marBottom w:val="0"/>
      <w:divBdr>
        <w:top w:val="none" w:sz="0" w:space="0" w:color="auto"/>
        <w:left w:val="none" w:sz="0" w:space="0" w:color="auto"/>
        <w:bottom w:val="none" w:sz="0" w:space="0" w:color="auto"/>
        <w:right w:val="none" w:sz="0" w:space="0" w:color="auto"/>
      </w:divBdr>
    </w:div>
    <w:div w:id="29649862">
      <w:bodyDiv w:val="1"/>
      <w:marLeft w:val="0"/>
      <w:marRight w:val="0"/>
      <w:marTop w:val="0"/>
      <w:marBottom w:val="0"/>
      <w:divBdr>
        <w:top w:val="none" w:sz="0" w:space="0" w:color="auto"/>
        <w:left w:val="none" w:sz="0" w:space="0" w:color="auto"/>
        <w:bottom w:val="none" w:sz="0" w:space="0" w:color="auto"/>
        <w:right w:val="none" w:sz="0" w:space="0" w:color="auto"/>
      </w:divBdr>
    </w:div>
    <w:div w:id="69041894">
      <w:bodyDiv w:val="1"/>
      <w:marLeft w:val="0"/>
      <w:marRight w:val="0"/>
      <w:marTop w:val="0"/>
      <w:marBottom w:val="0"/>
      <w:divBdr>
        <w:top w:val="none" w:sz="0" w:space="0" w:color="auto"/>
        <w:left w:val="none" w:sz="0" w:space="0" w:color="auto"/>
        <w:bottom w:val="none" w:sz="0" w:space="0" w:color="auto"/>
        <w:right w:val="none" w:sz="0" w:space="0" w:color="auto"/>
      </w:divBdr>
    </w:div>
    <w:div w:id="72625743">
      <w:bodyDiv w:val="1"/>
      <w:marLeft w:val="0"/>
      <w:marRight w:val="0"/>
      <w:marTop w:val="0"/>
      <w:marBottom w:val="0"/>
      <w:divBdr>
        <w:top w:val="none" w:sz="0" w:space="0" w:color="auto"/>
        <w:left w:val="none" w:sz="0" w:space="0" w:color="auto"/>
        <w:bottom w:val="none" w:sz="0" w:space="0" w:color="auto"/>
        <w:right w:val="none" w:sz="0" w:space="0" w:color="auto"/>
      </w:divBdr>
    </w:div>
    <w:div w:id="81610097">
      <w:bodyDiv w:val="1"/>
      <w:marLeft w:val="0"/>
      <w:marRight w:val="0"/>
      <w:marTop w:val="0"/>
      <w:marBottom w:val="0"/>
      <w:divBdr>
        <w:top w:val="none" w:sz="0" w:space="0" w:color="auto"/>
        <w:left w:val="none" w:sz="0" w:space="0" w:color="auto"/>
        <w:bottom w:val="none" w:sz="0" w:space="0" w:color="auto"/>
        <w:right w:val="none" w:sz="0" w:space="0" w:color="auto"/>
      </w:divBdr>
    </w:div>
    <w:div w:id="111638430">
      <w:bodyDiv w:val="1"/>
      <w:marLeft w:val="0"/>
      <w:marRight w:val="0"/>
      <w:marTop w:val="0"/>
      <w:marBottom w:val="0"/>
      <w:divBdr>
        <w:top w:val="none" w:sz="0" w:space="0" w:color="auto"/>
        <w:left w:val="none" w:sz="0" w:space="0" w:color="auto"/>
        <w:bottom w:val="none" w:sz="0" w:space="0" w:color="auto"/>
        <w:right w:val="none" w:sz="0" w:space="0" w:color="auto"/>
      </w:divBdr>
    </w:div>
    <w:div w:id="163055204">
      <w:bodyDiv w:val="1"/>
      <w:marLeft w:val="0"/>
      <w:marRight w:val="0"/>
      <w:marTop w:val="0"/>
      <w:marBottom w:val="0"/>
      <w:divBdr>
        <w:top w:val="none" w:sz="0" w:space="0" w:color="auto"/>
        <w:left w:val="none" w:sz="0" w:space="0" w:color="auto"/>
        <w:bottom w:val="none" w:sz="0" w:space="0" w:color="auto"/>
        <w:right w:val="none" w:sz="0" w:space="0" w:color="auto"/>
      </w:divBdr>
      <w:divsChild>
        <w:div w:id="72774841">
          <w:marLeft w:val="0"/>
          <w:marRight w:val="0"/>
          <w:marTop w:val="0"/>
          <w:marBottom w:val="0"/>
          <w:divBdr>
            <w:top w:val="none" w:sz="0" w:space="0" w:color="auto"/>
            <w:left w:val="none" w:sz="0" w:space="0" w:color="auto"/>
            <w:bottom w:val="none" w:sz="0" w:space="0" w:color="auto"/>
            <w:right w:val="none" w:sz="0" w:space="0" w:color="auto"/>
          </w:divBdr>
        </w:div>
        <w:div w:id="112676843">
          <w:marLeft w:val="0"/>
          <w:marRight w:val="0"/>
          <w:marTop w:val="0"/>
          <w:marBottom w:val="0"/>
          <w:divBdr>
            <w:top w:val="none" w:sz="0" w:space="0" w:color="auto"/>
            <w:left w:val="none" w:sz="0" w:space="0" w:color="auto"/>
            <w:bottom w:val="none" w:sz="0" w:space="0" w:color="auto"/>
            <w:right w:val="none" w:sz="0" w:space="0" w:color="auto"/>
          </w:divBdr>
        </w:div>
        <w:div w:id="135799169">
          <w:marLeft w:val="0"/>
          <w:marRight w:val="0"/>
          <w:marTop w:val="0"/>
          <w:marBottom w:val="0"/>
          <w:divBdr>
            <w:top w:val="none" w:sz="0" w:space="0" w:color="auto"/>
            <w:left w:val="none" w:sz="0" w:space="0" w:color="auto"/>
            <w:bottom w:val="none" w:sz="0" w:space="0" w:color="auto"/>
            <w:right w:val="none" w:sz="0" w:space="0" w:color="auto"/>
          </w:divBdr>
        </w:div>
        <w:div w:id="1033112804">
          <w:marLeft w:val="0"/>
          <w:marRight w:val="0"/>
          <w:marTop w:val="0"/>
          <w:marBottom w:val="0"/>
          <w:divBdr>
            <w:top w:val="none" w:sz="0" w:space="0" w:color="auto"/>
            <w:left w:val="none" w:sz="0" w:space="0" w:color="auto"/>
            <w:bottom w:val="none" w:sz="0" w:space="0" w:color="auto"/>
            <w:right w:val="none" w:sz="0" w:space="0" w:color="auto"/>
          </w:divBdr>
        </w:div>
        <w:div w:id="1521511708">
          <w:marLeft w:val="0"/>
          <w:marRight w:val="0"/>
          <w:marTop w:val="0"/>
          <w:marBottom w:val="0"/>
          <w:divBdr>
            <w:top w:val="none" w:sz="0" w:space="0" w:color="auto"/>
            <w:left w:val="none" w:sz="0" w:space="0" w:color="auto"/>
            <w:bottom w:val="none" w:sz="0" w:space="0" w:color="auto"/>
            <w:right w:val="none" w:sz="0" w:space="0" w:color="auto"/>
          </w:divBdr>
        </w:div>
      </w:divsChild>
    </w:div>
    <w:div w:id="190270577">
      <w:bodyDiv w:val="1"/>
      <w:marLeft w:val="0"/>
      <w:marRight w:val="0"/>
      <w:marTop w:val="0"/>
      <w:marBottom w:val="0"/>
      <w:divBdr>
        <w:top w:val="none" w:sz="0" w:space="0" w:color="auto"/>
        <w:left w:val="none" w:sz="0" w:space="0" w:color="auto"/>
        <w:bottom w:val="none" w:sz="0" w:space="0" w:color="auto"/>
        <w:right w:val="none" w:sz="0" w:space="0" w:color="auto"/>
      </w:divBdr>
    </w:div>
    <w:div w:id="190531945">
      <w:bodyDiv w:val="1"/>
      <w:marLeft w:val="0"/>
      <w:marRight w:val="0"/>
      <w:marTop w:val="0"/>
      <w:marBottom w:val="0"/>
      <w:divBdr>
        <w:top w:val="none" w:sz="0" w:space="0" w:color="auto"/>
        <w:left w:val="none" w:sz="0" w:space="0" w:color="auto"/>
        <w:bottom w:val="none" w:sz="0" w:space="0" w:color="auto"/>
        <w:right w:val="none" w:sz="0" w:space="0" w:color="auto"/>
      </w:divBdr>
    </w:div>
    <w:div w:id="193345705">
      <w:bodyDiv w:val="1"/>
      <w:marLeft w:val="0"/>
      <w:marRight w:val="0"/>
      <w:marTop w:val="0"/>
      <w:marBottom w:val="0"/>
      <w:divBdr>
        <w:top w:val="none" w:sz="0" w:space="0" w:color="auto"/>
        <w:left w:val="none" w:sz="0" w:space="0" w:color="auto"/>
        <w:bottom w:val="none" w:sz="0" w:space="0" w:color="auto"/>
        <w:right w:val="none" w:sz="0" w:space="0" w:color="auto"/>
      </w:divBdr>
    </w:div>
    <w:div w:id="200484480">
      <w:bodyDiv w:val="1"/>
      <w:marLeft w:val="0"/>
      <w:marRight w:val="0"/>
      <w:marTop w:val="0"/>
      <w:marBottom w:val="0"/>
      <w:divBdr>
        <w:top w:val="none" w:sz="0" w:space="0" w:color="auto"/>
        <w:left w:val="none" w:sz="0" w:space="0" w:color="auto"/>
        <w:bottom w:val="none" w:sz="0" w:space="0" w:color="auto"/>
        <w:right w:val="none" w:sz="0" w:space="0" w:color="auto"/>
      </w:divBdr>
      <w:divsChild>
        <w:div w:id="160703322">
          <w:marLeft w:val="0"/>
          <w:marRight w:val="0"/>
          <w:marTop w:val="0"/>
          <w:marBottom w:val="0"/>
          <w:divBdr>
            <w:top w:val="none" w:sz="0" w:space="0" w:color="auto"/>
            <w:left w:val="none" w:sz="0" w:space="0" w:color="auto"/>
            <w:bottom w:val="none" w:sz="0" w:space="0" w:color="auto"/>
            <w:right w:val="none" w:sz="0" w:space="0" w:color="auto"/>
          </w:divBdr>
        </w:div>
        <w:div w:id="506092020">
          <w:marLeft w:val="0"/>
          <w:marRight w:val="0"/>
          <w:marTop w:val="0"/>
          <w:marBottom w:val="0"/>
          <w:divBdr>
            <w:top w:val="none" w:sz="0" w:space="0" w:color="auto"/>
            <w:left w:val="none" w:sz="0" w:space="0" w:color="auto"/>
            <w:bottom w:val="none" w:sz="0" w:space="0" w:color="auto"/>
            <w:right w:val="none" w:sz="0" w:space="0" w:color="auto"/>
          </w:divBdr>
        </w:div>
        <w:div w:id="1243643572">
          <w:marLeft w:val="0"/>
          <w:marRight w:val="0"/>
          <w:marTop w:val="0"/>
          <w:marBottom w:val="0"/>
          <w:divBdr>
            <w:top w:val="none" w:sz="0" w:space="0" w:color="auto"/>
            <w:left w:val="none" w:sz="0" w:space="0" w:color="auto"/>
            <w:bottom w:val="none" w:sz="0" w:space="0" w:color="auto"/>
            <w:right w:val="none" w:sz="0" w:space="0" w:color="auto"/>
          </w:divBdr>
        </w:div>
        <w:div w:id="1941789296">
          <w:marLeft w:val="0"/>
          <w:marRight w:val="0"/>
          <w:marTop w:val="0"/>
          <w:marBottom w:val="0"/>
          <w:divBdr>
            <w:top w:val="none" w:sz="0" w:space="0" w:color="auto"/>
            <w:left w:val="none" w:sz="0" w:space="0" w:color="auto"/>
            <w:bottom w:val="none" w:sz="0" w:space="0" w:color="auto"/>
            <w:right w:val="none" w:sz="0" w:space="0" w:color="auto"/>
          </w:divBdr>
        </w:div>
      </w:divsChild>
    </w:div>
    <w:div w:id="217282464">
      <w:bodyDiv w:val="1"/>
      <w:marLeft w:val="0"/>
      <w:marRight w:val="0"/>
      <w:marTop w:val="0"/>
      <w:marBottom w:val="0"/>
      <w:divBdr>
        <w:top w:val="none" w:sz="0" w:space="0" w:color="auto"/>
        <w:left w:val="none" w:sz="0" w:space="0" w:color="auto"/>
        <w:bottom w:val="none" w:sz="0" w:space="0" w:color="auto"/>
        <w:right w:val="none" w:sz="0" w:space="0" w:color="auto"/>
      </w:divBdr>
    </w:div>
    <w:div w:id="224222885">
      <w:bodyDiv w:val="1"/>
      <w:marLeft w:val="0"/>
      <w:marRight w:val="0"/>
      <w:marTop w:val="0"/>
      <w:marBottom w:val="0"/>
      <w:divBdr>
        <w:top w:val="none" w:sz="0" w:space="0" w:color="auto"/>
        <w:left w:val="none" w:sz="0" w:space="0" w:color="auto"/>
        <w:bottom w:val="none" w:sz="0" w:space="0" w:color="auto"/>
        <w:right w:val="none" w:sz="0" w:space="0" w:color="auto"/>
      </w:divBdr>
    </w:div>
    <w:div w:id="237443218">
      <w:bodyDiv w:val="1"/>
      <w:marLeft w:val="0"/>
      <w:marRight w:val="0"/>
      <w:marTop w:val="0"/>
      <w:marBottom w:val="0"/>
      <w:divBdr>
        <w:top w:val="none" w:sz="0" w:space="0" w:color="auto"/>
        <w:left w:val="none" w:sz="0" w:space="0" w:color="auto"/>
        <w:bottom w:val="none" w:sz="0" w:space="0" w:color="auto"/>
        <w:right w:val="none" w:sz="0" w:space="0" w:color="auto"/>
      </w:divBdr>
    </w:div>
    <w:div w:id="253520606">
      <w:bodyDiv w:val="1"/>
      <w:marLeft w:val="0"/>
      <w:marRight w:val="0"/>
      <w:marTop w:val="0"/>
      <w:marBottom w:val="0"/>
      <w:divBdr>
        <w:top w:val="none" w:sz="0" w:space="0" w:color="auto"/>
        <w:left w:val="none" w:sz="0" w:space="0" w:color="auto"/>
        <w:bottom w:val="none" w:sz="0" w:space="0" w:color="auto"/>
        <w:right w:val="none" w:sz="0" w:space="0" w:color="auto"/>
      </w:divBdr>
    </w:div>
    <w:div w:id="309137912">
      <w:bodyDiv w:val="1"/>
      <w:marLeft w:val="0"/>
      <w:marRight w:val="0"/>
      <w:marTop w:val="0"/>
      <w:marBottom w:val="0"/>
      <w:divBdr>
        <w:top w:val="none" w:sz="0" w:space="0" w:color="auto"/>
        <w:left w:val="none" w:sz="0" w:space="0" w:color="auto"/>
        <w:bottom w:val="none" w:sz="0" w:space="0" w:color="auto"/>
        <w:right w:val="none" w:sz="0" w:space="0" w:color="auto"/>
      </w:divBdr>
    </w:div>
    <w:div w:id="402219072">
      <w:bodyDiv w:val="1"/>
      <w:marLeft w:val="0"/>
      <w:marRight w:val="0"/>
      <w:marTop w:val="0"/>
      <w:marBottom w:val="0"/>
      <w:divBdr>
        <w:top w:val="none" w:sz="0" w:space="0" w:color="auto"/>
        <w:left w:val="none" w:sz="0" w:space="0" w:color="auto"/>
        <w:bottom w:val="none" w:sz="0" w:space="0" w:color="auto"/>
        <w:right w:val="none" w:sz="0" w:space="0" w:color="auto"/>
      </w:divBdr>
    </w:div>
    <w:div w:id="474226301">
      <w:bodyDiv w:val="1"/>
      <w:marLeft w:val="0"/>
      <w:marRight w:val="0"/>
      <w:marTop w:val="0"/>
      <w:marBottom w:val="0"/>
      <w:divBdr>
        <w:top w:val="none" w:sz="0" w:space="0" w:color="auto"/>
        <w:left w:val="none" w:sz="0" w:space="0" w:color="auto"/>
        <w:bottom w:val="none" w:sz="0" w:space="0" w:color="auto"/>
        <w:right w:val="none" w:sz="0" w:space="0" w:color="auto"/>
      </w:divBdr>
    </w:div>
    <w:div w:id="498884580">
      <w:bodyDiv w:val="1"/>
      <w:marLeft w:val="0"/>
      <w:marRight w:val="0"/>
      <w:marTop w:val="0"/>
      <w:marBottom w:val="0"/>
      <w:divBdr>
        <w:top w:val="none" w:sz="0" w:space="0" w:color="auto"/>
        <w:left w:val="none" w:sz="0" w:space="0" w:color="auto"/>
        <w:bottom w:val="none" w:sz="0" w:space="0" w:color="auto"/>
        <w:right w:val="none" w:sz="0" w:space="0" w:color="auto"/>
      </w:divBdr>
    </w:div>
    <w:div w:id="521630806">
      <w:bodyDiv w:val="1"/>
      <w:marLeft w:val="0"/>
      <w:marRight w:val="0"/>
      <w:marTop w:val="0"/>
      <w:marBottom w:val="0"/>
      <w:divBdr>
        <w:top w:val="none" w:sz="0" w:space="0" w:color="auto"/>
        <w:left w:val="none" w:sz="0" w:space="0" w:color="auto"/>
        <w:bottom w:val="none" w:sz="0" w:space="0" w:color="auto"/>
        <w:right w:val="none" w:sz="0" w:space="0" w:color="auto"/>
      </w:divBdr>
    </w:div>
    <w:div w:id="530411729">
      <w:bodyDiv w:val="1"/>
      <w:marLeft w:val="0"/>
      <w:marRight w:val="0"/>
      <w:marTop w:val="0"/>
      <w:marBottom w:val="0"/>
      <w:divBdr>
        <w:top w:val="none" w:sz="0" w:space="0" w:color="auto"/>
        <w:left w:val="none" w:sz="0" w:space="0" w:color="auto"/>
        <w:bottom w:val="none" w:sz="0" w:space="0" w:color="auto"/>
        <w:right w:val="none" w:sz="0" w:space="0" w:color="auto"/>
      </w:divBdr>
    </w:div>
    <w:div w:id="546995541">
      <w:bodyDiv w:val="1"/>
      <w:marLeft w:val="0"/>
      <w:marRight w:val="0"/>
      <w:marTop w:val="0"/>
      <w:marBottom w:val="0"/>
      <w:divBdr>
        <w:top w:val="none" w:sz="0" w:space="0" w:color="auto"/>
        <w:left w:val="none" w:sz="0" w:space="0" w:color="auto"/>
        <w:bottom w:val="none" w:sz="0" w:space="0" w:color="auto"/>
        <w:right w:val="none" w:sz="0" w:space="0" w:color="auto"/>
      </w:divBdr>
    </w:div>
    <w:div w:id="588998793">
      <w:bodyDiv w:val="1"/>
      <w:marLeft w:val="0"/>
      <w:marRight w:val="0"/>
      <w:marTop w:val="0"/>
      <w:marBottom w:val="0"/>
      <w:divBdr>
        <w:top w:val="none" w:sz="0" w:space="0" w:color="auto"/>
        <w:left w:val="none" w:sz="0" w:space="0" w:color="auto"/>
        <w:bottom w:val="none" w:sz="0" w:space="0" w:color="auto"/>
        <w:right w:val="none" w:sz="0" w:space="0" w:color="auto"/>
      </w:divBdr>
    </w:div>
    <w:div w:id="622662056">
      <w:bodyDiv w:val="1"/>
      <w:marLeft w:val="0"/>
      <w:marRight w:val="0"/>
      <w:marTop w:val="0"/>
      <w:marBottom w:val="0"/>
      <w:divBdr>
        <w:top w:val="none" w:sz="0" w:space="0" w:color="auto"/>
        <w:left w:val="none" w:sz="0" w:space="0" w:color="auto"/>
        <w:bottom w:val="none" w:sz="0" w:space="0" w:color="auto"/>
        <w:right w:val="none" w:sz="0" w:space="0" w:color="auto"/>
      </w:divBdr>
    </w:div>
    <w:div w:id="626863010">
      <w:bodyDiv w:val="1"/>
      <w:marLeft w:val="0"/>
      <w:marRight w:val="0"/>
      <w:marTop w:val="0"/>
      <w:marBottom w:val="0"/>
      <w:divBdr>
        <w:top w:val="none" w:sz="0" w:space="0" w:color="auto"/>
        <w:left w:val="none" w:sz="0" w:space="0" w:color="auto"/>
        <w:bottom w:val="none" w:sz="0" w:space="0" w:color="auto"/>
        <w:right w:val="none" w:sz="0" w:space="0" w:color="auto"/>
      </w:divBdr>
    </w:div>
    <w:div w:id="631524876">
      <w:bodyDiv w:val="1"/>
      <w:marLeft w:val="0"/>
      <w:marRight w:val="0"/>
      <w:marTop w:val="0"/>
      <w:marBottom w:val="0"/>
      <w:divBdr>
        <w:top w:val="none" w:sz="0" w:space="0" w:color="auto"/>
        <w:left w:val="none" w:sz="0" w:space="0" w:color="auto"/>
        <w:bottom w:val="none" w:sz="0" w:space="0" w:color="auto"/>
        <w:right w:val="none" w:sz="0" w:space="0" w:color="auto"/>
      </w:divBdr>
    </w:div>
    <w:div w:id="636954640">
      <w:bodyDiv w:val="1"/>
      <w:marLeft w:val="0"/>
      <w:marRight w:val="0"/>
      <w:marTop w:val="0"/>
      <w:marBottom w:val="0"/>
      <w:divBdr>
        <w:top w:val="none" w:sz="0" w:space="0" w:color="auto"/>
        <w:left w:val="none" w:sz="0" w:space="0" w:color="auto"/>
        <w:bottom w:val="none" w:sz="0" w:space="0" w:color="auto"/>
        <w:right w:val="none" w:sz="0" w:space="0" w:color="auto"/>
      </w:divBdr>
    </w:div>
    <w:div w:id="646596715">
      <w:bodyDiv w:val="1"/>
      <w:marLeft w:val="0"/>
      <w:marRight w:val="0"/>
      <w:marTop w:val="0"/>
      <w:marBottom w:val="0"/>
      <w:divBdr>
        <w:top w:val="none" w:sz="0" w:space="0" w:color="auto"/>
        <w:left w:val="none" w:sz="0" w:space="0" w:color="auto"/>
        <w:bottom w:val="none" w:sz="0" w:space="0" w:color="auto"/>
        <w:right w:val="none" w:sz="0" w:space="0" w:color="auto"/>
      </w:divBdr>
    </w:div>
    <w:div w:id="669018745">
      <w:bodyDiv w:val="1"/>
      <w:marLeft w:val="0"/>
      <w:marRight w:val="0"/>
      <w:marTop w:val="0"/>
      <w:marBottom w:val="0"/>
      <w:divBdr>
        <w:top w:val="none" w:sz="0" w:space="0" w:color="auto"/>
        <w:left w:val="none" w:sz="0" w:space="0" w:color="auto"/>
        <w:bottom w:val="none" w:sz="0" w:space="0" w:color="auto"/>
        <w:right w:val="none" w:sz="0" w:space="0" w:color="auto"/>
      </w:divBdr>
    </w:div>
    <w:div w:id="679351289">
      <w:bodyDiv w:val="1"/>
      <w:marLeft w:val="0"/>
      <w:marRight w:val="0"/>
      <w:marTop w:val="0"/>
      <w:marBottom w:val="0"/>
      <w:divBdr>
        <w:top w:val="none" w:sz="0" w:space="0" w:color="auto"/>
        <w:left w:val="none" w:sz="0" w:space="0" w:color="auto"/>
        <w:bottom w:val="none" w:sz="0" w:space="0" w:color="auto"/>
        <w:right w:val="none" w:sz="0" w:space="0" w:color="auto"/>
      </w:divBdr>
    </w:div>
    <w:div w:id="709768472">
      <w:bodyDiv w:val="1"/>
      <w:marLeft w:val="0"/>
      <w:marRight w:val="0"/>
      <w:marTop w:val="0"/>
      <w:marBottom w:val="0"/>
      <w:divBdr>
        <w:top w:val="none" w:sz="0" w:space="0" w:color="auto"/>
        <w:left w:val="none" w:sz="0" w:space="0" w:color="auto"/>
        <w:bottom w:val="none" w:sz="0" w:space="0" w:color="auto"/>
        <w:right w:val="none" w:sz="0" w:space="0" w:color="auto"/>
      </w:divBdr>
    </w:div>
    <w:div w:id="727991793">
      <w:bodyDiv w:val="1"/>
      <w:marLeft w:val="0"/>
      <w:marRight w:val="0"/>
      <w:marTop w:val="0"/>
      <w:marBottom w:val="0"/>
      <w:divBdr>
        <w:top w:val="none" w:sz="0" w:space="0" w:color="auto"/>
        <w:left w:val="none" w:sz="0" w:space="0" w:color="auto"/>
        <w:bottom w:val="none" w:sz="0" w:space="0" w:color="auto"/>
        <w:right w:val="none" w:sz="0" w:space="0" w:color="auto"/>
      </w:divBdr>
    </w:div>
    <w:div w:id="772897932">
      <w:bodyDiv w:val="1"/>
      <w:marLeft w:val="0"/>
      <w:marRight w:val="0"/>
      <w:marTop w:val="0"/>
      <w:marBottom w:val="0"/>
      <w:divBdr>
        <w:top w:val="none" w:sz="0" w:space="0" w:color="auto"/>
        <w:left w:val="none" w:sz="0" w:space="0" w:color="auto"/>
        <w:bottom w:val="none" w:sz="0" w:space="0" w:color="auto"/>
        <w:right w:val="none" w:sz="0" w:space="0" w:color="auto"/>
      </w:divBdr>
    </w:div>
    <w:div w:id="777142644">
      <w:bodyDiv w:val="1"/>
      <w:marLeft w:val="0"/>
      <w:marRight w:val="0"/>
      <w:marTop w:val="0"/>
      <w:marBottom w:val="0"/>
      <w:divBdr>
        <w:top w:val="none" w:sz="0" w:space="0" w:color="auto"/>
        <w:left w:val="none" w:sz="0" w:space="0" w:color="auto"/>
        <w:bottom w:val="none" w:sz="0" w:space="0" w:color="auto"/>
        <w:right w:val="none" w:sz="0" w:space="0" w:color="auto"/>
      </w:divBdr>
    </w:div>
    <w:div w:id="789978370">
      <w:marLeft w:val="0"/>
      <w:marRight w:val="0"/>
      <w:marTop w:val="0"/>
      <w:marBottom w:val="0"/>
      <w:divBdr>
        <w:top w:val="none" w:sz="0" w:space="0" w:color="auto"/>
        <w:left w:val="none" w:sz="0" w:space="0" w:color="auto"/>
        <w:bottom w:val="none" w:sz="0" w:space="0" w:color="auto"/>
        <w:right w:val="none" w:sz="0" w:space="0" w:color="auto"/>
      </w:divBdr>
    </w:div>
    <w:div w:id="789978371">
      <w:marLeft w:val="0"/>
      <w:marRight w:val="0"/>
      <w:marTop w:val="0"/>
      <w:marBottom w:val="0"/>
      <w:divBdr>
        <w:top w:val="none" w:sz="0" w:space="0" w:color="auto"/>
        <w:left w:val="none" w:sz="0" w:space="0" w:color="auto"/>
        <w:bottom w:val="none" w:sz="0" w:space="0" w:color="auto"/>
        <w:right w:val="none" w:sz="0" w:space="0" w:color="auto"/>
      </w:divBdr>
    </w:div>
    <w:div w:id="789978372">
      <w:marLeft w:val="0"/>
      <w:marRight w:val="0"/>
      <w:marTop w:val="0"/>
      <w:marBottom w:val="0"/>
      <w:divBdr>
        <w:top w:val="none" w:sz="0" w:space="0" w:color="auto"/>
        <w:left w:val="none" w:sz="0" w:space="0" w:color="auto"/>
        <w:bottom w:val="none" w:sz="0" w:space="0" w:color="auto"/>
        <w:right w:val="none" w:sz="0" w:space="0" w:color="auto"/>
      </w:divBdr>
    </w:div>
    <w:div w:id="789978373">
      <w:marLeft w:val="0"/>
      <w:marRight w:val="0"/>
      <w:marTop w:val="0"/>
      <w:marBottom w:val="0"/>
      <w:divBdr>
        <w:top w:val="none" w:sz="0" w:space="0" w:color="auto"/>
        <w:left w:val="none" w:sz="0" w:space="0" w:color="auto"/>
        <w:bottom w:val="none" w:sz="0" w:space="0" w:color="auto"/>
        <w:right w:val="none" w:sz="0" w:space="0" w:color="auto"/>
      </w:divBdr>
    </w:div>
    <w:div w:id="789978374">
      <w:marLeft w:val="0"/>
      <w:marRight w:val="0"/>
      <w:marTop w:val="0"/>
      <w:marBottom w:val="0"/>
      <w:divBdr>
        <w:top w:val="none" w:sz="0" w:space="0" w:color="auto"/>
        <w:left w:val="none" w:sz="0" w:space="0" w:color="auto"/>
        <w:bottom w:val="none" w:sz="0" w:space="0" w:color="auto"/>
        <w:right w:val="none" w:sz="0" w:space="0" w:color="auto"/>
      </w:divBdr>
    </w:div>
    <w:div w:id="789978375">
      <w:marLeft w:val="0"/>
      <w:marRight w:val="0"/>
      <w:marTop w:val="0"/>
      <w:marBottom w:val="0"/>
      <w:divBdr>
        <w:top w:val="none" w:sz="0" w:space="0" w:color="auto"/>
        <w:left w:val="none" w:sz="0" w:space="0" w:color="auto"/>
        <w:bottom w:val="none" w:sz="0" w:space="0" w:color="auto"/>
        <w:right w:val="none" w:sz="0" w:space="0" w:color="auto"/>
      </w:divBdr>
    </w:div>
    <w:div w:id="789978376">
      <w:marLeft w:val="0"/>
      <w:marRight w:val="0"/>
      <w:marTop w:val="0"/>
      <w:marBottom w:val="0"/>
      <w:divBdr>
        <w:top w:val="none" w:sz="0" w:space="0" w:color="auto"/>
        <w:left w:val="none" w:sz="0" w:space="0" w:color="auto"/>
        <w:bottom w:val="none" w:sz="0" w:space="0" w:color="auto"/>
        <w:right w:val="none" w:sz="0" w:space="0" w:color="auto"/>
      </w:divBdr>
    </w:div>
    <w:div w:id="789978377">
      <w:marLeft w:val="0"/>
      <w:marRight w:val="0"/>
      <w:marTop w:val="0"/>
      <w:marBottom w:val="0"/>
      <w:divBdr>
        <w:top w:val="none" w:sz="0" w:space="0" w:color="auto"/>
        <w:left w:val="none" w:sz="0" w:space="0" w:color="auto"/>
        <w:bottom w:val="none" w:sz="0" w:space="0" w:color="auto"/>
        <w:right w:val="none" w:sz="0" w:space="0" w:color="auto"/>
      </w:divBdr>
    </w:div>
    <w:div w:id="789978378">
      <w:marLeft w:val="0"/>
      <w:marRight w:val="0"/>
      <w:marTop w:val="0"/>
      <w:marBottom w:val="0"/>
      <w:divBdr>
        <w:top w:val="none" w:sz="0" w:space="0" w:color="auto"/>
        <w:left w:val="none" w:sz="0" w:space="0" w:color="auto"/>
        <w:bottom w:val="none" w:sz="0" w:space="0" w:color="auto"/>
        <w:right w:val="none" w:sz="0" w:space="0" w:color="auto"/>
      </w:divBdr>
    </w:div>
    <w:div w:id="789978379">
      <w:marLeft w:val="0"/>
      <w:marRight w:val="0"/>
      <w:marTop w:val="0"/>
      <w:marBottom w:val="0"/>
      <w:divBdr>
        <w:top w:val="none" w:sz="0" w:space="0" w:color="auto"/>
        <w:left w:val="none" w:sz="0" w:space="0" w:color="auto"/>
        <w:bottom w:val="none" w:sz="0" w:space="0" w:color="auto"/>
        <w:right w:val="none" w:sz="0" w:space="0" w:color="auto"/>
      </w:divBdr>
    </w:div>
    <w:div w:id="789978380">
      <w:marLeft w:val="0"/>
      <w:marRight w:val="0"/>
      <w:marTop w:val="0"/>
      <w:marBottom w:val="0"/>
      <w:divBdr>
        <w:top w:val="none" w:sz="0" w:space="0" w:color="auto"/>
        <w:left w:val="none" w:sz="0" w:space="0" w:color="auto"/>
        <w:bottom w:val="none" w:sz="0" w:space="0" w:color="auto"/>
        <w:right w:val="none" w:sz="0" w:space="0" w:color="auto"/>
      </w:divBdr>
    </w:div>
    <w:div w:id="789978381">
      <w:marLeft w:val="0"/>
      <w:marRight w:val="0"/>
      <w:marTop w:val="0"/>
      <w:marBottom w:val="0"/>
      <w:divBdr>
        <w:top w:val="none" w:sz="0" w:space="0" w:color="auto"/>
        <w:left w:val="none" w:sz="0" w:space="0" w:color="auto"/>
        <w:bottom w:val="none" w:sz="0" w:space="0" w:color="auto"/>
        <w:right w:val="none" w:sz="0" w:space="0" w:color="auto"/>
      </w:divBdr>
    </w:div>
    <w:div w:id="789978382">
      <w:marLeft w:val="0"/>
      <w:marRight w:val="0"/>
      <w:marTop w:val="0"/>
      <w:marBottom w:val="0"/>
      <w:divBdr>
        <w:top w:val="none" w:sz="0" w:space="0" w:color="auto"/>
        <w:left w:val="none" w:sz="0" w:space="0" w:color="auto"/>
        <w:bottom w:val="none" w:sz="0" w:space="0" w:color="auto"/>
        <w:right w:val="none" w:sz="0" w:space="0" w:color="auto"/>
      </w:divBdr>
    </w:div>
    <w:div w:id="789978383">
      <w:marLeft w:val="0"/>
      <w:marRight w:val="0"/>
      <w:marTop w:val="0"/>
      <w:marBottom w:val="0"/>
      <w:divBdr>
        <w:top w:val="none" w:sz="0" w:space="0" w:color="auto"/>
        <w:left w:val="none" w:sz="0" w:space="0" w:color="auto"/>
        <w:bottom w:val="none" w:sz="0" w:space="0" w:color="auto"/>
        <w:right w:val="none" w:sz="0" w:space="0" w:color="auto"/>
      </w:divBdr>
    </w:div>
    <w:div w:id="789978384">
      <w:marLeft w:val="0"/>
      <w:marRight w:val="0"/>
      <w:marTop w:val="0"/>
      <w:marBottom w:val="0"/>
      <w:divBdr>
        <w:top w:val="none" w:sz="0" w:space="0" w:color="auto"/>
        <w:left w:val="none" w:sz="0" w:space="0" w:color="auto"/>
        <w:bottom w:val="none" w:sz="0" w:space="0" w:color="auto"/>
        <w:right w:val="none" w:sz="0" w:space="0" w:color="auto"/>
      </w:divBdr>
    </w:div>
    <w:div w:id="789978385">
      <w:marLeft w:val="0"/>
      <w:marRight w:val="0"/>
      <w:marTop w:val="0"/>
      <w:marBottom w:val="0"/>
      <w:divBdr>
        <w:top w:val="none" w:sz="0" w:space="0" w:color="auto"/>
        <w:left w:val="none" w:sz="0" w:space="0" w:color="auto"/>
        <w:bottom w:val="none" w:sz="0" w:space="0" w:color="auto"/>
        <w:right w:val="none" w:sz="0" w:space="0" w:color="auto"/>
      </w:divBdr>
    </w:div>
    <w:div w:id="789978386">
      <w:marLeft w:val="0"/>
      <w:marRight w:val="0"/>
      <w:marTop w:val="0"/>
      <w:marBottom w:val="0"/>
      <w:divBdr>
        <w:top w:val="none" w:sz="0" w:space="0" w:color="auto"/>
        <w:left w:val="none" w:sz="0" w:space="0" w:color="auto"/>
        <w:bottom w:val="none" w:sz="0" w:space="0" w:color="auto"/>
        <w:right w:val="none" w:sz="0" w:space="0" w:color="auto"/>
      </w:divBdr>
    </w:div>
    <w:div w:id="789978387">
      <w:marLeft w:val="0"/>
      <w:marRight w:val="0"/>
      <w:marTop w:val="0"/>
      <w:marBottom w:val="0"/>
      <w:divBdr>
        <w:top w:val="none" w:sz="0" w:space="0" w:color="auto"/>
        <w:left w:val="none" w:sz="0" w:space="0" w:color="auto"/>
        <w:bottom w:val="none" w:sz="0" w:space="0" w:color="auto"/>
        <w:right w:val="none" w:sz="0" w:space="0" w:color="auto"/>
      </w:divBdr>
    </w:div>
    <w:div w:id="789978388">
      <w:marLeft w:val="0"/>
      <w:marRight w:val="0"/>
      <w:marTop w:val="0"/>
      <w:marBottom w:val="0"/>
      <w:divBdr>
        <w:top w:val="none" w:sz="0" w:space="0" w:color="auto"/>
        <w:left w:val="none" w:sz="0" w:space="0" w:color="auto"/>
        <w:bottom w:val="none" w:sz="0" w:space="0" w:color="auto"/>
        <w:right w:val="none" w:sz="0" w:space="0" w:color="auto"/>
      </w:divBdr>
    </w:div>
    <w:div w:id="789978389">
      <w:marLeft w:val="0"/>
      <w:marRight w:val="0"/>
      <w:marTop w:val="0"/>
      <w:marBottom w:val="0"/>
      <w:divBdr>
        <w:top w:val="none" w:sz="0" w:space="0" w:color="auto"/>
        <w:left w:val="none" w:sz="0" w:space="0" w:color="auto"/>
        <w:bottom w:val="none" w:sz="0" w:space="0" w:color="auto"/>
        <w:right w:val="none" w:sz="0" w:space="0" w:color="auto"/>
      </w:divBdr>
    </w:div>
    <w:div w:id="789978390">
      <w:marLeft w:val="0"/>
      <w:marRight w:val="0"/>
      <w:marTop w:val="0"/>
      <w:marBottom w:val="0"/>
      <w:divBdr>
        <w:top w:val="none" w:sz="0" w:space="0" w:color="auto"/>
        <w:left w:val="none" w:sz="0" w:space="0" w:color="auto"/>
        <w:bottom w:val="none" w:sz="0" w:space="0" w:color="auto"/>
        <w:right w:val="none" w:sz="0" w:space="0" w:color="auto"/>
      </w:divBdr>
    </w:div>
    <w:div w:id="789978391">
      <w:marLeft w:val="0"/>
      <w:marRight w:val="0"/>
      <w:marTop w:val="0"/>
      <w:marBottom w:val="0"/>
      <w:divBdr>
        <w:top w:val="none" w:sz="0" w:space="0" w:color="auto"/>
        <w:left w:val="none" w:sz="0" w:space="0" w:color="auto"/>
        <w:bottom w:val="none" w:sz="0" w:space="0" w:color="auto"/>
        <w:right w:val="none" w:sz="0" w:space="0" w:color="auto"/>
      </w:divBdr>
    </w:div>
    <w:div w:id="789978392">
      <w:marLeft w:val="0"/>
      <w:marRight w:val="0"/>
      <w:marTop w:val="0"/>
      <w:marBottom w:val="0"/>
      <w:divBdr>
        <w:top w:val="none" w:sz="0" w:space="0" w:color="auto"/>
        <w:left w:val="none" w:sz="0" w:space="0" w:color="auto"/>
        <w:bottom w:val="none" w:sz="0" w:space="0" w:color="auto"/>
        <w:right w:val="none" w:sz="0" w:space="0" w:color="auto"/>
      </w:divBdr>
    </w:div>
    <w:div w:id="789978393">
      <w:marLeft w:val="0"/>
      <w:marRight w:val="0"/>
      <w:marTop w:val="0"/>
      <w:marBottom w:val="0"/>
      <w:divBdr>
        <w:top w:val="none" w:sz="0" w:space="0" w:color="auto"/>
        <w:left w:val="none" w:sz="0" w:space="0" w:color="auto"/>
        <w:bottom w:val="none" w:sz="0" w:space="0" w:color="auto"/>
        <w:right w:val="none" w:sz="0" w:space="0" w:color="auto"/>
      </w:divBdr>
    </w:div>
    <w:div w:id="789978394">
      <w:marLeft w:val="0"/>
      <w:marRight w:val="0"/>
      <w:marTop w:val="0"/>
      <w:marBottom w:val="0"/>
      <w:divBdr>
        <w:top w:val="none" w:sz="0" w:space="0" w:color="auto"/>
        <w:left w:val="none" w:sz="0" w:space="0" w:color="auto"/>
        <w:bottom w:val="none" w:sz="0" w:space="0" w:color="auto"/>
        <w:right w:val="none" w:sz="0" w:space="0" w:color="auto"/>
      </w:divBdr>
    </w:div>
    <w:div w:id="789978395">
      <w:marLeft w:val="0"/>
      <w:marRight w:val="0"/>
      <w:marTop w:val="0"/>
      <w:marBottom w:val="0"/>
      <w:divBdr>
        <w:top w:val="none" w:sz="0" w:space="0" w:color="auto"/>
        <w:left w:val="none" w:sz="0" w:space="0" w:color="auto"/>
        <w:bottom w:val="none" w:sz="0" w:space="0" w:color="auto"/>
        <w:right w:val="none" w:sz="0" w:space="0" w:color="auto"/>
      </w:divBdr>
    </w:div>
    <w:div w:id="789978396">
      <w:marLeft w:val="0"/>
      <w:marRight w:val="0"/>
      <w:marTop w:val="0"/>
      <w:marBottom w:val="0"/>
      <w:divBdr>
        <w:top w:val="none" w:sz="0" w:space="0" w:color="auto"/>
        <w:left w:val="none" w:sz="0" w:space="0" w:color="auto"/>
        <w:bottom w:val="none" w:sz="0" w:space="0" w:color="auto"/>
        <w:right w:val="none" w:sz="0" w:space="0" w:color="auto"/>
      </w:divBdr>
    </w:div>
    <w:div w:id="789978397">
      <w:marLeft w:val="0"/>
      <w:marRight w:val="0"/>
      <w:marTop w:val="0"/>
      <w:marBottom w:val="0"/>
      <w:divBdr>
        <w:top w:val="none" w:sz="0" w:space="0" w:color="auto"/>
        <w:left w:val="none" w:sz="0" w:space="0" w:color="auto"/>
        <w:bottom w:val="none" w:sz="0" w:space="0" w:color="auto"/>
        <w:right w:val="none" w:sz="0" w:space="0" w:color="auto"/>
      </w:divBdr>
    </w:div>
    <w:div w:id="789978398">
      <w:marLeft w:val="0"/>
      <w:marRight w:val="0"/>
      <w:marTop w:val="0"/>
      <w:marBottom w:val="0"/>
      <w:divBdr>
        <w:top w:val="none" w:sz="0" w:space="0" w:color="auto"/>
        <w:left w:val="none" w:sz="0" w:space="0" w:color="auto"/>
        <w:bottom w:val="none" w:sz="0" w:space="0" w:color="auto"/>
        <w:right w:val="none" w:sz="0" w:space="0" w:color="auto"/>
      </w:divBdr>
    </w:div>
    <w:div w:id="789978399">
      <w:marLeft w:val="0"/>
      <w:marRight w:val="0"/>
      <w:marTop w:val="0"/>
      <w:marBottom w:val="0"/>
      <w:divBdr>
        <w:top w:val="none" w:sz="0" w:space="0" w:color="auto"/>
        <w:left w:val="none" w:sz="0" w:space="0" w:color="auto"/>
        <w:bottom w:val="none" w:sz="0" w:space="0" w:color="auto"/>
        <w:right w:val="none" w:sz="0" w:space="0" w:color="auto"/>
      </w:divBdr>
    </w:div>
    <w:div w:id="789978400">
      <w:marLeft w:val="0"/>
      <w:marRight w:val="0"/>
      <w:marTop w:val="0"/>
      <w:marBottom w:val="0"/>
      <w:divBdr>
        <w:top w:val="none" w:sz="0" w:space="0" w:color="auto"/>
        <w:left w:val="none" w:sz="0" w:space="0" w:color="auto"/>
        <w:bottom w:val="none" w:sz="0" w:space="0" w:color="auto"/>
        <w:right w:val="none" w:sz="0" w:space="0" w:color="auto"/>
      </w:divBdr>
    </w:div>
    <w:div w:id="789978401">
      <w:marLeft w:val="0"/>
      <w:marRight w:val="0"/>
      <w:marTop w:val="0"/>
      <w:marBottom w:val="0"/>
      <w:divBdr>
        <w:top w:val="none" w:sz="0" w:space="0" w:color="auto"/>
        <w:left w:val="none" w:sz="0" w:space="0" w:color="auto"/>
        <w:bottom w:val="none" w:sz="0" w:space="0" w:color="auto"/>
        <w:right w:val="none" w:sz="0" w:space="0" w:color="auto"/>
      </w:divBdr>
    </w:div>
    <w:div w:id="789978402">
      <w:marLeft w:val="0"/>
      <w:marRight w:val="0"/>
      <w:marTop w:val="0"/>
      <w:marBottom w:val="0"/>
      <w:divBdr>
        <w:top w:val="none" w:sz="0" w:space="0" w:color="auto"/>
        <w:left w:val="none" w:sz="0" w:space="0" w:color="auto"/>
        <w:bottom w:val="none" w:sz="0" w:space="0" w:color="auto"/>
        <w:right w:val="none" w:sz="0" w:space="0" w:color="auto"/>
      </w:divBdr>
    </w:div>
    <w:div w:id="789978403">
      <w:marLeft w:val="0"/>
      <w:marRight w:val="0"/>
      <w:marTop w:val="0"/>
      <w:marBottom w:val="0"/>
      <w:divBdr>
        <w:top w:val="none" w:sz="0" w:space="0" w:color="auto"/>
        <w:left w:val="none" w:sz="0" w:space="0" w:color="auto"/>
        <w:bottom w:val="none" w:sz="0" w:space="0" w:color="auto"/>
        <w:right w:val="none" w:sz="0" w:space="0" w:color="auto"/>
      </w:divBdr>
    </w:div>
    <w:div w:id="789978404">
      <w:marLeft w:val="0"/>
      <w:marRight w:val="0"/>
      <w:marTop w:val="0"/>
      <w:marBottom w:val="0"/>
      <w:divBdr>
        <w:top w:val="none" w:sz="0" w:space="0" w:color="auto"/>
        <w:left w:val="none" w:sz="0" w:space="0" w:color="auto"/>
        <w:bottom w:val="none" w:sz="0" w:space="0" w:color="auto"/>
        <w:right w:val="none" w:sz="0" w:space="0" w:color="auto"/>
      </w:divBdr>
    </w:div>
    <w:div w:id="789978405">
      <w:marLeft w:val="0"/>
      <w:marRight w:val="0"/>
      <w:marTop w:val="0"/>
      <w:marBottom w:val="0"/>
      <w:divBdr>
        <w:top w:val="none" w:sz="0" w:space="0" w:color="auto"/>
        <w:left w:val="none" w:sz="0" w:space="0" w:color="auto"/>
        <w:bottom w:val="none" w:sz="0" w:space="0" w:color="auto"/>
        <w:right w:val="none" w:sz="0" w:space="0" w:color="auto"/>
      </w:divBdr>
    </w:div>
    <w:div w:id="789978406">
      <w:marLeft w:val="0"/>
      <w:marRight w:val="0"/>
      <w:marTop w:val="0"/>
      <w:marBottom w:val="0"/>
      <w:divBdr>
        <w:top w:val="none" w:sz="0" w:space="0" w:color="auto"/>
        <w:left w:val="none" w:sz="0" w:space="0" w:color="auto"/>
        <w:bottom w:val="none" w:sz="0" w:space="0" w:color="auto"/>
        <w:right w:val="none" w:sz="0" w:space="0" w:color="auto"/>
      </w:divBdr>
    </w:div>
    <w:div w:id="789978407">
      <w:marLeft w:val="0"/>
      <w:marRight w:val="0"/>
      <w:marTop w:val="0"/>
      <w:marBottom w:val="0"/>
      <w:divBdr>
        <w:top w:val="none" w:sz="0" w:space="0" w:color="auto"/>
        <w:left w:val="none" w:sz="0" w:space="0" w:color="auto"/>
        <w:bottom w:val="none" w:sz="0" w:space="0" w:color="auto"/>
        <w:right w:val="none" w:sz="0" w:space="0" w:color="auto"/>
      </w:divBdr>
    </w:div>
    <w:div w:id="789978408">
      <w:marLeft w:val="0"/>
      <w:marRight w:val="0"/>
      <w:marTop w:val="0"/>
      <w:marBottom w:val="0"/>
      <w:divBdr>
        <w:top w:val="none" w:sz="0" w:space="0" w:color="auto"/>
        <w:left w:val="none" w:sz="0" w:space="0" w:color="auto"/>
        <w:bottom w:val="none" w:sz="0" w:space="0" w:color="auto"/>
        <w:right w:val="none" w:sz="0" w:space="0" w:color="auto"/>
      </w:divBdr>
    </w:div>
    <w:div w:id="789978409">
      <w:marLeft w:val="0"/>
      <w:marRight w:val="0"/>
      <w:marTop w:val="0"/>
      <w:marBottom w:val="0"/>
      <w:divBdr>
        <w:top w:val="none" w:sz="0" w:space="0" w:color="auto"/>
        <w:left w:val="none" w:sz="0" w:space="0" w:color="auto"/>
        <w:bottom w:val="none" w:sz="0" w:space="0" w:color="auto"/>
        <w:right w:val="none" w:sz="0" w:space="0" w:color="auto"/>
      </w:divBdr>
    </w:div>
    <w:div w:id="789978410">
      <w:marLeft w:val="0"/>
      <w:marRight w:val="0"/>
      <w:marTop w:val="0"/>
      <w:marBottom w:val="0"/>
      <w:divBdr>
        <w:top w:val="none" w:sz="0" w:space="0" w:color="auto"/>
        <w:left w:val="none" w:sz="0" w:space="0" w:color="auto"/>
        <w:bottom w:val="none" w:sz="0" w:space="0" w:color="auto"/>
        <w:right w:val="none" w:sz="0" w:space="0" w:color="auto"/>
      </w:divBdr>
    </w:div>
    <w:div w:id="789978411">
      <w:marLeft w:val="0"/>
      <w:marRight w:val="0"/>
      <w:marTop w:val="0"/>
      <w:marBottom w:val="0"/>
      <w:divBdr>
        <w:top w:val="none" w:sz="0" w:space="0" w:color="auto"/>
        <w:left w:val="none" w:sz="0" w:space="0" w:color="auto"/>
        <w:bottom w:val="none" w:sz="0" w:space="0" w:color="auto"/>
        <w:right w:val="none" w:sz="0" w:space="0" w:color="auto"/>
      </w:divBdr>
    </w:div>
    <w:div w:id="789978412">
      <w:marLeft w:val="0"/>
      <w:marRight w:val="0"/>
      <w:marTop w:val="0"/>
      <w:marBottom w:val="0"/>
      <w:divBdr>
        <w:top w:val="none" w:sz="0" w:space="0" w:color="auto"/>
        <w:left w:val="none" w:sz="0" w:space="0" w:color="auto"/>
        <w:bottom w:val="none" w:sz="0" w:space="0" w:color="auto"/>
        <w:right w:val="none" w:sz="0" w:space="0" w:color="auto"/>
      </w:divBdr>
    </w:div>
    <w:div w:id="789978413">
      <w:marLeft w:val="0"/>
      <w:marRight w:val="0"/>
      <w:marTop w:val="0"/>
      <w:marBottom w:val="0"/>
      <w:divBdr>
        <w:top w:val="none" w:sz="0" w:space="0" w:color="auto"/>
        <w:left w:val="none" w:sz="0" w:space="0" w:color="auto"/>
        <w:bottom w:val="none" w:sz="0" w:space="0" w:color="auto"/>
        <w:right w:val="none" w:sz="0" w:space="0" w:color="auto"/>
      </w:divBdr>
    </w:div>
    <w:div w:id="789978414">
      <w:marLeft w:val="0"/>
      <w:marRight w:val="0"/>
      <w:marTop w:val="0"/>
      <w:marBottom w:val="0"/>
      <w:divBdr>
        <w:top w:val="none" w:sz="0" w:space="0" w:color="auto"/>
        <w:left w:val="none" w:sz="0" w:space="0" w:color="auto"/>
        <w:bottom w:val="none" w:sz="0" w:space="0" w:color="auto"/>
        <w:right w:val="none" w:sz="0" w:space="0" w:color="auto"/>
      </w:divBdr>
    </w:div>
    <w:div w:id="789978415">
      <w:marLeft w:val="0"/>
      <w:marRight w:val="0"/>
      <w:marTop w:val="0"/>
      <w:marBottom w:val="0"/>
      <w:divBdr>
        <w:top w:val="none" w:sz="0" w:space="0" w:color="auto"/>
        <w:left w:val="none" w:sz="0" w:space="0" w:color="auto"/>
        <w:bottom w:val="none" w:sz="0" w:space="0" w:color="auto"/>
        <w:right w:val="none" w:sz="0" w:space="0" w:color="auto"/>
      </w:divBdr>
    </w:div>
    <w:div w:id="789978416">
      <w:marLeft w:val="0"/>
      <w:marRight w:val="0"/>
      <w:marTop w:val="0"/>
      <w:marBottom w:val="0"/>
      <w:divBdr>
        <w:top w:val="none" w:sz="0" w:space="0" w:color="auto"/>
        <w:left w:val="none" w:sz="0" w:space="0" w:color="auto"/>
        <w:bottom w:val="none" w:sz="0" w:space="0" w:color="auto"/>
        <w:right w:val="none" w:sz="0" w:space="0" w:color="auto"/>
      </w:divBdr>
    </w:div>
    <w:div w:id="789978417">
      <w:marLeft w:val="0"/>
      <w:marRight w:val="0"/>
      <w:marTop w:val="0"/>
      <w:marBottom w:val="0"/>
      <w:divBdr>
        <w:top w:val="none" w:sz="0" w:space="0" w:color="auto"/>
        <w:left w:val="none" w:sz="0" w:space="0" w:color="auto"/>
        <w:bottom w:val="none" w:sz="0" w:space="0" w:color="auto"/>
        <w:right w:val="none" w:sz="0" w:space="0" w:color="auto"/>
      </w:divBdr>
    </w:div>
    <w:div w:id="789978418">
      <w:marLeft w:val="0"/>
      <w:marRight w:val="0"/>
      <w:marTop w:val="0"/>
      <w:marBottom w:val="0"/>
      <w:divBdr>
        <w:top w:val="none" w:sz="0" w:space="0" w:color="auto"/>
        <w:left w:val="none" w:sz="0" w:space="0" w:color="auto"/>
        <w:bottom w:val="none" w:sz="0" w:space="0" w:color="auto"/>
        <w:right w:val="none" w:sz="0" w:space="0" w:color="auto"/>
      </w:divBdr>
    </w:div>
    <w:div w:id="789978419">
      <w:marLeft w:val="0"/>
      <w:marRight w:val="0"/>
      <w:marTop w:val="0"/>
      <w:marBottom w:val="0"/>
      <w:divBdr>
        <w:top w:val="none" w:sz="0" w:space="0" w:color="auto"/>
        <w:left w:val="none" w:sz="0" w:space="0" w:color="auto"/>
        <w:bottom w:val="none" w:sz="0" w:space="0" w:color="auto"/>
        <w:right w:val="none" w:sz="0" w:space="0" w:color="auto"/>
      </w:divBdr>
    </w:div>
    <w:div w:id="789978420">
      <w:marLeft w:val="0"/>
      <w:marRight w:val="0"/>
      <w:marTop w:val="0"/>
      <w:marBottom w:val="0"/>
      <w:divBdr>
        <w:top w:val="none" w:sz="0" w:space="0" w:color="auto"/>
        <w:left w:val="none" w:sz="0" w:space="0" w:color="auto"/>
        <w:bottom w:val="none" w:sz="0" w:space="0" w:color="auto"/>
        <w:right w:val="none" w:sz="0" w:space="0" w:color="auto"/>
      </w:divBdr>
    </w:div>
    <w:div w:id="789978421">
      <w:marLeft w:val="0"/>
      <w:marRight w:val="0"/>
      <w:marTop w:val="0"/>
      <w:marBottom w:val="0"/>
      <w:divBdr>
        <w:top w:val="none" w:sz="0" w:space="0" w:color="auto"/>
        <w:left w:val="none" w:sz="0" w:space="0" w:color="auto"/>
        <w:bottom w:val="none" w:sz="0" w:space="0" w:color="auto"/>
        <w:right w:val="none" w:sz="0" w:space="0" w:color="auto"/>
      </w:divBdr>
    </w:div>
    <w:div w:id="789978422">
      <w:marLeft w:val="0"/>
      <w:marRight w:val="0"/>
      <w:marTop w:val="0"/>
      <w:marBottom w:val="0"/>
      <w:divBdr>
        <w:top w:val="none" w:sz="0" w:space="0" w:color="auto"/>
        <w:left w:val="none" w:sz="0" w:space="0" w:color="auto"/>
        <w:bottom w:val="none" w:sz="0" w:space="0" w:color="auto"/>
        <w:right w:val="none" w:sz="0" w:space="0" w:color="auto"/>
      </w:divBdr>
    </w:div>
    <w:div w:id="789978423">
      <w:marLeft w:val="0"/>
      <w:marRight w:val="0"/>
      <w:marTop w:val="0"/>
      <w:marBottom w:val="0"/>
      <w:divBdr>
        <w:top w:val="none" w:sz="0" w:space="0" w:color="auto"/>
        <w:left w:val="none" w:sz="0" w:space="0" w:color="auto"/>
        <w:bottom w:val="none" w:sz="0" w:space="0" w:color="auto"/>
        <w:right w:val="none" w:sz="0" w:space="0" w:color="auto"/>
      </w:divBdr>
    </w:div>
    <w:div w:id="789978424">
      <w:marLeft w:val="0"/>
      <w:marRight w:val="0"/>
      <w:marTop w:val="0"/>
      <w:marBottom w:val="0"/>
      <w:divBdr>
        <w:top w:val="none" w:sz="0" w:space="0" w:color="auto"/>
        <w:left w:val="none" w:sz="0" w:space="0" w:color="auto"/>
        <w:bottom w:val="none" w:sz="0" w:space="0" w:color="auto"/>
        <w:right w:val="none" w:sz="0" w:space="0" w:color="auto"/>
      </w:divBdr>
    </w:div>
    <w:div w:id="789978425">
      <w:marLeft w:val="0"/>
      <w:marRight w:val="0"/>
      <w:marTop w:val="0"/>
      <w:marBottom w:val="0"/>
      <w:divBdr>
        <w:top w:val="none" w:sz="0" w:space="0" w:color="auto"/>
        <w:left w:val="none" w:sz="0" w:space="0" w:color="auto"/>
        <w:bottom w:val="none" w:sz="0" w:space="0" w:color="auto"/>
        <w:right w:val="none" w:sz="0" w:space="0" w:color="auto"/>
      </w:divBdr>
    </w:div>
    <w:div w:id="789978426">
      <w:marLeft w:val="0"/>
      <w:marRight w:val="0"/>
      <w:marTop w:val="0"/>
      <w:marBottom w:val="0"/>
      <w:divBdr>
        <w:top w:val="none" w:sz="0" w:space="0" w:color="auto"/>
        <w:left w:val="none" w:sz="0" w:space="0" w:color="auto"/>
        <w:bottom w:val="none" w:sz="0" w:space="0" w:color="auto"/>
        <w:right w:val="none" w:sz="0" w:space="0" w:color="auto"/>
      </w:divBdr>
    </w:div>
    <w:div w:id="789978427">
      <w:marLeft w:val="0"/>
      <w:marRight w:val="0"/>
      <w:marTop w:val="0"/>
      <w:marBottom w:val="0"/>
      <w:divBdr>
        <w:top w:val="none" w:sz="0" w:space="0" w:color="auto"/>
        <w:left w:val="none" w:sz="0" w:space="0" w:color="auto"/>
        <w:bottom w:val="none" w:sz="0" w:space="0" w:color="auto"/>
        <w:right w:val="none" w:sz="0" w:space="0" w:color="auto"/>
      </w:divBdr>
    </w:div>
    <w:div w:id="789978428">
      <w:marLeft w:val="0"/>
      <w:marRight w:val="0"/>
      <w:marTop w:val="0"/>
      <w:marBottom w:val="0"/>
      <w:divBdr>
        <w:top w:val="none" w:sz="0" w:space="0" w:color="auto"/>
        <w:left w:val="none" w:sz="0" w:space="0" w:color="auto"/>
        <w:bottom w:val="none" w:sz="0" w:space="0" w:color="auto"/>
        <w:right w:val="none" w:sz="0" w:space="0" w:color="auto"/>
      </w:divBdr>
    </w:div>
    <w:div w:id="789978429">
      <w:marLeft w:val="0"/>
      <w:marRight w:val="0"/>
      <w:marTop w:val="0"/>
      <w:marBottom w:val="0"/>
      <w:divBdr>
        <w:top w:val="none" w:sz="0" w:space="0" w:color="auto"/>
        <w:left w:val="none" w:sz="0" w:space="0" w:color="auto"/>
        <w:bottom w:val="none" w:sz="0" w:space="0" w:color="auto"/>
        <w:right w:val="none" w:sz="0" w:space="0" w:color="auto"/>
      </w:divBdr>
    </w:div>
    <w:div w:id="789978430">
      <w:marLeft w:val="0"/>
      <w:marRight w:val="0"/>
      <w:marTop w:val="0"/>
      <w:marBottom w:val="0"/>
      <w:divBdr>
        <w:top w:val="none" w:sz="0" w:space="0" w:color="auto"/>
        <w:left w:val="none" w:sz="0" w:space="0" w:color="auto"/>
        <w:bottom w:val="none" w:sz="0" w:space="0" w:color="auto"/>
        <w:right w:val="none" w:sz="0" w:space="0" w:color="auto"/>
      </w:divBdr>
    </w:div>
    <w:div w:id="789978431">
      <w:marLeft w:val="0"/>
      <w:marRight w:val="0"/>
      <w:marTop w:val="0"/>
      <w:marBottom w:val="0"/>
      <w:divBdr>
        <w:top w:val="none" w:sz="0" w:space="0" w:color="auto"/>
        <w:left w:val="none" w:sz="0" w:space="0" w:color="auto"/>
        <w:bottom w:val="none" w:sz="0" w:space="0" w:color="auto"/>
        <w:right w:val="none" w:sz="0" w:space="0" w:color="auto"/>
      </w:divBdr>
    </w:div>
    <w:div w:id="789978432">
      <w:marLeft w:val="0"/>
      <w:marRight w:val="0"/>
      <w:marTop w:val="0"/>
      <w:marBottom w:val="0"/>
      <w:divBdr>
        <w:top w:val="none" w:sz="0" w:space="0" w:color="auto"/>
        <w:left w:val="none" w:sz="0" w:space="0" w:color="auto"/>
        <w:bottom w:val="none" w:sz="0" w:space="0" w:color="auto"/>
        <w:right w:val="none" w:sz="0" w:space="0" w:color="auto"/>
      </w:divBdr>
    </w:div>
    <w:div w:id="789978433">
      <w:marLeft w:val="0"/>
      <w:marRight w:val="0"/>
      <w:marTop w:val="0"/>
      <w:marBottom w:val="0"/>
      <w:divBdr>
        <w:top w:val="none" w:sz="0" w:space="0" w:color="auto"/>
        <w:left w:val="none" w:sz="0" w:space="0" w:color="auto"/>
        <w:bottom w:val="none" w:sz="0" w:space="0" w:color="auto"/>
        <w:right w:val="none" w:sz="0" w:space="0" w:color="auto"/>
      </w:divBdr>
    </w:div>
    <w:div w:id="789978434">
      <w:marLeft w:val="0"/>
      <w:marRight w:val="0"/>
      <w:marTop w:val="0"/>
      <w:marBottom w:val="0"/>
      <w:divBdr>
        <w:top w:val="none" w:sz="0" w:space="0" w:color="auto"/>
        <w:left w:val="none" w:sz="0" w:space="0" w:color="auto"/>
        <w:bottom w:val="none" w:sz="0" w:space="0" w:color="auto"/>
        <w:right w:val="none" w:sz="0" w:space="0" w:color="auto"/>
      </w:divBdr>
    </w:div>
    <w:div w:id="789978435">
      <w:marLeft w:val="0"/>
      <w:marRight w:val="0"/>
      <w:marTop w:val="0"/>
      <w:marBottom w:val="0"/>
      <w:divBdr>
        <w:top w:val="none" w:sz="0" w:space="0" w:color="auto"/>
        <w:left w:val="none" w:sz="0" w:space="0" w:color="auto"/>
        <w:bottom w:val="none" w:sz="0" w:space="0" w:color="auto"/>
        <w:right w:val="none" w:sz="0" w:space="0" w:color="auto"/>
      </w:divBdr>
    </w:div>
    <w:div w:id="789978436">
      <w:marLeft w:val="0"/>
      <w:marRight w:val="0"/>
      <w:marTop w:val="0"/>
      <w:marBottom w:val="0"/>
      <w:divBdr>
        <w:top w:val="none" w:sz="0" w:space="0" w:color="auto"/>
        <w:left w:val="none" w:sz="0" w:space="0" w:color="auto"/>
        <w:bottom w:val="none" w:sz="0" w:space="0" w:color="auto"/>
        <w:right w:val="none" w:sz="0" w:space="0" w:color="auto"/>
      </w:divBdr>
    </w:div>
    <w:div w:id="789978437">
      <w:marLeft w:val="0"/>
      <w:marRight w:val="0"/>
      <w:marTop w:val="0"/>
      <w:marBottom w:val="0"/>
      <w:divBdr>
        <w:top w:val="none" w:sz="0" w:space="0" w:color="auto"/>
        <w:left w:val="none" w:sz="0" w:space="0" w:color="auto"/>
        <w:bottom w:val="none" w:sz="0" w:space="0" w:color="auto"/>
        <w:right w:val="none" w:sz="0" w:space="0" w:color="auto"/>
      </w:divBdr>
    </w:div>
    <w:div w:id="789978438">
      <w:marLeft w:val="0"/>
      <w:marRight w:val="0"/>
      <w:marTop w:val="0"/>
      <w:marBottom w:val="0"/>
      <w:divBdr>
        <w:top w:val="none" w:sz="0" w:space="0" w:color="auto"/>
        <w:left w:val="none" w:sz="0" w:space="0" w:color="auto"/>
        <w:bottom w:val="none" w:sz="0" w:space="0" w:color="auto"/>
        <w:right w:val="none" w:sz="0" w:space="0" w:color="auto"/>
      </w:divBdr>
    </w:div>
    <w:div w:id="789978439">
      <w:marLeft w:val="0"/>
      <w:marRight w:val="0"/>
      <w:marTop w:val="0"/>
      <w:marBottom w:val="0"/>
      <w:divBdr>
        <w:top w:val="none" w:sz="0" w:space="0" w:color="auto"/>
        <w:left w:val="none" w:sz="0" w:space="0" w:color="auto"/>
        <w:bottom w:val="none" w:sz="0" w:space="0" w:color="auto"/>
        <w:right w:val="none" w:sz="0" w:space="0" w:color="auto"/>
      </w:divBdr>
    </w:div>
    <w:div w:id="789978440">
      <w:marLeft w:val="0"/>
      <w:marRight w:val="0"/>
      <w:marTop w:val="0"/>
      <w:marBottom w:val="0"/>
      <w:divBdr>
        <w:top w:val="none" w:sz="0" w:space="0" w:color="auto"/>
        <w:left w:val="none" w:sz="0" w:space="0" w:color="auto"/>
        <w:bottom w:val="none" w:sz="0" w:space="0" w:color="auto"/>
        <w:right w:val="none" w:sz="0" w:space="0" w:color="auto"/>
      </w:divBdr>
    </w:div>
    <w:div w:id="789978441">
      <w:marLeft w:val="0"/>
      <w:marRight w:val="0"/>
      <w:marTop w:val="0"/>
      <w:marBottom w:val="0"/>
      <w:divBdr>
        <w:top w:val="none" w:sz="0" w:space="0" w:color="auto"/>
        <w:left w:val="none" w:sz="0" w:space="0" w:color="auto"/>
        <w:bottom w:val="none" w:sz="0" w:space="0" w:color="auto"/>
        <w:right w:val="none" w:sz="0" w:space="0" w:color="auto"/>
      </w:divBdr>
    </w:div>
    <w:div w:id="789978442">
      <w:marLeft w:val="0"/>
      <w:marRight w:val="0"/>
      <w:marTop w:val="0"/>
      <w:marBottom w:val="0"/>
      <w:divBdr>
        <w:top w:val="none" w:sz="0" w:space="0" w:color="auto"/>
        <w:left w:val="none" w:sz="0" w:space="0" w:color="auto"/>
        <w:bottom w:val="none" w:sz="0" w:space="0" w:color="auto"/>
        <w:right w:val="none" w:sz="0" w:space="0" w:color="auto"/>
      </w:divBdr>
    </w:div>
    <w:div w:id="789978443">
      <w:marLeft w:val="0"/>
      <w:marRight w:val="0"/>
      <w:marTop w:val="0"/>
      <w:marBottom w:val="0"/>
      <w:divBdr>
        <w:top w:val="none" w:sz="0" w:space="0" w:color="auto"/>
        <w:left w:val="none" w:sz="0" w:space="0" w:color="auto"/>
        <w:bottom w:val="none" w:sz="0" w:space="0" w:color="auto"/>
        <w:right w:val="none" w:sz="0" w:space="0" w:color="auto"/>
      </w:divBdr>
    </w:div>
    <w:div w:id="789978444">
      <w:marLeft w:val="0"/>
      <w:marRight w:val="0"/>
      <w:marTop w:val="0"/>
      <w:marBottom w:val="0"/>
      <w:divBdr>
        <w:top w:val="none" w:sz="0" w:space="0" w:color="auto"/>
        <w:left w:val="none" w:sz="0" w:space="0" w:color="auto"/>
        <w:bottom w:val="none" w:sz="0" w:space="0" w:color="auto"/>
        <w:right w:val="none" w:sz="0" w:space="0" w:color="auto"/>
      </w:divBdr>
    </w:div>
    <w:div w:id="789978445">
      <w:marLeft w:val="0"/>
      <w:marRight w:val="0"/>
      <w:marTop w:val="0"/>
      <w:marBottom w:val="0"/>
      <w:divBdr>
        <w:top w:val="none" w:sz="0" w:space="0" w:color="auto"/>
        <w:left w:val="none" w:sz="0" w:space="0" w:color="auto"/>
        <w:bottom w:val="none" w:sz="0" w:space="0" w:color="auto"/>
        <w:right w:val="none" w:sz="0" w:space="0" w:color="auto"/>
      </w:divBdr>
    </w:div>
    <w:div w:id="789978446">
      <w:marLeft w:val="0"/>
      <w:marRight w:val="0"/>
      <w:marTop w:val="0"/>
      <w:marBottom w:val="0"/>
      <w:divBdr>
        <w:top w:val="none" w:sz="0" w:space="0" w:color="auto"/>
        <w:left w:val="none" w:sz="0" w:space="0" w:color="auto"/>
        <w:bottom w:val="none" w:sz="0" w:space="0" w:color="auto"/>
        <w:right w:val="none" w:sz="0" w:space="0" w:color="auto"/>
      </w:divBdr>
    </w:div>
    <w:div w:id="789978447">
      <w:marLeft w:val="0"/>
      <w:marRight w:val="0"/>
      <w:marTop w:val="0"/>
      <w:marBottom w:val="0"/>
      <w:divBdr>
        <w:top w:val="none" w:sz="0" w:space="0" w:color="auto"/>
        <w:left w:val="none" w:sz="0" w:space="0" w:color="auto"/>
        <w:bottom w:val="none" w:sz="0" w:space="0" w:color="auto"/>
        <w:right w:val="none" w:sz="0" w:space="0" w:color="auto"/>
      </w:divBdr>
    </w:div>
    <w:div w:id="789978448">
      <w:marLeft w:val="0"/>
      <w:marRight w:val="0"/>
      <w:marTop w:val="0"/>
      <w:marBottom w:val="0"/>
      <w:divBdr>
        <w:top w:val="none" w:sz="0" w:space="0" w:color="auto"/>
        <w:left w:val="none" w:sz="0" w:space="0" w:color="auto"/>
        <w:bottom w:val="none" w:sz="0" w:space="0" w:color="auto"/>
        <w:right w:val="none" w:sz="0" w:space="0" w:color="auto"/>
      </w:divBdr>
    </w:div>
    <w:div w:id="789978449">
      <w:marLeft w:val="0"/>
      <w:marRight w:val="0"/>
      <w:marTop w:val="0"/>
      <w:marBottom w:val="0"/>
      <w:divBdr>
        <w:top w:val="none" w:sz="0" w:space="0" w:color="auto"/>
        <w:left w:val="none" w:sz="0" w:space="0" w:color="auto"/>
        <w:bottom w:val="none" w:sz="0" w:space="0" w:color="auto"/>
        <w:right w:val="none" w:sz="0" w:space="0" w:color="auto"/>
      </w:divBdr>
    </w:div>
    <w:div w:id="789978450">
      <w:marLeft w:val="0"/>
      <w:marRight w:val="0"/>
      <w:marTop w:val="0"/>
      <w:marBottom w:val="0"/>
      <w:divBdr>
        <w:top w:val="none" w:sz="0" w:space="0" w:color="auto"/>
        <w:left w:val="none" w:sz="0" w:space="0" w:color="auto"/>
        <w:bottom w:val="none" w:sz="0" w:space="0" w:color="auto"/>
        <w:right w:val="none" w:sz="0" w:space="0" w:color="auto"/>
      </w:divBdr>
    </w:div>
    <w:div w:id="789978451">
      <w:marLeft w:val="0"/>
      <w:marRight w:val="0"/>
      <w:marTop w:val="0"/>
      <w:marBottom w:val="0"/>
      <w:divBdr>
        <w:top w:val="none" w:sz="0" w:space="0" w:color="auto"/>
        <w:left w:val="none" w:sz="0" w:space="0" w:color="auto"/>
        <w:bottom w:val="none" w:sz="0" w:space="0" w:color="auto"/>
        <w:right w:val="none" w:sz="0" w:space="0" w:color="auto"/>
      </w:divBdr>
    </w:div>
    <w:div w:id="789978452">
      <w:marLeft w:val="0"/>
      <w:marRight w:val="0"/>
      <w:marTop w:val="0"/>
      <w:marBottom w:val="0"/>
      <w:divBdr>
        <w:top w:val="none" w:sz="0" w:space="0" w:color="auto"/>
        <w:left w:val="none" w:sz="0" w:space="0" w:color="auto"/>
        <w:bottom w:val="none" w:sz="0" w:space="0" w:color="auto"/>
        <w:right w:val="none" w:sz="0" w:space="0" w:color="auto"/>
      </w:divBdr>
    </w:div>
    <w:div w:id="789978453">
      <w:marLeft w:val="0"/>
      <w:marRight w:val="0"/>
      <w:marTop w:val="0"/>
      <w:marBottom w:val="0"/>
      <w:divBdr>
        <w:top w:val="none" w:sz="0" w:space="0" w:color="auto"/>
        <w:left w:val="none" w:sz="0" w:space="0" w:color="auto"/>
        <w:bottom w:val="none" w:sz="0" w:space="0" w:color="auto"/>
        <w:right w:val="none" w:sz="0" w:space="0" w:color="auto"/>
      </w:divBdr>
    </w:div>
    <w:div w:id="789978454">
      <w:marLeft w:val="0"/>
      <w:marRight w:val="0"/>
      <w:marTop w:val="0"/>
      <w:marBottom w:val="0"/>
      <w:divBdr>
        <w:top w:val="none" w:sz="0" w:space="0" w:color="auto"/>
        <w:left w:val="none" w:sz="0" w:space="0" w:color="auto"/>
        <w:bottom w:val="none" w:sz="0" w:space="0" w:color="auto"/>
        <w:right w:val="none" w:sz="0" w:space="0" w:color="auto"/>
      </w:divBdr>
    </w:div>
    <w:div w:id="789978455">
      <w:marLeft w:val="0"/>
      <w:marRight w:val="0"/>
      <w:marTop w:val="0"/>
      <w:marBottom w:val="0"/>
      <w:divBdr>
        <w:top w:val="none" w:sz="0" w:space="0" w:color="auto"/>
        <w:left w:val="none" w:sz="0" w:space="0" w:color="auto"/>
        <w:bottom w:val="none" w:sz="0" w:space="0" w:color="auto"/>
        <w:right w:val="none" w:sz="0" w:space="0" w:color="auto"/>
      </w:divBdr>
    </w:div>
    <w:div w:id="789978456">
      <w:marLeft w:val="0"/>
      <w:marRight w:val="0"/>
      <w:marTop w:val="0"/>
      <w:marBottom w:val="0"/>
      <w:divBdr>
        <w:top w:val="none" w:sz="0" w:space="0" w:color="auto"/>
        <w:left w:val="none" w:sz="0" w:space="0" w:color="auto"/>
        <w:bottom w:val="none" w:sz="0" w:space="0" w:color="auto"/>
        <w:right w:val="none" w:sz="0" w:space="0" w:color="auto"/>
      </w:divBdr>
    </w:div>
    <w:div w:id="789978457">
      <w:marLeft w:val="0"/>
      <w:marRight w:val="0"/>
      <w:marTop w:val="0"/>
      <w:marBottom w:val="0"/>
      <w:divBdr>
        <w:top w:val="none" w:sz="0" w:space="0" w:color="auto"/>
        <w:left w:val="none" w:sz="0" w:space="0" w:color="auto"/>
        <w:bottom w:val="none" w:sz="0" w:space="0" w:color="auto"/>
        <w:right w:val="none" w:sz="0" w:space="0" w:color="auto"/>
      </w:divBdr>
    </w:div>
    <w:div w:id="789978458">
      <w:marLeft w:val="0"/>
      <w:marRight w:val="0"/>
      <w:marTop w:val="0"/>
      <w:marBottom w:val="0"/>
      <w:divBdr>
        <w:top w:val="none" w:sz="0" w:space="0" w:color="auto"/>
        <w:left w:val="none" w:sz="0" w:space="0" w:color="auto"/>
        <w:bottom w:val="none" w:sz="0" w:space="0" w:color="auto"/>
        <w:right w:val="none" w:sz="0" w:space="0" w:color="auto"/>
      </w:divBdr>
    </w:div>
    <w:div w:id="789978459">
      <w:marLeft w:val="0"/>
      <w:marRight w:val="0"/>
      <w:marTop w:val="0"/>
      <w:marBottom w:val="0"/>
      <w:divBdr>
        <w:top w:val="none" w:sz="0" w:space="0" w:color="auto"/>
        <w:left w:val="none" w:sz="0" w:space="0" w:color="auto"/>
        <w:bottom w:val="none" w:sz="0" w:space="0" w:color="auto"/>
        <w:right w:val="none" w:sz="0" w:space="0" w:color="auto"/>
      </w:divBdr>
    </w:div>
    <w:div w:id="789978460">
      <w:marLeft w:val="0"/>
      <w:marRight w:val="0"/>
      <w:marTop w:val="0"/>
      <w:marBottom w:val="0"/>
      <w:divBdr>
        <w:top w:val="none" w:sz="0" w:space="0" w:color="auto"/>
        <w:left w:val="none" w:sz="0" w:space="0" w:color="auto"/>
        <w:bottom w:val="none" w:sz="0" w:space="0" w:color="auto"/>
        <w:right w:val="none" w:sz="0" w:space="0" w:color="auto"/>
      </w:divBdr>
    </w:div>
    <w:div w:id="789978461">
      <w:marLeft w:val="0"/>
      <w:marRight w:val="0"/>
      <w:marTop w:val="0"/>
      <w:marBottom w:val="0"/>
      <w:divBdr>
        <w:top w:val="none" w:sz="0" w:space="0" w:color="auto"/>
        <w:left w:val="none" w:sz="0" w:space="0" w:color="auto"/>
        <w:bottom w:val="none" w:sz="0" w:space="0" w:color="auto"/>
        <w:right w:val="none" w:sz="0" w:space="0" w:color="auto"/>
      </w:divBdr>
    </w:div>
    <w:div w:id="789978462">
      <w:marLeft w:val="0"/>
      <w:marRight w:val="0"/>
      <w:marTop w:val="0"/>
      <w:marBottom w:val="0"/>
      <w:divBdr>
        <w:top w:val="none" w:sz="0" w:space="0" w:color="auto"/>
        <w:left w:val="none" w:sz="0" w:space="0" w:color="auto"/>
        <w:bottom w:val="none" w:sz="0" w:space="0" w:color="auto"/>
        <w:right w:val="none" w:sz="0" w:space="0" w:color="auto"/>
      </w:divBdr>
    </w:div>
    <w:div w:id="789978463">
      <w:marLeft w:val="0"/>
      <w:marRight w:val="0"/>
      <w:marTop w:val="0"/>
      <w:marBottom w:val="0"/>
      <w:divBdr>
        <w:top w:val="none" w:sz="0" w:space="0" w:color="auto"/>
        <w:left w:val="none" w:sz="0" w:space="0" w:color="auto"/>
        <w:bottom w:val="none" w:sz="0" w:space="0" w:color="auto"/>
        <w:right w:val="none" w:sz="0" w:space="0" w:color="auto"/>
      </w:divBdr>
    </w:div>
    <w:div w:id="789978464">
      <w:marLeft w:val="0"/>
      <w:marRight w:val="0"/>
      <w:marTop w:val="0"/>
      <w:marBottom w:val="0"/>
      <w:divBdr>
        <w:top w:val="none" w:sz="0" w:space="0" w:color="auto"/>
        <w:left w:val="none" w:sz="0" w:space="0" w:color="auto"/>
        <w:bottom w:val="none" w:sz="0" w:space="0" w:color="auto"/>
        <w:right w:val="none" w:sz="0" w:space="0" w:color="auto"/>
      </w:divBdr>
    </w:div>
    <w:div w:id="789978465">
      <w:marLeft w:val="0"/>
      <w:marRight w:val="0"/>
      <w:marTop w:val="0"/>
      <w:marBottom w:val="0"/>
      <w:divBdr>
        <w:top w:val="none" w:sz="0" w:space="0" w:color="auto"/>
        <w:left w:val="none" w:sz="0" w:space="0" w:color="auto"/>
        <w:bottom w:val="none" w:sz="0" w:space="0" w:color="auto"/>
        <w:right w:val="none" w:sz="0" w:space="0" w:color="auto"/>
      </w:divBdr>
    </w:div>
    <w:div w:id="789978466">
      <w:marLeft w:val="0"/>
      <w:marRight w:val="0"/>
      <w:marTop w:val="0"/>
      <w:marBottom w:val="0"/>
      <w:divBdr>
        <w:top w:val="none" w:sz="0" w:space="0" w:color="auto"/>
        <w:left w:val="none" w:sz="0" w:space="0" w:color="auto"/>
        <w:bottom w:val="none" w:sz="0" w:space="0" w:color="auto"/>
        <w:right w:val="none" w:sz="0" w:space="0" w:color="auto"/>
      </w:divBdr>
    </w:div>
    <w:div w:id="789978467">
      <w:marLeft w:val="0"/>
      <w:marRight w:val="0"/>
      <w:marTop w:val="0"/>
      <w:marBottom w:val="0"/>
      <w:divBdr>
        <w:top w:val="none" w:sz="0" w:space="0" w:color="auto"/>
        <w:left w:val="none" w:sz="0" w:space="0" w:color="auto"/>
        <w:bottom w:val="none" w:sz="0" w:space="0" w:color="auto"/>
        <w:right w:val="none" w:sz="0" w:space="0" w:color="auto"/>
      </w:divBdr>
    </w:div>
    <w:div w:id="795757659">
      <w:bodyDiv w:val="1"/>
      <w:marLeft w:val="0"/>
      <w:marRight w:val="0"/>
      <w:marTop w:val="0"/>
      <w:marBottom w:val="0"/>
      <w:divBdr>
        <w:top w:val="none" w:sz="0" w:space="0" w:color="auto"/>
        <w:left w:val="none" w:sz="0" w:space="0" w:color="auto"/>
        <w:bottom w:val="none" w:sz="0" w:space="0" w:color="auto"/>
        <w:right w:val="none" w:sz="0" w:space="0" w:color="auto"/>
      </w:divBdr>
    </w:div>
    <w:div w:id="814833173">
      <w:bodyDiv w:val="1"/>
      <w:marLeft w:val="0"/>
      <w:marRight w:val="0"/>
      <w:marTop w:val="0"/>
      <w:marBottom w:val="0"/>
      <w:divBdr>
        <w:top w:val="none" w:sz="0" w:space="0" w:color="auto"/>
        <w:left w:val="none" w:sz="0" w:space="0" w:color="auto"/>
        <w:bottom w:val="none" w:sz="0" w:space="0" w:color="auto"/>
        <w:right w:val="none" w:sz="0" w:space="0" w:color="auto"/>
      </w:divBdr>
    </w:div>
    <w:div w:id="814880752">
      <w:bodyDiv w:val="1"/>
      <w:marLeft w:val="0"/>
      <w:marRight w:val="0"/>
      <w:marTop w:val="0"/>
      <w:marBottom w:val="0"/>
      <w:divBdr>
        <w:top w:val="none" w:sz="0" w:space="0" w:color="auto"/>
        <w:left w:val="none" w:sz="0" w:space="0" w:color="auto"/>
        <w:bottom w:val="none" w:sz="0" w:space="0" w:color="auto"/>
        <w:right w:val="none" w:sz="0" w:space="0" w:color="auto"/>
      </w:divBdr>
    </w:div>
    <w:div w:id="816804025">
      <w:bodyDiv w:val="1"/>
      <w:marLeft w:val="0"/>
      <w:marRight w:val="0"/>
      <w:marTop w:val="0"/>
      <w:marBottom w:val="0"/>
      <w:divBdr>
        <w:top w:val="none" w:sz="0" w:space="0" w:color="auto"/>
        <w:left w:val="none" w:sz="0" w:space="0" w:color="auto"/>
        <w:bottom w:val="none" w:sz="0" w:space="0" w:color="auto"/>
        <w:right w:val="none" w:sz="0" w:space="0" w:color="auto"/>
      </w:divBdr>
    </w:div>
    <w:div w:id="841511630">
      <w:bodyDiv w:val="1"/>
      <w:marLeft w:val="0"/>
      <w:marRight w:val="0"/>
      <w:marTop w:val="0"/>
      <w:marBottom w:val="0"/>
      <w:divBdr>
        <w:top w:val="none" w:sz="0" w:space="0" w:color="auto"/>
        <w:left w:val="none" w:sz="0" w:space="0" w:color="auto"/>
        <w:bottom w:val="none" w:sz="0" w:space="0" w:color="auto"/>
        <w:right w:val="none" w:sz="0" w:space="0" w:color="auto"/>
      </w:divBdr>
    </w:div>
    <w:div w:id="860320878">
      <w:bodyDiv w:val="1"/>
      <w:marLeft w:val="0"/>
      <w:marRight w:val="0"/>
      <w:marTop w:val="0"/>
      <w:marBottom w:val="0"/>
      <w:divBdr>
        <w:top w:val="none" w:sz="0" w:space="0" w:color="auto"/>
        <w:left w:val="none" w:sz="0" w:space="0" w:color="auto"/>
        <w:bottom w:val="none" w:sz="0" w:space="0" w:color="auto"/>
        <w:right w:val="none" w:sz="0" w:space="0" w:color="auto"/>
      </w:divBdr>
    </w:div>
    <w:div w:id="863788067">
      <w:bodyDiv w:val="1"/>
      <w:marLeft w:val="0"/>
      <w:marRight w:val="0"/>
      <w:marTop w:val="0"/>
      <w:marBottom w:val="0"/>
      <w:divBdr>
        <w:top w:val="none" w:sz="0" w:space="0" w:color="auto"/>
        <w:left w:val="none" w:sz="0" w:space="0" w:color="auto"/>
        <w:bottom w:val="none" w:sz="0" w:space="0" w:color="auto"/>
        <w:right w:val="none" w:sz="0" w:space="0" w:color="auto"/>
      </w:divBdr>
    </w:div>
    <w:div w:id="905456798">
      <w:bodyDiv w:val="1"/>
      <w:marLeft w:val="0"/>
      <w:marRight w:val="0"/>
      <w:marTop w:val="0"/>
      <w:marBottom w:val="0"/>
      <w:divBdr>
        <w:top w:val="none" w:sz="0" w:space="0" w:color="auto"/>
        <w:left w:val="none" w:sz="0" w:space="0" w:color="auto"/>
        <w:bottom w:val="none" w:sz="0" w:space="0" w:color="auto"/>
        <w:right w:val="none" w:sz="0" w:space="0" w:color="auto"/>
      </w:divBdr>
    </w:div>
    <w:div w:id="914365864">
      <w:bodyDiv w:val="1"/>
      <w:marLeft w:val="0"/>
      <w:marRight w:val="0"/>
      <w:marTop w:val="0"/>
      <w:marBottom w:val="0"/>
      <w:divBdr>
        <w:top w:val="none" w:sz="0" w:space="0" w:color="auto"/>
        <w:left w:val="none" w:sz="0" w:space="0" w:color="auto"/>
        <w:bottom w:val="none" w:sz="0" w:space="0" w:color="auto"/>
        <w:right w:val="none" w:sz="0" w:space="0" w:color="auto"/>
      </w:divBdr>
    </w:div>
    <w:div w:id="950010919">
      <w:bodyDiv w:val="1"/>
      <w:marLeft w:val="0"/>
      <w:marRight w:val="0"/>
      <w:marTop w:val="0"/>
      <w:marBottom w:val="0"/>
      <w:divBdr>
        <w:top w:val="none" w:sz="0" w:space="0" w:color="auto"/>
        <w:left w:val="none" w:sz="0" w:space="0" w:color="auto"/>
        <w:bottom w:val="none" w:sz="0" w:space="0" w:color="auto"/>
        <w:right w:val="none" w:sz="0" w:space="0" w:color="auto"/>
      </w:divBdr>
    </w:div>
    <w:div w:id="954796405">
      <w:bodyDiv w:val="1"/>
      <w:marLeft w:val="0"/>
      <w:marRight w:val="0"/>
      <w:marTop w:val="0"/>
      <w:marBottom w:val="0"/>
      <w:divBdr>
        <w:top w:val="none" w:sz="0" w:space="0" w:color="auto"/>
        <w:left w:val="none" w:sz="0" w:space="0" w:color="auto"/>
        <w:bottom w:val="none" w:sz="0" w:space="0" w:color="auto"/>
        <w:right w:val="none" w:sz="0" w:space="0" w:color="auto"/>
      </w:divBdr>
    </w:div>
    <w:div w:id="975910780">
      <w:bodyDiv w:val="1"/>
      <w:marLeft w:val="0"/>
      <w:marRight w:val="0"/>
      <w:marTop w:val="0"/>
      <w:marBottom w:val="0"/>
      <w:divBdr>
        <w:top w:val="none" w:sz="0" w:space="0" w:color="auto"/>
        <w:left w:val="none" w:sz="0" w:space="0" w:color="auto"/>
        <w:bottom w:val="none" w:sz="0" w:space="0" w:color="auto"/>
        <w:right w:val="none" w:sz="0" w:space="0" w:color="auto"/>
      </w:divBdr>
    </w:div>
    <w:div w:id="980883531">
      <w:bodyDiv w:val="1"/>
      <w:marLeft w:val="0"/>
      <w:marRight w:val="0"/>
      <w:marTop w:val="0"/>
      <w:marBottom w:val="0"/>
      <w:divBdr>
        <w:top w:val="none" w:sz="0" w:space="0" w:color="auto"/>
        <w:left w:val="none" w:sz="0" w:space="0" w:color="auto"/>
        <w:bottom w:val="none" w:sz="0" w:space="0" w:color="auto"/>
        <w:right w:val="none" w:sz="0" w:space="0" w:color="auto"/>
      </w:divBdr>
    </w:div>
    <w:div w:id="1056049388">
      <w:bodyDiv w:val="1"/>
      <w:marLeft w:val="0"/>
      <w:marRight w:val="0"/>
      <w:marTop w:val="0"/>
      <w:marBottom w:val="0"/>
      <w:divBdr>
        <w:top w:val="none" w:sz="0" w:space="0" w:color="auto"/>
        <w:left w:val="none" w:sz="0" w:space="0" w:color="auto"/>
        <w:bottom w:val="none" w:sz="0" w:space="0" w:color="auto"/>
        <w:right w:val="none" w:sz="0" w:space="0" w:color="auto"/>
      </w:divBdr>
    </w:div>
    <w:div w:id="1062564905">
      <w:bodyDiv w:val="1"/>
      <w:marLeft w:val="0"/>
      <w:marRight w:val="0"/>
      <w:marTop w:val="0"/>
      <w:marBottom w:val="0"/>
      <w:divBdr>
        <w:top w:val="none" w:sz="0" w:space="0" w:color="auto"/>
        <w:left w:val="none" w:sz="0" w:space="0" w:color="auto"/>
        <w:bottom w:val="none" w:sz="0" w:space="0" w:color="auto"/>
        <w:right w:val="none" w:sz="0" w:space="0" w:color="auto"/>
      </w:divBdr>
    </w:div>
    <w:div w:id="1071006711">
      <w:bodyDiv w:val="1"/>
      <w:marLeft w:val="0"/>
      <w:marRight w:val="0"/>
      <w:marTop w:val="0"/>
      <w:marBottom w:val="0"/>
      <w:divBdr>
        <w:top w:val="none" w:sz="0" w:space="0" w:color="auto"/>
        <w:left w:val="none" w:sz="0" w:space="0" w:color="auto"/>
        <w:bottom w:val="none" w:sz="0" w:space="0" w:color="auto"/>
        <w:right w:val="none" w:sz="0" w:space="0" w:color="auto"/>
      </w:divBdr>
    </w:div>
    <w:div w:id="1183520987">
      <w:bodyDiv w:val="1"/>
      <w:marLeft w:val="0"/>
      <w:marRight w:val="0"/>
      <w:marTop w:val="0"/>
      <w:marBottom w:val="0"/>
      <w:divBdr>
        <w:top w:val="none" w:sz="0" w:space="0" w:color="auto"/>
        <w:left w:val="none" w:sz="0" w:space="0" w:color="auto"/>
        <w:bottom w:val="none" w:sz="0" w:space="0" w:color="auto"/>
        <w:right w:val="none" w:sz="0" w:space="0" w:color="auto"/>
      </w:divBdr>
    </w:div>
    <w:div w:id="1213075025">
      <w:bodyDiv w:val="1"/>
      <w:marLeft w:val="0"/>
      <w:marRight w:val="0"/>
      <w:marTop w:val="0"/>
      <w:marBottom w:val="0"/>
      <w:divBdr>
        <w:top w:val="none" w:sz="0" w:space="0" w:color="auto"/>
        <w:left w:val="none" w:sz="0" w:space="0" w:color="auto"/>
        <w:bottom w:val="none" w:sz="0" w:space="0" w:color="auto"/>
        <w:right w:val="none" w:sz="0" w:space="0" w:color="auto"/>
      </w:divBdr>
    </w:div>
    <w:div w:id="1223516784">
      <w:bodyDiv w:val="1"/>
      <w:marLeft w:val="0"/>
      <w:marRight w:val="0"/>
      <w:marTop w:val="0"/>
      <w:marBottom w:val="0"/>
      <w:divBdr>
        <w:top w:val="none" w:sz="0" w:space="0" w:color="auto"/>
        <w:left w:val="none" w:sz="0" w:space="0" w:color="auto"/>
        <w:bottom w:val="none" w:sz="0" w:space="0" w:color="auto"/>
        <w:right w:val="none" w:sz="0" w:space="0" w:color="auto"/>
      </w:divBdr>
    </w:div>
    <w:div w:id="1230384266">
      <w:bodyDiv w:val="1"/>
      <w:marLeft w:val="0"/>
      <w:marRight w:val="0"/>
      <w:marTop w:val="0"/>
      <w:marBottom w:val="0"/>
      <w:divBdr>
        <w:top w:val="none" w:sz="0" w:space="0" w:color="auto"/>
        <w:left w:val="none" w:sz="0" w:space="0" w:color="auto"/>
        <w:bottom w:val="none" w:sz="0" w:space="0" w:color="auto"/>
        <w:right w:val="none" w:sz="0" w:space="0" w:color="auto"/>
      </w:divBdr>
    </w:div>
    <w:div w:id="1233662563">
      <w:bodyDiv w:val="1"/>
      <w:marLeft w:val="0"/>
      <w:marRight w:val="0"/>
      <w:marTop w:val="0"/>
      <w:marBottom w:val="0"/>
      <w:divBdr>
        <w:top w:val="none" w:sz="0" w:space="0" w:color="auto"/>
        <w:left w:val="none" w:sz="0" w:space="0" w:color="auto"/>
        <w:bottom w:val="none" w:sz="0" w:space="0" w:color="auto"/>
        <w:right w:val="none" w:sz="0" w:space="0" w:color="auto"/>
      </w:divBdr>
    </w:div>
    <w:div w:id="1255699842">
      <w:bodyDiv w:val="1"/>
      <w:marLeft w:val="0"/>
      <w:marRight w:val="0"/>
      <w:marTop w:val="0"/>
      <w:marBottom w:val="0"/>
      <w:divBdr>
        <w:top w:val="none" w:sz="0" w:space="0" w:color="auto"/>
        <w:left w:val="none" w:sz="0" w:space="0" w:color="auto"/>
        <w:bottom w:val="none" w:sz="0" w:space="0" w:color="auto"/>
        <w:right w:val="none" w:sz="0" w:space="0" w:color="auto"/>
      </w:divBdr>
    </w:div>
    <w:div w:id="1264651650">
      <w:bodyDiv w:val="1"/>
      <w:marLeft w:val="0"/>
      <w:marRight w:val="0"/>
      <w:marTop w:val="0"/>
      <w:marBottom w:val="0"/>
      <w:divBdr>
        <w:top w:val="none" w:sz="0" w:space="0" w:color="auto"/>
        <w:left w:val="none" w:sz="0" w:space="0" w:color="auto"/>
        <w:bottom w:val="none" w:sz="0" w:space="0" w:color="auto"/>
        <w:right w:val="none" w:sz="0" w:space="0" w:color="auto"/>
      </w:divBdr>
    </w:div>
    <w:div w:id="1331058562">
      <w:bodyDiv w:val="1"/>
      <w:marLeft w:val="0"/>
      <w:marRight w:val="0"/>
      <w:marTop w:val="0"/>
      <w:marBottom w:val="0"/>
      <w:divBdr>
        <w:top w:val="none" w:sz="0" w:space="0" w:color="auto"/>
        <w:left w:val="none" w:sz="0" w:space="0" w:color="auto"/>
        <w:bottom w:val="none" w:sz="0" w:space="0" w:color="auto"/>
        <w:right w:val="none" w:sz="0" w:space="0" w:color="auto"/>
      </w:divBdr>
    </w:div>
    <w:div w:id="1344865989">
      <w:bodyDiv w:val="1"/>
      <w:marLeft w:val="0"/>
      <w:marRight w:val="0"/>
      <w:marTop w:val="0"/>
      <w:marBottom w:val="0"/>
      <w:divBdr>
        <w:top w:val="none" w:sz="0" w:space="0" w:color="auto"/>
        <w:left w:val="none" w:sz="0" w:space="0" w:color="auto"/>
        <w:bottom w:val="none" w:sz="0" w:space="0" w:color="auto"/>
        <w:right w:val="none" w:sz="0" w:space="0" w:color="auto"/>
      </w:divBdr>
    </w:div>
    <w:div w:id="1383098536">
      <w:bodyDiv w:val="1"/>
      <w:marLeft w:val="0"/>
      <w:marRight w:val="0"/>
      <w:marTop w:val="0"/>
      <w:marBottom w:val="0"/>
      <w:divBdr>
        <w:top w:val="none" w:sz="0" w:space="0" w:color="auto"/>
        <w:left w:val="none" w:sz="0" w:space="0" w:color="auto"/>
        <w:bottom w:val="none" w:sz="0" w:space="0" w:color="auto"/>
        <w:right w:val="none" w:sz="0" w:space="0" w:color="auto"/>
      </w:divBdr>
    </w:div>
    <w:div w:id="1401976649">
      <w:bodyDiv w:val="1"/>
      <w:marLeft w:val="0"/>
      <w:marRight w:val="0"/>
      <w:marTop w:val="0"/>
      <w:marBottom w:val="0"/>
      <w:divBdr>
        <w:top w:val="none" w:sz="0" w:space="0" w:color="auto"/>
        <w:left w:val="none" w:sz="0" w:space="0" w:color="auto"/>
        <w:bottom w:val="none" w:sz="0" w:space="0" w:color="auto"/>
        <w:right w:val="none" w:sz="0" w:space="0" w:color="auto"/>
      </w:divBdr>
    </w:div>
    <w:div w:id="1435519104">
      <w:bodyDiv w:val="1"/>
      <w:marLeft w:val="0"/>
      <w:marRight w:val="0"/>
      <w:marTop w:val="0"/>
      <w:marBottom w:val="0"/>
      <w:divBdr>
        <w:top w:val="none" w:sz="0" w:space="0" w:color="auto"/>
        <w:left w:val="none" w:sz="0" w:space="0" w:color="auto"/>
        <w:bottom w:val="none" w:sz="0" w:space="0" w:color="auto"/>
        <w:right w:val="none" w:sz="0" w:space="0" w:color="auto"/>
      </w:divBdr>
    </w:div>
    <w:div w:id="1452359703">
      <w:bodyDiv w:val="1"/>
      <w:marLeft w:val="0"/>
      <w:marRight w:val="0"/>
      <w:marTop w:val="0"/>
      <w:marBottom w:val="0"/>
      <w:divBdr>
        <w:top w:val="none" w:sz="0" w:space="0" w:color="auto"/>
        <w:left w:val="none" w:sz="0" w:space="0" w:color="auto"/>
        <w:bottom w:val="none" w:sz="0" w:space="0" w:color="auto"/>
        <w:right w:val="none" w:sz="0" w:space="0" w:color="auto"/>
      </w:divBdr>
    </w:div>
    <w:div w:id="1461997288">
      <w:bodyDiv w:val="1"/>
      <w:marLeft w:val="0"/>
      <w:marRight w:val="0"/>
      <w:marTop w:val="0"/>
      <w:marBottom w:val="0"/>
      <w:divBdr>
        <w:top w:val="none" w:sz="0" w:space="0" w:color="auto"/>
        <w:left w:val="none" w:sz="0" w:space="0" w:color="auto"/>
        <w:bottom w:val="none" w:sz="0" w:space="0" w:color="auto"/>
        <w:right w:val="none" w:sz="0" w:space="0" w:color="auto"/>
      </w:divBdr>
    </w:div>
    <w:div w:id="1479565532">
      <w:bodyDiv w:val="1"/>
      <w:marLeft w:val="0"/>
      <w:marRight w:val="0"/>
      <w:marTop w:val="0"/>
      <w:marBottom w:val="0"/>
      <w:divBdr>
        <w:top w:val="none" w:sz="0" w:space="0" w:color="auto"/>
        <w:left w:val="none" w:sz="0" w:space="0" w:color="auto"/>
        <w:bottom w:val="none" w:sz="0" w:space="0" w:color="auto"/>
        <w:right w:val="none" w:sz="0" w:space="0" w:color="auto"/>
      </w:divBdr>
    </w:div>
    <w:div w:id="1499349390">
      <w:bodyDiv w:val="1"/>
      <w:marLeft w:val="0"/>
      <w:marRight w:val="0"/>
      <w:marTop w:val="0"/>
      <w:marBottom w:val="0"/>
      <w:divBdr>
        <w:top w:val="none" w:sz="0" w:space="0" w:color="auto"/>
        <w:left w:val="none" w:sz="0" w:space="0" w:color="auto"/>
        <w:bottom w:val="none" w:sz="0" w:space="0" w:color="auto"/>
        <w:right w:val="none" w:sz="0" w:space="0" w:color="auto"/>
      </w:divBdr>
    </w:div>
    <w:div w:id="1514107287">
      <w:bodyDiv w:val="1"/>
      <w:marLeft w:val="0"/>
      <w:marRight w:val="0"/>
      <w:marTop w:val="0"/>
      <w:marBottom w:val="0"/>
      <w:divBdr>
        <w:top w:val="none" w:sz="0" w:space="0" w:color="auto"/>
        <w:left w:val="none" w:sz="0" w:space="0" w:color="auto"/>
        <w:bottom w:val="none" w:sz="0" w:space="0" w:color="auto"/>
        <w:right w:val="none" w:sz="0" w:space="0" w:color="auto"/>
      </w:divBdr>
    </w:div>
    <w:div w:id="1542859679">
      <w:bodyDiv w:val="1"/>
      <w:marLeft w:val="0"/>
      <w:marRight w:val="0"/>
      <w:marTop w:val="0"/>
      <w:marBottom w:val="0"/>
      <w:divBdr>
        <w:top w:val="none" w:sz="0" w:space="0" w:color="auto"/>
        <w:left w:val="none" w:sz="0" w:space="0" w:color="auto"/>
        <w:bottom w:val="none" w:sz="0" w:space="0" w:color="auto"/>
        <w:right w:val="none" w:sz="0" w:space="0" w:color="auto"/>
      </w:divBdr>
    </w:div>
    <w:div w:id="1556551405">
      <w:bodyDiv w:val="1"/>
      <w:marLeft w:val="0"/>
      <w:marRight w:val="0"/>
      <w:marTop w:val="0"/>
      <w:marBottom w:val="0"/>
      <w:divBdr>
        <w:top w:val="none" w:sz="0" w:space="0" w:color="auto"/>
        <w:left w:val="none" w:sz="0" w:space="0" w:color="auto"/>
        <w:bottom w:val="none" w:sz="0" w:space="0" w:color="auto"/>
        <w:right w:val="none" w:sz="0" w:space="0" w:color="auto"/>
      </w:divBdr>
    </w:div>
    <w:div w:id="1556771593">
      <w:bodyDiv w:val="1"/>
      <w:marLeft w:val="0"/>
      <w:marRight w:val="0"/>
      <w:marTop w:val="0"/>
      <w:marBottom w:val="0"/>
      <w:divBdr>
        <w:top w:val="none" w:sz="0" w:space="0" w:color="auto"/>
        <w:left w:val="none" w:sz="0" w:space="0" w:color="auto"/>
        <w:bottom w:val="none" w:sz="0" w:space="0" w:color="auto"/>
        <w:right w:val="none" w:sz="0" w:space="0" w:color="auto"/>
      </w:divBdr>
    </w:div>
    <w:div w:id="1557469869">
      <w:bodyDiv w:val="1"/>
      <w:marLeft w:val="0"/>
      <w:marRight w:val="0"/>
      <w:marTop w:val="0"/>
      <w:marBottom w:val="0"/>
      <w:divBdr>
        <w:top w:val="none" w:sz="0" w:space="0" w:color="auto"/>
        <w:left w:val="none" w:sz="0" w:space="0" w:color="auto"/>
        <w:bottom w:val="none" w:sz="0" w:space="0" w:color="auto"/>
        <w:right w:val="none" w:sz="0" w:space="0" w:color="auto"/>
      </w:divBdr>
    </w:div>
    <w:div w:id="1566377109">
      <w:bodyDiv w:val="1"/>
      <w:marLeft w:val="0"/>
      <w:marRight w:val="0"/>
      <w:marTop w:val="0"/>
      <w:marBottom w:val="0"/>
      <w:divBdr>
        <w:top w:val="none" w:sz="0" w:space="0" w:color="auto"/>
        <w:left w:val="none" w:sz="0" w:space="0" w:color="auto"/>
        <w:bottom w:val="none" w:sz="0" w:space="0" w:color="auto"/>
        <w:right w:val="none" w:sz="0" w:space="0" w:color="auto"/>
      </w:divBdr>
    </w:div>
    <w:div w:id="1581212622">
      <w:bodyDiv w:val="1"/>
      <w:marLeft w:val="0"/>
      <w:marRight w:val="0"/>
      <w:marTop w:val="0"/>
      <w:marBottom w:val="0"/>
      <w:divBdr>
        <w:top w:val="none" w:sz="0" w:space="0" w:color="auto"/>
        <w:left w:val="none" w:sz="0" w:space="0" w:color="auto"/>
        <w:bottom w:val="none" w:sz="0" w:space="0" w:color="auto"/>
        <w:right w:val="none" w:sz="0" w:space="0" w:color="auto"/>
      </w:divBdr>
    </w:div>
    <w:div w:id="1622348086">
      <w:bodyDiv w:val="1"/>
      <w:marLeft w:val="0"/>
      <w:marRight w:val="0"/>
      <w:marTop w:val="0"/>
      <w:marBottom w:val="0"/>
      <w:divBdr>
        <w:top w:val="none" w:sz="0" w:space="0" w:color="auto"/>
        <w:left w:val="none" w:sz="0" w:space="0" w:color="auto"/>
        <w:bottom w:val="none" w:sz="0" w:space="0" w:color="auto"/>
        <w:right w:val="none" w:sz="0" w:space="0" w:color="auto"/>
      </w:divBdr>
    </w:div>
    <w:div w:id="1686714692">
      <w:bodyDiv w:val="1"/>
      <w:marLeft w:val="0"/>
      <w:marRight w:val="0"/>
      <w:marTop w:val="0"/>
      <w:marBottom w:val="0"/>
      <w:divBdr>
        <w:top w:val="none" w:sz="0" w:space="0" w:color="auto"/>
        <w:left w:val="none" w:sz="0" w:space="0" w:color="auto"/>
        <w:bottom w:val="none" w:sz="0" w:space="0" w:color="auto"/>
        <w:right w:val="none" w:sz="0" w:space="0" w:color="auto"/>
      </w:divBdr>
    </w:div>
    <w:div w:id="1694845000">
      <w:bodyDiv w:val="1"/>
      <w:marLeft w:val="0"/>
      <w:marRight w:val="0"/>
      <w:marTop w:val="0"/>
      <w:marBottom w:val="0"/>
      <w:divBdr>
        <w:top w:val="none" w:sz="0" w:space="0" w:color="auto"/>
        <w:left w:val="none" w:sz="0" w:space="0" w:color="auto"/>
        <w:bottom w:val="none" w:sz="0" w:space="0" w:color="auto"/>
        <w:right w:val="none" w:sz="0" w:space="0" w:color="auto"/>
      </w:divBdr>
    </w:div>
    <w:div w:id="1732993946">
      <w:bodyDiv w:val="1"/>
      <w:marLeft w:val="0"/>
      <w:marRight w:val="0"/>
      <w:marTop w:val="0"/>
      <w:marBottom w:val="0"/>
      <w:divBdr>
        <w:top w:val="none" w:sz="0" w:space="0" w:color="auto"/>
        <w:left w:val="none" w:sz="0" w:space="0" w:color="auto"/>
        <w:bottom w:val="none" w:sz="0" w:space="0" w:color="auto"/>
        <w:right w:val="none" w:sz="0" w:space="0" w:color="auto"/>
      </w:divBdr>
    </w:div>
    <w:div w:id="1741558061">
      <w:bodyDiv w:val="1"/>
      <w:marLeft w:val="0"/>
      <w:marRight w:val="0"/>
      <w:marTop w:val="0"/>
      <w:marBottom w:val="0"/>
      <w:divBdr>
        <w:top w:val="none" w:sz="0" w:space="0" w:color="auto"/>
        <w:left w:val="none" w:sz="0" w:space="0" w:color="auto"/>
        <w:bottom w:val="none" w:sz="0" w:space="0" w:color="auto"/>
        <w:right w:val="none" w:sz="0" w:space="0" w:color="auto"/>
      </w:divBdr>
    </w:div>
    <w:div w:id="1763067765">
      <w:bodyDiv w:val="1"/>
      <w:marLeft w:val="0"/>
      <w:marRight w:val="0"/>
      <w:marTop w:val="0"/>
      <w:marBottom w:val="0"/>
      <w:divBdr>
        <w:top w:val="none" w:sz="0" w:space="0" w:color="auto"/>
        <w:left w:val="none" w:sz="0" w:space="0" w:color="auto"/>
        <w:bottom w:val="none" w:sz="0" w:space="0" w:color="auto"/>
        <w:right w:val="none" w:sz="0" w:space="0" w:color="auto"/>
      </w:divBdr>
    </w:div>
    <w:div w:id="1779442476">
      <w:bodyDiv w:val="1"/>
      <w:marLeft w:val="0"/>
      <w:marRight w:val="0"/>
      <w:marTop w:val="0"/>
      <w:marBottom w:val="0"/>
      <w:divBdr>
        <w:top w:val="none" w:sz="0" w:space="0" w:color="auto"/>
        <w:left w:val="none" w:sz="0" w:space="0" w:color="auto"/>
        <w:bottom w:val="none" w:sz="0" w:space="0" w:color="auto"/>
        <w:right w:val="none" w:sz="0" w:space="0" w:color="auto"/>
      </w:divBdr>
    </w:div>
    <w:div w:id="1781560111">
      <w:bodyDiv w:val="1"/>
      <w:marLeft w:val="0"/>
      <w:marRight w:val="0"/>
      <w:marTop w:val="0"/>
      <w:marBottom w:val="0"/>
      <w:divBdr>
        <w:top w:val="none" w:sz="0" w:space="0" w:color="auto"/>
        <w:left w:val="none" w:sz="0" w:space="0" w:color="auto"/>
        <w:bottom w:val="none" w:sz="0" w:space="0" w:color="auto"/>
        <w:right w:val="none" w:sz="0" w:space="0" w:color="auto"/>
      </w:divBdr>
    </w:div>
    <w:div w:id="1846632407">
      <w:bodyDiv w:val="1"/>
      <w:marLeft w:val="0"/>
      <w:marRight w:val="0"/>
      <w:marTop w:val="0"/>
      <w:marBottom w:val="0"/>
      <w:divBdr>
        <w:top w:val="none" w:sz="0" w:space="0" w:color="auto"/>
        <w:left w:val="none" w:sz="0" w:space="0" w:color="auto"/>
        <w:bottom w:val="none" w:sz="0" w:space="0" w:color="auto"/>
        <w:right w:val="none" w:sz="0" w:space="0" w:color="auto"/>
      </w:divBdr>
    </w:div>
    <w:div w:id="1886720462">
      <w:bodyDiv w:val="1"/>
      <w:marLeft w:val="0"/>
      <w:marRight w:val="0"/>
      <w:marTop w:val="0"/>
      <w:marBottom w:val="0"/>
      <w:divBdr>
        <w:top w:val="none" w:sz="0" w:space="0" w:color="auto"/>
        <w:left w:val="none" w:sz="0" w:space="0" w:color="auto"/>
        <w:bottom w:val="none" w:sz="0" w:space="0" w:color="auto"/>
        <w:right w:val="none" w:sz="0" w:space="0" w:color="auto"/>
      </w:divBdr>
    </w:div>
    <w:div w:id="1887524226">
      <w:bodyDiv w:val="1"/>
      <w:marLeft w:val="0"/>
      <w:marRight w:val="0"/>
      <w:marTop w:val="0"/>
      <w:marBottom w:val="0"/>
      <w:divBdr>
        <w:top w:val="none" w:sz="0" w:space="0" w:color="auto"/>
        <w:left w:val="none" w:sz="0" w:space="0" w:color="auto"/>
        <w:bottom w:val="none" w:sz="0" w:space="0" w:color="auto"/>
        <w:right w:val="none" w:sz="0" w:space="0" w:color="auto"/>
      </w:divBdr>
    </w:div>
    <w:div w:id="1893539418">
      <w:bodyDiv w:val="1"/>
      <w:marLeft w:val="0"/>
      <w:marRight w:val="0"/>
      <w:marTop w:val="0"/>
      <w:marBottom w:val="0"/>
      <w:divBdr>
        <w:top w:val="none" w:sz="0" w:space="0" w:color="auto"/>
        <w:left w:val="none" w:sz="0" w:space="0" w:color="auto"/>
        <w:bottom w:val="none" w:sz="0" w:space="0" w:color="auto"/>
        <w:right w:val="none" w:sz="0" w:space="0" w:color="auto"/>
      </w:divBdr>
    </w:div>
    <w:div w:id="1916237994">
      <w:bodyDiv w:val="1"/>
      <w:marLeft w:val="0"/>
      <w:marRight w:val="0"/>
      <w:marTop w:val="0"/>
      <w:marBottom w:val="0"/>
      <w:divBdr>
        <w:top w:val="none" w:sz="0" w:space="0" w:color="auto"/>
        <w:left w:val="none" w:sz="0" w:space="0" w:color="auto"/>
        <w:bottom w:val="none" w:sz="0" w:space="0" w:color="auto"/>
        <w:right w:val="none" w:sz="0" w:space="0" w:color="auto"/>
      </w:divBdr>
    </w:div>
    <w:div w:id="1918854835">
      <w:bodyDiv w:val="1"/>
      <w:marLeft w:val="0"/>
      <w:marRight w:val="0"/>
      <w:marTop w:val="0"/>
      <w:marBottom w:val="0"/>
      <w:divBdr>
        <w:top w:val="none" w:sz="0" w:space="0" w:color="auto"/>
        <w:left w:val="none" w:sz="0" w:space="0" w:color="auto"/>
        <w:bottom w:val="none" w:sz="0" w:space="0" w:color="auto"/>
        <w:right w:val="none" w:sz="0" w:space="0" w:color="auto"/>
      </w:divBdr>
    </w:div>
    <w:div w:id="1933514611">
      <w:bodyDiv w:val="1"/>
      <w:marLeft w:val="0"/>
      <w:marRight w:val="0"/>
      <w:marTop w:val="0"/>
      <w:marBottom w:val="0"/>
      <w:divBdr>
        <w:top w:val="none" w:sz="0" w:space="0" w:color="auto"/>
        <w:left w:val="none" w:sz="0" w:space="0" w:color="auto"/>
        <w:bottom w:val="none" w:sz="0" w:space="0" w:color="auto"/>
        <w:right w:val="none" w:sz="0" w:space="0" w:color="auto"/>
      </w:divBdr>
    </w:div>
    <w:div w:id="1939408488">
      <w:bodyDiv w:val="1"/>
      <w:marLeft w:val="0"/>
      <w:marRight w:val="0"/>
      <w:marTop w:val="0"/>
      <w:marBottom w:val="0"/>
      <w:divBdr>
        <w:top w:val="none" w:sz="0" w:space="0" w:color="auto"/>
        <w:left w:val="none" w:sz="0" w:space="0" w:color="auto"/>
        <w:bottom w:val="none" w:sz="0" w:space="0" w:color="auto"/>
        <w:right w:val="none" w:sz="0" w:space="0" w:color="auto"/>
      </w:divBdr>
    </w:div>
    <w:div w:id="1957561391">
      <w:bodyDiv w:val="1"/>
      <w:marLeft w:val="0"/>
      <w:marRight w:val="0"/>
      <w:marTop w:val="0"/>
      <w:marBottom w:val="0"/>
      <w:divBdr>
        <w:top w:val="none" w:sz="0" w:space="0" w:color="auto"/>
        <w:left w:val="none" w:sz="0" w:space="0" w:color="auto"/>
        <w:bottom w:val="none" w:sz="0" w:space="0" w:color="auto"/>
        <w:right w:val="none" w:sz="0" w:space="0" w:color="auto"/>
      </w:divBdr>
    </w:div>
    <w:div w:id="1984846649">
      <w:bodyDiv w:val="1"/>
      <w:marLeft w:val="0"/>
      <w:marRight w:val="0"/>
      <w:marTop w:val="0"/>
      <w:marBottom w:val="0"/>
      <w:divBdr>
        <w:top w:val="none" w:sz="0" w:space="0" w:color="auto"/>
        <w:left w:val="none" w:sz="0" w:space="0" w:color="auto"/>
        <w:bottom w:val="none" w:sz="0" w:space="0" w:color="auto"/>
        <w:right w:val="none" w:sz="0" w:space="0" w:color="auto"/>
      </w:divBdr>
    </w:div>
    <w:div w:id="2036885099">
      <w:bodyDiv w:val="1"/>
      <w:marLeft w:val="0"/>
      <w:marRight w:val="0"/>
      <w:marTop w:val="0"/>
      <w:marBottom w:val="0"/>
      <w:divBdr>
        <w:top w:val="none" w:sz="0" w:space="0" w:color="auto"/>
        <w:left w:val="none" w:sz="0" w:space="0" w:color="auto"/>
        <w:bottom w:val="none" w:sz="0" w:space="0" w:color="auto"/>
        <w:right w:val="none" w:sz="0" w:space="0" w:color="auto"/>
      </w:divBdr>
      <w:divsChild>
        <w:div w:id="40323292">
          <w:marLeft w:val="0"/>
          <w:marRight w:val="0"/>
          <w:marTop w:val="0"/>
          <w:marBottom w:val="0"/>
          <w:divBdr>
            <w:top w:val="none" w:sz="0" w:space="0" w:color="auto"/>
            <w:left w:val="none" w:sz="0" w:space="0" w:color="auto"/>
            <w:bottom w:val="none" w:sz="0" w:space="0" w:color="auto"/>
            <w:right w:val="none" w:sz="0" w:space="0" w:color="auto"/>
          </w:divBdr>
        </w:div>
        <w:div w:id="1174302731">
          <w:marLeft w:val="0"/>
          <w:marRight w:val="0"/>
          <w:marTop w:val="0"/>
          <w:marBottom w:val="0"/>
          <w:divBdr>
            <w:top w:val="none" w:sz="0" w:space="0" w:color="auto"/>
            <w:left w:val="none" w:sz="0" w:space="0" w:color="auto"/>
            <w:bottom w:val="none" w:sz="0" w:space="0" w:color="auto"/>
            <w:right w:val="none" w:sz="0" w:space="0" w:color="auto"/>
          </w:divBdr>
        </w:div>
        <w:div w:id="1244686340">
          <w:marLeft w:val="0"/>
          <w:marRight w:val="0"/>
          <w:marTop w:val="0"/>
          <w:marBottom w:val="0"/>
          <w:divBdr>
            <w:top w:val="none" w:sz="0" w:space="0" w:color="auto"/>
            <w:left w:val="none" w:sz="0" w:space="0" w:color="auto"/>
            <w:bottom w:val="none" w:sz="0" w:space="0" w:color="auto"/>
            <w:right w:val="none" w:sz="0" w:space="0" w:color="auto"/>
          </w:divBdr>
        </w:div>
        <w:div w:id="1561744909">
          <w:marLeft w:val="0"/>
          <w:marRight w:val="0"/>
          <w:marTop w:val="0"/>
          <w:marBottom w:val="0"/>
          <w:divBdr>
            <w:top w:val="none" w:sz="0" w:space="0" w:color="auto"/>
            <w:left w:val="none" w:sz="0" w:space="0" w:color="auto"/>
            <w:bottom w:val="none" w:sz="0" w:space="0" w:color="auto"/>
            <w:right w:val="none" w:sz="0" w:space="0" w:color="auto"/>
          </w:divBdr>
        </w:div>
        <w:div w:id="1659992699">
          <w:marLeft w:val="0"/>
          <w:marRight w:val="0"/>
          <w:marTop w:val="0"/>
          <w:marBottom w:val="0"/>
          <w:divBdr>
            <w:top w:val="none" w:sz="0" w:space="0" w:color="auto"/>
            <w:left w:val="none" w:sz="0" w:space="0" w:color="auto"/>
            <w:bottom w:val="none" w:sz="0" w:space="0" w:color="auto"/>
            <w:right w:val="none" w:sz="0" w:space="0" w:color="auto"/>
          </w:divBdr>
        </w:div>
      </w:divsChild>
    </w:div>
    <w:div w:id="2040888814">
      <w:bodyDiv w:val="1"/>
      <w:marLeft w:val="0"/>
      <w:marRight w:val="0"/>
      <w:marTop w:val="0"/>
      <w:marBottom w:val="0"/>
      <w:divBdr>
        <w:top w:val="none" w:sz="0" w:space="0" w:color="auto"/>
        <w:left w:val="none" w:sz="0" w:space="0" w:color="auto"/>
        <w:bottom w:val="none" w:sz="0" w:space="0" w:color="auto"/>
        <w:right w:val="none" w:sz="0" w:space="0" w:color="auto"/>
      </w:divBdr>
    </w:div>
    <w:div w:id="2063209383">
      <w:bodyDiv w:val="1"/>
      <w:marLeft w:val="0"/>
      <w:marRight w:val="0"/>
      <w:marTop w:val="0"/>
      <w:marBottom w:val="0"/>
      <w:divBdr>
        <w:top w:val="none" w:sz="0" w:space="0" w:color="auto"/>
        <w:left w:val="none" w:sz="0" w:space="0" w:color="auto"/>
        <w:bottom w:val="none" w:sz="0" w:space="0" w:color="auto"/>
        <w:right w:val="none" w:sz="0" w:space="0" w:color="auto"/>
      </w:divBdr>
    </w:div>
    <w:div w:id="2068020546">
      <w:bodyDiv w:val="1"/>
      <w:marLeft w:val="0"/>
      <w:marRight w:val="0"/>
      <w:marTop w:val="0"/>
      <w:marBottom w:val="0"/>
      <w:divBdr>
        <w:top w:val="none" w:sz="0" w:space="0" w:color="auto"/>
        <w:left w:val="none" w:sz="0" w:space="0" w:color="auto"/>
        <w:bottom w:val="none" w:sz="0" w:space="0" w:color="auto"/>
        <w:right w:val="none" w:sz="0" w:space="0" w:color="auto"/>
      </w:divBdr>
    </w:div>
    <w:div w:id="2068140086">
      <w:bodyDiv w:val="1"/>
      <w:marLeft w:val="0"/>
      <w:marRight w:val="0"/>
      <w:marTop w:val="0"/>
      <w:marBottom w:val="0"/>
      <w:divBdr>
        <w:top w:val="none" w:sz="0" w:space="0" w:color="auto"/>
        <w:left w:val="none" w:sz="0" w:space="0" w:color="auto"/>
        <w:bottom w:val="none" w:sz="0" w:space="0" w:color="auto"/>
        <w:right w:val="none" w:sz="0" w:space="0" w:color="auto"/>
      </w:divBdr>
    </w:div>
    <w:div w:id="2075472990">
      <w:bodyDiv w:val="1"/>
      <w:marLeft w:val="0"/>
      <w:marRight w:val="0"/>
      <w:marTop w:val="0"/>
      <w:marBottom w:val="0"/>
      <w:divBdr>
        <w:top w:val="none" w:sz="0" w:space="0" w:color="auto"/>
        <w:left w:val="none" w:sz="0" w:space="0" w:color="auto"/>
        <w:bottom w:val="none" w:sz="0" w:space="0" w:color="auto"/>
        <w:right w:val="none" w:sz="0" w:space="0" w:color="auto"/>
      </w:divBdr>
    </w:div>
    <w:div w:id="21283509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chart" Target="charts/chart2.xml"/><Relationship Id="rId21" Type="http://schemas.openxmlformats.org/officeDocument/2006/relationships/image" Target="media/image5.png"/><Relationship Id="rId42" Type="http://schemas.openxmlformats.org/officeDocument/2006/relationships/hyperlink" Target="https://unstats.un.org/unsd/cr/registry/docs/i4_SNA.pdf" TargetMode="External"/><Relationship Id="rId47" Type="http://schemas.openxmlformats.org/officeDocument/2006/relationships/hyperlink" Target="https://www.istat.it/it/informazioni-e-servizi/per-i-giornalisti/appuntamenti/calendario-diffusioni-ed-eventi" TargetMode="External"/><Relationship Id="rId63" Type="http://schemas.openxmlformats.org/officeDocument/2006/relationships/hyperlink" Target="https://www.istat.it/wp-content/uploads/2024/04/Nota_Informativa_Prezzi_import_16_aprile_2024.pdf" TargetMode="External"/><Relationship Id="rId68" Type="http://schemas.openxmlformats.org/officeDocument/2006/relationships/header" Target="header6.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yperlink" Target="http://www.istat.it" TargetMode="External"/><Relationship Id="rId29" Type="http://schemas.openxmlformats.org/officeDocument/2006/relationships/chart" Target="charts/chart5.xml"/><Relationship Id="rId11" Type="http://schemas.openxmlformats.org/officeDocument/2006/relationships/footnotes" Target="footnotes.xml"/><Relationship Id="rId24" Type="http://schemas.openxmlformats.org/officeDocument/2006/relationships/hyperlink" Target="https://www.coeweb.istat.it/" TargetMode="External"/><Relationship Id="rId32" Type="http://schemas.openxmlformats.org/officeDocument/2006/relationships/header" Target="header2.xml"/><Relationship Id="rId37" Type="http://schemas.openxmlformats.org/officeDocument/2006/relationships/chart" Target="charts/chart10.xml"/><Relationship Id="rId40" Type="http://schemas.openxmlformats.org/officeDocument/2006/relationships/header" Target="header3.xml"/><Relationship Id="rId45" Type="http://schemas.openxmlformats.org/officeDocument/2006/relationships/hyperlink" Target="https://www.coeweb.istat.it/" TargetMode="External"/><Relationship Id="rId53" Type="http://schemas.openxmlformats.org/officeDocument/2006/relationships/hyperlink" Target="https://esploradati.istat.it/" TargetMode="External"/><Relationship Id="rId58" Type="http://schemas.openxmlformats.org/officeDocument/2006/relationships/hyperlink" Target="http://www.istat.it/it/files/2015/11/Ricostruzione-serie-indici-2005-2009.pdf?title=Prezzi+all%27importazione+dei+prodotti+industriali+-+17%2Fnov%2F2015+-+Ricostruzione+serie.pdf" TargetMode="External"/><Relationship Id="rId66" Type="http://schemas.openxmlformats.org/officeDocument/2006/relationships/hyperlink" Target="mailto:valci@istat.it" TargetMode="External"/><Relationship Id="rId5" Type="http://schemas.openxmlformats.org/officeDocument/2006/relationships/customXml" Target="../customXml/item5.xml"/><Relationship Id="rId61" Type="http://schemas.openxmlformats.org/officeDocument/2006/relationships/hyperlink" Target="https://www.istat.it/it/files/2022/10/nota_informativa_prezzi_import.pdf" TargetMode="External"/><Relationship Id="rId19" Type="http://schemas.openxmlformats.org/officeDocument/2006/relationships/image" Target="media/image3.png"/><Relationship Id="rId14" Type="http://schemas.openxmlformats.org/officeDocument/2006/relationships/hyperlink" Target="https://contact.istat.it/s/?language=it" TargetMode="External"/><Relationship Id="rId22" Type="http://schemas.openxmlformats.org/officeDocument/2006/relationships/hyperlink" Target="http://dati.istat.it/" TargetMode="External"/><Relationship Id="rId27" Type="http://schemas.openxmlformats.org/officeDocument/2006/relationships/chart" Target="charts/chart3.xml"/><Relationship Id="rId30" Type="http://schemas.openxmlformats.org/officeDocument/2006/relationships/header" Target="header1.xml"/><Relationship Id="rId35" Type="http://schemas.openxmlformats.org/officeDocument/2006/relationships/chart" Target="charts/chart8.xml"/><Relationship Id="rId43" Type="http://schemas.openxmlformats.org/officeDocument/2006/relationships/hyperlink" Target="http://ec.europa.eu/eurostat/documents/3859598/5902521/KS-RA-07-015-EN.PDF" TargetMode="External"/><Relationship Id="rId48" Type="http://schemas.openxmlformats.org/officeDocument/2006/relationships/hyperlink" Target="http://www.istat.it/it/files/2016/07/scheda-CommercioEstero-e-prezzi-allimport-dei-prodotti-industriali.pdf" TargetMode="External"/><Relationship Id="rId56" Type="http://schemas.openxmlformats.org/officeDocument/2006/relationships/hyperlink" Target="http://www.istat.it/it/archivio/45225" TargetMode="External"/><Relationship Id="rId64" Type="http://schemas.openxmlformats.org/officeDocument/2006/relationships/hyperlink" Target="mailto:causo@istat.it" TargetMode="External"/><Relationship Id="rId69" Type="http://schemas.openxmlformats.org/officeDocument/2006/relationships/fontTable" Target="fontTable.xml"/><Relationship Id="rId8" Type="http://schemas.openxmlformats.org/officeDocument/2006/relationships/styles" Target="styles.xml"/><Relationship Id="rId51" Type="http://schemas.openxmlformats.org/officeDocument/2006/relationships/hyperlink" Target="http://www.istat.it/it/archivio/esportazioni+delle+regioni" TargetMode="Externa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yperlink" Target="https://contact.istat.it/s/?language=it" TargetMode="External"/><Relationship Id="rId25" Type="http://schemas.openxmlformats.org/officeDocument/2006/relationships/chart" Target="charts/chart1.xml"/><Relationship Id="rId33" Type="http://schemas.openxmlformats.org/officeDocument/2006/relationships/chart" Target="charts/chart6.xml"/><Relationship Id="rId38" Type="http://schemas.openxmlformats.org/officeDocument/2006/relationships/chart" Target="charts/chart11.xml"/><Relationship Id="rId46" Type="http://schemas.openxmlformats.org/officeDocument/2006/relationships/hyperlink" Target="https://www.istat.it/it/istituto-nazionale-di-statistica/organizzazione/normativa" TargetMode="External"/><Relationship Id="rId59" Type="http://schemas.openxmlformats.org/officeDocument/2006/relationships/hyperlink" Target="https://www.istat.it/it/files/2018/05/nota_informativa_prezzi_import.pdf" TargetMode="External"/><Relationship Id="rId67" Type="http://schemas.openxmlformats.org/officeDocument/2006/relationships/hyperlink" Target="mailto:lodorazi@istat.it" TargetMode="External"/><Relationship Id="rId20" Type="http://schemas.openxmlformats.org/officeDocument/2006/relationships/image" Target="media/image4.png"/><Relationship Id="rId41" Type="http://schemas.openxmlformats.org/officeDocument/2006/relationships/header" Target="header4.xml"/><Relationship Id="rId54" Type="http://schemas.openxmlformats.org/officeDocument/2006/relationships/hyperlink" Target="https://esploradati.istat.it/databrowser/" TargetMode="External"/><Relationship Id="rId62" Type="http://schemas.openxmlformats.org/officeDocument/2006/relationships/hyperlink" Target="https://www.istat.it/it/files/2023/04/Nota-Informativa-Prezzi-Import-2023.pdf" TargetMode="Externa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hyperlink" Target="file:///C:\Users\enzalucia.vaccaro\My%20Documents\TESTATINE\ufficiostampa@istat.it" TargetMode="External"/><Relationship Id="rId23" Type="http://schemas.openxmlformats.org/officeDocument/2006/relationships/hyperlink" Target="http://www.istat.it/it/congiuntura" TargetMode="External"/><Relationship Id="rId28" Type="http://schemas.openxmlformats.org/officeDocument/2006/relationships/chart" Target="charts/chart4.xml"/><Relationship Id="rId36" Type="http://schemas.openxmlformats.org/officeDocument/2006/relationships/chart" Target="charts/chart9.xml"/><Relationship Id="rId49" Type="http://schemas.openxmlformats.org/officeDocument/2006/relationships/hyperlink" Target="http://www.istat.it/it/archivio/commercio+estero+e+prezzi+import" TargetMode="External"/><Relationship Id="rId57" Type="http://schemas.openxmlformats.org/officeDocument/2006/relationships/hyperlink" Target="http://www.istat.it/it/files/2016/02/Prezzi-all-importazione-dei-prodotti-industriali-Nota-informativa.pdf?title=Prezzi+all%E2%80%99importazione+dei+prodotti+industriali+-+16%2Ffeb%2F2016+-+Nota+informativa.pdf" TargetMode="External"/><Relationship Id="rId10" Type="http://schemas.openxmlformats.org/officeDocument/2006/relationships/webSettings" Target="webSettings.xml"/><Relationship Id="rId31" Type="http://schemas.openxmlformats.org/officeDocument/2006/relationships/footer" Target="footer1.xml"/><Relationship Id="rId44" Type="http://schemas.openxmlformats.org/officeDocument/2006/relationships/header" Target="header5.xml"/><Relationship Id="rId52" Type="http://schemas.openxmlformats.org/officeDocument/2006/relationships/hyperlink" Target="http://ec.europa.eu/eurostat/data/database" TargetMode="External"/><Relationship Id="rId60" Type="http://schemas.openxmlformats.org/officeDocument/2006/relationships/hyperlink" Target="https://www.istat.it/it/files/2020/12/nota_informativa_revisioni_commercio_estero.pdf" TargetMode="External"/><Relationship Id="rId65" Type="http://schemas.openxmlformats.org/officeDocument/2006/relationships/hyperlink" Target="mailto:crlanzi@istat.it" TargetMode="Externa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hyperlink" Target="http://www.istat.it" TargetMode="External"/><Relationship Id="rId18" Type="http://schemas.openxmlformats.org/officeDocument/2006/relationships/hyperlink" Target="file:///C:\Users\enzalucia.vaccaro\My%20Documents\TESTATINE\ufficiostampa@istat.it" TargetMode="External"/><Relationship Id="rId39" Type="http://schemas.openxmlformats.org/officeDocument/2006/relationships/chart" Target="charts/chart12.xml"/><Relationship Id="rId34" Type="http://schemas.openxmlformats.org/officeDocument/2006/relationships/chart" Target="charts/chart7.xml"/><Relationship Id="rId50" Type="http://schemas.openxmlformats.org/officeDocument/2006/relationships/hyperlink" Target="http://www.istat.it/it/archivio/commercio+estero+extra+ue" TargetMode="External"/><Relationship Id="rId55" Type="http://schemas.openxmlformats.org/officeDocument/2006/relationships/hyperlink" Target="https://www.istat.it/it/files/2011/03/testointegrale20080225.pd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9.jpeg"/></Relationships>
</file>

<file path=word/_rels/header4.xml.rels><?xml version="1.0" encoding="UTF-8" standalone="yes"?>
<Relationships xmlns="http://schemas.openxmlformats.org/package/2006/relationships"><Relationship Id="rId1" Type="http://schemas.openxmlformats.org/officeDocument/2006/relationships/image" Target="media/image10.png"/></Relationships>
</file>

<file path=word/_rels/header5.xml.rels><?xml version="1.0" encoding="UTF-8" standalone="yes"?>
<Relationships xmlns="http://schemas.openxmlformats.org/package/2006/relationships"><Relationship Id="rId1" Type="http://schemas.openxmlformats.org/officeDocument/2006/relationships/image" Target="media/image11.png"/></Relationships>
</file>

<file path=word/_rels/header6.xml.rels><?xml version="1.0" encoding="UTF-8" standalone="yes"?>
<Relationships xmlns="http://schemas.openxmlformats.org/package/2006/relationships"><Relationship Id="rId1" Type="http://schemas.openxmlformats.org/officeDocument/2006/relationships/image" Target="media/image12.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GraficiElabImport_1_2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coe_pi_mondo_12025_new.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Nas-repo1\share2\COE_documentazione_servizio\DIFFUSIONE\COMUNICATO%20STAMPA\CS%20Mondo\CS_COE_PI_Gennaio_2025\GraficiElabImport_1_2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5"/>
          <c:order val="4"/>
          <c:tx>
            <c:strRef>
              <c:f>'figura 1'!$G$4</c:f>
              <c:strCache>
                <c:ptCount val="1"/>
                <c:pt idx="0">
                  <c:v>Saldi (scala destra)</c:v>
                </c:pt>
              </c:strCache>
            </c:strRef>
          </c:tx>
          <c:spPr>
            <a:solidFill>
              <a:srgbClr val="A6A6A6"/>
            </a:solidFill>
            <a:ln w="6350" cap="flat" cmpd="sng" algn="ctr">
              <a:solidFill>
                <a:schemeClr val="bg1"/>
              </a:solidFill>
              <a:prstDash val="solid"/>
              <a:round/>
              <a:headEnd type="none" w="med" len="med"/>
              <a:tailEnd type="none" w="med" len="med"/>
            </a:ln>
            <a:effectLst/>
          </c:spPr>
          <c:invertIfNegative val="0"/>
          <c:val>
            <c:numRef>
              <c:f>'figura 1'!$G$101:$G$172</c:f>
              <c:numCache>
                <c:formatCode>0</c:formatCode>
                <c:ptCount val="72"/>
                <c:pt idx="0">
                  <c:v>4248</c:v>
                </c:pt>
                <c:pt idx="1">
                  <c:v>5538</c:v>
                </c:pt>
                <c:pt idx="2">
                  <c:v>5132</c:v>
                </c:pt>
                <c:pt idx="3">
                  <c:v>-965</c:v>
                </c:pt>
                <c:pt idx="4">
                  <c:v>4914</c:v>
                </c:pt>
                <c:pt idx="5">
                  <c:v>5810</c:v>
                </c:pt>
                <c:pt idx="6">
                  <c:v>6190</c:v>
                </c:pt>
                <c:pt idx="7">
                  <c:v>6454</c:v>
                </c:pt>
                <c:pt idx="8">
                  <c:v>6965</c:v>
                </c:pt>
                <c:pt idx="9">
                  <c:v>6327</c:v>
                </c:pt>
                <c:pt idx="10">
                  <c:v>6829</c:v>
                </c:pt>
                <c:pt idx="11">
                  <c:v>5781</c:v>
                </c:pt>
                <c:pt idx="12">
                  <c:v>5898</c:v>
                </c:pt>
                <c:pt idx="13">
                  <c:v>5307</c:v>
                </c:pt>
                <c:pt idx="14">
                  <c:v>4261</c:v>
                </c:pt>
                <c:pt idx="15">
                  <c:v>5648</c:v>
                </c:pt>
                <c:pt idx="16">
                  <c:v>3887</c:v>
                </c:pt>
                <c:pt idx="17">
                  <c:v>4164</c:v>
                </c:pt>
                <c:pt idx="18">
                  <c:v>5122</c:v>
                </c:pt>
                <c:pt idx="19">
                  <c:v>2545</c:v>
                </c:pt>
                <c:pt idx="20">
                  <c:v>2523</c:v>
                </c:pt>
                <c:pt idx="21">
                  <c:v>1398</c:v>
                </c:pt>
                <c:pt idx="22">
                  <c:v>1037</c:v>
                </c:pt>
                <c:pt idx="23">
                  <c:v>-2932</c:v>
                </c:pt>
                <c:pt idx="24">
                  <c:v>-2056</c:v>
                </c:pt>
                <c:pt idx="25">
                  <c:v>-1838</c:v>
                </c:pt>
                <c:pt idx="26">
                  <c:v>-2114</c:v>
                </c:pt>
                <c:pt idx="27">
                  <c:v>-3836</c:v>
                </c:pt>
                <c:pt idx="28">
                  <c:v>-2417</c:v>
                </c:pt>
                <c:pt idx="29">
                  <c:v>-3721</c:v>
                </c:pt>
                <c:pt idx="30">
                  <c:v>-3012</c:v>
                </c:pt>
                <c:pt idx="31">
                  <c:v>-8154</c:v>
                </c:pt>
                <c:pt idx="32">
                  <c:v>-5285</c:v>
                </c:pt>
                <c:pt idx="33">
                  <c:v>-2738</c:v>
                </c:pt>
                <c:pt idx="34">
                  <c:v>831</c:v>
                </c:pt>
                <c:pt idx="35">
                  <c:v>-1035</c:v>
                </c:pt>
                <c:pt idx="36">
                  <c:v>41</c:v>
                </c:pt>
                <c:pt idx="37">
                  <c:v>2718</c:v>
                </c:pt>
                <c:pt idx="38">
                  <c:v>2242</c:v>
                </c:pt>
                <c:pt idx="39">
                  <c:v>1579</c:v>
                </c:pt>
                <c:pt idx="40">
                  <c:v>2415</c:v>
                </c:pt>
                <c:pt idx="41">
                  <c:v>3053</c:v>
                </c:pt>
                <c:pt idx="42">
                  <c:v>3372</c:v>
                </c:pt>
                <c:pt idx="43">
                  <c:v>5174</c:v>
                </c:pt>
                <c:pt idx="44">
                  <c:v>3258</c:v>
                </c:pt>
                <c:pt idx="45">
                  <c:v>3482</c:v>
                </c:pt>
                <c:pt idx="46">
                  <c:v>3263</c:v>
                </c:pt>
                <c:pt idx="47">
                  <c:v>4547</c:v>
                </c:pt>
                <c:pt idx="48">
                  <c:v>6180</c:v>
                </c:pt>
                <c:pt idx="49">
                  <c:v>5393</c:v>
                </c:pt>
                <c:pt idx="50">
                  <c:v>4057</c:v>
                </c:pt>
                <c:pt idx="51">
                  <c:v>5494</c:v>
                </c:pt>
                <c:pt idx="52">
                  <c:v>4178</c:v>
                </c:pt>
                <c:pt idx="53">
                  <c:v>4608</c:v>
                </c:pt>
                <c:pt idx="54">
                  <c:v>3777</c:v>
                </c:pt>
                <c:pt idx="55">
                  <c:v>4043</c:v>
                </c:pt>
                <c:pt idx="56">
                  <c:v>4197</c:v>
                </c:pt>
                <c:pt idx="57">
                  <c:v>3234</c:v>
                </c:pt>
                <c:pt idx="58">
                  <c:v>3544</c:v>
                </c:pt>
                <c:pt idx="59">
                  <c:v>4713</c:v>
                </c:pt>
                <c:pt idx="60">
                  <c:v>3510</c:v>
                </c:pt>
              </c:numCache>
            </c:numRef>
          </c:val>
          <c:extLst>
            <c:ext xmlns:c16="http://schemas.microsoft.com/office/drawing/2014/chart" uri="{C3380CC4-5D6E-409C-BE32-E72D297353CC}">
              <c16:uniqueId val="{00000000-D507-4503-A2BF-10449E40534B}"/>
            </c:ext>
          </c:extLst>
        </c:ser>
        <c:dLbls>
          <c:showLegendKey val="0"/>
          <c:showVal val="0"/>
          <c:showCatName val="0"/>
          <c:showSerName val="0"/>
          <c:showPercent val="0"/>
          <c:showBubbleSize val="0"/>
        </c:dLbls>
        <c:gapWidth val="0"/>
        <c:axId val="204585296"/>
        <c:axId val="204584736"/>
      </c:barChart>
      <c:lineChart>
        <c:grouping val="standard"/>
        <c:varyColors val="0"/>
        <c:ser>
          <c:idx val="2"/>
          <c:order val="0"/>
          <c:tx>
            <c:strRef>
              <c:f>'figura 1'!$C$4</c:f>
              <c:strCache>
                <c:ptCount val="1"/>
                <c:pt idx="0">
                  <c:v>Export - mensile</c:v>
                </c:pt>
              </c:strCache>
            </c:strRef>
          </c:tx>
          <c:spPr>
            <a:ln w="12700" cap="flat" cmpd="sng" algn="ctr">
              <a:solidFill>
                <a:srgbClr val="003B5C"/>
              </a:solidFill>
              <a:prstDash val="sysDash"/>
              <a:round/>
              <a:headEnd type="none" w="med" len="med"/>
              <a:tailEnd type="none" w="med" len="med"/>
            </a:ln>
            <a:effectLst/>
          </c:spPr>
          <c:marker>
            <c:symbol val="none"/>
          </c:marker>
          <c:cat>
            <c:numRef>
              <c:f>'figura 1'!$B$101:$B$172</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'figura 1'!$C$101:$C$172</c:f>
              <c:numCache>
                <c:formatCode>0</c:formatCode>
                <c:ptCount val="72"/>
                <c:pt idx="0">
                  <c:v>40524</c:v>
                </c:pt>
                <c:pt idx="1">
                  <c:v>40219</c:v>
                </c:pt>
                <c:pt idx="2">
                  <c:v>33698</c:v>
                </c:pt>
                <c:pt idx="3">
                  <c:v>21970</c:v>
                </c:pt>
                <c:pt idx="4">
                  <c:v>30131</c:v>
                </c:pt>
                <c:pt idx="5">
                  <c:v>34653</c:v>
                </c:pt>
                <c:pt idx="6">
                  <c:v>37272</c:v>
                </c:pt>
                <c:pt idx="7">
                  <c:v>38091</c:v>
                </c:pt>
                <c:pt idx="8">
                  <c:v>39363</c:v>
                </c:pt>
                <c:pt idx="9">
                  <c:v>39102</c:v>
                </c:pt>
                <c:pt idx="10">
                  <c:v>40848</c:v>
                </c:pt>
                <c:pt idx="11">
                  <c:v>39478</c:v>
                </c:pt>
                <c:pt idx="12">
                  <c:v>40093</c:v>
                </c:pt>
                <c:pt idx="13">
                  <c:v>40185</c:v>
                </c:pt>
                <c:pt idx="14">
                  <c:v>41352</c:v>
                </c:pt>
                <c:pt idx="15">
                  <c:v>43364</c:v>
                </c:pt>
                <c:pt idx="16">
                  <c:v>41660</c:v>
                </c:pt>
                <c:pt idx="17">
                  <c:v>42609</c:v>
                </c:pt>
                <c:pt idx="18">
                  <c:v>44330</c:v>
                </c:pt>
                <c:pt idx="19">
                  <c:v>44178</c:v>
                </c:pt>
                <c:pt idx="20">
                  <c:v>43882</c:v>
                </c:pt>
                <c:pt idx="21">
                  <c:v>44613</c:v>
                </c:pt>
                <c:pt idx="22">
                  <c:v>45760</c:v>
                </c:pt>
                <c:pt idx="23">
                  <c:v>45544</c:v>
                </c:pt>
                <c:pt idx="24">
                  <c:v>47890</c:v>
                </c:pt>
                <c:pt idx="25">
                  <c:v>48817</c:v>
                </c:pt>
                <c:pt idx="26">
                  <c:v>50122</c:v>
                </c:pt>
                <c:pt idx="27">
                  <c:v>51068</c:v>
                </c:pt>
                <c:pt idx="28">
                  <c:v>53307</c:v>
                </c:pt>
                <c:pt idx="29">
                  <c:v>52181</c:v>
                </c:pt>
                <c:pt idx="30">
                  <c:v>54848</c:v>
                </c:pt>
                <c:pt idx="31">
                  <c:v>52405</c:v>
                </c:pt>
                <c:pt idx="32">
                  <c:v>53696</c:v>
                </c:pt>
                <c:pt idx="33">
                  <c:v>52967</c:v>
                </c:pt>
                <c:pt idx="34">
                  <c:v>55434</c:v>
                </c:pt>
                <c:pt idx="35">
                  <c:v>53430</c:v>
                </c:pt>
                <c:pt idx="36">
                  <c:v>53322</c:v>
                </c:pt>
                <c:pt idx="37">
                  <c:v>54052</c:v>
                </c:pt>
                <c:pt idx="38">
                  <c:v>52851</c:v>
                </c:pt>
                <c:pt idx="39">
                  <c:v>51784</c:v>
                </c:pt>
                <c:pt idx="40">
                  <c:v>51561</c:v>
                </c:pt>
                <c:pt idx="41">
                  <c:v>52044</c:v>
                </c:pt>
                <c:pt idx="42">
                  <c:v>50982</c:v>
                </c:pt>
                <c:pt idx="43">
                  <c:v>53965</c:v>
                </c:pt>
                <c:pt idx="44">
                  <c:v>51170</c:v>
                </c:pt>
                <c:pt idx="45">
                  <c:v>53446</c:v>
                </c:pt>
                <c:pt idx="46">
                  <c:v>52306</c:v>
                </c:pt>
                <c:pt idx="47">
                  <c:v>52898</c:v>
                </c:pt>
                <c:pt idx="48">
                  <c:v>50876</c:v>
                </c:pt>
                <c:pt idx="49">
                  <c:v>52778</c:v>
                </c:pt>
                <c:pt idx="50">
                  <c:v>51921</c:v>
                </c:pt>
                <c:pt idx="51">
                  <c:v>52917</c:v>
                </c:pt>
                <c:pt idx="52">
                  <c:v>51025</c:v>
                </c:pt>
                <c:pt idx="53">
                  <c:v>51386</c:v>
                </c:pt>
                <c:pt idx="54">
                  <c:v>51052</c:v>
                </c:pt>
                <c:pt idx="55">
                  <c:v>51370</c:v>
                </c:pt>
                <c:pt idx="56">
                  <c:v>52105</c:v>
                </c:pt>
                <c:pt idx="57">
                  <c:v>51099</c:v>
                </c:pt>
                <c:pt idx="58">
                  <c:v>51878</c:v>
                </c:pt>
                <c:pt idx="59">
                  <c:v>52885</c:v>
                </c:pt>
                <c:pt idx="60">
                  <c:v>53205</c:v>
                </c:pt>
              </c:numCache>
            </c:numRef>
          </c:val>
          <c:smooth val="0"/>
          <c:extLst>
            <c:ext xmlns:c16="http://schemas.microsoft.com/office/drawing/2014/chart" uri="{C3380CC4-5D6E-409C-BE32-E72D297353CC}">
              <c16:uniqueId val="{00000001-D507-4503-A2BF-10449E40534B}"/>
            </c:ext>
          </c:extLst>
        </c:ser>
        <c:ser>
          <c:idx val="4"/>
          <c:order val="1"/>
          <c:tx>
            <c:strRef>
              <c:f>'figura 1'!$D$4</c:f>
              <c:strCache>
                <c:ptCount val="1"/>
                <c:pt idx="0">
                  <c:v>Export - media 3m</c:v>
                </c:pt>
              </c:strCache>
            </c:strRef>
          </c:tx>
          <c:spPr>
            <a:ln w="28575" cap="rnd">
              <a:solidFill>
                <a:srgbClr val="003B5C"/>
              </a:solidFill>
              <a:round/>
            </a:ln>
            <a:effectLst/>
          </c:spPr>
          <c:marker>
            <c:symbol val="none"/>
          </c:marker>
          <c:cat>
            <c:numRef>
              <c:f>'figura 1'!$B$101:$B$172</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'figura 1'!$D$101:$D$172</c:f>
              <c:numCache>
                <c:formatCode>0</c:formatCode>
                <c:ptCount val="72"/>
                <c:pt idx="0">
                  <c:v>40296.666666666672</c:v>
                </c:pt>
                <c:pt idx="1">
                  <c:v>38147</c:v>
                </c:pt>
                <c:pt idx="2">
                  <c:v>31962.333333333332</c:v>
                </c:pt>
                <c:pt idx="3">
                  <c:v>28599.666666666664</c:v>
                </c:pt>
                <c:pt idx="4">
                  <c:v>28918</c:v>
                </c:pt>
                <c:pt idx="5">
                  <c:v>34018.666666666664</c:v>
                </c:pt>
                <c:pt idx="6">
                  <c:v>36672</c:v>
                </c:pt>
                <c:pt idx="7">
                  <c:v>38242</c:v>
                </c:pt>
                <c:pt idx="8">
                  <c:v>38852</c:v>
                </c:pt>
                <c:pt idx="9">
                  <c:v>39771</c:v>
                </c:pt>
                <c:pt idx="10">
                  <c:v>39809.333333333328</c:v>
                </c:pt>
                <c:pt idx="11">
                  <c:v>40139.666666666672</c:v>
                </c:pt>
                <c:pt idx="12">
                  <c:v>39918.666666666672</c:v>
                </c:pt>
                <c:pt idx="13">
                  <c:v>40543.333333333336</c:v>
                </c:pt>
                <c:pt idx="14">
                  <c:v>41633.666666666672</c:v>
                </c:pt>
                <c:pt idx="15">
                  <c:v>42125.333333333336</c:v>
                </c:pt>
                <c:pt idx="16">
                  <c:v>42544.333333333336</c:v>
                </c:pt>
                <c:pt idx="17">
                  <c:v>42866.333333333328</c:v>
                </c:pt>
                <c:pt idx="18">
                  <c:v>43705.666666666672</c:v>
                </c:pt>
                <c:pt idx="19">
                  <c:v>44130</c:v>
                </c:pt>
                <c:pt idx="20">
                  <c:v>44224.333333333328</c:v>
                </c:pt>
                <c:pt idx="21">
                  <c:v>44751.666666666672</c:v>
                </c:pt>
                <c:pt idx="22">
                  <c:v>45305.666666666672</c:v>
                </c:pt>
                <c:pt idx="23">
                  <c:v>46398</c:v>
                </c:pt>
                <c:pt idx="24">
                  <c:v>47417</c:v>
                </c:pt>
                <c:pt idx="25">
                  <c:v>48943</c:v>
                </c:pt>
                <c:pt idx="26">
                  <c:v>50002.333333333336</c:v>
                </c:pt>
                <c:pt idx="27">
                  <c:v>51499</c:v>
                </c:pt>
                <c:pt idx="28">
                  <c:v>52185.333333333328</c:v>
                </c:pt>
                <c:pt idx="29">
                  <c:v>53445.333333333336</c:v>
                </c:pt>
                <c:pt idx="30">
                  <c:v>53144.666666666672</c:v>
                </c:pt>
                <c:pt idx="31">
                  <c:v>53649.666666666672</c:v>
                </c:pt>
                <c:pt idx="32">
                  <c:v>53022.666666666664</c:v>
                </c:pt>
                <c:pt idx="33">
                  <c:v>54032.333333333328</c:v>
                </c:pt>
                <c:pt idx="34">
                  <c:v>53943.666666666672</c:v>
                </c:pt>
                <c:pt idx="35">
                  <c:v>54062</c:v>
                </c:pt>
                <c:pt idx="36">
                  <c:v>53601.333333333328</c:v>
                </c:pt>
                <c:pt idx="37">
                  <c:v>53408.333333333328</c:v>
                </c:pt>
                <c:pt idx="38">
                  <c:v>52895.666666666672</c:v>
                </c:pt>
                <c:pt idx="39">
                  <c:v>52065.333333333336</c:v>
                </c:pt>
                <c:pt idx="40">
                  <c:v>51796.333333333336</c:v>
                </c:pt>
                <c:pt idx="41">
                  <c:v>51529</c:v>
                </c:pt>
                <c:pt idx="42">
                  <c:v>52330.333333333328</c:v>
                </c:pt>
                <c:pt idx="43">
                  <c:v>52039</c:v>
                </c:pt>
                <c:pt idx="44">
                  <c:v>52860.333333333336</c:v>
                </c:pt>
                <c:pt idx="45">
                  <c:v>52307.333333333328</c:v>
                </c:pt>
                <c:pt idx="46">
                  <c:v>52883.333333333328</c:v>
                </c:pt>
                <c:pt idx="47">
                  <c:v>52026.666666666672</c:v>
                </c:pt>
                <c:pt idx="48">
                  <c:v>52184</c:v>
                </c:pt>
                <c:pt idx="49">
                  <c:v>51858.333333333328</c:v>
                </c:pt>
                <c:pt idx="50">
                  <c:v>52538.666666666664</c:v>
                </c:pt>
                <c:pt idx="51">
                  <c:v>51954.333333333328</c:v>
                </c:pt>
                <c:pt idx="52">
                  <c:v>51776</c:v>
                </c:pt>
                <c:pt idx="53">
                  <c:v>51154.333333333328</c:v>
                </c:pt>
                <c:pt idx="54">
                  <c:v>51269.333333333328</c:v>
                </c:pt>
                <c:pt idx="55">
                  <c:v>51509</c:v>
                </c:pt>
                <c:pt idx="56">
                  <c:v>51524.666666666672</c:v>
                </c:pt>
                <c:pt idx="57">
                  <c:v>51694</c:v>
                </c:pt>
                <c:pt idx="58">
                  <c:v>51954</c:v>
                </c:pt>
                <c:pt idx="59">
                  <c:v>52656</c:v>
                </c:pt>
              </c:numCache>
            </c:numRef>
          </c:val>
          <c:smooth val="0"/>
          <c:extLst>
            <c:ext xmlns:c16="http://schemas.microsoft.com/office/drawing/2014/chart" uri="{C3380CC4-5D6E-409C-BE32-E72D297353CC}">
              <c16:uniqueId val="{00000002-D507-4503-A2BF-10449E40534B}"/>
            </c:ext>
          </c:extLst>
        </c:ser>
        <c:ser>
          <c:idx val="1"/>
          <c:order val="2"/>
          <c:tx>
            <c:strRef>
              <c:f>'figura 1'!$E$4</c:f>
              <c:strCache>
                <c:ptCount val="1"/>
                <c:pt idx="0">
                  <c:v>Import - mensile</c:v>
                </c:pt>
              </c:strCache>
            </c:strRef>
          </c:tx>
          <c:spPr>
            <a:ln w="12700" cap="flat" cmpd="sng" algn="ctr">
              <a:solidFill>
                <a:srgbClr val="D22630"/>
              </a:solidFill>
              <a:prstDash val="sysDash"/>
              <a:round/>
              <a:headEnd type="none" w="med" len="med"/>
              <a:tailEnd type="none" w="med" len="med"/>
            </a:ln>
            <a:effectLst/>
          </c:spPr>
          <c:marker>
            <c:symbol val="none"/>
          </c:marker>
          <c:cat>
            <c:numRef>
              <c:f>'figura 1'!$B$101:$B$172</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'figura 1'!$E$101:$E$172</c:f>
              <c:numCache>
                <c:formatCode>0</c:formatCode>
                <c:ptCount val="72"/>
                <c:pt idx="0">
                  <c:v>36276</c:v>
                </c:pt>
                <c:pt idx="1">
                  <c:v>34681</c:v>
                </c:pt>
                <c:pt idx="2">
                  <c:v>28566</c:v>
                </c:pt>
                <c:pt idx="3">
                  <c:v>22935</c:v>
                </c:pt>
                <c:pt idx="4">
                  <c:v>25217</c:v>
                </c:pt>
                <c:pt idx="5">
                  <c:v>28843</c:v>
                </c:pt>
                <c:pt idx="6">
                  <c:v>31082</c:v>
                </c:pt>
                <c:pt idx="7">
                  <c:v>31637</c:v>
                </c:pt>
                <c:pt idx="8">
                  <c:v>32398</c:v>
                </c:pt>
                <c:pt idx="9">
                  <c:v>32775</c:v>
                </c:pt>
                <c:pt idx="10">
                  <c:v>34019</c:v>
                </c:pt>
                <c:pt idx="11">
                  <c:v>33697</c:v>
                </c:pt>
                <c:pt idx="12">
                  <c:v>34195</c:v>
                </c:pt>
                <c:pt idx="13">
                  <c:v>34878</c:v>
                </c:pt>
                <c:pt idx="14">
                  <c:v>37091</c:v>
                </c:pt>
                <c:pt idx="15">
                  <c:v>37716</c:v>
                </c:pt>
                <c:pt idx="16">
                  <c:v>37773</c:v>
                </c:pt>
                <c:pt idx="17">
                  <c:v>38445</c:v>
                </c:pt>
                <c:pt idx="18">
                  <c:v>39208</c:v>
                </c:pt>
                <c:pt idx="19">
                  <c:v>41633</c:v>
                </c:pt>
                <c:pt idx="20">
                  <c:v>41359</c:v>
                </c:pt>
                <c:pt idx="21">
                  <c:v>43215</c:v>
                </c:pt>
                <c:pt idx="22">
                  <c:v>44723</c:v>
                </c:pt>
                <c:pt idx="23">
                  <c:v>48476</c:v>
                </c:pt>
                <c:pt idx="24">
                  <c:v>49946</c:v>
                </c:pt>
                <c:pt idx="25">
                  <c:v>50655</c:v>
                </c:pt>
                <c:pt idx="26">
                  <c:v>52236</c:v>
                </c:pt>
                <c:pt idx="27">
                  <c:v>54904</c:v>
                </c:pt>
                <c:pt idx="28">
                  <c:v>55724</c:v>
                </c:pt>
                <c:pt idx="29">
                  <c:v>55902</c:v>
                </c:pt>
                <c:pt idx="30">
                  <c:v>57860</c:v>
                </c:pt>
                <c:pt idx="31">
                  <c:v>60559</c:v>
                </c:pt>
                <c:pt idx="32">
                  <c:v>58981</c:v>
                </c:pt>
                <c:pt idx="33">
                  <c:v>55705</c:v>
                </c:pt>
                <c:pt idx="34">
                  <c:v>54603</c:v>
                </c:pt>
                <c:pt idx="35">
                  <c:v>54465</c:v>
                </c:pt>
                <c:pt idx="36">
                  <c:v>53281</c:v>
                </c:pt>
                <c:pt idx="37">
                  <c:v>51334</c:v>
                </c:pt>
                <c:pt idx="38">
                  <c:v>50609</c:v>
                </c:pt>
                <c:pt idx="39">
                  <c:v>50205</c:v>
                </c:pt>
                <c:pt idx="40">
                  <c:v>49146</c:v>
                </c:pt>
                <c:pt idx="41">
                  <c:v>48991</c:v>
                </c:pt>
                <c:pt idx="42">
                  <c:v>47610</c:v>
                </c:pt>
                <c:pt idx="43">
                  <c:v>48791</c:v>
                </c:pt>
                <c:pt idx="44">
                  <c:v>47912</c:v>
                </c:pt>
                <c:pt idx="45">
                  <c:v>49964</c:v>
                </c:pt>
                <c:pt idx="46">
                  <c:v>49043</c:v>
                </c:pt>
                <c:pt idx="47">
                  <c:v>48351</c:v>
                </c:pt>
                <c:pt idx="48">
                  <c:v>44696</c:v>
                </c:pt>
                <c:pt idx="49">
                  <c:v>47385</c:v>
                </c:pt>
                <c:pt idx="50">
                  <c:v>47864</c:v>
                </c:pt>
                <c:pt idx="51">
                  <c:v>47423</c:v>
                </c:pt>
                <c:pt idx="52">
                  <c:v>46847</c:v>
                </c:pt>
                <c:pt idx="53">
                  <c:v>46778</c:v>
                </c:pt>
                <c:pt idx="54">
                  <c:v>47275</c:v>
                </c:pt>
                <c:pt idx="55">
                  <c:v>47327</c:v>
                </c:pt>
                <c:pt idx="56">
                  <c:v>47908</c:v>
                </c:pt>
                <c:pt idx="57">
                  <c:v>47865</c:v>
                </c:pt>
                <c:pt idx="58">
                  <c:v>48334</c:v>
                </c:pt>
                <c:pt idx="59">
                  <c:v>48172</c:v>
                </c:pt>
                <c:pt idx="60">
                  <c:v>49695</c:v>
                </c:pt>
              </c:numCache>
            </c:numRef>
          </c:val>
          <c:smooth val="0"/>
          <c:extLst>
            <c:ext xmlns:c16="http://schemas.microsoft.com/office/drawing/2014/chart" uri="{C3380CC4-5D6E-409C-BE32-E72D297353CC}">
              <c16:uniqueId val="{00000003-D507-4503-A2BF-10449E40534B}"/>
            </c:ext>
          </c:extLst>
        </c:ser>
        <c:ser>
          <c:idx val="3"/>
          <c:order val="3"/>
          <c:tx>
            <c:strRef>
              <c:f>'figura 1'!$F$4</c:f>
              <c:strCache>
                <c:ptCount val="1"/>
                <c:pt idx="0">
                  <c:v>Import - media 3m</c:v>
                </c:pt>
              </c:strCache>
            </c:strRef>
          </c:tx>
          <c:spPr>
            <a:ln w="28575" cap="rnd">
              <a:solidFill>
                <a:srgbClr val="D22630"/>
              </a:solidFill>
              <a:round/>
            </a:ln>
            <a:effectLst/>
          </c:spPr>
          <c:marker>
            <c:symbol val="none"/>
          </c:marker>
          <c:cat>
            <c:numRef>
              <c:f>'figura 1'!$B$101:$B$172</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'figura 1'!$F$101:$F$172</c:f>
              <c:numCache>
                <c:formatCode>0</c:formatCode>
                <c:ptCount val="72"/>
                <c:pt idx="0">
                  <c:v>35529.666666666664</c:v>
                </c:pt>
                <c:pt idx="1">
                  <c:v>33174.333333333336</c:v>
                </c:pt>
                <c:pt idx="2">
                  <c:v>28727.333333333332</c:v>
                </c:pt>
                <c:pt idx="3">
                  <c:v>25572.666666666664</c:v>
                </c:pt>
                <c:pt idx="4">
                  <c:v>25665</c:v>
                </c:pt>
                <c:pt idx="5">
                  <c:v>28380.666666666664</c:v>
                </c:pt>
                <c:pt idx="6">
                  <c:v>30520.666666666664</c:v>
                </c:pt>
                <c:pt idx="7">
                  <c:v>31705.666666666664</c:v>
                </c:pt>
                <c:pt idx="8">
                  <c:v>32270</c:v>
                </c:pt>
                <c:pt idx="9">
                  <c:v>33064</c:v>
                </c:pt>
                <c:pt idx="10">
                  <c:v>33497</c:v>
                </c:pt>
                <c:pt idx="11">
                  <c:v>33970.333333333336</c:v>
                </c:pt>
                <c:pt idx="12">
                  <c:v>34256.666666666672</c:v>
                </c:pt>
                <c:pt idx="13">
                  <c:v>35388</c:v>
                </c:pt>
                <c:pt idx="14">
                  <c:v>36561.666666666664</c:v>
                </c:pt>
                <c:pt idx="15">
                  <c:v>37526.666666666672</c:v>
                </c:pt>
                <c:pt idx="16">
                  <c:v>37978</c:v>
                </c:pt>
                <c:pt idx="17">
                  <c:v>38475.333333333336</c:v>
                </c:pt>
                <c:pt idx="18">
                  <c:v>39762</c:v>
                </c:pt>
                <c:pt idx="19">
                  <c:v>40733.333333333336</c:v>
                </c:pt>
                <c:pt idx="20">
                  <c:v>42069</c:v>
                </c:pt>
                <c:pt idx="21">
                  <c:v>43099</c:v>
                </c:pt>
                <c:pt idx="22">
                  <c:v>45471.333333333328</c:v>
                </c:pt>
                <c:pt idx="23">
                  <c:v>47715</c:v>
                </c:pt>
                <c:pt idx="24">
                  <c:v>49692.333333333336</c:v>
                </c:pt>
                <c:pt idx="25">
                  <c:v>50945.666666666672</c:v>
                </c:pt>
                <c:pt idx="26">
                  <c:v>52598.333333333328</c:v>
                </c:pt>
                <c:pt idx="27">
                  <c:v>54288</c:v>
                </c:pt>
                <c:pt idx="28">
                  <c:v>55510</c:v>
                </c:pt>
                <c:pt idx="29">
                  <c:v>56495.333333333328</c:v>
                </c:pt>
                <c:pt idx="30">
                  <c:v>58107</c:v>
                </c:pt>
                <c:pt idx="31">
                  <c:v>59133.333333333336</c:v>
                </c:pt>
                <c:pt idx="32">
                  <c:v>58415</c:v>
                </c:pt>
                <c:pt idx="33">
                  <c:v>56429.666666666672</c:v>
                </c:pt>
                <c:pt idx="34">
                  <c:v>54924.333333333328</c:v>
                </c:pt>
                <c:pt idx="35">
                  <c:v>54116.333333333328</c:v>
                </c:pt>
                <c:pt idx="36">
                  <c:v>53026.666666666672</c:v>
                </c:pt>
                <c:pt idx="37">
                  <c:v>51741.333333333328</c:v>
                </c:pt>
                <c:pt idx="38">
                  <c:v>50716</c:v>
                </c:pt>
                <c:pt idx="39">
                  <c:v>49986.666666666672</c:v>
                </c:pt>
                <c:pt idx="40">
                  <c:v>49447.333333333328</c:v>
                </c:pt>
                <c:pt idx="41">
                  <c:v>48582.333333333328</c:v>
                </c:pt>
                <c:pt idx="42">
                  <c:v>48464</c:v>
                </c:pt>
                <c:pt idx="43">
                  <c:v>48104.333333333336</c:v>
                </c:pt>
                <c:pt idx="44">
                  <c:v>48889</c:v>
                </c:pt>
                <c:pt idx="45">
                  <c:v>48973</c:v>
                </c:pt>
                <c:pt idx="46">
                  <c:v>49119.333333333328</c:v>
                </c:pt>
                <c:pt idx="47">
                  <c:v>47363.333333333328</c:v>
                </c:pt>
                <c:pt idx="48">
                  <c:v>46810.666666666672</c:v>
                </c:pt>
                <c:pt idx="49">
                  <c:v>46648.333333333336</c:v>
                </c:pt>
                <c:pt idx="50">
                  <c:v>47557.333333333328</c:v>
                </c:pt>
                <c:pt idx="51">
                  <c:v>47378</c:v>
                </c:pt>
                <c:pt idx="52">
                  <c:v>47016</c:v>
                </c:pt>
                <c:pt idx="53">
                  <c:v>46966.666666666672</c:v>
                </c:pt>
                <c:pt idx="54">
                  <c:v>47126.666666666672</c:v>
                </c:pt>
                <c:pt idx="55">
                  <c:v>47503.333333333328</c:v>
                </c:pt>
                <c:pt idx="56">
                  <c:v>47700</c:v>
                </c:pt>
                <c:pt idx="57">
                  <c:v>48035.666666666672</c:v>
                </c:pt>
                <c:pt idx="58">
                  <c:v>48123.666666666664</c:v>
                </c:pt>
                <c:pt idx="59">
                  <c:v>48733.666666666664</c:v>
                </c:pt>
              </c:numCache>
            </c:numRef>
          </c:val>
          <c:smooth val="0"/>
          <c:extLst>
            <c:ext xmlns:c16="http://schemas.microsoft.com/office/drawing/2014/chart" uri="{C3380CC4-5D6E-409C-BE32-E72D297353CC}">
              <c16:uniqueId val="{00000004-D507-4503-A2BF-10449E40534B}"/>
            </c:ext>
          </c:extLst>
        </c:ser>
        <c:dLbls>
          <c:showLegendKey val="0"/>
          <c:showVal val="0"/>
          <c:showCatName val="0"/>
          <c:showSerName val="0"/>
          <c:showPercent val="0"/>
          <c:showBubbleSize val="0"/>
        </c:dLbls>
        <c:marker val="1"/>
        <c:smooth val="0"/>
        <c:axId val="204583616"/>
        <c:axId val="204584176"/>
      </c:lineChart>
      <c:catAx>
        <c:axId val="204583616"/>
        <c:scaling>
          <c:orientation val="minMax"/>
        </c:scaling>
        <c:delete val="0"/>
        <c:axPos val="b"/>
        <c:majorGridlines>
          <c:spPr>
            <a:ln w="6350" cap="flat" cmpd="sng" algn="ctr">
              <a:solidFill>
                <a:srgbClr val="FFFFFF"/>
              </a:solidFill>
              <a:prstDash val="solid"/>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bg1"/>
            </a:solidFill>
            <a:round/>
          </a:ln>
          <a:effectLst/>
        </c:spPr>
        <c:txPr>
          <a:bodyPr rot="-60000000" spcFirstLastPara="1" vertOverflow="ellipsis" vert="horz" wrap="square" anchor="ctr" anchorCtr="1"/>
          <a:lstStyle/>
          <a:p>
            <a:pPr>
              <a:defRPr sz="1000" b="1" i="0" u="none" strike="noStrike" kern="1200" baseline="0">
                <a:solidFill>
                  <a:srgbClr val="000000"/>
                </a:solidFill>
                <a:latin typeface="Arial Narrow"/>
                <a:ea typeface="Arial Narrow"/>
                <a:cs typeface="Arial Narrow"/>
              </a:defRPr>
            </a:pPr>
            <a:endParaRPr lang="it-IT"/>
          </a:p>
        </c:txPr>
        <c:crossAx val="204584176"/>
        <c:crosses val="autoZero"/>
        <c:auto val="1"/>
        <c:lblAlgn val="ctr"/>
        <c:lblOffset val="0"/>
        <c:tickMarkSkip val="3"/>
        <c:noMultiLvlLbl val="0"/>
      </c:catAx>
      <c:valAx>
        <c:axId val="204584176"/>
        <c:scaling>
          <c:orientation val="minMax"/>
          <c:max val="65000"/>
          <c:min val="15000"/>
        </c:scaling>
        <c:delete val="0"/>
        <c:axPos val="l"/>
        <c:majorGridlines>
          <c:spPr>
            <a:ln w="9525" cap="flat" cmpd="sng" algn="ctr">
              <a:solidFill>
                <a:srgbClr val="FFFFFF">
                  <a:lumMod val="100000"/>
                </a:srgbClr>
              </a:solidFill>
              <a:round/>
            </a:ln>
            <a:effectLst/>
          </c:spPr>
        </c:majorGridlines>
        <c:numFmt formatCode="0" sourceLinked="1"/>
        <c:majorTickMark val="none"/>
        <c:minorTickMark val="none"/>
        <c:tickLblPos val="nextTo"/>
        <c:spPr>
          <a:noFill/>
          <a:ln>
            <a:noFill/>
          </a:ln>
          <a:effectLst/>
          <a:extLst>
            <a:ext uri="{91240B29-F687-4F45-9708-019B960494DF}">
              <a14:hiddenLine xmlns:a14="http://schemas.microsoft.com/office/drawing/2010/main">
                <a:noFill/>
              </a14:hiddenLine>
            </a:ext>
          </a:extLst>
        </c:spPr>
        <c:txPr>
          <a:bodyPr rot="-60000000" spcFirstLastPara="1" vertOverflow="ellipsis" vert="horz" wrap="square" anchor="ctr" anchorCtr="1"/>
          <a:lstStyle/>
          <a:p>
            <a:pPr>
              <a:defRPr sz="900" b="0" i="0" u="none" strike="noStrike" kern="1200" baseline="0">
                <a:solidFill>
                  <a:srgbClr val="000000"/>
                </a:solidFill>
                <a:latin typeface="Arial Narrow"/>
                <a:ea typeface="Arial Narrow"/>
                <a:cs typeface="Arial Narrow"/>
              </a:defRPr>
            </a:pPr>
            <a:endParaRPr lang="it-IT"/>
          </a:p>
        </c:txPr>
        <c:crossAx val="204583616"/>
        <c:crosses val="autoZero"/>
        <c:crossBetween val="between"/>
        <c:dispUnits>
          <c:builtInUnit val="thousands"/>
        </c:dispUnits>
      </c:valAx>
      <c:valAx>
        <c:axId val="204584736"/>
        <c:scaling>
          <c:orientation val="minMax"/>
          <c:max val="10000"/>
          <c:min val="-10000"/>
        </c:scaling>
        <c:delete val="0"/>
        <c:axPos val="r"/>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a:ea typeface="Arial Narrow"/>
                <a:cs typeface="Arial Narrow"/>
              </a:defRPr>
            </a:pPr>
            <a:endParaRPr lang="it-IT"/>
          </a:p>
        </c:txPr>
        <c:crossAx val="204585296"/>
        <c:crosses val="max"/>
        <c:crossBetween val="between"/>
        <c:majorUnit val="2000"/>
        <c:dispUnits>
          <c:builtInUnit val="thousands"/>
        </c:dispUnits>
      </c:valAx>
      <c:catAx>
        <c:axId val="204585296"/>
        <c:scaling>
          <c:orientation val="minMax"/>
        </c:scaling>
        <c:delete val="1"/>
        <c:axPos val="b"/>
        <c:majorGridlines>
          <c:spPr>
            <a:ln w="15875" cap="flat" cmpd="sng" algn="ctr">
              <a:solidFill>
                <a:schemeClr val="bg1"/>
              </a:solidFill>
              <a:round/>
            </a:ln>
            <a:effectLst/>
          </c:spPr>
        </c:majorGridlines>
        <c:majorTickMark val="out"/>
        <c:minorTickMark val="none"/>
        <c:tickLblPos val="nextTo"/>
        <c:crossAx val="204584736"/>
        <c:crossesAt val="0"/>
        <c:auto val="1"/>
        <c:lblAlgn val="ctr"/>
        <c:lblOffset val="100"/>
        <c:tickMarkSkip val="12"/>
        <c:noMultiLvlLbl val="0"/>
      </c:catAx>
      <c:spPr>
        <a:solidFill>
          <a:srgbClr val="DDDDDD"/>
        </a:solidFill>
        <a:ln w="9525" cap="flat" cmpd="sng" algn="ctr">
          <a:solidFill>
            <a:schemeClr val="bg1"/>
          </a:solidFill>
          <a:prstDash val="solid"/>
          <a:round/>
          <a:headEnd type="none" w="med" len="med"/>
          <a:tailEnd type="none" w="med" len="med"/>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a:ea typeface="Arial Narrow"/>
              <a:cs typeface="Arial Narrow"/>
            </a:defRPr>
          </a:pPr>
          <a:endParaRPr lang="it-IT"/>
        </a:p>
      </c:txPr>
    </c:legend>
    <c:plotVisOnly val="1"/>
    <c:dispBlanksAs val="gap"/>
    <c:showDLblsOverMax val="0"/>
  </c:chart>
  <c:spPr>
    <a:solidFill>
      <a:srgbClr val="DDDDDD"/>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a:ea typeface="Arial Narrow"/>
          <a:cs typeface="Arial Narrow"/>
        </a:defRPr>
      </a:pPr>
      <a:endParaRPr lang="it-IT"/>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3409703152988609E-2"/>
          <c:y val="0.11942609975251388"/>
          <c:w val="0.92470376179061697"/>
          <c:h val="0.76081558939600014"/>
        </c:manualLayout>
      </c:layout>
      <c:lineChart>
        <c:grouping val="standard"/>
        <c:varyColors val="0"/>
        <c:ser>
          <c:idx val="0"/>
          <c:order val="0"/>
          <c:tx>
            <c:strRef>
              <c:f>'figure 2 e 3 '!$C$4</c:f>
              <c:strCache>
                <c:ptCount val="1"/>
                <c:pt idx="0">
                  <c:v>esportazioni</c:v>
                </c:pt>
              </c:strCache>
            </c:strRef>
          </c:tx>
          <c:spPr>
            <a:ln w="12700" cap="rnd" cmpd="sng" algn="ctr">
              <a:solidFill>
                <a:srgbClr val="003B5C"/>
              </a:solidFill>
              <a:prstDash val="sysDash"/>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'!$C$103:$C$174</c:f>
              <c:numCache>
                <c:formatCode>0</c:formatCode>
                <c:ptCount val="72"/>
                <c:pt idx="0">
                  <c:v>20508</c:v>
                </c:pt>
                <c:pt idx="1">
                  <c:v>20593</c:v>
                </c:pt>
                <c:pt idx="2">
                  <c:v>17152</c:v>
                </c:pt>
                <c:pt idx="3">
                  <c:v>11687</c:v>
                </c:pt>
                <c:pt idx="4">
                  <c:v>15870</c:v>
                </c:pt>
                <c:pt idx="5">
                  <c:v>18062</c:v>
                </c:pt>
                <c:pt idx="6">
                  <c:v>19277</c:v>
                </c:pt>
                <c:pt idx="7">
                  <c:v>19974</c:v>
                </c:pt>
                <c:pt idx="8">
                  <c:v>20033</c:v>
                </c:pt>
                <c:pt idx="9">
                  <c:v>20019</c:v>
                </c:pt>
                <c:pt idx="10">
                  <c:v>21015</c:v>
                </c:pt>
                <c:pt idx="11">
                  <c:v>20400</c:v>
                </c:pt>
                <c:pt idx="12">
                  <c:v>21020</c:v>
                </c:pt>
                <c:pt idx="13">
                  <c:v>21291</c:v>
                </c:pt>
                <c:pt idx="14">
                  <c:v>21984</c:v>
                </c:pt>
                <c:pt idx="15">
                  <c:v>22362</c:v>
                </c:pt>
                <c:pt idx="16">
                  <c:v>21674</c:v>
                </c:pt>
                <c:pt idx="17">
                  <c:v>22665</c:v>
                </c:pt>
                <c:pt idx="18">
                  <c:v>22621</c:v>
                </c:pt>
                <c:pt idx="19">
                  <c:v>23507</c:v>
                </c:pt>
                <c:pt idx="20">
                  <c:v>23492</c:v>
                </c:pt>
                <c:pt idx="21">
                  <c:v>23651</c:v>
                </c:pt>
                <c:pt idx="22">
                  <c:v>24455</c:v>
                </c:pt>
                <c:pt idx="23">
                  <c:v>24731</c:v>
                </c:pt>
                <c:pt idx="24">
                  <c:v>25536</c:v>
                </c:pt>
                <c:pt idx="25">
                  <c:v>26030</c:v>
                </c:pt>
                <c:pt idx="26">
                  <c:v>26755</c:v>
                </c:pt>
                <c:pt idx="27">
                  <c:v>26996</c:v>
                </c:pt>
                <c:pt idx="28">
                  <c:v>28311</c:v>
                </c:pt>
                <c:pt idx="29">
                  <c:v>27466</c:v>
                </c:pt>
                <c:pt idx="30">
                  <c:v>28534</c:v>
                </c:pt>
                <c:pt idx="31">
                  <c:v>28230</c:v>
                </c:pt>
                <c:pt idx="32">
                  <c:v>27896</c:v>
                </c:pt>
                <c:pt idx="33">
                  <c:v>28361</c:v>
                </c:pt>
                <c:pt idx="34">
                  <c:v>28703</c:v>
                </c:pt>
                <c:pt idx="35">
                  <c:v>27749</c:v>
                </c:pt>
                <c:pt idx="36">
                  <c:v>27879</c:v>
                </c:pt>
                <c:pt idx="37">
                  <c:v>27367</c:v>
                </c:pt>
                <c:pt idx="38">
                  <c:v>27774</c:v>
                </c:pt>
                <c:pt idx="39">
                  <c:v>27160</c:v>
                </c:pt>
                <c:pt idx="40">
                  <c:v>26755</c:v>
                </c:pt>
                <c:pt idx="41">
                  <c:v>26964</c:v>
                </c:pt>
                <c:pt idx="42">
                  <c:v>26408</c:v>
                </c:pt>
                <c:pt idx="43">
                  <c:v>27656</c:v>
                </c:pt>
                <c:pt idx="44">
                  <c:v>26664</c:v>
                </c:pt>
                <c:pt idx="45">
                  <c:v>27201</c:v>
                </c:pt>
                <c:pt idx="46">
                  <c:v>27102</c:v>
                </c:pt>
                <c:pt idx="47">
                  <c:v>27157</c:v>
                </c:pt>
                <c:pt idx="48">
                  <c:v>26260</c:v>
                </c:pt>
                <c:pt idx="49">
                  <c:v>26762</c:v>
                </c:pt>
                <c:pt idx="50">
                  <c:v>26541</c:v>
                </c:pt>
                <c:pt idx="51">
                  <c:v>26750</c:v>
                </c:pt>
                <c:pt idx="52">
                  <c:v>25966</c:v>
                </c:pt>
                <c:pt idx="53">
                  <c:v>26252</c:v>
                </c:pt>
                <c:pt idx="54">
                  <c:v>26299</c:v>
                </c:pt>
                <c:pt idx="55">
                  <c:v>26158</c:v>
                </c:pt>
                <c:pt idx="56">
                  <c:v>26837</c:v>
                </c:pt>
                <c:pt idx="57">
                  <c:v>26634</c:v>
                </c:pt>
                <c:pt idx="58">
                  <c:v>25928</c:v>
                </c:pt>
                <c:pt idx="59">
                  <c:v>26871</c:v>
                </c:pt>
                <c:pt idx="60">
                  <c:v>27349</c:v>
                </c:pt>
              </c:numCache>
            </c:numRef>
          </c:val>
          <c:smooth val="0"/>
          <c:extLst>
            <c:ext xmlns:c16="http://schemas.microsoft.com/office/drawing/2014/chart" uri="{C3380CC4-5D6E-409C-BE32-E72D297353CC}">
              <c16:uniqueId val="{00000000-46EE-41A0-A6CA-5B77D627B1DC}"/>
            </c:ext>
          </c:extLst>
        </c:ser>
        <c:ser>
          <c:idx val="1"/>
          <c:order val="1"/>
          <c:tx>
            <c:strRef>
              <c:f>'figure 2 e 3 '!$D$4</c:f>
              <c:strCache>
                <c:ptCount val="1"/>
                <c:pt idx="0">
                  <c:v>importazioni</c:v>
                </c:pt>
              </c:strCache>
            </c:strRef>
          </c:tx>
          <c:spPr>
            <a:ln w="12700" cap="rnd" cmpd="sng" algn="ctr">
              <a:solidFill>
                <a:srgbClr val="D22630"/>
              </a:solidFill>
              <a:prstDash val="sysDash"/>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'!$D$103:$D$174</c:f>
              <c:numCache>
                <c:formatCode>0</c:formatCode>
                <c:ptCount val="72"/>
                <c:pt idx="0">
                  <c:v>20463</c:v>
                </c:pt>
                <c:pt idx="1">
                  <c:v>20137</c:v>
                </c:pt>
                <c:pt idx="2">
                  <c:v>16454</c:v>
                </c:pt>
                <c:pt idx="3">
                  <c:v>12778</c:v>
                </c:pt>
                <c:pt idx="4">
                  <c:v>14727</c:v>
                </c:pt>
                <c:pt idx="5">
                  <c:v>16606</c:v>
                </c:pt>
                <c:pt idx="6">
                  <c:v>18242</c:v>
                </c:pt>
                <c:pt idx="7">
                  <c:v>18820</c:v>
                </c:pt>
                <c:pt idx="8">
                  <c:v>19408</c:v>
                </c:pt>
                <c:pt idx="9">
                  <c:v>19564</c:v>
                </c:pt>
                <c:pt idx="10">
                  <c:v>20224</c:v>
                </c:pt>
                <c:pt idx="11">
                  <c:v>20070</c:v>
                </c:pt>
                <c:pt idx="12">
                  <c:v>20168</c:v>
                </c:pt>
                <c:pt idx="13">
                  <c:v>20415</c:v>
                </c:pt>
                <c:pt idx="14">
                  <c:v>21510</c:v>
                </c:pt>
                <c:pt idx="15">
                  <c:v>21688</c:v>
                </c:pt>
                <c:pt idx="16">
                  <c:v>21880</c:v>
                </c:pt>
                <c:pt idx="17">
                  <c:v>22275</c:v>
                </c:pt>
                <c:pt idx="18">
                  <c:v>22498</c:v>
                </c:pt>
                <c:pt idx="19">
                  <c:v>23272</c:v>
                </c:pt>
                <c:pt idx="20">
                  <c:v>22878</c:v>
                </c:pt>
                <c:pt idx="21">
                  <c:v>23569</c:v>
                </c:pt>
                <c:pt idx="22">
                  <c:v>24302</c:v>
                </c:pt>
                <c:pt idx="23">
                  <c:v>26710</c:v>
                </c:pt>
                <c:pt idx="24">
                  <c:v>26258</c:v>
                </c:pt>
                <c:pt idx="25">
                  <c:v>26450</c:v>
                </c:pt>
                <c:pt idx="26">
                  <c:v>26846</c:v>
                </c:pt>
                <c:pt idx="27">
                  <c:v>28605</c:v>
                </c:pt>
                <c:pt idx="28">
                  <c:v>29773</c:v>
                </c:pt>
                <c:pt idx="29">
                  <c:v>27670</c:v>
                </c:pt>
                <c:pt idx="30">
                  <c:v>28576</c:v>
                </c:pt>
                <c:pt idx="31">
                  <c:v>30231</c:v>
                </c:pt>
                <c:pt idx="32">
                  <c:v>29206</c:v>
                </c:pt>
                <c:pt idx="33">
                  <c:v>28383</c:v>
                </c:pt>
                <c:pt idx="34">
                  <c:v>28457</c:v>
                </c:pt>
                <c:pt idx="35">
                  <c:v>29275</c:v>
                </c:pt>
                <c:pt idx="36">
                  <c:v>29610</c:v>
                </c:pt>
                <c:pt idx="37">
                  <c:v>28699</c:v>
                </c:pt>
                <c:pt idx="38">
                  <c:v>28461</c:v>
                </c:pt>
                <c:pt idx="39">
                  <c:v>28021</c:v>
                </c:pt>
                <c:pt idx="40">
                  <c:v>27739</c:v>
                </c:pt>
                <c:pt idx="41">
                  <c:v>28327</c:v>
                </c:pt>
                <c:pt idx="42">
                  <c:v>27325</c:v>
                </c:pt>
                <c:pt idx="43">
                  <c:v>27874</c:v>
                </c:pt>
                <c:pt idx="44">
                  <c:v>26733</c:v>
                </c:pt>
                <c:pt idx="45">
                  <c:v>27990</c:v>
                </c:pt>
                <c:pt idx="46">
                  <c:v>28322</c:v>
                </c:pt>
                <c:pt idx="47">
                  <c:v>28139</c:v>
                </c:pt>
                <c:pt idx="48">
                  <c:v>26532</c:v>
                </c:pt>
                <c:pt idx="49">
                  <c:v>27904</c:v>
                </c:pt>
                <c:pt idx="50">
                  <c:v>27643</c:v>
                </c:pt>
                <c:pt idx="51">
                  <c:v>27406</c:v>
                </c:pt>
                <c:pt idx="52">
                  <c:v>26796</c:v>
                </c:pt>
                <c:pt idx="53">
                  <c:v>27377</c:v>
                </c:pt>
                <c:pt idx="54">
                  <c:v>27439</c:v>
                </c:pt>
                <c:pt idx="55">
                  <c:v>27198</c:v>
                </c:pt>
                <c:pt idx="56">
                  <c:v>28017</c:v>
                </c:pt>
                <c:pt idx="57">
                  <c:v>27660</c:v>
                </c:pt>
                <c:pt idx="58">
                  <c:v>26967</c:v>
                </c:pt>
                <c:pt idx="59">
                  <c:v>26818</c:v>
                </c:pt>
                <c:pt idx="60">
                  <c:v>27564</c:v>
                </c:pt>
              </c:numCache>
            </c:numRef>
          </c:val>
          <c:smooth val="0"/>
          <c:extLst>
            <c:ext xmlns:c16="http://schemas.microsoft.com/office/drawing/2014/chart" uri="{C3380CC4-5D6E-409C-BE32-E72D297353CC}">
              <c16:uniqueId val="{00000001-46EE-41A0-A6CA-5B77D627B1DC}"/>
            </c:ext>
          </c:extLst>
        </c:ser>
        <c:ser>
          <c:idx val="2"/>
          <c:order val="2"/>
          <c:tx>
            <c:strRef>
              <c:f>'figure 2 e 3 '!$E$4</c:f>
              <c:strCache>
                <c:ptCount val="1"/>
                <c:pt idx="0">
                  <c:v>mm3mesi export</c:v>
                </c:pt>
              </c:strCache>
            </c:strRef>
          </c:tx>
          <c:spPr>
            <a:ln w="28575" cap="rnd" cmpd="sng" algn="ctr">
              <a:solidFill>
                <a:srgbClr val="003B5C"/>
              </a:solidFill>
              <a:prstDash val="solid"/>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'!$E$103:$E$174</c:f>
              <c:numCache>
                <c:formatCode>0</c:formatCode>
                <c:ptCount val="72"/>
                <c:pt idx="0">
                  <c:v>20608</c:v>
                </c:pt>
                <c:pt idx="1">
                  <c:v>19417.666666666668</c:v>
                </c:pt>
                <c:pt idx="2">
                  <c:v>16477.333333333332</c:v>
                </c:pt>
                <c:pt idx="3">
                  <c:v>14903</c:v>
                </c:pt>
                <c:pt idx="4">
                  <c:v>15206.333333333334</c:v>
                </c:pt>
                <c:pt idx="5">
                  <c:v>17736.333333333332</c:v>
                </c:pt>
                <c:pt idx="6">
                  <c:v>19104.333333333332</c:v>
                </c:pt>
                <c:pt idx="7">
                  <c:v>19761.333333333332</c:v>
                </c:pt>
                <c:pt idx="8">
                  <c:v>20008.666666666668</c:v>
                </c:pt>
                <c:pt idx="9">
                  <c:v>20355.666666666668</c:v>
                </c:pt>
                <c:pt idx="10">
                  <c:v>20478</c:v>
                </c:pt>
                <c:pt idx="11">
                  <c:v>20811.666666666668</c:v>
                </c:pt>
                <c:pt idx="12">
                  <c:v>20903.666666666668</c:v>
                </c:pt>
                <c:pt idx="13">
                  <c:v>21431.666666666668</c:v>
                </c:pt>
                <c:pt idx="14">
                  <c:v>21879</c:v>
                </c:pt>
                <c:pt idx="15">
                  <c:v>22006.666666666668</c:v>
                </c:pt>
                <c:pt idx="16">
                  <c:v>22233.666666666668</c:v>
                </c:pt>
                <c:pt idx="17">
                  <c:v>22320</c:v>
                </c:pt>
                <c:pt idx="18">
                  <c:v>22931</c:v>
                </c:pt>
                <c:pt idx="19">
                  <c:v>23206.666666666668</c:v>
                </c:pt>
                <c:pt idx="20">
                  <c:v>23550</c:v>
                </c:pt>
                <c:pt idx="21">
                  <c:v>23866</c:v>
                </c:pt>
                <c:pt idx="22">
                  <c:v>24279</c:v>
                </c:pt>
                <c:pt idx="23">
                  <c:v>24907.333333333332</c:v>
                </c:pt>
                <c:pt idx="24">
                  <c:v>25432.333333333332</c:v>
                </c:pt>
                <c:pt idx="25">
                  <c:v>26107</c:v>
                </c:pt>
                <c:pt idx="26">
                  <c:v>26593.666666666668</c:v>
                </c:pt>
                <c:pt idx="27">
                  <c:v>27354</c:v>
                </c:pt>
                <c:pt idx="28">
                  <c:v>27591</c:v>
                </c:pt>
                <c:pt idx="29">
                  <c:v>28103.666666666668</c:v>
                </c:pt>
                <c:pt idx="30">
                  <c:v>28076.666666666668</c:v>
                </c:pt>
                <c:pt idx="31">
                  <c:v>28220</c:v>
                </c:pt>
                <c:pt idx="32">
                  <c:v>28162.333333333332</c:v>
                </c:pt>
                <c:pt idx="33">
                  <c:v>28320</c:v>
                </c:pt>
                <c:pt idx="34">
                  <c:v>28271</c:v>
                </c:pt>
                <c:pt idx="35">
                  <c:v>28110.333333333332</c:v>
                </c:pt>
                <c:pt idx="36">
                  <c:v>27665</c:v>
                </c:pt>
                <c:pt idx="37">
                  <c:v>27673.333333333332</c:v>
                </c:pt>
                <c:pt idx="38">
                  <c:v>27433.666666666668</c:v>
                </c:pt>
                <c:pt idx="39">
                  <c:v>27229.666666666668</c:v>
                </c:pt>
                <c:pt idx="40">
                  <c:v>26959.666666666668</c:v>
                </c:pt>
                <c:pt idx="41">
                  <c:v>26709</c:v>
                </c:pt>
                <c:pt idx="42">
                  <c:v>27009.333333333332</c:v>
                </c:pt>
                <c:pt idx="43">
                  <c:v>26909.333333333332</c:v>
                </c:pt>
                <c:pt idx="44">
                  <c:v>27173.666666666668</c:v>
                </c:pt>
                <c:pt idx="45">
                  <c:v>26989</c:v>
                </c:pt>
                <c:pt idx="46">
                  <c:v>27153.333333333332</c:v>
                </c:pt>
                <c:pt idx="47">
                  <c:v>26839.666666666668</c:v>
                </c:pt>
                <c:pt idx="48">
                  <c:v>26726.333333333332</c:v>
                </c:pt>
                <c:pt idx="49">
                  <c:v>26521</c:v>
                </c:pt>
                <c:pt idx="50">
                  <c:v>26684.333333333332</c:v>
                </c:pt>
                <c:pt idx="51">
                  <c:v>26419</c:v>
                </c:pt>
                <c:pt idx="52">
                  <c:v>26322.666666666668</c:v>
                </c:pt>
                <c:pt idx="53">
                  <c:v>26172.333333333332</c:v>
                </c:pt>
                <c:pt idx="54">
                  <c:v>26236.333333333332</c:v>
                </c:pt>
                <c:pt idx="55">
                  <c:v>26431.333333333332</c:v>
                </c:pt>
                <c:pt idx="56">
                  <c:v>26543</c:v>
                </c:pt>
                <c:pt idx="57">
                  <c:v>26466.333333333332</c:v>
                </c:pt>
                <c:pt idx="58">
                  <c:v>26477.666666666668</c:v>
                </c:pt>
                <c:pt idx="59">
                  <c:v>26716</c:v>
                </c:pt>
              </c:numCache>
            </c:numRef>
          </c:val>
          <c:smooth val="0"/>
          <c:extLst>
            <c:ext xmlns:c16="http://schemas.microsoft.com/office/drawing/2014/chart" uri="{C3380CC4-5D6E-409C-BE32-E72D297353CC}">
              <c16:uniqueId val="{00000002-46EE-41A0-A6CA-5B77D627B1DC}"/>
            </c:ext>
          </c:extLst>
        </c:ser>
        <c:ser>
          <c:idx val="3"/>
          <c:order val="3"/>
          <c:tx>
            <c:strRef>
              <c:f>'figure 2 e 3 '!$F$4</c:f>
              <c:strCache>
                <c:ptCount val="1"/>
                <c:pt idx="0">
                  <c:v>mm3mesi import</c:v>
                </c:pt>
              </c:strCache>
            </c:strRef>
          </c:tx>
          <c:spPr>
            <a:ln w="28575" cap="rnd" cmpd="sng" algn="ctr">
              <a:solidFill>
                <a:srgbClr val="D22630"/>
              </a:solidFill>
              <a:prstDash val="solid"/>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'!$F$103:$F$174</c:f>
              <c:numCache>
                <c:formatCode>0</c:formatCode>
                <c:ptCount val="72"/>
                <c:pt idx="0">
                  <c:v>20504</c:v>
                </c:pt>
                <c:pt idx="1">
                  <c:v>19018</c:v>
                </c:pt>
                <c:pt idx="2">
                  <c:v>16456.333333333332</c:v>
                </c:pt>
                <c:pt idx="3">
                  <c:v>14653</c:v>
                </c:pt>
                <c:pt idx="4">
                  <c:v>14703.666666666666</c:v>
                </c:pt>
                <c:pt idx="5">
                  <c:v>16525</c:v>
                </c:pt>
                <c:pt idx="6">
                  <c:v>17889.333333333332</c:v>
                </c:pt>
                <c:pt idx="7">
                  <c:v>18823.333333333332</c:v>
                </c:pt>
                <c:pt idx="8">
                  <c:v>19264</c:v>
                </c:pt>
                <c:pt idx="9">
                  <c:v>19732</c:v>
                </c:pt>
                <c:pt idx="10">
                  <c:v>19952.666666666668</c:v>
                </c:pt>
                <c:pt idx="11">
                  <c:v>20154</c:v>
                </c:pt>
                <c:pt idx="12">
                  <c:v>20217.666666666668</c:v>
                </c:pt>
                <c:pt idx="13">
                  <c:v>20697.666666666668</c:v>
                </c:pt>
                <c:pt idx="14">
                  <c:v>21204.333333333332</c:v>
                </c:pt>
                <c:pt idx="15">
                  <c:v>21692.666666666668</c:v>
                </c:pt>
                <c:pt idx="16">
                  <c:v>21947.666666666668</c:v>
                </c:pt>
                <c:pt idx="17">
                  <c:v>22217.666666666668</c:v>
                </c:pt>
                <c:pt idx="18">
                  <c:v>22681.666666666668</c:v>
                </c:pt>
                <c:pt idx="19">
                  <c:v>22882.666666666668</c:v>
                </c:pt>
                <c:pt idx="20">
                  <c:v>23239.666666666668</c:v>
                </c:pt>
                <c:pt idx="21">
                  <c:v>23583</c:v>
                </c:pt>
                <c:pt idx="22">
                  <c:v>24860.333333333332</c:v>
                </c:pt>
                <c:pt idx="23">
                  <c:v>25756.666666666668</c:v>
                </c:pt>
                <c:pt idx="24">
                  <c:v>26472.666666666668</c:v>
                </c:pt>
                <c:pt idx="25">
                  <c:v>26518</c:v>
                </c:pt>
                <c:pt idx="26">
                  <c:v>27300.333333333332</c:v>
                </c:pt>
                <c:pt idx="27">
                  <c:v>28408</c:v>
                </c:pt>
                <c:pt idx="28">
                  <c:v>28682.666666666668</c:v>
                </c:pt>
                <c:pt idx="29">
                  <c:v>28673</c:v>
                </c:pt>
                <c:pt idx="30">
                  <c:v>28825.666666666668</c:v>
                </c:pt>
                <c:pt idx="31">
                  <c:v>29337.666666666668</c:v>
                </c:pt>
                <c:pt idx="32">
                  <c:v>29273.333333333332</c:v>
                </c:pt>
                <c:pt idx="33">
                  <c:v>28682</c:v>
                </c:pt>
                <c:pt idx="34">
                  <c:v>28705</c:v>
                </c:pt>
                <c:pt idx="35">
                  <c:v>29114</c:v>
                </c:pt>
                <c:pt idx="36">
                  <c:v>29194.666666666668</c:v>
                </c:pt>
                <c:pt idx="37">
                  <c:v>28923.333333333332</c:v>
                </c:pt>
                <c:pt idx="38">
                  <c:v>28393.666666666668</c:v>
                </c:pt>
                <c:pt idx="39">
                  <c:v>28073.666666666668</c:v>
                </c:pt>
                <c:pt idx="40">
                  <c:v>28029</c:v>
                </c:pt>
                <c:pt idx="41">
                  <c:v>27797</c:v>
                </c:pt>
                <c:pt idx="42">
                  <c:v>27842</c:v>
                </c:pt>
                <c:pt idx="43">
                  <c:v>27310.666666666668</c:v>
                </c:pt>
                <c:pt idx="44">
                  <c:v>27532.333333333332</c:v>
                </c:pt>
                <c:pt idx="45">
                  <c:v>27681.666666666668</c:v>
                </c:pt>
                <c:pt idx="46">
                  <c:v>28150.333333333332</c:v>
                </c:pt>
                <c:pt idx="47">
                  <c:v>27664.333333333332</c:v>
                </c:pt>
                <c:pt idx="48">
                  <c:v>27525</c:v>
                </c:pt>
                <c:pt idx="49">
                  <c:v>27359.666666666668</c:v>
                </c:pt>
                <c:pt idx="50">
                  <c:v>27651</c:v>
                </c:pt>
                <c:pt idx="51">
                  <c:v>27281.666666666668</c:v>
                </c:pt>
                <c:pt idx="52">
                  <c:v>27193</c:v>
                </c:pt>
                <c:pt idx="53">
                  <c:v>27204</c:v>
                </c:pt>
                <c:pt idx="54">
                  <c:v>27338</c:v>
                </c:pt>
                <c:pt idx="55">
                  <c:v>27551.333333333332</c:v>
                </c:pt>
                <c:pt idx="56">
                  <c:v>27625</c:v>
                </c:pt>
                <c:pt idx="57">
                  <c:v>27548</c:v>
                </c:pt>
                <c:pt idx="58">
                  <c:v>27148.333333333332</c:v>
                </c:pt>
                <c:pt idx="59">
                  <c:v>27116.333333333332</c:v>
                </c:pt>
              </c:numCache>
            </c:numRef>
          </c:val>
          <c:smooth val="0"/>
          <c:extLst>
            <c:ext xmlns:c16="http://schemas.microsoft.com/office/drawing/2014/chart" uri="{C3380CC4-5D6E-409C-BE32-E72D297353CC}">
              <c16:uniqueId val="{00000003-46EE-41A0-A6CA-5B77D627B1DC}"/>
            </c:ext>
          </c:extLst>
        </c:ser>
        <c:dLbls>
          <c:showLegendKey val="0"/>
          <c:showVal val="0"/>
          <c:showCatName val="0"/>
          <c:showSerName val="0"/>
          <c:showPercent val="0"/>
          <c:showBubbleSize val="0"/>
        </c:dLbls>
        <c:marker val="1"/>
        <c:smooth val="0"/>
        <c:axId val="209412192"/>
        <c:axId val="209412752"/>
      </c:lineChart>
      <c:lineChart>
        <c:grouping val="standard"/>
        <c:varyColors val="0"/>
        <c:ser>
          <c:idx val="4"/>
          <c:order val="4"/>
          <c:spPr>
            <a:ln w="28575" cap="rnd">
              <a:solidFill>
                <a:srgbClr val="FFFFFF"/>
              </a:solidFill>
              <a:round/>
            </a:ln>
            <a:effectLst/>
          </c:spPr>
          <c:marker>
            <c:symbol val="none"/>
          </c:marker>
          <c:val>
            <c:numRef>
              <c:f>'figure 2 e 3 '!$FO$1:$FO$74</c:f>
              <c:numCache>
                <c:formatCode>General</c:formatCode>
                <c:ptCount val="74"/>
              </c:numCache>
            </c:numRef>
          </c:val>
          <c:smooth val="0"/>
          <c:extLst>
            <c:ext xmlns:c16="http://schemas.microsoft.com/office/drawing/2014/chart" uri="{C3380CC4-5D6E-409C-BE32-E72D297353CC}">
              <c16:uniqueId val="{00000004-46EE-41A0-A6CA-5B77D627B1DC}"/>
            </c:ext>
          </c:extLst>
        </c:ser>
        <c:dLbls>
          <c:showLegendKey val="0"/>
          <c:showVal val="0"/>
          <c:showCatName val="0"/>
          <c:showSerName val="0"/>
          <c:showPercent val="0"/>
          <c:showBubbleSize val="0"/>
        </c:dLbls>
        <c:marker val="1"/>
        <c:smooth val="0"/>
        <c:axId val="209413872"/>
        <c:axId val="209413312"/>
      </c:lineChart>
      <c:catAx>
        <c:axId val="209412192"/>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09412752"/>
        <c:crosses val="autoZero"/>
        <c:auto val="1"/>
        <c:lblAlgn val="l"/>
        <c:lblOffset val="0"/>
        <c:tickMarkSkip val="3"/>
        <c:noMultiLvlLbl val="0"/>
      </c:catAx>
      <c:valAx>
        <c:axId val="209412752"/>
        <c:scaling>
          <c:orientation val="minMax"/>
          <c:max val="32000"/>
          <c:min val="8000"/>
        </c:scaling>
        <c:delete val="0"/>
        <c:axPos val="l"/>
        <c:majorGridlines>
          <c:spPr>
            <a:ln w="6350" cap="flat" cmpd="sng" algn="ctr">
              <a:solidFill>
                <a:srgbClr val="A6A6A6"/>
              </a:solidFill>
              <a:prstDash val="sysDash"/>
              <a:round/>
              <a:headEnd type="none" w="med" len="med"/>
              <a:tailEnd type="none" w="med" len="me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09412192"/>
        <c:crosses val="autoZero"/>
        <c:crossBetween val="between"/>
        <c:majorUnit val="4000"/>
        <c:dispUnits>
          <c:builtInUnit val="thousands"/>
        </c:dispUnits>
      </c:valAx>
      <c:valAx>
        <c:axId val="209413312"/>
        <c:scaling>
          <c:orientation val="minMax"/>
        </c:scaling>
        <c:delete val="1"/>
        <c:axPos val="r"/>
        <c:numFmt formatCode="General" sourceLinked="1"/>
        <c:majorTickMark val="out"/>
        <c:minorTickMark val="none"/>
        <c:tickLblPos val="nextTo"/>
        <c:crossAx val="209413872"/>
        <c:crosses val="max"/>
        <c:crossBetween val="between"/>
      </c:valAx>
      <c:catAx>
        <c:axId val="209413872"/>
        <c:scaling>
          <c:orientation val="minMax"/>
        </c:scaling>
        <c:delete val="1"/>
        <c:axPos val="t"/>
        <c:majorGridlines>
          <c:spPr>
            <a:ln w="12700" cap="flat" cmpd="sng" algn="ctr">
              <a:solidFill>
                <a:srgbClr val="A6A6A6"/>
              </a:solidFill>
              <a:prstDash val="solid"/>
              <a:round/>
              <a:headEnd type="none" w="med" len="med"/>
              <a:tailEnd type="none" w="med" len="med"/>
            </a:ln>
            <a:effectLst/>
          </c:spPr>
        </c:majorGridlines>
        <c:majorTickMark val="out"/>
        <c:minorTickMark val="none"/>
        <c:tickLblPos val="nextTo"/>
        <c:crossAx val="209413312"/>
        <c:crosses val="max"/>
        <c:auto val="1"/>
        <c:lblAlgn val="ctr"/>
        <c:lblOffset val="100"/>
        <c:tickMarkSkip val="12"/>
        <c:noMultiLvlLbl val="0"/>
      </c:catAx>
      <c:spPr>
        <a:solidFill>
          <a:srgbClr val="FFFFFF"/>
        </a:solidFill>
        <a:ln w="9525" cap="flat" cmpd="sng" algn="ctr">
          <a:solidFill>
            <a:schemeClr val="bg1">
              <a:lumMod val="85000"/>
            </a:schemeClr>
          </a:solidFill>
          <a:prstDash val="solid"/>
          <a:round/>
          <a:headEnd type="none" w="med" len="med"/>
          <a:tailEnd type="none" w="med" len="med"/>
        </a:ln>
        <a:effectLst/>
      </c:spPr>
    </c:plotArea>
    <c:legend>
      <c:legendPos val="t"/>
      <c:legendEntry>
        <c:idx val="4"/>
        <c:delete val="1"/>
      </c:legendEntry>
      <c:layout>
        <c:manualLayout>
          <c:xMode val="edge"/>
          <c:yMode val="edge"/>
          <c:x val="0.17755877059552952"/>
          <c:y val="0"/>
          <c:w val="0.63421706965332536"/>
          <c:h val="8.9783713000070306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3409703152988609E-2"/>
          <c:y val="0.11942609975251388"/>
          <c:w val="0.92470376179061697"/>
          <c:h val="0.76081558939600014"/>
        </c:manualLayout>
      </c:layout>
      <c:lineChart>
        <c:grouping val="standard"/>
        <c:varyColors val="0"/>
        <c:ser>
          <c:idx val="5"/>
          <c:order val="0"/>
          <c:tx>
            <c:strRef>
              <c:f>'figure 2 e 3 '!$C$4</c:f>
              <c:strCache>
                <c:ptCount val="1"/>
                <c:pt idx="0">
                  <c:v>esportazioni</c:v>
                </c:pt>
              </c:strCache>
            </c:strRef>
          </c:tx>
          <c:spPr>
            <a:ln w="12700" cap="rnd" cmpd="sng" algn="ctr">
              <a:solidFill>
                <a:srgbClr val="003B5C"/>
              </a:solidFill>
              <a:prstDash val="sysDash"/>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'!$G$103:$G$174</c:f>
              <c:numCache>
                <c:formatCode>0</c:formatCode>
                <c:ptCount val="72"/>
                <c:pt idx="0">
                  <c:v>20016</c:v>
                </c:pt>
                <c:pt idx="1">
                  <c:v>19626</c:v>
                </c:pt>
                <c:pt idx="2">
                  <c:v>16546</c:v>
                </c:pt>
                <c:pt idx="3">
                  <c:v>10283</c:v>
                </c:pt>
                <c:pt idx="4">
                  <c:v>14261</c:v>
                </c:pt>
                <c:pt idx="5">
                  <c:v>16591</c:v>
                </c:pt>
                <c:pt idx="6">
                  <c:v>17995</c:v>
                </c:pt>
                <c:pt idx="7">
                  <c:v>18117</c:v>
                </c:pt>
                <c:pt idx="8">
                  <c:v>19330</c:v>
                </c:pt>
                <c:pt idx="9">
                  <c:v>19083</c:v>
                </c:pt>
                <c:pt idx="10">
                  <c:v>19833</c:v>
                </c:pt>
                <c:pt idx="11">
                  <c:v>19078</c:v>
                </c:pt>
                <c:pt idx="12">
                  <c:v>19073</c:v>
                </c:pt>
                <c:pt idx="13">
                  <c:v>18894</c:v>
                </c:pt>
                <c:pt idx="14">
                  <c:v>19368</c:v>
                </c:pt>
                <c:pt idx="15">
                  <c:v>21002</c:v>
                </c:pt>
                <c:pt idx="16">
                  <c:v>19986</c:v>
                </c:pt>
                <c:pt idx="17">
                  <c:v>19944</c:v>
                </c:pt>
                <c:pt idx="18">
                  <c:v>21709</c:v>
                </c:pt>
                <c:pt idx="19">
                  <c:v>20671</c:v>
                </c:pt>
                <c:pt idx="20">
                  <c:v>20390</c:v>
                </c:pt>
                <c:pt idx="21">
                  <c:v>20962</c:v>
                </c:pt>
                <c:pt idx="22">
                  <c:v>21305</c:v>
                </c:pt>
                <c:pt idx="23">
                  <c:v>20813</c:v>
                </c:pt>
                <c:pt idx="24">
                  <c:v>22354</c:v>
                </c:pt>
                <c:pt idx="25">
                  <c:v>22787</c:v>
                </c:pt>
                <c:pt idx="26">
                  <c:v>23367</c:v>
                </c:pt>
                <c:pt idx="27">
                  <c:v>24072</c:v>
                </c:pt>
                <c:pt idx="28">
                  <c:v>24996</c:v>
                </c:pt>
                <c:pt idx="29">
                  <c:v>24715</c:v>
                </c:pt>
                <c:pt idx="30">
                  <c:v>26314</c:v>
                </c:pt>
                <c:pt idx="31">
                  <c:v>24175</c:v>
                </c:pt>
                <c:pt idx="32">
                  <c:v>25800</c:v>
                </c:pt>
                <c:pt idx="33">
                  <c:v>24606</c:v>
                </c:pt>
                <c:pt idx="34">
                  <c:v>26731</c:v>
                </c:pt>
                <c:pt idx="35">
                  <c:v>25681</c:v>
                </c:pt>
                <c:pt idx="36">
                  <c:v>25443</c:v>
                </c:pt>
                <c:pt idx="37">
                  <c:v>26685</c:v>
                </c:pt>
                <c:pt idx="38">
                  <c:v>25077</c:v>
                </c:pt>
                <c:pt idx="39">
                  <c:v>24624</c:v>
                </c:pt>
                <c:pt idx="40">
                  <c:v>24806</c:v>
                </c:pt>
                <c:pt idx="41">
                  <c:v>25080</c:v>
                </c:pt>
                <c:pt idx="42">
                  <c:v>24574</c:v>
                </c:pt>
                <c:pt idx="43">
                  <c:v>26309</c:v>
                </c:pt>
                <c:pt idx="44">
                  <c:v>24506</c:v>
                </c:pt>
                <c:pt idx="45">
                  <c:v>26245</c:v>
                </c:pt>
                <c:pt idx="46">
                  <c:v>25204</c:v>
                </c:pt>
                <c:pt idx="47">
                  <c:v>25741</c:v>
                </c:pt>
                <c:pt idx="48">
                  <c:v>24616</c:v>
                </c:pt>
                <c:pt idx="49">
                  <c:v>26016</c:v>
                </c:pt>
                <c:pt idx="50">
                  <c:v>25380</c:v>
                </c:pt>
                <c:pt idx="51">
                  <c:v>26167</c:v>
                </c:pt>
                <c:pt idx="52">
                  <c:v>25059</c:v>
                </c:pt>
                <c:pt idx="53">
                  <c:v>25134</c:v>
                </c:pt>
                <c:pt idx="54">
                  <c:v>24753</c:v>
                </c:pt>
                <c:pt idx="55">
                  <c:v>25212</c:v>
                </c:pt>
                <c:pt idx="56">
                  <c:v>25268</c:v>
                </c:pt>
                <c:pt idx="57">
                  <c:v>24465</c:v>
                </c:pt>
                <c:pt idx="58">
                  <c:v>25950</c:v>
                </c:pt>
                <c:pt idx="59">
                  <c:v>26014</c:v>
                </c:pt>
                <c:pt idx="60">
                  <c:v>25856</c:v>
                </c:pt>
              </c:numCache>
            </c:numRef>
          </c:val>
          <c:smooth val="0"/>
          <c:extLst>
            <c:ext xmlns:c16="http://schemas.microsoft.com/office/drawing/2014/chart" uri="{C3380CC4-5D6E-409C-BE32-E72D297353CC}">
              <c16:uniqueId val="{00000000-403D-4C60-BA34-7F1DC3F3970C}"/>
            </c:ext>
          </c:extLst>
        </c:ser>
        <c:ser>
          <c:idx val="7"/>
          <c:order val="1"/>
          <c:tx>
            <c:strRef>
              <c:f>'figure 2 e 3 '!$E$4</c:f>
              <c:strCache>
                <c:ptCount val="1"/>
                <c:pt idx="0">
                  <c:v>mm3mesi export</c:v>
                </c:pt>
              </c:strCache>
            </c:strRef>
          </c:tx>
          <c:spPr>
            <a:ln w="28575" cap="rnd" cmpd="sng" algn="ctr">
              <a:solidFill>
                <a:srgbClr val="003B5C"/>
              </a:solidFill>
              <a:prstDash val="solid"/>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'!$I$103:$I$174</c:f>
              <c:numCache>
                <c:formatCode>0</c:formatCode>
                <c:ptCount val="72"/>
                <c:pt idx="0">
                  <c:v>19688.666666666668</c:v>
                </c:pt>
                <c:pt idx="1">
                  <c:v>18729.333333333332</c:v>
                </c:pt>
                <c:pt idx="2">
                  <c:v>15485</c:v>
                </c:pt>
                <c:pt idx="3">
                  <c:v>13696.666666666666</c:v>
                </c:pt>
                <c:pt idx="4">
                  <c:v>13711.666666666666</c:v>
                </c:pt>
                <c:pt idx="5">
                  <c:v>16282.333333333334</c:v>
                </c:pt>
                <c:pt idx="6">
                  <c:v>17567.666666666668</c:v>
                </c:pt>
                <c:pt idx="7">
                  <c:v>18480.666666666668</c:v>
                </c:pt>
                <c:pt idx="8">
                  <c:v>18843.333333333332</c:v>
                </c:pt>
                <c:pt idx="9">
                  <c:v>19415.333333333332</c:v>
                </c:pt>
                <c:pt idx="10">
                  <c:v>19331.333333333332</c:v>
                </c:pt>
                <c:pt idx="11">
                  <c:v>19328</c:v>
                </c:pt>
                <c:pt idx="12">
                  <c:v>19015</c:v>
                </c:pt>
                <c:pt idx="13">
                  <c:v>19111.666666666668</c:v>
                </c:pt>
                <c:pt idx="14">
                  <c:v>19754.666666666668</c:v>
                </c:pt>
                <c:pt idx="15">
                  <c:v>20118.666666666668</c:v>
                </c:pt>
                <c:pt idx="16">
                  <c:v>20310.666666666668</c:v>
                </c:pt>
                <c:pt idx="17">
                  <c:v>20546.333333333332</c:v>
                </c:pt>
                <c:pt idx="18">
                  <c:v>20774.666666666668</c:v>
                </c:pt>
                <c:pt idx="19">
                  <c:v>20923.333333333332</c:v>
                </c:pt>
                <c:pt idx="20">
                  <c:v>20674.333333333332</c:v>
                </c:pt>
                <c:pt idx="21">
                  <c:v>20885.666666666668</c:v>
                </c:pt>
                <c:pt idx="22">
                  <c:v>21026.666666666668</c:v>
                </c:pt>
                <c:pt idx="23">
                  <c:v>21490.666666666668</c:v>
                </c:pt>
                <c:pt idx="24">
                  <c:v>21984.666666666668</c:v>
                </c:pt>
                <c:pt idx="25">
                  <c:v>22836</c:v>
                </c:pt>
                <c:pt idx="26">
                  <c:v>23408.666666666668</c:v>
                </c:pt>
                <c:pt idx="27">
                  <c:v>24145</c:v>
                </c:pt>
                <c:pt idx="28">
                  <c:v>24594.333333333332</c:v>
                </c:pt>
                <c:pt idx="29">
                  <c:v>25341.666666666668</c:v>
                </c:pt>
                <c:pt idx="30">
                  <c:v>25068</c:v>
                </c:pt>
                <c:pt idx="31">
                  <c:v>25429.666666666668</c:v>
                </c:pt>
                <c:pt idx="32">
                  <c:v>24860.333333333332</c:v>
                </c:pt>
                <c:pt idx="33">
                  <c:v>25712.333333333332</c:v>
                </c:pt>
                <c:pt idx="34">
                  <c:v>25672.666666666668</c:v>
                </c:pt>
                <c:pt idx="35">
                  <c:v>25951.666666666668</c:v>
                </c:pt>
                <c:pt idx="36">
                  <c:v>25936.333333333332</c:v>
                </c:pt>
                <c:pt idx="37">
                  <c:v>25735</c:v>
                </c:pt>
                <c:pt idx="38">
                  <c:v>25462</c:v>
                </c:pt>
                <c:pt idx="39">
                  <c:v>24835.666666666668</c:v>
                </c:pt>
                <c:pt idx="40">
                  <c:v>24836.666666666668</c:v>
                </c:pt>
                <c:pt idx="41">
                  <c:v>24820</c:v>
                </c:pt>
                <c:pt idx="42">
                  <c:v>25321</c:v>
                </c:pt>
                <c:pt idx="43">
                  <c:v>25129.666666666668</c:v>
                </c:pt>
                <c:pt idx="44">
                  <c:v>25686.666666666668</c:v>
                </c:pt>
                <c:pt idx="45">
                  <c:v>25318.333333333332</c:v>
                </c:pt>
                <c:pt idx="46">
                  <c:v>25730</c:v>
                </c:pt>
                <c:pt idx="47">
                  <c:v>25187</c:v>
                </c:pt>
                <c:pt idx="48">
                  <c:v>25457.666666666668</c:v>
                </c:pt>
                <c:pt idx="49">
                  <c:v>25337.333333333332</c:v>
                </c:pt>
                <c:pt idx="50">
                  <c:v>25854.333333333332</c:v>
                </c:pt>
                <c:pt idx="51">
                  <c:v>25535.333333333332</c:v>
                </c:pt>
                <c:pt idx="52">
                  <c:v>25453.333333333332</c:v>
                </c:pt>
                <c:pt idx="53">
                  <c:v>24982</c:v>
                </c:pt>
                <c:pt idx="54">
                  <c:v>25033</c:v>
                </c:pt>
                <c:pt idx="55">
                  <c:v>25077.666666666668</c:v>
                </c:pt>
                <c:pt idx="56">
                  <c:v>24981.666666666668</c:v>
                </c:pt>
                <c:pt idx="57">
                  <c:v>25227.666666666668</c:v>
                </c:pt>
                <c:pt idx="58">
                  <c:v>25476.333333333332</c:v>
                </c:pt>
                <c:pt idx="59">
                  <c:v>25940</c:v>
                </c:pt>
              </c:numCache>
            </c:numRef>
          </c:val>
          <c:smooth val="0"/>
          <c:extLst>
            <c:ext xmlns:c16="http://schemas.microsoft.com/office/drawing/2014/chart" uri="{C3380CC4-5D6E-409C-BE32-E72D297353CC}">
              <c16:uniqueId val="{00000001-403D-4C60-BA34-7F1DC3F3970C}"/>
            </c:ext>
          </c:extLst>
        </c:ser>
        <c:ser>
          <c:idx val="9"/>
          <c:order val="2"/>
          <c:spPr>
            <a:ln w="28575" cap="rnd">
              <a:solidFill>
                <a:srgbClr val="FFFFFF"/>
              </a:solidFill>
              <a:roun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'!$FO$1:$FO$74</c:f>
              <c:numCache>
                <c:formatCode>General</c:formatCode>
                <c:ptCount val="74"/>
              </c:numCache>
            </c:numRef>
          </c:val>
          <c:smooth val="0"/>
          <c:extLst>
            <c:ext xmlns:c16="http://schemas.microsoft.com/office/drawing/2014/chart" uri="{C3380CC4-5D6E-409C-BE32-E72D297353CC}">
              <c16:uniqueId val="{00000002-403D-4C60-BA34-7F1DC3F3970C}"/>
            </c:ext>
          </c:extLst>
        </c:ser>
        <c:ser>
          <c:idx val="1"/>
          <c:order val="3"/>
          <c:tx>
            <c:strRef>
              <c:f>'figure 2 e 3 '!$D$4</c:f>
              <c:strCache>
                <c:ptCount val="1"/>
                <c:pt idx="0">
                  <c:v>importazioni</c:v>
                </c:pt>
              </c:strCache>
            </c:strRef>
          </c:tx>
          <c:spPr>
            <a:ln w="12700" cap="rnd" cmpd="sng" algn="ctr">
              <a:solidFill>
                <a:srgbClr val="D22630"/>
              </a:solidFill>
              <a:prstDash val="sysDash"/>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'!$H$103:$H$174</c:f>
              <c:numCache>
                <c:formatCode>0</c:formatCode>
                <c:ptCount val="72"/>
                <c:pt idx="0">
                  <c:v>15813</c:v>
                </c:pt>
                <c:pt idx="1">
                  <c:v>14544</c:v>
                </c:pt>
                <c:pt idx="2">
                  <c:v>12112</c:v>
                </c:pt>
                <c:pt idx="3">
                  <c:v>10157</c:v>
                </c:pt>
                <c:pt idx="4">
                  <c:v>10490</c:v>
                </c:pt>
                <c:pt idx="5">
                  <c:v>12237</c:v>
                </c:pt>
                <c:pt idx="6">
                  <c:v>12840</c:v>
                </c:pt>
                <c:pt idx="7">
                  <c:v>12817</c:v>
                </c:pt>
                <c:pt idx="8">
                  <c:v>12990</c:v>
                </c:pt>
                <c:pt idx="9">
                  <c:v>13211</c:v>
                </c:pt>
                <c:pt idx="10">
                  <c:v>13795</c:v>
                </c:pt>
                <c:pt idx="11">
                  <c:v>13627</c:v>
                </c:pt>
                <c:pt idx="12">
                  <c:v>14027</c:v>
                </c:pt>
                <c:pt idx="13">
                  <c:v>14463</c:v>
                </c:pt>
                <c:pt idx="14">
                  <c:v>15581</c:v>
                </c:pt>
                <c:pt idx="15">
                  <c:v>16028</c:v>
                </c:pt>
                <c:pt idx="16">
                  <c:v>15893</c:v>
                </c:pt>
                <c:pt idx="17">
                  <c:v>16170</c:v>
                </c:pt>
                <c:pt idx="18">
                  <c:v>16710</c:v>
                </c:pt>
                <c:pt idx="19">
                  <c:v>18361</c:v>
                </c:pt>
                <c:pt idx="20">
                  <c:v>18481</c:v>
                </c:pt>
                <c:pt idx="21">
                  <c:v>19646</c:v>
                </c:pt>
                <c:pt idx="22">
                  <c:v>20421</c:v>
                </c:pt>
                <c:pt idx="23">
                  <c:v>21766</c:v>
                </c:pt>
                <c:pt idx="24">
                  <c:v>23688</c:v>
                </c:pt>
                <c:pt idx="25">
                  <c:v>24205</c:v>
                </c:pt>
                <c:pt idx="26">
                  <c:v>25390</c:v>
                </c:pt>
                <c:pt idx="27">
                  <c:v>26299</c:v>
                </c:pt>
                <c:pt idx="28">
                  <c:v>25951</c:v>
                </c:pt>
                <c:pt idx="29">
                  <c:v>28232</c:v>
                </c:pt>
                <c:pt idx="30">
                  <c:v>29284</c:v>
                </c:pt>
                <c:pt idx="31">
                  <c:v>30328</c:v>
                </c:pt>
                <c:pt idx="32">
                  <c:v>29775</c:v>
                </c:pt>
                <c:pt idx="33">
                  <c:v>27322</c:v>
                </c:pt>
                <c:pt idx="34">
                  <c:v>26146</c:v>
                </c:pt>
                <c:pt idx="35">
                  <c:v>25190</c:v>
                </c:pt>
                <c:pt idx="36">
                  <c:v>23671</c:v>
                </c:pt>
                <c:pt idx="37">
                  <c:v>22635</c:v>
                </c:pt>
                <c:pt idx="38">
                  <c:v>22148</c:v>
                </c:pt>
                <c:pt idx="39">
                  <c:v>22184</c:v>
                </c:pt>
                <c:pt idx="40">
                  <c:v>21407</c:v>
                </c:pt>
                <c:pt idx="41">
                  <c:v>20664</c:v>
                </c:pt>
                <c:pt idx="42">
                  <c:v>20285</c:v>
                </c:pt>
                <c:pt idx="43">
                  <c:v>20917</c:v>
                </c:pt>
                <c:pt idx="44">
                  <c:v>21179</c:v>
                </c:pt>
                <c:pt idx="45">
                  <c:v>21974</c:v>
                </c:pt>
                <c:pt idx="46">
                  <c:v>20721</c:v>
                </c:pt>
                <c:pt idx="47">
                  <c:v>20212</c:v>
                </c:pt>
                <c:pt idx="48">
                  <c:v>18164</c:v>
                </c:pt>
                <c:pt idx="49">
                  <c:v>19481</c:v>
                </c:pt>
                <c:pt idx="50">
                  <c:v>20221</c:v>
                </c:pt>
                <c:pt idx="51">
                  <c:v>20017</c:v>
                </c:pt>
                <c:pt idx="52">
                  <c:v>20051</c:v>
                </c:pt>
                <c:pt idx="53">
                  <c:v>19401</c:v>
                </c:pt>
                <c:pt idx="54">
                  <c:v>19836</c:v>
                </c:pt>
                <c:pt idx="55">
                  <c:v>20129</c:v>
                </c:pt>
                <c:pt idx="56">
                  <c:v>19891</c:v>
                </c:pt>
                <c:pt idx="57">
                  <c:v>20205</c:v>
                </c:pt>
                <c:pt idx="58">
                  <c:v>21367</c:v>
                </c:pt>
                <c:pt idx="59">
                  <c:v>21354</c:v>
                </c:pt>
                <c:pt idx="60">
                  <c:v>22131</c:v>
                </c:pt>
              </c:numCache>
            </c:numRef>
          </c:val>
          <c:smooth val="0"/>
          <c:extLst>
            <c:ext xmlns:c16="http://schemas.microsoft.com/office/drawing/2014/chart" uri="{C3380CC4-5D6E-409C-BE32-E72D297353CC}">
              <c16:uniqueId val="{00000003-403D-4C60-BA34-7F1DC3F3970C}"/>
            </c:ext>
          </c:extLst>
        </c:ser>
        <c:ser>
          <c:idx val="3"/>
          <c:order val="4"/>
          <c:tx>
            <c:strRef>
              <c:f>'figure 2 e 3 '!$F$4</c:f>
              <c:strCache>
                <c:ptCount val="1"/>
                <c:pt idx="0">
                  <c:v>mm3mesi import</c:v>
                </c:pt>
              </c:strCache>
            </c:strRef>
          </c:tx>
          <c:spPr>
            <a:ln w="28575" cap="rnd" cmpd="sng" algn="ctr">
              <a:solidFill>
                <a:srgbClr val="D22630"/>
              </a:solidFill>
              <a:prstDash val="solid"/>
              <a:round/>
              <a:headEnd type="none" w="med" len="med"/>
              <a:tailEnd type="none" w="med" len="med"/>
            </a:ln>
            <a:effectLst/>
          </c:spPr>
          <c:marker>
            <c:symbol val="none"/>
          </c:marker>
          <c:cat>
            <c:numRef>
              <c:f>'figure 2 e 3 '!$B$103:$B$174</c:f>
              <c:numCache>
                <c:formatCode>General</c:formatCode>
                <c:ptCount val="72"/>
                <c:pt idx="5" formatCode="0">
                  <c:v>2020</c:v>
                </c:pt>
                <c:pt idx="17" formatCode="0">
                  <c:v>2021</c:v>
                </c:pt>
                <c:pt idx="29" formatCode="0">
                  <c:v>2022</c:v>
                </c:pt>
                <c:pt idx="41" formatCode="0">
                  <c:v>2023</c:v>
                </c:pt>
                <c:pt idx="53" formatCode="0">
                  <c:v>2024</c:v>
                </c:pt>
                <c:pt idx="65" formatCode="0">
                  <c:v>2025</c:v>
                </c:pt>
              </c:numCache>
            </c:numRef>
          </c:cat>
          <c:val>
            <c:numRef>
              <c:f>'figure 2 e 3 '!$J$103:$J$174</c:f>
              <c:numCache>
                <c:formatCode>0</c:formatCode>
                <c:ptCount val="72"/>
                <c:pt idx="0">
                  <c:v>15025.666666666666</c:v>
                </c:pt>
                <c:pt idx="1">
                  <c:v>14156.333333333334</c:v>
                </c:pt>
                <c:pt idx="2">
                  <c:v>12271</c:v>
                </c:pt>
                <c:pt idx="3">
                  <c:v>10919.666666666666</c:v>
                </c:pt>
                <c:pt idx="4">
                  <c:v>10961.333333333334</c:v>
                </c:pt>
                <c:pt idx="5">
                  <c:v>11855.666666666666</c:v>
                </c:pt>
                <c:pt idx="6">
                  <c:v>12631.333333333334</c:v>
                </c:pt>
                <c:pt idx="7">
                  <c:v>12882.333333333334</c:v>
                </c:pt>
                <c:pt idx="8">
                  <c:v>13006</c:v>
                </c:pt>
                <c:pt idx="9">
                  <c:v>13332</c:v>
                </c:pt>
                <c:pt idx="10">
                  <c:v>13544.333333333334</c:v>
                </c:pt>
                <c:pt idx="11">
                  <c:v>13816.333333333334</c:v>
                </c:pt>
                <c:pt idx="12">
                  <c:v>14039</c:v>
                </c:pt>
                <c:pt idx="13">
                  <c:v>14690.333333333334</c:v>
                </c:pt>
                <c:pt idx="14">
                  <c:v>15357.333333333334</c:v>
                </c:pt>
                <c:pt idx="15">
                  <c:v>15834</c:v>
                </c:pt>
                <c:pt idx="16">
                  <c:v>16030.333333333334</c:v>
                </c:pt>
                <c:pt idx="17">
                  <c:v>16257.666666666666</c:v>
                </c:pt>
                <c:pt idx="18">
                  <c:v>17080.333333333332</c:v>
                </c:pt>
                <c:pt idx="19">
                  <c:v>17850.666666666668</c:v>
                </c:pt>
                <c:pt idx="20">
                  <c:v>18829.333333333332</c:v>
                </c:pt>
                <c:pt idx="21">
                  <c:v>19516</c:v>
                </c:pt>
                <c:pt idx="22">
                  <c:v>20611</c:v>
                </c:pt>
                <c:pt idx="23">
                  <c:v>21958.333333333332</c:v>
                </c:pt>
                <c:pt idx="24">
                  <c:v>23219.666666666668</c:v>
                </c:pt>
                <c:pt idx="25">
                  <c:v>24427.666666666668</c:v>
                </c:pt>
                <c:pt idx="26">
                  <c:v>25298</c:v>
                </c:pt>
                <c:pt idx="27">
                  <c:v>25880</c:v>
                </c:pt>
                <c:pt idx="28">
                  <c:v>26827.333333333332</c:v>
                </c:pt>
                <c:pt idx="29">
                  <c:v>27822.333333333332</c:v>
                </c:pt>
                <c:pt idx="30">
                  <c:v>29281.333333333332</c:v>
                </c:pt>
                <c:pt idx="31">
                  <c:v>29795.666666666668</c:v>
                </c:pt>
                <c:pt idx="32">
                  <c:v>29141.666666666668</c:v>
                </c:pt>
                <c:pt idx="33">
                  <c:v>27747.666666666668</c:v>
                </c:pt>
                <c:pt idx="34">
                  <c:v>26219.333333333332</c:v>
                </c:pt>
                <c:pt idx="35">
                  <c:v>25002.333333333332</c:v>
                </c:pt>
                <c:pt idx="36">
                  <c:v>23832</c:v>
                </c:pt>
                <c:pt idx="37">
                  <c:v>22818</c:v>
                </c:pt>
                <c:pt idx="38">
                  <c:v>22322.333333333332</c:v>
                </c:pt>
                <c:pt idx="39">
                  <c:v>21913</c:v>
                </c:pt>
                <c:pt idx="40">
                  <c:v>21418.333333333332</c:v>
                </c:pt>
                <c:pt idx="41">
                  <c:v>20785.333333333332</c:v>
                </c:pt>
                <c:pt idx="42">
                  <c:v>20622</c:v>
                </c:pt>
                <c:pt idx="43">
                  <c:v>20793.666666666668</c:v>
                </c:pt>
                <c:pt idx="44">
                  <c:v>21356.666666666668</c:v>
                </c:pt>
                <c:pt idx="45">
                  <c:v>21291.333333333332</c:v>
                </c:pt>
                <c:pt idx="46">
                  <c:v>20969</c:v>
                </c:pt>
                <c:pt idx="47">
                  <c:v>19699</c:v>
                </c:pt>
                <c:pt idx="48">
                  <c:v>19285.666666666668</c:v>
                </c:pt>
                <c:pt idx="49">
                  <c:v>19288.666666666668</c:v>
                </c:pt>
                <c:pt idx="50">
                  <c:v>19906.333333333332</c:v>
                </c:pt>
                <c:pt idx="51">
                  <c:v>20096.333333333332</c:v>
                </c:pt>
                <c:pt idx="52">
                  <c:v>19823</c:v>
                </c:pt>
                <c:pt idx="53">
                  <c:v>19762.666666666668</c:v>
                </c:pt>
                <c:pt idx="54">
                  <c:v>19788.666666666668</c:v>
                </c:pt>
                <c:pt idx="55">
                  <c:v>19952</c:v>
                </c:pt>
                <c:pt idx="56">
                  <c:v>20075</c:v>
                </c:pt>
                <c:pt idx="57">
                  <c:v>20487.666666666668</c:v>
                </c:pt>
                <c:pt idx="58">
                  <c:v>20975.333333333332</c:v>
                </c:pt>
                <c:pt idx="59">
                  <c:v>21617.333333333332</c:v>
                </c:pt>
              </c:numCache>
            </c:numRef>
          </c:val>
          <c:smooth val="0"/>
          <c:extLst>
            <c:ext xmlns:c16="http://schemas.microsoft.com/office/drawing/2014/chart" uri="{C3380CC4-5D6E-409C-BE32-E72D297353CC}">
              <c16:uniqueId val="{00000004-403D-4C60-BA34-7F1DC3F3970C}"/>
            </c:ext>
          </c:extLst>
        </c:ser>
        <c:dLbls>
          <c:showLegendKey val="0"/>
          <c:showVal val="0"/>
          <c:showCatName val="0"/>
          <c:showSerName val="0"/>
          <c:showPercent val="0"/>
          <c:showBubbleSize val="0"/>
        </c:dLbls>
        <c:marker val="1"/>
        <c:smooth val="0"/>
        <c:axId val="209418912"/>
        <c:axId val="209419472"/>
      </c:lineChart>
      <c:lineChart>
        <c:grouping val="standard"/>
        <c:varyColors val="0"/>
        <c:ser>
          <c:idx val="4"/>
          <c:order val="5"/>
          <c:spPr>
            <a:ln w="28575" cap="rnd">
              <a:solidFill>
                <a:srgbClr val="FFFFFF"/>
              </a:solidFill>
              <a:round/>
            </a:ln>
            <a:effectLst/>
          </c:spPr>
          <c:marker>
            <c:symbol val="none"/>
          </c:marker>
          <c:val>
            <c:numRef>
              <c:f>'figure 2 e 3 '!$FO$1:$FO$74</c:f>
              <c:numCache>
                <c:formatCode>General</c:formatCode>
                <c:ptCount val="74"/>
              </c:numCache>
            </c:numRef>
          </c:val>
          <c:smooth val="0"/>
          <c:extLst>
            <c:ext xmlns:c16="http://schemas.microsoft.com/office/drawing/2014/chart" uri="{C3380CC4-5D6E-409C-BE32-E72D297353CC}">
              <c16:uniqueId val="{00000005-403D-4C60-BA34-7F1DC3F3970C}"/>
            </c:ext>
          </c:extLst>
        </c:ser>
        <c:dLbls>
          <c:showLegendKey val="0"/>
          <c:showVal val="0"/>
          <c:showCatName val="0"/>
          <c:showSerName val="0"/>
          <c:showPercent val="0"/>
          <c:showBubbleSize val="0"/>
        </c:dLbls>
        <c:marker val="1"/>
        <c:smooth val="0"/>
        <c:axId val="209420592"/>
        <c:axId val="209420032"/>
      </c:lineChart>
      <c:catAx>
        <c:axId val="209418912"/>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09419472"/>
        <c:crosses val="autoZero"/>
        <c:auto val="1"/>
        <c:lblAlgn val="l"/>
        <c:lblOffset val="0"/>
        <c:tickMarkSkip val="3"/>
        <c:noMultiLvlLbl val="0"/>
      </c:catAx>
      <c:valAx>
        <c:axId val="209419472"/>
        <c:scaling>
          <c:orientation val="minMax"/>
          <c:max val="32000"/>
          <c:min val="8000"/>
        </c:scaling>
        <c:delete val="0"/>
        <c:axPos val="l"/>
        <c:majorGridlines>
          <c:spPr>
            <a:ln w="6350" cap="flat" cmpd="sng" algn="ctr">
              <a:solidFill>
                <a:srgbClr val="A6A6A6"/>
              </a:solidFill>
              <a:prstDash val="sysDash"/>
              <a:round/>
              <a:headEnd type="none" w="med" len="med"/>
              <a:tailEnd type="none" w="med" len="me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09418912"/>
        <c:crosses val="autoZero"/>
        <c:crossBetween val="between"/>
        <c:majorUnit val="4000"/>
        <c:dispUnits>
          <c:builtInUnit val="thousands"/>
        </c:dispUnits>
      </c:valAx>
      <c:valAx>
        <c:axId val="209420032"/>
        <c:scaling>
          <c:orientation val="minMax"/>
        </c:scaling>
        <c:delete val="1"/>
        <c:axPos val="r"/>
        <c:numFmt formatCode="General" sourceLinked="1"/>
        <c:majorTickMark val="out"/>
        <c:minorTickMark val="none"/>
        <c:tickLblPos val="nextTo"/>
        <c:crossAx val="209420592"/>
        <c:crosses val="max"/>
        <c:crossBetween val="between"/>
      </c:valAx>
      <c:catAx>
        <c:axId val="209420592"/>
        <c:scaling>
          <c:orientation val="minMax"/>
        </c:scaling>
        <c:delete val="1"/>
        <c:axPos val="t"/>
        <c:majorGridlines>
          <c:spPr>
            <a:ln w="12700" cap="flat" cmpd="sng" algn="ctr">
              <a:solidFill>
                <a:srgbClr val="A6A6A6"/>
              </a:solidFill>
              <a:prstDash val="solid"/>
              <a:round/>
              <a:headEnd type="none" w="med" len="med"/>
              <a:tailEnd type="none" w="med" len="med"/>
            </a:ln>
            <a:effectLst/>
          </c:spPr>
        </c:majorGridlines>
        <c:majorTickMark val="out"/>
        <c:minorTickMark val="none"/>
        <c:tickLblPos val="nextTo"/>
        <c:crossAx val="209420032"/>
        <c:crosses val="max"/>
        <c:auto val="1"/>
        <c:lblAlgn val="ctr"/>
        <c:lblOffset val="100"/>
        <c:tickMarkSkip val="12"/>
        <c:noMultiLvlLbl val="0"/>
      </c:catAx>
      <c:spPr>
        <a:solidFill>
          <a:srgbClr val="FFFFFF"/>
        </a:solidFill>
        <a:ln w="9525" cap="flat" cmpd="sng" algn="ctr">
          <a:solidFill>
            <a:schemeClr val="bg1">
              <a:lumMod val="85000"/>
            </a:schemeClr>
          </a:solidFill>
          <a:prstDash val="solid"/>
          <a:round/>
          <a:headEnd type="none" w="med" len="med"/>
          <a:tailEnd type="none" w="med" len="med"/>
        </a:ln>
        <a:effectLst/>
      </c:spPr>
    </c:plotArea>
    <c:legend>
      <c:legendPos val="t"/>
      <c:legendEntry>
        <c:idx val="2"/>
        <c:delete val="1"/>
      </c:legendEntry>
      <c:legendEntry>
        <c:idx val="5"/>
        <c:delete val="1"/>
      </c:legendEntry>
      <c:layout>
        <c:manualLayout>
          <c:xMode val="edge"/>
          <c:yMode val="edge"/>
          <c:x val="0.14132322163401495"/>
          <c:y val="0"/>
          <c:w val="0.78025629739952906"/>
          <c:h val="9.1110120175692852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0" cap="flat" cmpd="sng" algn="ctr">
      <a:noFill/>
      <a:round/>
    </a:ln>
    <a:effectLs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3.8200031242677498E-2"/>
          <c:y val="0.12410404855160488"/>
          <c:w val="0.92273205198300878"/>
          <c:h val="0.77953332753771654"/>
        </c:manualLayout>
      </c:layout>
      <c:lineChart>
        <c:grouping val="standard"/>
        <c:varyColors val="0"/>
        <c:ser>
          <c:idx val="0"/>
          <c:order val="0"/>
          <c:tx>
            <c:strRef>
              <c:f>'figura 4'!$F$4</c:f>
              <c:strCache>
                <c:ptCount val="1"/>
                <c:pt idx="0">
                  <c:v>Export</c:v>
                </c:pt>
              </c:strCache>
            </c:strRef>
          </c:tx>
          <c:spPr>
            <a:ln w="19050" cap="rnd">
              <a:solidFill>
                <a:srgbClr val="003B5C"/>
              </a:solidFill>
              <a:round/>
            </a:ln>
            <a:effectLst/>
          </c:spPr>
          <c:marker>
            <c:symbol val="none"/>
          </c:marker>
          <c:cat>
            <c:numRef>
              <c:f>'figura 4'!$B$113:$B$172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4'!$F$113:$F$172</c:f>
              <c:numCache>
                <c:formatCode>0.0</c:formatCode>
                <c:ptCount val="60"/>
                <c:pt idx="0">
                  <c:v>-8.330259965312214</c:v>
                </c:pt>
                <c:pt idx="1">
                  <c:v>-2.2351663681371869</c:v>
                </c:pt>
                <c:pt idx="2">
                  <c:v>28.732510811948607</c:v>
                </c:pt>
                <c:pt idx="3">
                  <c:v>98.20009056200152</c:v>
                </c:pt>
                <c:pt idx="4">
                  <c:v>41.691950989109387</c:v>
                </c:pt>
                <c:pt idx="5">
                  <c:v>25.625941178762488</c:v>
                </c:pt>
                <c:pt idx="6">
                  <c:v>16.19976708844937</c:v>
                </c:pt>
                <c:pt idx="7">
                  <c:v>17.601754937039704</c:v>
                </c:pt>
                <c:pt idx="8">
                  <c:v>11.187427495195458</c:v>
                </c:pt>
                <c:pt idx="9">
                  <c:v>8.144508299140929</c:v>
                </c:pt>
                <c:pt idx="10">
                  <c:v>17.485766845312135</c:v>
                </c:pt>
                <c:pt idx="11">
                  <c:v>16.8722410006114</c:v>
                </c:pt>
                <c:pt idx="12">
                  <c:v>21.516675189647994</c:v>
                </c:pt>
                <c:pt idx="13">
                  <c:v>21.917779116221414</c:v>
                </c:pt>
                <c:pt idx="14">
                  <c:v>23.030682060758643</c:v>
                </c:pt>
                <c:pt idx="15">
                  <c:v>14.57102325221169</c:v>
                </c:pt>
                <c:pt idx="16">
                  <c:v>29.245501765805358</c:v>
                </c:pt>
                <c:pt idx="17">
                  <c:v>20.495292775410935</c:v>
                </c:pt>
                <c:pt idx="18">
                  <c:v>16.986296407084222</c:v>
                </c:pt>
                <c:pt idx="19">
                  <c:v>24.793224437136075</c:v>
                </c:pt>
                <c:pt idx="20">
                  <c:v>22.221735599471849</c:v>
                </c:pt>
                <c:pt idx="21">
                  <c:v>18.267277197335694</c:v>
                </c:pt>
                <c:pt idx="22">
                  <c:v>18.60240102269184</c:v>
                </c:pt>
                <c:pt idx="23">
                  <c:v>13.663494889252359</c:v>
                </c:pt>
                <c:pt idx="24">
                  <c:v>13.555229425242299</c:v>
                </c:pt>
                <c:pt idx="25">
                  <c:v>10.721341976106459</c:v>
                </c:pt>
                <c:pt idx="26">
                  <c:v>4.8909921426963043</c:v>
                </c:pt>
                <c:pt idx="27">
                  <c:v>-5.54171700374736</c:v>
                </c:pt>
                <c:pt idx="28">
                  <c:v>0.59703339096712771</c:v>
                </c:pt>
                <c:pt idx="29">
                  <c:v>0.79887437356565005</c:v>
                </c:pt>
                <c:pt idx="30">
                  <c:v>-7.5630395865888378</c:v>
                </c:pt>
                <c:pt idx="31">
                  <c:v>2.2215472183741314</c:v>
                </c:pt>
                <c:pt idx="32">
                  <c:v>-6.3830078005400299</c:v>
                </c:pt>
                <c:pt idx="33">
                  <c:v>3.1026889714484751</c:v>
                </c:pt>
                <c:pt idx="34">
                  <c:v>-4.1826102800649245</c:v>
                </c:pt>
                <c:pt idx="35">
                  <c:v>-7.6506815317184174</c:v>
                </c:pt>
                <c:pt idx="36">
                  <c:v>1.5146882520027827</c:v>
                </c:pt>
                <c:pt idx="37">
                  <c:v>1.6755971363677569</c:v>
                </c:pt>
                <c:pt idx="38">
                  <c:v>-8.9887543482080048</c:v>
                </c:pt>
                <c:pt idx="39">
                  <c:v>10.704015735176654</c:v>
                </c:pt>
                <c:pt idx="40">
                  <c:v>-1.7489964365169919</c:v>
                </c:pt>
                <c:pt idx="41">
                  <c:v>-6.1874845469211408</c:v>
                </c:pt>
                <c:pt idx="42">
                  <c:v>7.0029251764405887</c:v>
                </c:pt>
                <c:pt idx="43">
                  <c:v>-6.8648167051212123</c:v>
                </c:pt>
                <c:pt idx="44">
                  <c:v>-2.085953676256147</c:v>
                </c:pt>
                <c:pt idx="45">
                  <c:v>1.5545225483902136</c:v>
                </c:pt>
                <c:pt idx="46">
                  <c:v>-2.5682621642905579</c:v>
                </c:pt>
                <c:pt idx="47">
                  <c:v>2.9116414002663848</c:v>
                </c:pt>
                <c:pt idx="48">
                  <c:v>2.5357392034158766</c:v>
                </c:pt>
              </c:numCache>
            </c:numRef>
          </c:val>
          <c:smooth val="0"/>
          <c:extLst>
            <c:ext xmlns:c16="http://schemas.microsoft.com/office/drawing/2014/chart" uri="{C3380CC4-5D6E-409C-BE32-E72D297353CC}">
              <c16:uniqueId val="{00000000-24E8-4B5D-BEF1-626FEE404FA4}"/>
            </c:ext>
          </c:extLst>
        </c:ser>
        <c:ser>
          <c:idx val="1"/>
          <c:order val="1"/>
          <c:tx>
            <c:strRef>
              <c:f>'figura 4'!$G$4</c:f>
              <c:strCache>
                <c:ptCount val="1"/>
                <c:pt idx="0">
                  <c:v>Import</c:v>
                </c:pt>
              </c:strCache>
            </c:strRef>
          </c:tx>
          <c:spPr>
            <a:ln w="19050" cap="rnd">
              <a:solidFill>
                <a:srgbClr val="D22630"/>
              </a:solidFill>
              <a:round/>
            </a:ln>
            <a:effectLst/>
          </c:spPr>
          <c:marker>
            <c:symbol val="none"/>
          </c:marker>
          <c:cat>
            <c:numRef>
              <c:f>'figura 4'!$B$113:$B$172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4'!$G$113:$G$172</c:f>
              <c:numCache>
                <c:formatCode>0.0</c:formatCode>
                <c:ptCount val="60"/>
                <c:pt idx="0">
                  <c:v>-11.156282906755932</c:v>
                </c:pt>
                <c:pt idx="1">
                  <c:v>-0.15505613782806904</c:v>
                </c:pt>
                <c:pt idx="2">
                  <c:v>36.606733653538214</c:v>
                </c:pt>
                <c:pt idx="3">
                  <c:v>64.07583563926984</c:v>
                </c:pt>
                <c:pt idx="4">
                  <c:v>52.353186910301041</c:v>
                </c:pt>
                <c:pt idx="5">
                  <c:v>34.402985997520851</c:v>
                </c:pt>
                <c:pt idx="6">
                  <c:v>25.034967495687255</c:v>
                </c:pt>
                <c:pt idx="7">
                  <c:v>35.179230718014345</c:v>
                </c:pt>
                <c:pt idx="8">
                  <c:v>26.44945089433708</c:v>
                </c:pt>
                <c:pt idx="9">
                  <c:v>25.11259026402999</c:v>
                </c:pt>
                <c:pt idx="10">
                  <c:v>34.485325832846605</c:v>
                </c:pt>
                <c:pt idx="11">
                  <c:v>46.013196341508042</c:v>
                </c:pt>
                <c:pt idx="12">
                  <c:v>48.362385954828291</c:v>
                </c:pt>
                <c:pt idx="13">
                  <c:v>44.261753003031657</c:v>
                </c:pt>
                <c:pt idx="14">
                  <c:v>39.598891496175085</c:v>
                </c:pt>
                <c:pt idx="15">
                  <c:v>41.849092437235626</c:v>
                </c:pt>
                <c:pt idx="16">
                  <c:v>48.382051062406894</c:v>
                </c:pt>
                <c:pt idx="17">
                  <c:v>43.275788028176422</c:v>
                </c:pt>
                <c:pt idx="18">
                  <c:v>42.398448705732839</c:v>
                </c:pt>
                <c:pt idx="19">
                  <c:v>55.430253478641099</c:v>
                </c:pt>
                <c:pt idx="20">
                  <c:v>41.562992196787228</c:v>
                </c:pt>
                <c:pt idx="21">
                  <c:v>29.169446491967467</c:v>
                </c:pt>
                <c:pt idx="22">
                  <c:v>21.10623492924999</c:v>
                </c:pt>
                <c:pt idx="23">
                  <c:v>8.6568993173052213</c:v>
                </c:pt>
                <c:pt idx="24">
                  <c:v>7.7210247163404633</c:v>
                </c:pt>
                <c:pt idx="25">
                  <c:v>1.5278427060553268</c:v>
                </c:pt>
                <c:pt idx="26">
                  <c:v>-2.7477097528977201</c:v>
                </c:pt>
                <c:pt idx="27">
                  <c:v>-12.866615103520495</c:v>
                </c:pt>
                <c:pt idx="28">
                  <c:v>-8.6431735795656</c:v>
                </c:pt>
                <c:pt idx="29">
                  <c:v>-10.885949753623281</c:v>
                </c:pt>
                <c:pt idx="30">
                  <c:v>-18.687556238639612</c:v>
                </c:pt>
                <c:pt idx="31">
                  <c:v>-21.673652026619393</c:v>
                </c:pt>
                <c:pt idx="32">
                  <c:v>-19.956507381131814</c:v>
                </c:pt>
                <c:pt idx="33">
                  <c:v>-8.7425831150060755</c:v>
                </c:pt>
                <c:pt idx="34">
                  <c:v>-8.9283834107511169</c:v>
                </c:pt>
                <c:pt idx="35">
                  <c:v>-16.826141970256046</c:v>
                </c:pt>
                <c:pt idx="36">
                  <c:v>-13.046923608279604</c:v>
                </c:pt>
                <c:pt idx="37">
                  <c:v>-5.2280669396239325</c:v>
                </c:pt>
                <c:pt idx="38">
                  <c:v>-10.966314836989067</c:v>
                </c:pt>
                <c:pt idx="39">
                  <c:v>1.2231595182905286</c:v>
                </c:pt>
                <c:pt idx="40">
                  <c:v>-4.8815833690273873</c:v>
                </c:pt>
                <c:pt idx="41">
                  <c:v>-9.1992532447831223</c:v>
                </c:pt>
                <c:pt idx="42">
                  <c:v>5.4291793588373105</c:v>
                </c:pt>
                <c:pt idx="43">
                  <c:v>-4.7740369105051528</c:v>
                </c:pt>
                <c:pt idx="44">
                  <c:v>-3.0858768509043455</c:v>
                </c:pt>
                <c:pt idx="45">
                  <c:v>0.58958175147265646</c:v>
                </c:pt>
                <c:pt idx="46">
                  <c:v>-2.6583312722389785</c:v>
                </c:pt>
                <c:pt idx="47">
                  <c:v>2.1327142644079533</c:v>
                </c:pt>
                <c:pt idx="48">
                  <c:v>8.8048018247376181</c:v>
                </c:pt>
              </c:numCache>
            </c:numRef>
          </c:val>
          <c:smooth val="0"/>
          <c:extLst>
            <c:ext xmlns:c16="http://schemas.microsoft.com/office/drawing/2014/chart" uri="{C3380CC4-5D6E-409C-BE32-E72D297353CC}">
              <c16:uniqueId val="{00000001-24E8-4B5D-BEF1-626FEE404FA4}"/>
            </c:ext>
          </c:extLst>
        </c:ser>
        <c:dLbls>
          <c:showLegendKey val="0"/>
          <c:showVal val="0"/>
          <c:showCatName val="0"/>
          <c:showSerName val="0"/>
          <c:showPercent val="0"/>
          <c:showBubbleSize val="0"/>
        </c:dLbls>
        <c:smooth val="0"/>
        <c:axId val="209964144"/>
        <c:axId val="209063776"/>
      </c:lineChart>
      <c:catAx>
        <c:axId val="209964144"/>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tx1"/>
            </a:solidFill>
            <a:round/>
          </a:ln>
          <a:effectLst/>
          <a:ex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09063776"/>
        <c:crosses val="autoZero"/>
        <c:auto val="1"/>
        <c:lblAlgn val="l"/>
        <c:lblOffset val="0"/>
        <c:tickMarkSkip val="3"/>
        <c:noMultiLvlLbl val="0"/>
      </c:catAx>
      <c:valAx>
        <c:axId val="209063776"/>
        <c:scaling>
          <c:orientation val="minMax"/>
          <c:max val="100"/>
          <c:min val="-50"/>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spcFirstLastPara="1" vertOverflow="ellipsis" wrap="square" anchor="ctr" anchorCtr="1"/>
              <a:lstStyle/>
              <a:p>
                <a:pPr>
                  <a:defRPr sz="900" b="0" i="0" u="none" strike="noStrike" kern="1200" baseline="0">
                    <a:solidFill>
                      <a:srgbClr val="000000"/>
                    </a:solidFill>
                    <a:latin typeface="Arial Narrow" panose="020B0606020202030204" pitchFamily="34" charset="0"/>
                    <a:ea typeface="+mn-ea"/>
                    <a:cs typeface="+mn-cs"/>
                  </a:defRPr>
                </a:pPr>
                <a:r>
                  <a:rPr lang="it-IT"/>
                  <a:t>%</a:t>
                </a:r>
              </a:p>
            </c:rich>
          </c:tx>
          <c:layout>
            <c:manualLayout>
              <c:xMode val="edge"/>
              <c:yMode val="edge"/>
              <c:x val="1.8995495495495493E-3"/>
              <c:y val="5.0319444444444448E-3"/>
            </c:manualLayout>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09964144"/>
        <c:crosses val="autoZero"/>
        <c:crossBetween val="between"/>
        <c:majorUnit val="25"/>
      </c:valAx>
    </c:plotArea>
    <c:legend>
      <c:legendPos val="t"/>
      <c:layout>
        <c:manualLayout>
          <c:xMode val="edge"/>
          <c:yMode val="edge"/>
          <c:x val="0.29322274226593525"/>
          <c:y val="0"/>
          <c:w val="0.39102989683908218"/>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6350" cap="flat" cmpd="sng" algn="ctr">
      <a:noFill/>
      <a:round/>
    </a:ln>
    <a:effec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2952862122324263E-2"/>
          <c:y val="0.10798409327416178"/>
          <c:w val="0.91888935285600126"/>
          <c:h val="0.78678210029233187"/>
        </c:manualLayout>
      </c:layout>
      <c:lineChart>
        <c:grouping val="standard"/>
        <c:varyColors val="0"/>
        <c:ser>
          <c:idx val="1"/>
          <c:order val="0"/>
          <c:tx>
            <c:strRef>
              <c:f>'[GraficiElabImport_1_25.xlsx]GR 5-italiano (nuova base)'!$G$28</c:f>
              <c:strCache>
                <c:ptCount val="1"/>
                <c:pt idx="0">
                  <c:v>Totale</c:v>
                </c:pt>
              </c:strCache>
            </c:strRef>
          </c:tx>
          <c:spPr>
            <a:ln w="19050" cap="rnd" cmpd="sng" algn="ctr">
              <a:solidFill>
                <a:srgbClr val="FF0000"/>
              </a:solidFill>
              <a:prstDash val="solid"/>
              <a:round/>
              <a:headEnd type="none" w="med" len="med"/>
              <a:tailEnd type="none" w="med" len="med"/>
            </a:ln>
            <a:effectLst/>
          </c:spPr>
          <c:marker>
            <c:symbol val="none"/>
          </c:marker>
          <c:cat>
            <c:numRef>
              <c:f>'[GraficiElabImport_1_25.xlsx]GR 5-italiano (nuova base)'!$C$138:$C$197</c:f>
              <c:numCache>
                <c:formatCode>General</c:formatCode>
                <c:ptCount val="60"/>
                <c:pt idx="5" formatCode="0">
                  <c:v>2021</c:v>
                </c:pt>
                <c:pt idx="17">
                  <c:v>2022</c:v>
                </c:pt>
                <c:pt idx="29">
                  <c:v>2023</c:v>
                </c:pt>
                <c:pt idx="41">
                  <c:v>2024</c:v>
                </c:pt>
                <c:pt idx="53">
                  <c:v>2025</c:v>
                </c:pt>
              </c:numCache>
            </c:numRef>
          </c:cat>
          <c:val>
            <c:numRef>
              <c:f>'[GraficiElabImport_1_25.xlsx]GR 5-italiano (nuova base)'!$G$138:$G$197</c:f>
              <c:numCache>
                <c:formatCode>0.0</c:formatCode>
                <c:ptCount val="60"/>
                <c:pt idx="0">
                  <c:v>-2.4</c:v>
                </c:pt>
                <c:pt idx="1">
                  <c:v>-0.2</c:v>
                </c:pt>
                <c:pt idx="2">
                  <c:v>5.2</c:v>
                </c:pt>
                <c:pt idx="3">
                  <c:v>9.3000000000000007</c:v>
                </c:pt>
                <c:pt idx="4">
                  <c:v>10.1</c:v>
                </c:pt>
                <c:pt idx="5">
                  <c:v>11.1</c:v>
                </c:pt>
                <c:pt idx="6">
                  <c:v>13</c:v>
                </c:pt>
                <c:pt idx="7">
                  <c:v>14.2</c:v>
                </c:pt>
                <c:pt idx="8">
                  <c:v>14.7</c:v>
                </c:pt>
                <c:pt idx="9">
                  <c:v>17.100000000000001</c:v>
                </c:pt>
                <c:pt idx="10">
                  <c:v>18.8</c:v>
                </c:pt>
                <c:pt idx="11">
                  <c:v>18.600000000000001</c:v>
                </c:pt>
                <c:pt idx="12">
                  <c:v>20.2</c:v>
                </c:pt>
                <c:pt idx="13">
                  <c:v>20.9</c:v>
                </c:pt>
                <c:pt idx="14">
                  <c:v>21.2</c:v>
                </c:pt>
                <c:pt idx="15">
                  <c:v>23.3</c:v>
                </c:pt>
                <c:pt idx="16">
                  <c:v>21.9</c:v>
                </c:pt>
                <c:pt idx="17">
                  <c:v>22.9</c:v>
                </c:pt>
                <c:pt idx="18">
                  <c:v>22.2</c:v>
                </c:pt>
                <c:pt idx="19">
                  <c:v>22.4</c:v>
                </c:pt>
                <c:pt idx="20">
                  <c:v>21.1</c:v>
                </c:pt>
                <c:pt idx="21">
                  <c:v>16.8</c:v>
                </c:pt>
                <c:pt idx="22">
                  <c:v>14.2</c:v>
                </c:pt>
                <c:pt idx="23">
                  <c:v>11.3</c:v>
                </c:pt>
                <c:pt idx="24">
                  <c:v>4.7</c:v>
                </c:pt>
                <c:pt idx="25">
                  <c:v>1.2</c:v>
                </c:pt>
                <c:pt idx="26">
                  <c:v>-2.6</c:v>
                </c:pt>
                <c:pt idx="27">
                  <c:v>-6.2</c:v>
                </c:pt>
                <c:pt idx="28">
                  <c:v>-7.7</c:v>
                </c:pt>
                <c:pt idx="29">
                  <c:v>-9.9</c:v>
                </c:pt>
                <c:pt idx="30">
                  <c:v>-11.4</c:v>
                </c:pt>
                <c:pt idx="31">
                  <c:v>-12.7</c:v>
                </c:pt>
                <c:pt idx="32">
                  <c:v>-12.1</c:v>
                </c:pt>
                <c:pt idx="33">
                  <c:v>-10.199999999999999</c:v>
                </c:pt>
                <c:pt idx="34">
                  <c:v>-9.6</c:v>
                </c:pt>
                <c:pt idx="35">
                  <c:v>-9.3000000000000007</c:v>
                </c:pt>
                <c:pt idx="36">
                  <c:v>-7</c:v>
                </c:pt>
                <c:pt idx="37">
                  <c:v>-5.5</c:v>
                </c:pt>
                <c:pt idx="38">
                  <c:v>-3.5</c:v>
                </c:pt>
                <c:pt idx="39">
                  <c:v>-1.8</c:v>
                </c:pt>
                <c:pt idx="40">
                  <c:v>-0.1</c:v>
                </c:pt>
                <c:pt idx="41">
                  <c:v>0.4</c:v>
                </c:pt>
                <c:pt idx="42">
                  <c:v>1.3</c:v>
                </c:pt>
                <c:pt idx="43">
                  <c:v>1</c:v>
                </c:pt>
                <c:pt idx="44">
                  <c:v>-0.5</c:v>
                </c:pt>
                <c:pt idx="45">
                  <c:v>-1.5</c:v>
                </c:pt>
                <c:pt idx="46">
                  <c:v>-1.4</c:v>
                </c:pt>
                <c:pt idx="47">
                  <c:v>0.1</c:v>
                </c:pt>
                <c:pt idx="48">
                  <c:v>1.4</c:v>
                </c:pt>
              </c:numCache>
            </c:numRef>
          </c:val>
          <c:smooth val="0"/>
          <c:extLst>
            <c:ext xmlns:c16="http://schemas.microsoft.com/office/drawing/2014/chart" uri="{C3380CC4-5D6E-409C-BE32-E72D297353CC}">
              <c16:uniqueId val="{00000000-2B05-4519-A70D-3CE290ACDF39}"/>
            </c:ext>
          </c:extLst>
        </c:ser>
        <c:ser>
          <c:idx val="0"/>
          <c:order val="1"/>
          <c:tx>
            <c:strRef>
              <c:f>'[GraficiElabImport_1_25.xlsx]GR 5-italiano (nuova base)'!$F$125</c:f>
              <c:strCache>
                <c:ptCount val="1"/>
                <c:pt idx="0">
                  <c:v>Totale al netto energia</c:v>
                </c:pt>
              </c:strCache>
            </c:strRef>
          </c:tx>
          <c:spPr>
            <a:ln w="19050" cap="rnd" cmpd="sng" algn="ctr">
              <a:solidFill>
                <a:srgbClr val="002060">
                  <a:alpha val="97000"/>
                </a:srgbClr>
              </a:solidFill>
              <a:prstDash val="sysDash"/>
              <a:round/>
              <a:headEnd type="none" w="med" len="med"/>
              <a:tailEnd type="none" w="med" len="med"/>
            </a:ln>
            <a:effectLst/>
          </c:spPr>
          <c:marker>
            <c:symbol val="none"/>
          </c:marker>
          <c:cat>
            <c:numRef>
              <c:f>'[GraficiElabImport_1_25.xlsx]GR 5-italiano (nuova base)'!$C$138:$C$197</c:f>
              <c:numCache>
                <c:formatCode>General</c:formatCode>
                <c:ptCount val="60"/>
                <c:pt idx="5" formatCode="0">
                  <c:v>2021</c:v>
                </c:pt>
                <c:pt idx="17">
                  <c:v>2022</c:v>
                </c:pt>
                <c:pt idx="29">
                  <c:v>2023</c:v>
                </c:pt>
                <c:pt idx="41">
                  <c:v>2024</c:v>
                </c:pt>
                <c:pt idx="53">
                  <c:v>2025</c:v>
                </c:pt>
              </c:numCache>
            </c:numRef>
          </c:cat>
          <c:val>
            <c:numRef>
              <c:f>'[GraficiElabImport_1_25.xlsx]GR 5-italiano (nuova base)'!$F$138:$F$197</c:f>
              <c:numCache>
                <c:formatCode>0.0</c:formatCode>
                <c:ptCount val="60"/>
                <c:pt idx="0">
                  <c:v>0.6</c:v>
                </c:pt>
                <c:pt idx="1">
                  <c:v>1.5</c:v>
                </c:pt>
                <c:pt idx="2">
                  <c:v>2.8</c:v>
                </c:pt>
                <c:pt idx="3">
                  <c:v>4.5999999999999996</c:v>
                </c:pt>
                <c:pt idx="4">
                  <c:v>5.8</c:v>
                </c:pt>
                <c:pt idx="5">
                  <c:v>6.5</c:v>
                </c:pt>
                <c:pt idx="6">
                  <c:v>7.1</c:v>
                </c:pt>
                <c:pt idx="7">
                  <c:v>8</c:v>
                </c:pt>
                <c:pt idx="8">
                  <c:v>8.8000000000000007</c:v>
                </c:pt>
                <c:pt idx="9">
                  <c:v>9.1999999999999993</c:v>
                </c:pt>
                <c:pt idx="10">
                  <c:v>10.199999999999999</c:v>
                </c:pt>
                <c:pt idx="11">
                  <c:v>10.7</c:v>
                </c:pt>
                <c:pt idx="12">
                  <c:v>11.1</c:v>
                </c:pt>
                <c:pt idx="13">
                  <c:v>11.3</c:v>
                </c:pt>
                <c:pt idx="14">
                  <c:v>11.8</c:v>
                </c:pt>
                <c:pt idx="15">
                  <c:v>12</c:v>
                </c:pt>
                <c:pt idx="16">
                  <c:v>11.7</c:v>
                </c:pt>
                <c:pt idx="17">
                  <c:v>11.8</c:v>
                </c:pt>
                <c:pt idx="18">
                  <c:v>11.3</c:v>
                </c:pt>
                <c:pt idx="19">
                  <c:v>11.1</c:v>
                </c:pt>
                <c:pt idx="20">
                  <c:v>10.1</c:v>
                </c:pt>
                <c:pt idx="21">
                  <c:v>9.9</c:v>
                </c:pt>
                <c:pt idx="22">
                  <c:v>8.4</c:v>
                </c:pt>
                <c:pt idx="23">
                  <c:v>7.3</c:v>
                </c:pt>
                <c:pt idx="24">
                  <c:v>5.9</c:v>
                </c:pt>
                <c:pt idx="25">
                  <c:v>4.4000000000000004</c:v>
                </c:pt>
                <c:pt idx="26">
                  <c:v>2.5</c:v>
                </c:pt>
                <c:pt idx="27">
                  <c:v>0.9</c:v>
                </c:pt>
                <c:pt idx="28">
                  <c:v>-0.3</c:v>
                </c:pt>
                <c:pt idx="29">
                  <c:v>-1.4</c:v>
                </c:pt>
                <c:pt idx="30">
                  <c:v>-2.1</c:v>
                </c:pt>
                <c:pt idx="31">
                  <c:v>-3.1</c:v>
                </c:pt>
                <c:pt idx="32">
                  <c:v>-3.2</c:v>
                </c:pt>
                <c:pt idx="33">
                  <c:v>-3.2</c:v>
                </c:pt>
                <c:pt idx="34">
                  <c:v>-2.9</c:v>
                </c:pt>
                <c:pt idx="35">
                  <c:v>-2.9</c:v>
                </c:pt>
                <c:pt idx="36">
                  <c:v>-3.2</c:v>
                </c:pt>
                <c:pt idx="37">
                  <c:v>-2.6</c:v>
                </c:pt>
                <c:pt idx="38">
                  <c:v>-2.2000000000000002</c:v>
                </c:pt>
                <c:pt idx="39">
                  <c:v>-1.5</c:v>
                </c:pt>
                <c:pt idx="40">
                  <c:v>-0.8</c:v>
                </c:pt>
                <c:pt idx="41">
                  <c:v>-0.4</c:v>
                </c:pt>
                <c:pt idx="42">
                  <c:v>0.1</c:v>
                </c:pt>
                <c:pt idx="43">
                  <c:v>0.4</c:v>
                </c:pt>
                <c:pt idx="44">
                  <c:v>0.3</c:v>
                </c:pt>
                <c:pt idx="45">
                  <c:v>0.2</c:v>
                </c:pt>
                <c:pt idx="46">
                  <c:v>0</c:v>
                </c:pt>
                <c:pt idx="47">
                  <c:v>0</c:v>
                </c:pt>
                <c:pt idx="48">
                  <c:v>0.6</c:v>
                </c:pt>
              </c:numCache>
            </c:numRef>
          </c:val>
          <c:smooth val="0"/>
          <c:extLst>
            <c:ext xmlns:c16="http://schemas.microsoft.com/office/drawing/2014/chart" uri="{C3380CC4-5D6E-409C-BE32-E72D297353CC}">
              <c16:uniqueId val="{00000001-2B05-4519-A70D-3CE290ACDF39}"/>
            </c:ext>
          </c:extLst>
        </c:ser>
        <c:dLbls>
          <c:showLegendKey val="0"/>
          <c:showVal val="0"/>
          <c:showCatName val="0"/>
          <c:showSerName val="0"/>
          <c:showPercent val="0"/>
          <c:showBubbleSize val="0"/>
        </c:dLbls>
        <c:marker val="1"/>
        <c:smooth val="0"/>
        <c:axId val="247912448"/>
        <c:axId val="248988416"/>
      </c:lineChart>
      <c:lineChart>
        <c:grouping val="standard"/>
        <c:varyColors val="0"/>
        <c:ser>
          <c:idx val="2"/>
          <c:order val="2"/>
          <c:spPr>
            <a:ln w="25400">
              <a:solidFill>
                <a:srgbClr val="FFFFFF"/>
              </a:solidFill>
              <a:prstDash val="solid"/>
            </a:ln>
          </c:spPr>
          <c:marker>
            <c:symbol val="none"/>
          </c:marker>
          <c:cat>
            <c:numRef>
              <c:f>'\\NAS-BALBO\Prezzi_Produzione\Users\FRCOPP~1\AppData\Local\Temp\[Coe_LONG e xUe.xlsx]PREZZI IMPORT'!$C$41:$C$100</c:f>
              <c:numCache>
                <c:formatCode>General</c:formatCode>
                <c:ptCount val="60"/>
                <c:pt idx="5">
                  <c:v>2013</c:v>
                </c:pt>
                <c:pt idx="17">
                  <c:v>2014</c:v>
                </c:pt>
                <c:pt idx="29">
                  <c:v>2015</c:v>
                </c:pt>
                <c:pt idx="41">
                  <c:v>2016</c:v>
                </c:pt>
                <c:pt idx="53">
                  <c:v>2017</c:v>
                </c:pt>
              </c:numCache>
            </c:numRef>
          </c:cat>
          <c:val>
            <c:numRef>
              <c:f>'\\NAS-BALBO\Prezzi_Produzione\Users\FRCOPP~1\AppData\Local\Temp\[Coe_LONG e xUe.xlsx]PREZZI IMPORT'!$FU$1:$FU$60</c:f>
              <c:numCache>
                <c:formatCode>General</c:formatCode>
                <c:ptCount val="60"/>
              </c:numCache>
            </c:numRef>
          </c:val>
          <c:smooth val="0"/>
          <c:extLst>
            <c:ext xmlns:c16="http://schemas.microsoft.com/office/drawing/2014/chart" uri="{C3380CC4-5D6E-409C-BE32-E72D297353CC}">
              <c16:uniqueId val="{00000002-2B05-4519-A70D-3CE290ACDF39}"/>
            </c:ext>
          </c:extLst>
        </c:ser>
        <c:dLbls>
          <c:showLegendKey val="0"/>
          <c:showVal val="0"/>
          <c:showCatName val="0"/>
          <c:showSerName val="0"/>
          <c:showPercent val="0"/>
          <c:showBubbleSize val="0"/>
        </c:dLbls>
        <c:marker val="1"/>
        <c:smooth val="0"/>
        <c:axId val="248988976"/>
        <c:axId val="248989536"/>
      </c:lineChart>
      <c:catAx>
        <c:axId val="247912448"/>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12700" cap="flat" cmpd="sng" algn="ctr">
            <a:solidFill>
              <a:schemeClr val="tx1"/>
            </a:solidFill>
            <a:round/>
          </a:ln>
          <a:effectLst/>
        </c:spPr>
        <c:txPr>
          <a:bodyPr rot="0" vert="horz"/>
          <a:lstStyle/>
          <a:p>
            <a:pPr>
              <a:defRPr sz="1000" b="1" i="0" u="none" strike="noStrike" baseline="0">
                <a:solidFill>
                  <a:srgbClr val="000000"/>
                </a:solidFill>
                <a:latin typeface="Arial Narrow"/>
                <a:ea typeface="Arial Narrow"/>
                <a:cs typeface="Arial Narrow"/>
              </a:defRPr>
            </a:pPr>
            <a:endParaRPr lang="it-IT"/>
          </a:p>
        </c:txPr>
        <c:crossAx val="248988416"/>
        <c:crosses val="autoZero"/>
        <c:auto val="1"/>
        <c:lblAlgn val="ctr"/>
        <c:lblOffset val="0"/>
        <c:tickMarkSkip val="3"/>
        <c:noMultiLvlLbl val="0"/>
      </c:catAx>
      <c:valAx>
        <c:axId val="248988416"/>
        <c:scaling>
          <c:orientation val="minMax"/>
          <c:max val="25"/>
          <c:min val="-15"/>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vert="horz"/>
              <a:lstStyle/>
              <a:p>
                <a:pPr algn="ctr">
                  <a:defRPr sz="900" b="0" i="0" u="none" strike="noStrike" baseline="0">
                    <a:solidFill>
                      <a:srgbClr val="000000"/>
                    </a:solidFill>
                    <a:latin typeface="Arial Narrow"/>
                    <a:ea typeface="Arial Narrow"/>
                    <a:cs typeface="Arial Narrow"/>
                  </a:defRPr>
                </a:pPr>
                <a:r>
                  <a:rPr lang="it-IT"/>
                  <a:t>%</a:t>
                </a:r>
              </a:p>
            </c:rich>
          </c:tx>
          <c:layout>
            <c:manualLayout>
              <c:xMode val="edge"/>
              <c:yMode val="edge"/>
              <c:x val="9.5379650577385698E-3"/>
              <c:y val="5.0320982604447166E-3"/>
            </c:manualLayout>
          </c:layout>
          <c:overlay val="0"/>
          <c:spPr>
            <a:noFill/>
            <a:ln w="25400">
              <a:noFill/>
            </a:ln>
          </c:spPr>
        </c:title>
        <c:numFmt formatCode="0" sourceLinked="0"/>
        <c:majorTickMark val="none"/>
        <c:minorTickMark val="none"/>
        <c:tickLblPos val="nextTo"/>
        <c:spPr>
          <a:ln w="9525">
            <a:noFill/>
          </a:ln>
        </c:spPr>
        <c:txPr>
          <a:bodyPr rot="0" vert="horz"/>
          <a:lstStyle/>
          <a:p>
            <a:pPr>
              <a:defRPr sz="900" b="0" i="0" u="none" strike="noStrike" baseline="0">
                <a:solidFill>
                  <a:srgbClr val="000000"/>
                </a:solidFill>
                <a:latin typeface="Arial Narrow"/>
                <a:ea typeface="Arial Narrow"/>
                <a:cs typeface="Arial Narrow"/>
              </a:defRPr>
            </a:pPr>
            <a:endParaRPr lang="it-IT"/>
          </a:p>
        </c:txPr>
        <c:crossAx val="247912448"/>
        <c:crosses val="autoZero"/>
        <c:crossBetween val="between"/>
        <c:majorUnit val="5"/>
      </c:valAx>
      <c:catAx>
        <c:axId val="248988976"/>
        <c:scaling>
          <c:orientation val="minMax"/>
        </c:scaling>
        <c:delete val="1"/>
        <c:axPos val="t"/>
        <c:numFmt formatCode="General" sourceLinked="1"/>
        <c:majorTickMark val="out"/>
        <c:minorTickMark val="none"/>
        <c:tickLblPos val="nextTo"/>
        <c:crossAx val="248989536"/>
        <c:crosses val="max"/>
        <c:auto val="1"/>
        <c:lblAlgn val="ctr"/>
        <c:lblOffset val="100"/>
        <c:noMultiLvlLbl val="0"/>
      </c:catAx>
      <c:valAx>
        <c:axId val="248989536"/>
        <c:scaling>
          <c:orientation val="minMax"/>
        </c:scaling>
        <c:delete val="1"/>
        <c:axPos val="r"/>
        <c:numFmt formatCode="General" sourceLinked="1"/>
        <c:majorTickMark val="out"/>
        <c:minorTickMark val="none"/>
        <c:tickLblPos val="nextTo"/>
        <c:crossAx val="248988976"/>
        <c:crosses val="max"/>
        <c:crossBetween val="between"/>
      </c:valAx>
      <c:spPr>
        <a:solidFill>
          <a:srgbClr val="FFFFFF"/>
        </a:solidFill>
        <a:ln w="9525" cap="flat" cmpd="sng" algn="ctr">
          <a:solidFill>
            <a:schemeClr val="bg1">
              <a:lumMod val="85000"/>
            </a:schemeClr>
          </a:solidFill>
          <a:prstDash val="solid"/>
          <a:round/>
          <a:headEnd type="none" w="med" len="med"/>
          <a:tailEnd type="none" w="med" len="med"/>
        </a:ln>
        <a:effectLst/>
      </c:spPr>
    </c:plotArea>
    <c:legend>
      <c:legendPos val="t"/>
      <c:legendEntry>
        <c:idx val="2"/>
        <c:delete val="1"/>
      </c:legendEntry>
      <c:layout>
        <c:manualLayout>
          <c:xMode val="edge"/>
          <c:yMode val="edge"/>
          <c:x val="0.37086976487489626"/>
          <c:y val="0"/>
          <c:w val="0.35930283995399454"/>
          <c:h val="9.1890331890331883E-2"/>
        </c:manualLayout>
      </c:layout>
      <c:overlay val="0"/>
      <c:spPr>
        <a:noFill/>
        <a:ln w="25400">
          <a:noFill/>
        </a:ln>
      </c:spPr>
      <c:txPr>
        <a:bodyPr/>
        <a:lstStyle/>
        <a:p>
          <a:pPr>
            <a:defRPr sz="900" b="0" i="0" u="none" strike="noStrike" baseline="0">
              <a:solidFill>
                <a:srgbClr val="000000"/>
              </a:solidFill>
              <a:latin typeface="Arial Narrow"/>
              <a:ea typeface="Arial Narrow"/>
              <a:cs typeface="Arial Narrow"/>
            </a:defRPr>
          </a:pPr>
          <a:endParaRPr lang="it-IT"/>
        </a:p>
      </c:txPr>
    </c:legend>
    <c:plotVisOnly val="1"/>
    <c:dispBlanksAs val="gap"/>
    <c:showDLblsOverMax val="0"/>
  </c:chart>
  <c:spPr>
    <a:solidFill>
      <a:srgbClr val="FFFFFF"/>
    </a:solidFill>
    <a:ln w="9525">
      <a:noFill/>
    </a:ln>
  </c:spPr>
  <c:txPr>
    <a:bodyPr/>
    <a:lstStyle/>
    <a:p>
      <a:pPr>
        <a:defRPr sz="900" b="0" i="0" u="none" strike="noStrike" baseline="0">
          <a:solidFill>
            <a:srgbClr val="000000"/>
          </a:solidFill>
          <a:latin typeface="Arial Narrow"/>
          <a:ea typeface="Arial Narrow"/>
          <a:cs typeface="Arial Narrow"/>
        </a:defRPr>
      </a:pPr>
      <a:endParaRPr lang="it-IT"/>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4000600600600591E-2"/>
          <c:y val="0.11227175925925927"/>
          <c:w val="0.91781336336336339"/>
          <c:h val="0.44112500000000004"/>
        </c:manualLayout>
      </c:layout>
      <c:barChart>
        <c:barDir val="col"/>
        <c:grouping val="clustered"/>
        <c:varyColors val="0"/>
        <c:ser>
          <c:idx val="1"/>
          <c:order val="0"/>
          <c:tx>
            <c:strRef>
              <c:f>'figg. 6 e 7'!$D$42</c:f>
              <c:strCache>
                <c:ptCount val="1"/>
                <c:pt idx="0">
                  <c:v>Contributi alla var. (punti perc. - sinistra)</c:v>
                </c:pt>
              </c:strCache>
            </c:strRef>
          </c:tx>
          <c:spPr>
            <a:solidFill>
              <a:srgbClr val="003B5C"/>
            </a:solidFill>
            <a:ln>
              <a:solidFill>
                <a:schemeClr val="bg1"/>
              </a:solidFill>
            </a:ln>
            <a:effectLst/>
          </c:spPr>
          <c:invertIfNegative val="0"/>
          <c:cat>
            <c:strRef>
              <c:f>'figg. 6 e 7'!$P$44:$P$60</c:f>
              <c:strCache>
                <c:ptCount val="17"/>
                <c:pt idx="0">
                  <c:v>Farmaceutica</c:v>
                </c:pt>
                <c:pt idx="1">
                  <c:v>Alimentari</c:v>
                </c:pt>
                <c:pt idx="2">
                  <c:v>Metalli</c:v>
                </c:pt>
                <c:pt idx="3">
                  <c:v>Chimica</c:v>
                </c:pt>
                <c:pt idx="4">
                  <c:v>Altri mezzi trasporto</c:v>
                </c:pt>
                <c:pt idx="5">
                  <c:v>Apparecchi elettrici</c:v>
                </c:pt>
                <c:pt idx="6">
                  <c:v>Prodotti minerali non met</c:v>
                </c:pt>
                <c:pt idx="7">
                  <c:v>Gomma-plastica</c:v>
                </c:pt>
                <c:pt idx="8">
                  <c:v>Mobili</c:v>
                </c:pt>
                <c:pt idx="9">
                  <c:v>Altra manifattura</c:v>
                </c:pt>
                <c:pt idx="10">
                  <c:v>Tessili</c:v>
                </c:pt>
                <c:pt idx="11">
                  <c:v>Elettronica</c:v>
                </c:pt>
                <c:pt idx="12">
                  <c:v>Pelletteria</c:v>
                </c:pt>
                <c:pt idx="13">
                  <c:v>Macchinari</c:v>
                </c:pt>
                <c:pt idx="14">
                  <c:v>Abbigliamento</c:v>
                </c:pt>
                <c:pt idx="15">
                  <c:v>Raffinazione</c:v>
                </c:pt>
                <c:pt idx="16">
                  <c:v>Autoveicoli</c:v>
                </c:pt>
              </c:strCache>
            </c:strRef>
          </c:cat>
          <c:val>
            <c:numRef>
              <c:f>'figg. 6 e 7'!$D$44:$D$60</c:f>
              <c:numCache>
                <c:formatCode>0.00</c:formatCode>
                <c:ptCount val="17"/>
                <c:pt idx="0">
                  <c:v>2.7253257756987006</c:v>
                </c:pt>
                <c:pt idx="1">
                  <c:v>0.70944285416894726</c:v>
                </c:pt>
                <c:pt idx="2">
                  <c:v>0.64997236072954145</c:v>
                </c:pt>
                <c:pt idx="3">
                  <c:v>0.31328315840286586</c:v>
                </c:pt>
                <c:pt idx="4">
                  <c:v>0.30183456059943331</c:v>
                </c:pt>
                <c:pt idx="5">
                  <c:v>8.8115028448244676E-2</c:v>
                </c:pt>
                <c:pt idx="6">
                  <c:v>8.2027657774921464E-2</c:v>
                </c:pt>
                <c:pt idx="7">
                  <c:v>6.9927494197320361E-2</c:v>
                </c:pt>
                <c:pt idx="8">
                  <c:v>6.5344973889157928E-2</c:v>
                </c:pt>
                <c:pt idx="9">
                  <c:v>5.2944548238002771E-2</c:v>
                </c:pt>
                <c:pt idx="10">
                  <c:v>-3.8135884671194296E-2</c:v>
                </c:pt>
                <c:pt idx="11">
                  <c:v>-0.23237636650801954</c:v>
                </c:pt>
                <c:pt idx="12">
                  <c:v>-0.41926533871037519</c:v>
                </c:pt>
                <c:pt idx="13">
                  <c:v>-0.46903616353277977</c:v>
                </c:pt>
                <c:pt idx="14">
                  <c:v>-0.51052280516327242</c:v>
                </c:pt>
                <c:pt idx="15">
                  <c:v>-0.59003553682532184</c:v>
                </c:pt>
                <c:pt idx="16">
                  <c:v>-0.65423954766729264</c:v>
                </c:pt>
              </c:numCache>
            </c:numRef>
          </c:val>
          <c:extLst>
            <c:ext xmlns:c16="http://schemas.microsoft.com/office/drawing/2014/chart" uri="{C3380CC4-5D6E-409C-BE32-E72D297353CC}">
              <c16:uniqueId val="{00000000-81FB-4CEF-91A9-54450506D18C}"/>
            </c:ext>
          </c:extLst>
        </c:ser>
        <c:dLbls>
          <c:showLegendKey val="0"/>
          <c:showVal val="0"/>
          <c:showCatName val="0"/>
          <c:showSerName val="0"/>
          <c:showPercent val="0"/>
          <c:showBubbleSize val="0"/>
        </c:dLbls>
        <c:gapWidth val="0"/>
        <c:axId val="235970992"/>
        <c:axId val="235971552"/>
      </c:barChart>
      <c:lineChart>
        <c:grouping val="standard"/>
        <c:varyColors val="0"/>
        <c:ser>
          <c:idx val="0"/>
          <c:order val="1"/>
          <c:tx>
            <c:strRef>
              <c:f>'figg. 6 e 7'!$B$42</c:f>
              <c:strCache>
                <c:ptCount val="1"/>
                <c:pt idx="0">
                  <c:v>Variazione (%, scala destra)</c:v>
                </c:pt>
              </c:strCache>
            </c:strRef>
          </c:tx>
          <c:spPr>
            <a:ln w="28575" cap="rnd">
              <a:noFill/>
              <a:round/>
            </a:ln>
            <a:effectLst/>
          </c:spPr>
          <c:marker>
            <c:symbol val="diamond"/>
            <c:size val="6"/>
            <c:spPr>
              <a:solidFill>
                <a:schemeClr val="bg1"/>
              </a:solidFill>
              <a:ln w="9525">
                <a:solidFill>
                  <a:schemeClr val="tx1"/>
                </a:solidFill>
              </a:ln>
              <a:effectLst/>
            </c:spPr>
          </c:marker>
          <c:dLbls>
            <c:dLbl>
              <c:idx val="0"/>
              <c:layout>
                <c:manualLayout>
                  <c:x val="-3.2402151419221509E-2"/>
                  <c:y val="-5.47411411172792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1FB-4CEF-91A9-54450506D18C}"/>
                </c:ext>
              </c:extLst>
            </c:dLbl>
            <c:dLbl>
              <c:idx val="1"/>
              <c:layout>
                <c:manualLayout>
                  <c:x val="-3.0498878540650639E-2"/>
                  <c:y val="-4.804979972477958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1FB-4CEF-91A9-54450506D18C}"/>
                </c:ext>
              </c:extLst>
            </c:dLbl>
            <c:dLbl>
              <c:idx val="2"/>
              <c:layout>
                <c:manualLayout>
                  <c:x val="-3.0519819819819854E-2"/>
                  <c:y val="-5.042377890645893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1FB-4CEF-91A9-54450506D18C}"/>
                </c:ext>
              </c:extLst>
            </c:dLbl>
            <c:dLbl>
              <c:idx val="3"/>
              <c:layout>
                <c:manualLayout>
                  <c:x val="-2.8612206580634028E-2"/>
                  <c:y val="-4.981314064091101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1FB-4CEF-91A9-54450506D18C}"/>
                </c:ext>
              </c:extLst>
            </c:dLbl>
            <c:dLbl>
              <c:idx val="4"/>
              <c:layout>
                <c:manualLayout>
                  <c:x val="-3.8104954954954952E-2"/>
                  <c:y val="-4.3950948175039514E-2"/>
                </c:manualLayout>
              </c:layout>
              <c:spPr>
                <a:noFill/>
                <a:ln>
                  <a:noFill/>
                </a:ln>
                <a:effectLst/>
              </c:spPr>
              <c:txPr>
                <a:bodyPr wrap="square" lIns="38100" tIns="19050" rIns="38100" bIns="19050" anchor="ctr">
                  <a:noAutofit/>
                </a:bodyPr>
                <a:lstStyle/>
                <a:p>
                  <a:pPr>
                    <a:defRPr/>
                  </a:pPr>
                  <a:endParaRPr lang="it-IT"/>
                </a:p>
              </c:txPr>
              <c:showLegendKey val="0"/>
              <c:showVal val="1"/>
              <c:showCatName val="0"/>
              <c:showSerName val="0"/>
              <c:showPercent val="0"/>
              <c:showBubbleSize val="0"/>
              <c:extLst>
                <c:ext xmlns:c15="http://schemas.microsoft.com/office/drawing/2012/chart" uri="{CE6537A1-D6FC-4f65-9D91-7224C49458BB}">
                  <c15:layout>
                    <c:manualLayout>
                      <c:w val="5.484069069069069E-2"/>
                      <c:h val="6.4299999999999982E-2"/>
                    </c:manualLayout>
                  </c15:layout>
                </c:ext>
                <c:ext xmlns:c16="http://schemas.microsoft.com/office/drawing/2014/chart" uri="{C3380CC4-5D6E-409C-BE32-E72D297353CC}">
                  <c16:uniqueId val="{00000005-81FB-4CEF-91A9-54450506D18C}"/>
                </c:ext>
              </c:extLst>
            </c:dLbl>
            <c:dLbl>
              <c:idx val="5"/>
              <c:layout>
                <c:manualLayout>
                  <c:x val="-3.0578528528528527E-2"/>
                  <c:y val="-5.009355024601380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1FB-4CEF-91A9-54450506D18C}"/>
                </c:ext>
              </c:extLst>
            </c:dLbl>
            <c:dLbl>
              <c:idx val="6"/>
              <c:layout>
                <c:manualLayout>
                  <c:x val="-2.8670870870870942E-2"/>
                  <c:y val="-5.29295033788455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1FB-4CEF-91A9-54450506D18C}"/>
                </c:ext>
              </c:extLst>
            </c:dLbl>
            <c:dLbl>
              <c:idx val="7"/>
              <c:layout>
                <c:manualLayout>
                  <c:x val="-3.0557657657657656E-2"/>
                  <c:y val="-5.393720246157765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1FB-4CEF-91A9-54450506D18C}"/>
                </c:ext>
              </c:extLst>
            </c:dLbl>
            <c:dLbl>
              <c:idx val="8"/>
              <c:layout>
                <c:manualLayout>
                  <c:x val="-2.6809459459459461E-2"/>
                  <c:y val="-4.84458968107414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1FB-4CEF-91A9-54450506D18C}"/>
                </c:ext>
              </c:extLst>
            </c:dLbl>
            <c:dLbl>
              <c:idx val="9"/>
              <c:layout>
                <c:manualLayout>
                  <c:x val="-2.8672372372372374E-2"/>
                  <c:y val="-5.6791047610674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1FB-4CEF-91A9-54450506D18C}"/>
                </c:ext>
              </c:extLst>
            </c:dLbl>
            <c:dLbl>
              <c:idx val="10"/>
              <c:layout>
                <c:manualLayout>
                  <c:x val="-2.8701879397132611E-2"/>
                  <c:y val="5.257528188309731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81FB-4CEF-91A9-54450506D18C}"/>
                </c:ext>
              </c:extLst>
            </c:dLbl>
            <c:dLbl>
              <c:idx val="11"/>
              <c:layout>
                <c:manualLayout>
                  <c:x val="-3.0589699480504766E-2"/>
                  <c:y val="4.699367592484746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81FB-4CEF-91A9-54450506D18C}"/>
                </c:ext>
              </c:extLst>
            </c:dLbl>
            <c:dLbl>
              <c:idx val="12"/>
              <c:layout>
                <c:manualLayout>
                  <c:x val="-3.2492057397164313E-2"/>
                  <c:y val="4.70211586271037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81FB-4CEF-91A9-54450506D18C}"/>
                </c:ext>
              </c:extLst>
            </c:dLbl>
            <c:dLbl>
              <c:idx val="13"/>
              <c:layout>
                <c:manualLayout>
                  <c:x val="-3.0564864864864864E-2"/>
                  <c:y val="5.37221394105876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81FB-4CEF-91A9-54450506D18C}"/>
                </c:ext>
              </c:extLst>
            </c:dLbl>
            <c:dLbl>
              <c:idx val="14"/>
              <c:layout>
                <c:manualLayout>
                  <c:x val="-4.1001201201201203E-2"/>
                  <c:y val="5.7484215986120746E-2"/>
                </c:manualLayout>
              </c:layout>
              <c:spPr>
                <a:noFill/>
                <a:ln>
                  <a:noFill/>
                </a:ln>
                <a:effectLst/>
              </c:spPr>
              <c:txPr>
                <a:bodyPr wrap="square" lIns="38100" tIns="19050" rIns="38100" bIns="19050" anchor="ctr">
                  <a:noAutofit/>
                </a:bodyPr>
                <a:lstStyle/>
                <a:p>
                  <a:pPr>
                    <a:defRPr/>
                  </a:pPr>
                  <a:endParaRPr lang="it-IT"/>
                </a:p>
              </c:txPr>
              <c:showLegendKey val="0"/>
              <c:showVal val="1"/>
              <c:showCatName val="0"/>
              <c:showSerName val="0"/>
              <c:showPercent val="0"/>
              <c:showBubbleSize val="0"/>
              <c:extLst>
                <c:ext xmlns:c15="http://schemas.microsoft.com/office/drawing/2012/chart" uri="{CE6537A1-D6FC-4f65-9D91-7224C49458BB}">
                  <c15:layout>
                    <c:manualLayout>
                      <c:w val="5.6916230686408151E-2"/>
                      <c:h val="8.4297402541367319E-2"/>
                    </c:manualLayout>
                  </c15:layout>
                </c:ext>
                <c:ext xmlns:c16="http://schemas.microsoft.com/office/drawing/2014/chart" uri="{C3380CC4-5D6E-409C-BE32-E72D297353CC}">
                  <c16:uniqueId val="{0000000F-81FB-4CEF-91A9-54450506D18C}"/>
                </c:ext>
              </c:extLst>
            </c:dLbl>
            <c:dLbl>
              <c:idx val="15"/>
              <c:layout>
                <c:manualLayout>
                  <c:x val="-3.0514912070088544E-2"/>
                  <c:y val="6.06185527434498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81FB-4CEF-91A9-54450506D18C}"/>
                </c:ext>
              </c:extLst>
            </c:dLbl>
            <c:dLbl>
              <c:idx val="16"/>
              <c:layout>
                <c:manualLayout>
                  <c:x val="-3.4419088244650418E-2"/>
                  <c:y val="5.183543480851950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81FB-4CEF-91A9-54450506D18C}"/>
                </c:ext>
              </c:extLst>
            </c:dLbl>
            <c:dLbl>
              <c:idx val="17"/>
              <c:layout>
                <c:manualLayout>
                  <c:x val="-2.8622376512721315E-2"/>
                  <c:y val="5.639806189930977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81FB-4CEF-91A9-54450506D18C}"/>
                </c:ext>
              </c:extLst>
            </c:dLbl>
            <c:dLbl>
              <c:idx val="18"/>
              <c:layout>
                <c:manualLayout>
                  <c:x val="-3.8156504823624024E-2"/>
                  <c:y val="7.6581018518518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81FB-4CEF-91A9-54450506D18C}"/>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'figg. 6 e 7'!$P$44:$P$60</c:f>
              <c:strCache>
                <c:ptCount val="17"/>
                <c:pt idx="0">
                  <c:v>Farmaceutica</c:v>
                </c:pt>
                <c:pt idx="1">
                  <c:v>Alimentari</c:v>
                </c:pt>
                <c:pt idx="2">
                  <c:v>Metalli</c:v>
                </c:pt>
                <c:pt idx="3">
                  <c:v>Chimica</c:v>
                </c:pt>
                <c:pt idx="4">
                  <c:v>Altri mezzi trasporto</c:v>
                </c:pt>
                <c:pt idx="5">
                  <c:v>Apparecchi elettrici</c:v>
                </c:pt>
                <c:pt idx="6">
                  <c:v>Prodotti minerali non met</c:v>
                </c:pt>
                <c:pt idx="7">
                  <c:v>Gomma-plastica</c:v>
                </c:pt>
                <c:pt idx="8">
                  <c:v>Mobili</c:v>
                </c:pt>
                <c:pt idx="9">
                  <c:v>Altra manifattura</c:v>
                </c:pt>
                <c:pt idx="10">
                  <c:v>Tessili</c:v>
                </c:pt>
                <c:pt idx="11">
                  <c:v>Elettronica</c:v>
                </c:pt>
                <c:pt idx="12">
                  <c:v>Pelletteria</c:v>
                </c:pt>
                <c:pt idx="13">
                  <c:v>Macchinari</c:v>
                </c:pt>
                <c:pt idx="14">
                  <c:v>Abbigliamento</c:v>
                </c:pt>
                <c:pt idx="15">
                  <c:v>Raffinazione</c:v>
                </c:pt>
                <c:pt idx="16">
                  <c:v>Autoveicoli</c:v>
                </c:pt>
              </c:strCache>
            </c:strRef>
          </c:cat>
          <c:val>
            <c:numRef>
              <c:f>'figg. 6 e 7'!$B$44:$B$60</c:f>
              <c:numCache>
                <c:formatCode>0.0</c:formatCode>
                <c:ptCount val="17"/>
                <c:pt idx="0">
                  <c:v>33.553644167552221</c:v>
                </c:pt>
                <c:pt idx="1">
                  <c:v>7.4436258797433368</c:v>
                </c:pt>
                <c:pt idx="2">
                  <c:v>6.431296323028576</c:v>
                </c:pt>
                <c:pt idx="3">
                  <c:v>4.7726916907387817</c:v>
                </c:pt>
                <c:pt idx="4">
                  <c:v>6.2207271156058113</c:v>
                </c:pt>
                <c:pt idx="5">
                  <c:v>1.7454036015498815</c:v>
                </c:pt>
                <c:pt idx="6">
                  <c:v>4.581093548298</c:v>
                </c:pt>
                <c:pt idx="7">
                  <c:v>2.0835395731925672</c:v>
                </c:pt>
                <c:pt idx="8">
                  <c:v>4.0133298726548645</c:v>
                </c:pt>
                <c:pt idx="9">
                  <c:v>1.3588827076388981</c:v>
                </c:pt>
                <c:pt idx="10">
                  <c:v>-2.4157443893422936</c:v>
                </c:pt>
                <c:pt idx="11">
                  <c:v>-6.0297392467863773</c:v>
                </c:pt>
                <c:pt idx="12">
                  <c:v>-8.8875756912389079</c:v>
                </c:pt>
                <c:pt idx="13">
                  <c:v>-3.1387108841337721</c:v>
                </c:pt>
                <c:pt idx="14">
                  <c:v>-9.226111722307067</c:v>
                </c:pt>
                <c:pt idx="15">
                  <c:v>-16.714825721963734</c:v>
                </c:pt>
                <c:pt idx="16">
                  <c:v>-15.788896624743828</c:v>
                </c:pt>
              </c:numCache>
            </c:numRef>
          </c:val>
          <c:smooth val="0"/>
          <c:extLst>
            <c:ext xmlns:c16="http://schemas.microsoft.com/office/drawing/2014/chart" uri="{C3380CC4-5D6E-409C-BE32-E72D297353CC}">
              <c16:uniqueId val="{00000014-81FB-4CEF-91A9-54450506D18C}"/>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marker val="1"/>
        <c:smooth val="0"/>
        <c:axId val="235972672"/>
        <c:axId val="235972112"/>
      </c:lineChart>
      <c:catAx>
        <c:axId val="235970992"/>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tx1"/>
            </a:solidFill>
            <a:round/>
          </a:ln>
          <a:effectLst/>
        </c:spPr>
        <c:txPr>
          <a:bodyPr rot="-21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5971552"/>
        <c:crosses val="autoZero"/>
        <c:auto val="1"/>
        <c:lblAlgn val="ctr"/>
        <c:lblOffset val="0"/>
        <c:noMultiLvlLbl val="0"/>
      </c:catAx>
      <c:valAx>
        <c:axId val="235971552"/>
        <c:scaling>
          <c:orientation val="minMax"/>
          <c:max val="5"/>
          <c:min val="-5"/>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spcFirstLastPara="1" vertOverflow="ellipsis" wrap="square" anchor="ctr" anchorCtr="1"/>
              <a:lstStyle/>
              <a:p>
                <a:pPr>
                  <a:defRPr sz="900" b="0" i="0" u="none" strike="noStrike" kern="1200" baseline="0">
                    <a:solidFill>
                      <a:srgbClr val="000000"/>
                    </a:solidFill>
                    <a:latin typeface="Arial Narrow" panose="020B0606020202030204" pitchFamily="34" charset="0"/>
                    <a:ea typeface="+mn-ea"/>
                    <a:cs typeface="+mn-cs"/>
                  </a:defRPr>
                </a:pPr>
                <a:r>
                  <a:rPr lang="it-IT"/>
                  <a:t>%</a:t>
                </a:r>
              </a:p>
            </c:rich>
          </c:tx>
          <c:layout>
            <c:manualLayout>
              <c:xMode val="edge"/>
              <c:yMode val="edge"/>
              <c:x val="0.96948843843843846"/>
              <c:y val="3.7319444444444444E-3"/>
            </c:manualLayout>
          </c:layout>
          <c:overlay val="0"/>
          <c:spPr>
            <a:noFill/>
            <a:ln>
              <a:noFill/>
            </a:ln>
            <a:effectLst/>
          </c:spPr>
        </c:title>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5970992"/>
        <c:crosses val="autoZero"/>
        <c:crossBetween val="between"/>
        <c:majorUnit val="2.5"/>
        <c:minorUnit val="2.5"/>
      </c:valAx>
      <c:valAx>
        <c:axId val="235972112"/>
        <c:scaling>
          <c:orientation val="minMax"/>
          <c:max val="50"/>
          <c:min val="-50"/>
        </c:scaling>
        <c:delete val="0"/>
        <c:axPos val="r"/>
        <c:numFmt formatCode="0" sourceLinked="0"/>
        <c:majorTickMark val="out"/>
        <c:minorTickMark val="none"/>
        <c:tickLblPos val="nextTo"/>
        <c:crossAx val="235972672"/>
        <c:crosses val="max"/>
        <c:crossBetween val="between"/>
        <c:majorUnit val="25"/>
      </c:valAx>
      <c:catAx>
        <c:axId val="235972672"/>
        <c:scaling>
          <c:orientation val="minMax"/>
        </c:scaling>
        <c:delete val="1"/>
        <c:axPos val="b"/>
        <c:numFmt formatCode="General" sourceLinked="1"/>
        <c:majorTickMark val="out"/>
        <c:minorTickMark val="none"/>
        <c:tickLblPos val="nextTo"/>
        <c:crossAx val="235972112"/>
        <c:crosses val="autoZero"/>
        <c:auto val="1"/>
        <c:lblAlgn val="ctr"/>
        <c:lblOffset val="100"/>
        <c:noMultiLvlLbl val="0"/>
      </c:catAx>
      <c:spPr>
        <a:solidFill>
          <a:srgbClr val="FFFFFF"/>
        </a:solidFill>
        <a:ln w="9525" cap="flat" cmpd="sng" algn="ctr">
          <a:solidFill>
            <a:srgbClr val="DDDDDD"/>
          </a:solidFill>
          <a:prstDash val="solid"/>
          <a:round/>
          <a:headEnd type="none" w="med" len="med"/>
          <a:tailEnd type="none" w="med" len="med"/>
        </a:ln>
        <a:effectLst/>
      </c:spPr>
    </c:plotArea>
    <c:legend>
      <c:legendPos val="t"/>
      <c:layout>
        <c:manualLayout>
          <c:xMode val="edge"/>
          <c:yMode val="edge"/>
          <c:x val="0.20371775005577228"/>
          <c:y val="5.8431693350473298E-3"/>
          <c:w val="0.54175660660660663"/>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2095195195195195E-2"/>
          <c:y val="0.12223055555555555"/>
          <c:w val="0.91971876876876879"/>
          <c:h val="0.4729078703703703"/>
        </c:manualLayout>
      </c:layout>
      <c:barChart>
        <c:barDir val="col"/>
        <c:grouping val="clustered"/>
        <c:varyColors val="0"/>
        <c:ser>
          <c:idx val="1"/>
          <c:order val="0"/>
          <c:tx>
            <c:strRef>
              <c:f>'figg. 6 e 7'!$D$42</c:f>
              <c:strCache>
                <c:ptCount val="1"/>
                <c:pt idx="0">
                  <c:v>Contributi alla var. (punti perc. - sinistra)</c:v>
                </c:pt>
              </c:strCache>
            </c:strRef>
          </c:tx>
          <c:spPr>
            <a:solidFill>
              <a:srgbClr val="D22630"/>
            </a:solidFill>
            <a:ln>
              <a:solidFill>
                <a:schemeClr val="bg1"/>
              </a:solidFill>
            </a:ln>
            <a:effectLst/>
          </c:spPr>
          <c:invertIfNegative val="0"/>
          <c:cat>
            <c:strRef>
              <c:f>'figg. 6 e 7'!$P$72:$P$89</c:f>
              <c:strCache>
                <c:ptCount val="18"/>
                <c:pt idx="0">
                  <c:v>Chimica</c:v>
                </c:pt>
                <c:pt idx="1">
                  <c:v>Metalli</c:v>
                </c:pt>
                <c:pt idx="2">
                  <c:v>Farmaceutica</c:v>
                </c:pt>
                <c:pt idx="3">
                  <c:v>Gas naturale</c:v>
                </c:pt>
                <c:pt idx="4">
                  <c:v>Macchinari</c:v>
                </c:pt>
                <c:pt idx="5">
                  <c:v>Alimentari</c:v>
                </c:pt>
                <c:pt idx="6">
                  <c:v>Abbigliamento</c:v>
                </c:pt>
                <c:pt idx="7">
                  <c:v>Agricoltura</c:v>
                </c:pt>
                <c:pt idx="8">
                  <c:v>Altri mezzi trasporto</c:v>
                </c:pt>
                <c:pt idx="9">
                  <c:v>Pelletteria</c:v>
                </c:pt>
                <c:pt idx="10">
                  <c:v>Gomma-plastica</c:v>
                </c:pt>
                <c:pt idx="11">
                  <c:v>Altra manifattura</c:v>
                </c:pt>
                <c:pt idx="12">
                  <c:v>Apparecchi elettrici</c:v>
                </c:pt>
                <c:pt idx="13">
                  <c:v>Carta-stampa</c:v>
                </c:pt>
                <c:pt idx="14">
                  <c:v>Raffinazione</c:v>
                </c:pt>
                <c:pt idx="15">
                  <c:v>Elettronica</c:v>
                </c:pt>
                <c:pt idx="16">
                  <c:v>Petrolio greggio</c:v>
                </c:pt>
                <c:pt idx="17">
                  <c:v>Autoveicoli</c:v>
                </c:pt>
              </c:strCache>
            </c:strRef>
          </c:cat>
          <c:val>
            <c:numRef>
              <c:f>'figg. 6 e 7'!$D$72:$D$89</c:f>
              <c:numCache>
                <c:formatCode>0.00</c:formatCode>
                <c:ptCount val="18"/>
                <c:pt idx="0">
                  <c:v>1.7994384426156493</c:v>
                </c:pt>
                <c:pt idx="1">
                  <c:v>1.4442063503244229</c:v>
                </c:pt>
                <c:pt idx="2">
                  <c:v>1.3246126289732199</c:v>
                </c:pt>
                <c:pt idx="3">
                  <c:v>0.92105068487090636</c:v>
                </c:pt>
                <c:pt idx="4">
                  <c:v>0.90903395536216169</c:v>
                </c:pt>
                <c:pt idx="5">
                  <c:v>0.90135882179016635</c:v>
                </c:pt>
                <c:pt idx="6">
                  <c:v>0.62514854594405411</c:v>
                </c:pt>
                <c:pt idx="7">
                  <c:v>0.47277290839017666</c:v>
                </c:pt>
                <c:pt idx="8">
                  <c:v>0.44913834699497068</c:v>
                </c:pt>
                <c:pt idx="9">
                  <c:v>0.40766719484715175</c:v>
                </c:pt>
                <c:pt idx="10">
                  <c:v>0.32661453701000465</c:v>
                </c:pt>
                <c:pt idx="11">
                  <c:v>0.27549856808434825</c:v>
                </c:pt>
                <c:pt idx="12">
                  <c:v>0.2239786437079859</c:v>
                </c:pt>
                <c:pt idx="13">
                  <c:v>2.8609596476110669E-2</c:v>
                </c:pt>
                <c:pt idx="14">
                  <c:v>-0.15251343838911952</c:v>
                </c:pt>
                <c:pt idx="15">
                  <c:v>-0.21928707358812985</c:v>
                </c:pt>
                <c:pt idx="16">
                  <c:v>-0.57836429941657086</c:v>
                </c:pt>
                <c:pt idx="17">
                  <c:v>-0.98289097597788411</c:v>
                </c:pt>
              </c:numCache>
            </c:numRef>
          </c:val>
          <c:extLst>
            <c:ext xmlns:c16="http://schemas.microsoft.com/office/drawing/2014/chart" uri="{C3380CC4-5D6E-409C-BE32-E72D297353CC}">
              <c16:uniqueId val="{00000000-AB7C-40BA-B5BA-524F6B0711A2}"/>
            </c:ext>
          </c:extLst>
        </c:ser>
        <c:dLbls>
          <c:showLegendKey val="0"/>
          <c:showVal val="0"/>
          <c:showCatName val="0"/>
          <c:showSerName val="0"/>
          <c:showPercent val="0"/>
          <c:showBubbleSize val="0"/>
        </c:dLbls>
        <c:gapWidth val="0"/>
        <c:axId val="235976032"/>
        <c:axId val="235976592"/>
      </c:barChart>
      <c:lineChart>
        <c:grouping val="standard"/>
        <c:varyColors val="0"/>
        <c:ser>
          <c:idx val="0"/>
          <c:order val="1"/>
          <c:tx>
            <c:strRef>
              <c:f>'figg. 6 e 7'!$B$42</c:f>
              <c:strCache>
                <c:ptCount val="1"/>
                <c:pt idx="0">
                  <c:v>Variazione (%, scala destra)</c:v>
                </c:pt>
              </c:strCache>
            </c:strRef>
          </c:tx>
          <c:spPr>
            <a:ln w="28575" cap="rnd">
              <a:noFill/>
              <a:round/>
            </a:ln>
            <a:effectLst/>
          </c:spPr>
          <c:marker>
            <c:symbol val="diamond"/>
            <c:size val="6"/>
            <c:spPr>
              <a:solidFill>
                <a:schemeClr val="bg1"/>
              </a:solidFill>
              <a:ln w="9525">
                <a:solidFill>
                  <a:schemeClr val="tx1"/>
                </a:solidFill>
              </a:ln>
              <a:effectLst/>
            </c:spPr>
          </c:marker>
          <c:dLbls>
            <c:dLbl>
              <c:idx val="0"/>
              <c:layout>
                <c:manualLayout>
                  <c:x val="-3.0530930930930941E-2"/>
                  <c:y val="-4.81782407407407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AB7C-40BA-B5BA-524F6B0711A2}"/>
                </c:ext>
              </c:extLst>
            </c:dLbl>
            <c:dLbl>
              <c:idx val="1"/>
              <c:layout>
                <c:manualLayout>
                  <c:x val="-3.048706347249041E-2"/>
                  <c:y val="-5.322552231649910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AB7C-40BA-B5BA-524F6B0711A2}"/>
                </c:ext>
              </c:extLst>
            </c:dLbl>
            <c:dLbl>
              <c:idx val="2"/>
              <c:layout>
                <c:manualLayout>
                  <c:x val="-3.0521312214372598E-2"/>
                  <c:y val="-4.47973571802173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AB7C-40BA-B5BA-524F6B0711A2}"/>
                </c:ext>
              </c:extLst>
            </c:dLbl>
            <c:dLbl>
              <c:idx val="3"/>
              <c:layout>
                <c:manualLayout>
                  <c:x val="-2.4830636980236118E-2"/>
                  <c:y val="-5.101711875980710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AB7C-40BA-B5BA-524F6B0711A2}"/>
                </c:ext>
              </c:extLst>
            </c:dLbl>
            <c:dLbl>
              <c:idx val="4"/>
              <c:layout>
                <c:manualLayout>
                  <c:x val="-2.6725975975975976E-2"/>
                  <c:y val="-5.24157407407407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AB7C-40BA-B5BA-524F6B0711A2}"/>
                </c:ext>
              </c:extLst>
            </c:dLbl>
            <c:dLbl>
              <c:idx val="5"/>
              <c:layout>
                <c:manualLayout>
                  <c:x val="-2.8606306306306305E-2"/>
                  <c:y val="-5.27944444444444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AB7C-40BA-B5BA-524F6B0711A2}"/>
                </c:ext>
              </c:extLst>
            </c:dLbl>
            <c:dLbl>
              <c:idx val="6"/>
              <c:layout>
                <c:manualLayout>
                  <c:x val="-2.8635885885885885E-2"/>
                  <c:y val="-5.56560185185185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AB7C-40BA-B5BA-524F6B0711A2}"/>
                </c:ext>
              </c:extLst>
            </c:dLbl>
            <c:dLbl>
              <c:idx val="7"/>
              <c:layout>
                <c:manualLayout>
                  <c:x val="-2.6757657657657658E-2"/>
                  <c:y val="-6.143148148148153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AB7C-40BA-B5BA-524F6B0711A2}"/>
                </c:ext>
              </c:extLst>
            </c:dLbl>
            <c:dLbl>
              <c:idx val="8"/>
              <c:layout>
                <c:manualLayout>
                  <c:x val="-3.0577777777777777E-2"/>
                  <c:y val="-4.408796296296301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AB7C-40BA-B5BA-524F6B0711A2}"/>
                </c:ext>
              </c:extLst>
            </c:dLbl>
            <c:dLbl>
              <c:idx val="9"/>
              <c:layout>
                <c:manualLayout>
                  <c:x val="-2.8642042042042043E-2"/>
                  <c:y val="-4.989212962962962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AB7C-40BA-B5BA-524F6B0711A2}"/>
                </c:ext>
              </c:extLst>
            </c:dLbl>
            <c:dLbl>
              <c:idx val="10"/>
              <c:layout>
                <c:manualLayout>
                  <c:x val="-2.8637687687687687E-2"/>
                  <c:y val="-5.645046296296301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AB7C-40BA-B5BA-524F6B0711A2}"/>
                </c:ext>
              </c:extLst>
            </c:dLbl>
            <c:dLbl>
              <c:idx val="11"/>
              <c:layout>
                <c:manualLayout>
                  <c:x val="-3.0540840840840841E-2"/>
                  <c:y val="-5.676331698414511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AB7C-40BA-B5BA-524F6B0711A2}"/>
                </c:ext>
              </c:extLst>
            </c:dLbl>
            <c:dLbl>
              <c:idx val="12"/>
              <c:layout>
                <c:manualLayout>
                  <c:x val="-2.6733483483483624E-2"/>
                  <c:y val="-5.70434584236341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AB7C-40BA-B5BA-524F6B0711A2}"/>
                </c:ext>
              </c:extLst>
            </c:dLbl>
            <c:dLbl>
              <c:idx val="13"/>
              <c:layout>
                <c:manualLayout>
                  <c:x val="-2.6744894894894896E-2"/>
                  <c:y val="-6.16899737652560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AB7C-40BA-B5BA-524F6B0711A2}"/>
                </c:ext>
              </c:extLst>
            </c:dLbl>
            <c:dLbl>
              <c:idx val="14"/>
              <c:layout>
                <c:manualLayout>
                  <c:x val="-3.2442342342342202E-2"/>
                  <c:y val="6.196574074074073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AB7C-40BA-B5BA-524F6B0711A2}"/>
                </c:ext>
              </c:extLst>
            </c:dLbl>
            <c:dLbl>
              <c:idx val="15"/>
              <c:layout>
                <c:manualLayout>
                  <c:x val="-3.6270570570570572E-2"/>
                  <c:y val="5.494722222222216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AB7C-40BA-B5BA-524F6B0711A2}"/>
                </c:ext>
              </c:extLst>
            </c:dLbl>
            <c:dLbl>
              <c:idx val="16"/>
              <c:layout>
                <c:manualLayout>
                  <c:x val="-3.2466666666666803E-2"/>
                  <c:y val="5.918333333333328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AB7C-40BA-B5BA-524F6B0711A2}"/>
                </c:ext>
              </c:extLst>
            </c:dLbl>
            <c:dLbl>
              <c:idx val="17"/>
              <c:layout>
                <c:manualLayout>
                  <c:x val="-3.4384534534534536E-2"/>
                  <c:y val="5.43435185185185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AB7C-40BA-B5BA-524F6B0711A2}"/>
                </c:ext>
              </c:extLst>
            </c:dLbl>
            <c:dLbl>
              <c:idx val="18"/>
              <c:layout>
                <c:manualLayout>
                  <c:x val="-3.4387387387387384E-2"/>
                  <c:y val="4.99768518518518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AB7C-40BA-B5BA-524F6B0711A2}"/>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'figg. 6 e 7'!$P$72:$P$89</c:f>
              <c:strCache>
                <c:ptCount val="18"/>
                <c:pt idx="0">
                  <c:v>Chimica</c:v>
                </c:pt>
                <c:pt idx="1">
                  <c:v>Metalli</c:v>
                </c:pt>
                <c:pt idx="2">
                  <c:v>Farmaceutica</c:v>
                </c:pt>
                <c:pt idx="3">
                  <c:v>Gas naturale</c:v>
                </c:pt>
                <c:pt idx="4">
                  <c:v>Macchinari</c:v>
                </c:pt>
                <c:pt idx="5">
                  <c:v>Alimentari</c:v>
                </c:pt>
                <c:pt idx="6">
                  <c:v>Abbigliamento</c:v>
                </c:pt>
                <c:pt idx="7">
                  <c:v>Agricoltura</c:v>
                </c:pt>
                <c:pt idx="8">
                  <c:v>Altri mezzi trasporto</c:v>
                </c:pt>
                <c:pt idx="9">
                  <c:v>Pelletteria</c:v>
                </c:pt>
                <c:pt idx="10">
                  <c:v>Gomma-plastica</c:v>
                </c:pt>
                <c:pt idx="11">
                  <c:v>Altra manifattura</c:v>
                </c:pt>
                <c:pt idx="12">
                  <c:v>Apparecchi elettrici</c:v>
                </c:pt>
                <c:pt idx="13">
                  <c:v>Carta-stampa</c:v>
                </c:pt>
                <c:pt idx="14">
                  <c:v>Raffinazione</c:v>
                </c:pt>
                <c:pt idx="15">
                  <c:v>Elettronica</c:v>
                </c:pt>
                <c:pt idx="16">
                  <c:v>Petrolio greggio</c:v>
                </c:pt>
                <c:pt idx="17">
                  <c:v>Autoveicoli</c:v>
                </c:pt>
              </c:strCache>
            </c:strRef>
          </c:cat>
          <c:val>
            <c:numRef>
              <c:f>'figg. 6 e 7'!$B$72:$B$89</c:f>
              <c:numCache>
                <c:formatCode>0.0</c:formatCode>
                <c:ptCount val="18"/>
                <c:pt idx="0">
                  <c:v>19.989398189966437</c:v>
                </c:pt>
                <c:pt idx="1">
                  <c:v>13.474821074763028</c:v>
                </c:pt>
                <c:pt idx="2">
                  <c:v>16.163762572686821</c:v>
                </c:pt>
                <c:pt idx="3">
                  <c:v>24.001133302895639</c:v>
                </c:pt>
                <c:pt idx="4">
                  <c:v>14.270748559724581</c:v>
                </c:pt>
                <c:pt idx="5">
                  <c:v>11.824783969866431</c:v>
                </c:pt>
                <c:pt idx="6">
                  <c:v>20.100504210511886</c:v>
                </c:pt>
                <c:pt idx="7">
                  <c:v>11.977584133230863</c:v>
                </c:pt>
                <c:pt idx="8">
                  <c:v>13.296370050074941</c:v>
                </c:pt>
                <c:pt idx="9">
                  <c:v>20.041588996714907</c:v>
                </c:pt>
                <c:pt idx="10">
                  <c:v>12.521334966158861</c:v>
                </c:pt>
                <c:pt idx="11">
                  <c:v>10.469213581722201</c:v>
                </c:pt>
                <c:pt idx="12">
                  <c:v>4.8451591642731984</c:v>
                </c:pt>
                <c:pt idx="13">
                  <c:v>1.825426306483152</c:v>
                </c:pt>
                <c:pt idx="14">
                  <c:v>-7.4435927899237413</c:v>
                </c:pt>
                <c:pt idx="15">
                  <c:v>-3.189844916280336</c:v>
                </c:pt>
                <c:pt idx="16">
                  <c:v>-9.6303940591074166</c:v>
                </c:pt>
                <c:pt idx="17">
                  <c:v>-13.319440571266611</c:v>
                </c:pt>
              </c:numCache>
            </c:numRef>
          </c:val>
          <c:smooth val="0"/>
          <c:extLst>
            <c:ext xmlns:c16="http://schemas.microsoft.com/office/drawing/2014/chart" uri="{C3380CC4-5D6E-409C-BE32-E72D297353CC}">
              <c16:uniqueId val="{00000014-AB7C-40BA-B5BA-524F6B0711A2}"/>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marker val="1"/>
        <c:smooth val="0"/>
        <c:axId val="235977712"/>
        <c:axId val="235977152"/>
      </c:lineChart>
      <c:catAx>
        <c:axId val="235976032"/>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tx1"/>
            </a:solidFill>
            <a:round/>
          </a:ln>
          <a:effec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5976592"/>
        <c:crosses val="autoZero"/>
        <c:auto val="1"/>
        <c:lblAlgn val="ctr"/>
        <c:lblOffset val="0"/>
        <c:noMultiLvlLbl val="0"/>
      </c:catAx>
      <c:valAx>
        <c:axId val="235976592"/>
        <c:scaling>
          <c:orientation val="minMax"/>
          <c:max val="5"/>
          <c:min val="-5"/>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spcFirstLastPara="1" vertOverflow="ellipsis" wrap="square" anchor="ctr" anchorCtr="1"/>
              <a:lstStyle/>
              <a:p>
                <a:pPr>
                  <a:defRPr sz="900" b="0" i="0" u="none" strike="noStrike" kern="1200" baseline="0">
                    <a:solidFill>
                      <a:srgbClr val="000000"/>
                    </a:solidFill>
                    <a:latin typeface="Arial Narrow" panose="020B0606020202030204" pitchFamily="34" charset="0"/>
                    <a:ea typeface="+mn-ea"/>
                    <a:cs typeface="+mn-cs"/>
                  </a:defRPr>
                </a:pPr>
                <a:r>
                  <a:rPr lang="it-IT"/>
                  <a:t>%</a:t>
                </a:r>
              </a:p>
            </c:rich>
          </c:tx>
          <c:layout>
            <c:manualLayout>
              <c:xMode val="edge"/>
              <c:yMode val="edge"/>
              <c:x val="0.97038048048048053"/>
              <c:y val="5.0319444444444448E-3"/>
            </c:manualLayout>
          </c:layout>
          <c:overlay val="0"/>
          <c:spPr>
            <a:noFill/>
            <a:ln>
              <a:noFill/>
            </a:ln>
            <a:effectLst/>
          </c:spPr>
        </c:title>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5976032"/>
        <c:crosses val="autoZero"/>
        <c:crossBetween val="between"/>
        <c:majorUnit val="2.5"/>
      </c:valAx>
      <c:valAx>
        <c:axId val="235977152"/>
        <c:scaling>
          <c:orientation val="minMax"/>
          <c:max val="50"/>
          <c:min val="-50"/>
        </c:scaling>
        <c:delete val="0"/>
        <c:axPos val="r"/>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5977712"/>
        <c:crosses val="max"/>
        <c:crossBetween val="between"/>
        <c:majorUnit val="25"/>
      </c:valAx>
      <c:catAx>
        <c:axId val="235977712"/>
        <c:scaling>
          <c:orientation val="minMax"/>
        </c:scaling>
        <c:delete val="1"/>
        <c:axPos val="b"/>
        <c:numFmt formatCode="General" sourceLinked="1"/>
        <c:majorTickMark val="out"/>
        <c:minorTickMark val="none"/>
        <c:tickLblPos val="nextTo"/>
        <c:crossAx val="235977152"/>
        <c:crosses val="autoZero"/>
        <c:auto val="1"/>
        <c:lblAlgn val="ctr"/>
        <c:lblOffset val="100"/>
        <c:noMultiLvlLbl val="0"/>
      </c:catAx>
      <c:spPr>
        <a:solidFill>
          <a:srgbClr val="FFFFFF"/>
        </a:solidFill>
        <a:ln w="9525" cap="flat" cmpd="sng" algn="ctr">
          <a:solidFill>
            <a:srgbClr val="DDDDDD"/>
          </a:solidFill>
          <a:prstDash val="solid"/>
          <a:round/>
          <a:headEnd type="none" w="med" len="med"/>
          <a:tailEnd type="none" w="med" len="med"/>
        </a:ln>
        <a:effectLst/>
      </c:spPr>
    </c:plotArea>
    <c:legend>
      <c:legendPos val="t"/>
      <c:layout>
        <c:manualLayout>
          <c:xMode val="edge"/>
          <c:yMode val="edge"/>
          <c:x val="0.29540800849385712"/>
          <c:y val="0"/>
          <c:w val="0.50720461095100866"/>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3651638137696099E-2"/>
          <c:y val="0.1005125"/>
          <c:w val="0.89947552894285987"/>
          <c:h val="0.55515925925925924"/>
        </c:manualLayout>
      </c:layout>
      <c:barChart>
        <c:barDir val="col"/>
        <c:grouping val="clustered"/>
        <c:varyColors val="0"/>
        <c:ser>
          <c:idx val="0"/>
          <c:order val="0"/>
          <c:tx>
            <c:strRef>
              <c:f>'figg. 8 e 9'!$D$36</c:f>
              <c:strCache>
                <c:ptCount val="1"/>
                <c:pt idx="0">
                  <c:v>Contributi alla var. (punti perc. - sinistra)</c:v>
                </c:pt>
              </c:strCache>
            </c:strRef>
          </c:tx>
          <c:spPr>
            <a:solidFill>
              <a:srgbClr val="003B5C"/>
            </a:solidFill>
            <a:ln w="9525" cap="flat" cmpd="sng" algn="ctr">
              <a:solidFill>
                <a:srgbClr val="FFFFFF"/>
              </a:solidFill>
              <a:prstDash val="solid"/>
              <a:round/>
              <a:headEnd type="none" w="med" len="med"/>
              <a:tailEnd type="none" w="med" len="med"/>
            </a:ln>
            <a:effectLst/>
          </c:spPr>
          <c:invertIfNegative val="0"/>
          <c:dLbls>
            <c:dLbl>
              <c:idx val="36"/>
              <c:tx>
                <c:rich>
                  <a:bodyPr/>
                  <a:lstStyle/>
                  <a:p>
                    <a:r>
                      <a:t>-24,61153308</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BAAB-4140-A96D-8DC0F05D3982}"/>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700" b="1" i="0" u="none" strike="noStrike" kern="1200" baseline="0">
                    <a:solidFill>
                      <a:srgbClr val="000000"/>
                    </a:solidFill>
                    <a:latin typeface="Arial Narrow" panose="020B0606020202030204" pitchFamily="34" charset="0"/>
                    <a:ea typeface="+mn-ea"/>
                    <a:cs typeface="+mn-cs"/>
                  </a:defRPr>
                </a:pPr>
                <a:endParaRPr lang="it-IT"/>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'figg. 8 e 9'!$A$38:$A$55</c:f>
              <c:strCache>
                <c:ptCount val="18"/>
                <c:pt idx="0">
                  <c:v>Svizzera</c:v>
                </c:pt>
                <c:pt idx="1">
                  <c:v>Stati Uniti</c:v>
                </c:pt>
                <c:pt idx="2">
                  <c:v>Regno Unito</c:v>
                </c:pt>
                <c:pt idx="3">
                  <c:v>Cechia</c:v>
                </c:pt>
                <c:pt idx="4">
                  <c:v>OPEC</c:v>
                </c:pt>
                <c:pt idx="5">
                  <c:v>Spagna</c:v>
                </c:pt>
                <c:pt idx="6">
                  <c:v>Francia</c:v>
                </c:pt>
                <c:pt idx="7">
                  <c:v>Giappone</c:v>
                </c:pt>
                <c:pt idx="8">
                  <c:v>Polonia</c:v>
                </c:pt>
                <c:pt idx="9">
                  <c:v>MERCOSUR</c:v>
                </c:pt>
                <c:pt idx="10">
                  <c:v>Paesi Bassi</c:v>
                </c:pt>
                <c:pt idx="11">
                  <c:v>Belgio</c:v>
                </c:pt>
                <c:pt idx="12">
                  <c:v>Romania</c:v>
                </c:pt>
                <c:pt idx="13">
                  <c:v>Austria</c:v>
                </c:pt>
                <c:pt idx="14">
                  <c:v>Germania</c:v>
                </c:pt>
                <c:pt idx="15">
                  <c:v>Turchia</c:v>
                </c:pt>
                <c:pt idx="16">
                  <c:v>ASEAN</c:v>
                </c:pt>
                <c:pt idx="17">
                  <c:v>Cina</c:v>
                </c:pt>
              </c:strCache>
            </c:strRef>
          </c:cat>
          <c:val>
            <c:numRef>
              <c:f>'figg. 8 e 9'!$D$38:$D$55</c:f>
              <c:numCache>
                <c:formatCode>0.00</c:formatCode>
                <c:ptCount val="18"/>
                <c:pt idx="0">
                  <c:v>0.6352220860733192</c:v>
                </c:pt>
                <c:pt idx="1">
                  <c:v>0.62280571780609195</c:v>
                </c:pt>
                <c:pt idx="2">
                  <c:v>0.51278006913551677</c:v>
                </c:pt>
                <c:pt idx="3">
                  <c:v>0.40583375307021358</c:v>
                </c:pt>
                <c:pt idx="4">
                  <c:v>0.33402232571939033</c:v>
                </c:pt>
                <c:pt idx="5">
                  <c:v>0.27746904058145794</c:v>
                </c:pt>
                <c:pt idx="6">
                  <c:v>0.27482873500095967</c:v>
                </c:pt>
                <c:pt idx="7">
                  <c:v>0.17800771857065903</c:v>
                </c:pt>
                <c:pt idx="8">
                  <c:v>6.9498447355439752E-2</c:v>
                </c:pt>
                <c:pt idx="9">
                  <c:v>5.9972832117866998E-2</c:v>
                </c:pt>
                <c:pt idx="10">
                  <c:v>1.716320380504054E-2</c:v>
                </c:pt>
                <c:pt idx="11">
                  <c:v>7.2242696688092963E-3</c:v>
                </c:pt>
                <c:pt idx="12">
                  <c:v>-6.7702976253256495E-3</c:v>
                </c:pt>
                <c:pt idx="13">
                  <c:v>-3.4556126501389867E-2</c:v>
                </c:pt>
                <c:pt idx="14">
                  <c:v>-6.2417490755781617E-2</c:v>
                </c:pt>
                <c:pt idx="15">
                  <c:v>-0.15634499918818495</c:v>
                </c:pt>
                <c:pt idx="16">
                  <c:v>-0.20445099607013109</c:v>
                </c:pt>
                <c:pt idx="17">
                  <c:v>-0.63734869004675254</c:v>
                </c:pt>
              </c:numCache>
            </c:numRef>
          </c:val>
          <c:extLst>
            <c:ext xmlns:c16="http://schemas.microsoft.com/office/drawing/2014/chart" uri="{C3380CC4-5D6E-409C-BE32-E72D297353CC}">
              <c16:uniqueId val="{00000001-BAAB-4140-A96D-8DC0F05D3982}"/>
            </c:ext>
          </c:extLst>
        </c:ser>
        <c:dLbls>
          <c:showLegendKey val="0"/>
          <c:showVal val="0"/>
          <c:showCatName val="0"/>
          <c:showSerName val="0"/>
          <c:showPercent val="0"/>
          <c:showBubbleSize val="0"/>
        </c:dLbls>
        <c:gapWidth val="0"/>
        <c:axId val="237443648"/>
        <c:axId val="237444208"/>
      </c:barChart>
      <c:lineChart>
        <c:grouping val="standard"/>
        <c:varyColors val="0"/>
        <c:ser>
          <c:idx val="1"/>
          <c:order val="1"/>
          <c:tx>
            <c:strRef>
              <c:f>'figg. 8 e 9'!$B$36</c:f>
              <c:strCache>
                <c:ptCount val="1"/>
                <c:pt idx="0">
                  <c:v>Variazioni percentuali (scala destra)</c:v>
                </c:pt>
              </c:strCache>
            </c:strRef>
          </c:tx>
          <c:spPr>
            <a:ln w="25400" cap="rnd">
              <a:noFill/>
              <a:round/>
            </a:ln>
            <a:effectLst/>
            <a:extLst>
              <a:ext uri="{91240B29-F687-4F45-9708-019B960494DF}">
                <a14:hiddenLine xmlns:a14="http://schemas.microsoft.com/office/drawing/2010/main" w="9525" cap="flat" cmpd="sng" algn="ctr">
                  <a:solidFill>
                    <a:srgbClr val="FFFFFF"/>
                  </a:solidFill>
                  <a:prstDash val="solid"/>
                  <a:round/>
                  <a:headEnd type="none" w="med" len="med"/>
                  <a:tailEnd type="none" w="med" len="med"/>
                </a14:hiddenLine>
              </a:ext>
            </a:extLst>
          </c:spPr>
          <c:marker>
            <c:symbol val="diamond"/>
            <c:size val="6"/>
            <c:spPr>
              <a:solidFill>
                <a:srgbClr val="FFFFFF"/>
              </a:solidFill>
              <a:ln w="3175">
                <a:solidFill>
                  <a:srgbClr val="141E28"/>
                </a:solidFill>
                <a:prstDash val="solid"/>
              </a:ln>
              <a:effectLst/>
            </c:spPr>
          </c:marker>
          <c:dLbls>
            <c:dLbl>
              <c:idx val="0"/>
              <c:layout>
                <c:manualLayout>
                  <c:x val="-2.9134384384384385E-2"/>
                  <c:y val="-5.78509259259259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BAAB-4140-A96D-8DC0F05D3982}"/>
                </c:ext>
              </c:extLst>
            </c:dLbl>
            <c:dLbl>
              <c:idx val="1"/>
              <c:layout>
                <c:manualLayout>
                  <c:x val="-2.686171171171171E-2"/>
                  <c:y val="-6.109490740740745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BAAB-4140-A96D-8DC0F05D3982}"/>
                </c:ext>
              </c:extLst>
            </c:dLbl>
            <c:dLbl>
              <c:idx val="2"/>
              <c:layout>
                <c:manualLayout>
                  <c:x val="-3.2222372372372375E-2"/>
                  <c:y val="-5.28486111111111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AAB-4140-A96D-8DC0F05D3982}"/>
                </c:ext>
              </c:extLst>
            </c:dLbl>
            <c:dLbl>
              <c:idx val="3"/>
              <c:layout>
                <c:manualLayout>
                  <c:x val="-3.1848491220423943E-2"/>
                  <c:y val="-4.12879966068146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BAAB-4140-A96D-8DC0F05D3982}"/>
                </c:ext>
              </c:extLst>
            </c:dLbl>
            <c:dLbl>
              <c:idx val="4"/>
              <c:layout>
                <c:manualLayout>
                  <c:x val="-3.0625814661837343E-2"/>
                  <c:y val="-5.116075215608652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BAAB-4140-A96D-8DC0F05D3982}"/>
                </c:ext>
              </c:extLst>
            </c:dLbl>
            <c:dLbl>
              <c:idx val="5"/>
              <c:layout>
                <c:manualLayout>
                  <c:x val="-2.8576430099185476E-2"/>
                  <c:y val="-5.416136481455304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BAAB-4140-A96D-8DC0F05D3982}"/>
                </c:ext>
              </c:extLst>
            </c:dLbl>
            <c:dLbl>
              <c:idx val="6"/>
              <c:layout>
                <c:manualLayout>
                  <c:x val="-3.0998498498498499E-2"/>
                  <c:y val="-4.820925925925931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BAAB-4140-A96D-8DC0F05D3982}"/>
                </c:ext>
              </c:extLst>
            </c:dLbl>
            <c:dLbl>
              <c:idx val="7"/>
              <c:layout>
                <c:manualLayout>
                  <c:x val="-3.2573123123123125E-2"/>
                  <c:y val="-5.02962962962963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BAAB-4140-A96D-8DC0F05D3982}"/>
                </c:ext>
              </c:extLst>
            </c:dLbl>
            <c:dLbl>
              <c:idx val="8"/>
              <c:layout>
                <c:manualLayout>
                  <c:x val="-2.9494613754950182E-2"/>
                  <c:y val="-6.058168240243648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BAAB-4140-A96D-8DC0F05D3982}"/>
                </c:ext>
              </c:extLst>
            </c:dLbl>
            <c:dLbl>
              <c:idx val="9"/>
              <c:layout>
                <c:manualLayout>
                  <c:x val="-2.8759329545369475E-2"/>
                  <c:y val="-6.07401984258835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BAAB-4140-A96D-8DC0F05D3982}"/>
                </c:ext>
              </c:extLst>
            </c:dLbl>
            <c:dLbl>
              <c:idx val="10"/>
              <c:layout>
                <c:manualLayout>
                  <c:x val="-2.756814217590832E-2"/>
                  <c:y val="-6.23486838409813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BAAB-4140-A96D-8DC0F05D3982}"/>
                </c:ext>
              </c:extLst>
            </c:dLbl>
            <c:dLbl>
              <c:idx val="11"/>
              <c:layout>
                <c:manualLayout>
                  <c:x val="-2.6737951918946824E-2"/>
                  <c:y val="-5.88259843083013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BAAB-4140-A96D-8DC0F05D3982}"/>
                </c:ext>
              </c:extLst>
            </c:dLbl>
            <c:dLbl>
              <c:idx val="12"/>
              <c:layout>
                <c:manualLayout>
                  <c:x val="-2.8547804060611207E-2"/>
                  <c:y val="5.730383147179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BAAB-4140-A96D-8DC0F05D3982}"/>
                </c:ext>
              </c:extLst>
            </c:dLbl>
            <c:dLbl>
              <c:idx val="13"/>
              <c:layout>
                <c:manualLayout>
                  <c:x val="-3.2432432432432573E-2"/>
                  <c:y val="5.304490740740735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BAAB-4140-A96D-8DC0F05D3982}"/>
                </c:ext>
              </c:extLst>
            </c:dLbl>
            <c:dLbl>
              <c:idx val="14"/>
              <c:layout>
                <c:manualLayout>
                  <c:x val="-3.4321621621621619E-2"/>
                  <c:y val="6.45106481481481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BAAB-4140-A96D-8DC0F05D3982}"/>
                </c:ext>
              </c:extLst>
            </c:dLbl>
            <c:dLbl>
              <c:idx val="15"/>
              <c:layout>
                <c:manualLayout>
                  <c:x val="-2.860825825825826E-2"/>
                  <c:y val="5.24856481481481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BAAB-4140-A96D-8DC0F05D3982}"/>
                </c:ext>
              </c:extLst>
            </c:dLbl>
            <c:dLbl>
              <c:idx val="16"/>
              <c:layout>
                <c:manualLayout>
                  <c:x val="-2.8631381381381382E-2"/>
                  <c:y val="5.178148148148142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BAAB-4140-A96D-8DC0F05D3982}"/>
                </c:ext>
              </c:extLst>
            </c:dLbl>
            <c:dLbl>
              <c:idx val="17"/>
              <c:layout>
                <c:manualLayout>
                  <c:x val="-3.428948948948949E-2"/>
                  <c:y val="5.04907407407406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BAAB-4140-A96D-8DC0F05D3982}"/>
                </c:ext>
              </c:extLst>
            </c:dLbl>
            <c:dLbl>
              <c:idx val="18"/>
              <c:layout>
                <c:manualLayout>
                  <c:x val="-2.8581180448681003E-2"/>
                  <c:y val="5.291651643746866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BAAB-4140-A96D-8DC0F05D3982}"/>
                </c:ext>
              </c:extLst>
            </c:dLbl>
            <c:numFmt formatCode="0.0" sourceLinked="0"/>
            <c:spPr>
              <a:noFill/>
              <a:ln>
                <a:noFill/>
              </a:ln>
              <a:effectLst/>
            </c:spPr>
            <c:txPr>
              <a:bodyPr/>
              <a:lstStyle/>
              <a:p>
                <a:pPr>
                  <a:defRPr sz="900"/>
                </a:pPr>
                <a:endParaRPr lang="it-IT"/>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'figg. 8 e 9'!$A$38:$A$56</c:f>
              <c:strCache>
                <c:ptCount val="18"/>
                <c:pt idx="0">
                  <c:v>Svizzera</c:v>
                </c:pt>
                <c:pt idx="1">
                  <c:v>Stati Uniti</c:v>
                </c:pt>
                <c:pt idx="2">
                  <c:v>Regno Unito</c:v>
                </c:pt>
                <c:pt idx="3">
                  <c:v>Cechia</c:v>
                </c:pt>
                <c:pt idx="4">
                  <c:v>OPEC</c:v>
                </c:pt>
                <c:pt idx="5">
                  <c:v>Spagna</c:v>
                </c:pt>
                <c:pt idx="6">
                  <c:v>Francia</c:v>
                </c:pt>
                <c:pt idx="7">
                  <c:v>Giappone</c:v>
                </c:pt>
                <c:pt idx="8">
                  <c:v>Polonia</c:v>
                </c:pt>
                <c:pt idx="9">
                  <c:v>MERCOSUR</c:v>
                </c:pt>
                <c:pt idx="10">
                  <c:v>Paesi Bassi</c:v>
                </c:pt>
                <c:pt idx="11">
                  <c:v>Belgio</c:v>
                </c:pt>
                <c:pt idx="12">
                  <c:v>Romania</c:v>
                </c:pt>
                <c:pt idx="13">
                  <c:v>Austria</c:v>
                </c:pt>
                <c:pt idx="14">
                  <c:v>Germania</c:v>
                </c:pt>
                <c:pt idx="15">
                  <c:v>Turchia</c:v>
                </c:pt>
                <c:pt idx="16">
                  <c:v>ASEAN</c:v>
                </c:pt>
                <c:pt idx="17">
                  <c:v>Cina</c:v>
                </c:pt>
              </c:strCache>
            </c:strRef>
          </c:cat>
          <c:val>
            <c:numRef>
              <c:f>'figg. 8 e 9'!$B$38:$B$56</c:f>
              <c:numCache>
                <c:formatCode>0.0</c:formatCode>
                <c:ptCount val="18"/>
                <c:pt idx="0">
                  <c:v>13.57414988953677</c:v>
                </c:pt>
                <c:pt idx="1">
                  <c:v>6.2001823324926875</c:v>
                </c:pt>
                <c:pt idx="2">
                  <c:v>12.135870007570986</c:v>
                </c:pt>
                <c:pt idx="3">
                  <c:v>30.772057196609097</c:v>
                </c:pt>
                <c:pt idx="4">
                  <c:v>10.478423330980476</c:v>
                </c:pt>
                <c:pt idx="5">
                  <c:v>4.8232291970638101</c:v>
                </c:pt>
                <c:pt idx="6">
                  <c:v>2.645312064008067</c:v>
                </c:pt>
                <c:pt idx="7">
                  <c:v>12.906758281111749</c:v>
                </c:pt>
                <c:pt idx="8">
                  <c:v>2.0613526551996557</c:v>
                </c:pt>
                <c:pt idx="9">
                  <c:v>5.389068203705051</c:v>
                </c:pt>
                <c:pt idx="10">
                  <c:v>0.51042035835605759</c:v>
                </c:pt>
                <c:pt idx="11">
                  <c:v>0.20540571112911721</c:v>
                </c:pt>
                <c:pt idx="12">
                  <c:v>-0.43039634255065096</c:v>
                </c:pt>
                <c:pt idx="13">
                  <c:v>-1.639106226162383</c:v>
                </c:pt>
                <c:pt idx="14">
                  <c:v>-0.50079757002900749</c:v>
                </c:pt>
                <c:pt idx="15">
                  <c:v>-7.0994500911692313</c:v>
                </c:pt>
                <c:pt idx="16">
                  <c:v>-11.913831218060224</c:v>
                </c:pt>
                <c:pt idx="17">
                  <c:v>-24.08810707557285</c:v>
                </c:pt>
              </c:numCache>
            </c:numRef>
          </c:val>
          <c:smooth val="0"/>
          <c:extLst>
            <c:ext xmlns:c16="http://schemas.microsoft.com/office/drawing/2014/chart" uri="{C3380CC4-5D6E-409C-BE32-E72D297353CC}">
              <c16:uniqueId val="{00000015-BAAB-4140-A96D-8DC0F05D3982}"/>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marker val="1"/>
        <c:smooth val="0"/>
        <c:axId val="237445328"/>
        <c:axId val="237444768"/>
      </c:lineChart>
      <c:catAx>
        <c:axId val="237443648"/>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tx1"/>
            </a:solidFill>
            <a:round/>
          </a:ln>
          <a:effectLst/>
        </c:spPr>
        <c:txPr>
          <a:bodyPr rot="-2700000" spcFirstLastPara="1" vertOverflow="ellipsis"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7444208"/>
        <c:crosses val="autoZero"/>
        <c:auto val="1"/>
        <c:lblAlgn val="ctr"/>
        <c:lblOffset val="0"/>
        <c:tickLblSkip val="1"/>
        <c:noMultiLvlLbl val="0"/>
      </c:catAx>
      <c:valAx>
        <c:axId val="237444208"/>
        <c:scaling>
          <c:orientation val="minMax"/>
          <c:max val="5"/>
          <c:min val="-5"/>
        </c:scaling>
        <c:delete val="0"/>
        <c:axPos val="l"/>
        <c:majorGridlines>
          <c:spPr>
            <a:ln w="6350" cap="flat" cmpd="sng" algn="ctr">
              <a:solidFill>
                <a:srgbClr val="A6A6A6"/>
              </a:solidFill>
              <a:prstDash val="sysDash"/>
              <a:round/>
              <a:headEnd type="none" w="med" len="med"/>
              <a:tailEnd type="none" w="med" len="me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7443648"/>
        <c:crosses val="autoZero"/>
        <c:crossBetween val="between"/>
        <c:majorUnit val="2.5"/>
        <c:minorUnit val="2.5"/>
      </c:valAx>
      <c:valAx>
        <c:axId val="237444768"/>
        <c:scaling>
          <c:orientation val="minMax"/>
          <c:max val="100"/>
          <c:min val="-100"/>
        </c:scaling>
        <c:delete val="0"/>
        <c:axPos val="r"/>
        <c:title>
          <c:tx>
            <c:rich>
              <a:bodyPr rot="0" vert="horz"/>
              <a:lstStyle/>
              <a:p>
                <a:pPr>
                  <a:defRPr/>
                </a:pPr>
                <a:r>
                  <a:rPr lang="it-IT"/>
                  <a:t>%</a:t>
                </a:r>
              </a:p>
            </c:rich>
          </c:tx>
          <c:layout>
            <c:manualLayout>
              <c:xMode val="edge"/>
              <c:yMode val="edge"/>
              <c:x val="0.96365048731977809"/>
              <c:y val="5.3280345976272573E-3"/>
            </c:manualLayout>
          </c:layout>
          <c:overlay val="0"/>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7445328"/>
        <c:crosses val="max"/>
        <c:crossBetween val="between"/>
        <c:majorUnit val="50"/>
      </c:valAx>
      <c:catAx>
        <c:axId val="237445328"/>
        <c:scaling>
          <c:orientation val="minMax"/>
        </c:scaling>
        <c:delete val="1"/>
        <c:axPos val="b"/>
        <c:numFmt formatCode="General" sourceLinked="1"/>
        <c:majorTickMark val="out"/>
        <c:minorTickMark val="none"/>
        <c:tickLblPos val="nextTo"/>
        <c:crossAx val="237444768"/>
        <c:crosses val="autoZero"/>
        <c:auto val="1"/>
        <c:lblAlgn val="ctr"/>
        <c:lblOffset val="100"/>
        <c:noMultiLvlLbl val="0"/>
      </c:catAx>
      <c:spPr>
        <a:solidFill>
          <a:srgbClr val="FFFFFF"/>
        </a:solidFill>
        <a:ln w="9525" cap="flat" cmpd="sng" algn="ctr">
          <a:solidFill>
            <a:srgbClr val="DDDDDD"/>
          </a:solidFill>
          <a:prstDash val="solid"/>
          <a:round/>
          <a:headEnd type="none" w="med" len="med"/>
          <a:tailEnd type="none" w="med" len="med"/>
        </a:ln>
        <a:effectLst/>
      </c:spPr>
    </c:plotArea>
    <c:legend>
      <c:legendPos val="t"/>
      <c:layout>
        <c:manualLayout>
          <c:xMode val="edge"/>
          <c:yMode val="edge"/>
          <c:x val="0.1942897298149685"/>
          <c:y val="0"/>
          <c:w val="0.64937368785004546"/>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3651633220714708E-2"/>
          <c:y val="0.10639207360356027"/>
          <c:w val="0.89947552894285987"/>
          <c:h val="0.54927962962962962"/>
        </c:manualLayout>
      </c:layout>
      <c:barChart>
        <c:barDir val="col"/>
        <c:grouping val="clustered"/>
        <c:varyColors val="0"/>
        <c:ser>
          <c:idx val="0"/>
          <c:order val="0"/>
          <c:tx>
            <c:strRef>
              <c:f>'figg. 8 e 9'!$D$36</c:f>
              <c:strCache>
                <c:ptCount val="1"/>
                <c:pt idx="0">
                  <c:v>Contributi alla var. (punti perc. - sinistra)</c:v>
                </c:pt>
              </c:strCache>
            </c:strRef>
          </c:tx>
          <c:spPr>
            <a:solidFill>
              <a:srgbClr val="D22630"/>
            </a:solidFill>
            <a:ln w="9525" cap="flat" cmpd="sng" algn="ctr">
              <a:solidFill>
                <a:schemeClr val="bg1"/>
              </a:solidFill>
              <a:prstDash val="solid"/>
              <a:round/>
              <a:headEnd type="none" w="med" len="med"/>
              <a:tailEnd type="none" w="med" len="med"/>
            </a:ln>
            <a:effectLst/>
          </c:spPr>
          <c:invertIfNegative val="0"/>
          <c:dLbls>
            <c:dLbl>
              <c:idx val="37"/>
              <c:tx>
                <c:rich>
                  <a:bodyPr/>
                  <a:lstStyle/>
                  <a:p>
                    <a:r>
                      <a:t>-24,61153308</a:t>
                    </a:r>
                  </a:p>
                </c:rich>
              </c:tx>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B5A-4958-87ED-E47C1ABA615B}"/>
                </c:ext>
              </c:extLst>
            </c:dLbl>
            <c:spPr>
              <a:solidFill>
                <a:schemeClr val="bg1"/>
              </a:solidFill>
              <a:ln>
                <a:noFill/>
              </a:ln>
              <a:effectLst/>
            </c:spPr>
            <c:txPr>
              <a:bodyPr rot="0" spcFirstLastPara="1" vertOverflow="ellipsis" vert="horz" wrap="square" lIns="38100" tIns="19050" rIns="38100" bIns="19050" anchor="ctr" anchorCtr="1">
                <a:spAutoFit/>
              </a:bodyPr>
              <a:lstStyle/>
              <a:p>
                <a:pPr>
                  <a:defRPr sz="700" b="1" i="0" u="none" strike="noStrike" kern="1200" baseline="0">
                    <a:solidFill>
                      <a:srgbClr val="000000"/>
                    </a:solidFill>
                    <a:latin typeface="Arial Narrow" panose="020B0606020202030204" pitchFamily="34" charset="0"/>
                    <a:ea typeface="+mn-ea"/>
                    <a:cs typeface="+mn-cs"/>
                  </a:defRPr>
                </a:pPr>
                <a:endParaRPr lang="it-IT"/>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'figg. 8 e 9'!$A$61:$A$78</c:f>
              <c:strCache>
                <c:ptCount val="18"/>
                <c:pt idx="0">
                  <c:v>Cina</c:v>
                </c:pt>
                <c:pt idx="1">
                  <c:v>ASEAN</c:v>
                </c:pt>
                <c:pt idx="2">
                  <c:v>Paesi Bassi</c:v>
                </c:pt>
                <c:pt idx="3">
                  <c:v>Spagna</c:v>
                </c:pt>
                <c:pt idx="4">
                  <c:v>Svizzera</c:v>
                </c:pt>
                <c:pt idx="5">
                  <c:v>Turchia</c:v>
                </c:pt>
                <c:pt idx="6">
                  <c:v>MERCOSUR</c:v>
                </c:pt>
                <c:pt idx="7">
                  <c:v>OPEC</c:v>
                </c:pt>
                <c:pt idx="8">
                  <c:v>Austria</c:v>
                </c:pt>
                <c:pt idx="9">
                  <c:v>Francia</c:v>
                </c:pt>
                <c:pt idx="10">
                  <c:v>Belgio</c:v>
                </c:pt>
                <c:pt idx="11">
                  <c:v>Regno Unito</c:v>
                </c:pt>
                <c:pt idx="12">
                  <c:v>Cechia</c:v>
                </c:pt>
                <c:pt idx="13">
                  <c:v>Polonia</c:v>
                </c:pt>
                <c:pt idx="14">
                  <c:v>Romania</c:v>
                </c:pt>
                <c:pt idx="15">
                  <c:v>India</c:v>
                </c:pt>
                <c:pt idx="16">
                  <c:v>Stati Uniti</c:v>
                </c:pt>
                <c:pt idx="17">
                  <c:v>Germania</c:v>
                </c:pt>
              </c:strCache>
            </c:strRef>
          </c:cat>
          <c:val>
            <c:numRef>
              <c:f>'figg. 8 e 9'!$D$61:$D$78</c:f>
              <c:numCache>
                <c:formatCode>0.00</c:formatCode>
                <c:ptCount val="18"/>
                <c:pt idx="0">
                  <c:v>3.6058906316586063</c:v>
                </c:pt>
                <c:pt idx="1">
                  <c:v>1.1459155525232831</c:v>
                </c:pt>
                <c:pt idx="2">
                  <c:v>1.1291578052361346</c:v>
                </c:pt>
                <c:pt idx="3">
                  <c:v>0.46811958851425356</c:v>
                </c:pt>
                <c:pt idx="4">
                  <c:v>0.37093598760504087</c:v>
                </c:pt>
                <c:pt idx="5">
                  <c:v>0.30609627763122044</c:v>
                </c:pt>
                <c:pt idx="6">
                  <c:v>0.21118400819301211</c:v>
                </c:pt>
                <c:pt idx="7">
                  <c:v>1.2311143102333711E-2</c:v>
                </c:pt>
                <c:pt idx="8">
                  <c:v>1.1923502868915121E-3</c:v>
                </c:pt>
                <c:pt idx="9">
                  <c:v>-1.0058903434268031E-2</c:v>
                </c:pt>
                <c:pt idx="10">
                  <c:v>-1.5147543072414647E-2</c:v>
                </c:pt>
                <c:pt idx="11">
                  <c:v>-2.8241534503436846E-2</c:v>
                </c:pt>
                <c:pt idx="12">
                  <c:v>-5.6757395669226614E-2</c:v>
                </c:pt>
                <c:pt idx="13">
                  <c:v>-9.7276894187097854E-2</c:v>
                </c:pt>
                <c:pt idx="14">
                  <c:v>-0.11731478647805116</c:v>
                </c:pt>
                <c:pt idx="15">
                  <c:v>-0.18513583641422129</c:v>
                </c:pt>
                <c:pt idx="16">
                  <c:v>-0.41296507575871522</c:v>
                </c:pt>
                <c:pt idx="17">
                  <c:v>-0.73456921509295969</c:v>
                </c:pt>
              </c:numCache>
            </c:numRef>
          </c:val>
          <c:extLst>
            <c:ext xmlns:c16="http://schemas.microsoft.com/office/drawing/2014/chart" uri="{C3380CC4-5D6E-409C-BE32-E72D297353CC}">
              <c16:uniqueId val="{00000001-EB5A-4958-87ED-E47C1ABA615B}"/>
            </c:ext>
          </c:extLst>
        </c:ser>
        <c:dLbls>
          <c:showLegendKey val="0"/>
          <c:showVal val="0"/>
          <c:showCatName val="0"/>
          <c:showSerName val="0"/>
          <c:showPercent val="0"/>
          <c:showBubbleSize val="0"/>
        </c:dLbls>
        <c:gapWidth val="0"/>
        <c:axId val="237448688"/>
        <c:axId val="237449248"/>
      </c:barChart>
      <c:lineChart>
        <c:grouping val="standard"/>
        <c:varyColors val="0"/>
        <c:ser>
          <c:idx val="1"/>
          <c:order val="1"/>
          <c:tx>
            <c:strRef>
              <c:f>'figg. 8 e 9'!$B$36</c:f>
              <c:strCache>
                <c:ptCount val="1"/>
                <c:pt idx="0">
                  <c:v>Variazioni percentuali (scala destra)</c:v>
                </c:pt>
              </c:strCache>
            </c:strRef>
          </c:tx>
          <c:spPr>
            <a:ln w="25400" cap="rnd">
              <a:noFill/>
              <a:round/>
            </a:ln>
            <a:effectLst/>
            <a:extLst>
              <a:ext uri="{91240B29-F687-4F45-9708-019B960494DF}">
                <a14:hiddenLine xmlns:a14="http://schemas.microsoft.com/office/drawing/2010/main" w="9525" cap="flat" cmpd="sng" algn="ctr">
                  <a:solidFill>
                    <a:srgbClr val="FFFFFF"/>
                  </a:solidFill>
                  <a:prstDash val="solid"/>
                  <a:round/>
                  <a:headEnd type="none" w="med" len="med"/>
                  <a:tailEnd type="none" w="med" len="med"/>
                </a14:hiddenLine>
              </a:ext>
            </a:extLst>
          </c:spPr>
          <c:marker>
            <c:symbol val="diamond"/>
            <c:size val="6"/>
            <c:spPr>
              <a:solidFill>
                <a:srgbClr val="FFFFFF"/>
              </a:solidFill>
              <a:ln w="3175">
                <a:solidFill>
                  <a:srgbClr val="141E28"/>
                </a:solidFill>
                <a:prstDash val="solid"/>
              </a:ln>
              <a:effectLst/>
            </c:spPr>
          </c:marker>
          <c:dLbls>
            <c:dLbl>
              <c:idx val="0"/>
              <c:layout>
                <c:manualLayout>
                  <c:x val="-3.069980239884202E-2"/>
                  <c:y val="-3.54504349114549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B5A-4958-87ED-E47C1ABA615B}"/>
                </c:ext>
              </c:extLst>
            </c:dLbl>
            <c:dLbl>
              <c:idx val="1"/>
              <c:layout>
                <c:manualLayout>
                  <c:x val="-2.6852573053725397E-2"/>
                  <c:y val="-4.67893545398031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B5A-4958-87ED-E47C1ABA615B}"/>
                </c:ext>
              </c:extLst>
            </c:dLbl>
            <c:dLbl>
              <c:idx val="2"/>
              <c:layout>
                <c:manualLayout>
                  <c:x val="-2.3061111111111112E-2"/>
                  <c:y val="-6.04842592592592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B5A-4958-87ED-E47C1ABA615B}"/>
                </c:ext>
              </c:extLst>
            </c:dLbl>
            <c:dLbl>
              <c:idx val="3"/>
              <c:layout>
                <c:manualLayout>
                  <c:x val="-2.8823273478934493E-2"/>
                  <c:y val="-5.610284199537864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B5A-4958-87ED-E47C1ABA615B}"/>
                </c:ext>
              </c:extLst>
            </c:dLbl>
            <c:dLbl>
              <c:idx val="4"/>
              <c:layout>
                <c:manualLayout>
                  <c:x val="-2.4991430922746149E-2"/>
                  <c:y val="-5.9285689151623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B5A-4958-87ED-E47C1ABA615B}"/>
                </c:ext>
              </c:extLst>
            </c:dLbl>
            <c:dLbl>
              <c:idx val="5"/>
              <c:layout>
                <c:manualLayout>
                  <c:x val="-2.4798692254648248E-2"/>
                  <c:y val="-5.357073319492833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B5A-4958-87ED-E47C1ABA615B}"/>
                </c:ext>
              </c:extLst>
            </c:dLbl>
            <c:dLbl>
              <c:idx val="6"/>
              <c:layout>
                <c:manualLayout>
                  <c:x val="-3.1077773036584544E-2"/>
                  <c:y val="-6.199097433518115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B5A-4958-87ED-E47C1ABA615B}"/>
                </c:ext>
              </c:extLst>
            </c:dLbl>
            <c:dLbl>
              <c:idx val="7"/>
              <c:layout>
                <c:manualLayout>
                  <c:x val="-2.7249084824937677E-2"/>
                  <c:y val="-6.176606355686258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B5A-4958-87ED-E47C1ABA615B}"/>
                </c:ext>
              </c:extLst>
            </c:dLbl>
            <c:dLbl>
              <c:idx val="8"/>
              <c:layout>
                <c:manualLayout>
                  <c:x val="-2.5356001227719509E-2"/>
                  <c:y val="-6.299010628330936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B5A-4958-87ED-E47C1ABA615B}"/>
                </c:ext>
              </c:extLst>
            </c:dLbl>
            <c:dLbl>
              <c:idx val="9"/>
              <c:layout>
                <c:manualLayout>
                  <c:x val="-2.9121754445158334E-2"/>
                  <c:y val="5.156610145264168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EB5A-4958-87ED-E47C1ABA615B}"/>
                </c:ext>
              </c:extLst>
            </c:dLbl>
            <c:dLbl>
              <c:idx val="10"/>
              <c:layout>
                <c:manualLayout>
                  <c:x val="-3.1946359299947977E-2"/>
                  <c:y val="5.45029733628910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EB5A-4958-87ED-E47C1ABA615B}"/>
                </c:ext>
              </c:extLst>
            </c:dLbl>
            <c:dLbl>
              <c:idx val="11"/>
              <c:layout>
                <c:manualLayout>
                  <c:x val="-2.8592616550316696E-2"/>
                  <c:y val="4.992293887891903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EB5A-4958-87ED-E47C1ABA615B}"/>
                </c:ext>
              </c:extLst>
            </c:dLbl>
            <c:dLbl>
              <c:idx val="12"/>
              <c:layout>
                <c:manualLayout>
                  <c:x val="-3.0502252252252251E-2"/>
                  <c:y val="6.6659722222222273E-2"/>
                </c:manualLayout>
              </c:layout>
              <c:tx>
                <c:rich>
                  <a:bodyPr/>
                  <a:lstStyle/>
                  <a:p>
                    <a:fld id="{2716538F-1FD4-4FFE-B063-3794953149F0}" type="VALUE">
                      <a:rPr lang="en-US" b="0"/>
                      <a:pPr/>
                      <a:t>[VALORE]</a:t>
                    </a:fld>
                    <a:endParaRPr lang="it-IT"/>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E-EB5A-4958-87ED-E47C1ABA615B}"/>
                </c:ext>
              </c:extLst>
            </c:dLbl>
            <c:dLbl>
              <c:idx val="13"/>
              <c:layout>
                <c:manualLayout>
                  <c:x val="-3.2424774774774776E-2"/>
                  <c:y val="5.49393518518518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F-EB5A-4958-87ED-E47C1ABA615B}"/>
                </c:ext>
              </c:extLst>
            </c:dLbl>
            <c:dLbl>
              <c:idx val="14"/>
              <c:layout>
                <c:manualLayout>
                  <c:x val="-2.6699849849849851E-2"/>
                  <c:y val="5.392037037037036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0-EB5A-4958-87ED-E47C1ABA615B}"/>
                </c:ext>
              </c:extLst>
            </c:dLbl>
            <c:dLbl>
              <c:idx val="15"/>
              <c:layout>
                <c:manualLayout>
                  <c:x val="-3.4339939939939938E-2"/>
                  <c:y val="5.159444444444444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EB5A-4958-87ED-E47C1ABA615B}"/>
                </c:ext>
              </c:extLst>
            </c:dLbl>
            <c:dLbl>
              <c:idx val="16"/>
              <c:layout>
                <c:manualLayout>
                  <c:x val="-3.4359583347470565E-2"/>
                  <c:y val="4.68017816518280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EB5A-4958-87ED-E47C1ABA615B}"/>
                </c:ext>
              </c:extLst>
            </c:dLbl>
            <c:dLbl>
              <c:idx val="17"/>
              <c:layout>
                <c:manualLayout>
                  <c:x val="-3.2441425371027705E-2"/>
                  <c:y val="5.114892099822418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3-EB5A-4958-87ED-E47C1ABA615B}"/>
                </c:ext>
              </c:extLst>
            </c:dLbl>
            <c:dLbl>
              <c:idx val="18"/>
              <c:layout>
                <c:manualLayout>
                  <c:x val="-4.1918112443978771E-2"/>
                  <c:y val="3.698464642199467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4-EB5A-4958-87ED-E47C1ABA615B}"/>
                </c:ext>
              </c:extLst>
            </c:dLbl>
            <c:dLbl>
              <c:idx val="19"/>
              <c:layout>
                <c:manualLayout>
                  <c:x val="-2.8592754421838274E-2"/>
                  <c:y val="5.40760512517892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5-EB5A-4958-87ED-E47C1ABA615B}"/>
                </c:ext>
              </c:extLst>
            </c:dLbl>
            <c:numFmt formatCode="#,##0.0" sourceLinked="0"/>
            <c:spPr>
              <a:noFill/>
              <a:ln>
                <a:noFill/>
              </a:ln>
              <a:effectLst/>
            </c:spPr>
            <c:txPr>
              <a:bodyPr/>
              <a:lstStyle/>
              <a:p>
                <a:pPr>
                  <a:defRPr sz="900"/>
                </a:pPr>
                <a:endParaRPr lang="it-IT"/>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'figg. 8 e 9'!$A$61:$A$78</c:f>
              <c:strCache>
                <c:ptCount val="18"/>
                <c:pt idx="0">
                  <c:v>Cina</c:v>
                </c:pt>
                <c:pt idx="1">
                  <c:v>ASEAN</c:v>
                </c:pt>
                <c:pt idx="2">
                  <c:v>Paesi Bassi</c:v>
                </c:pt>
                <c:pt idx="3">
                  <c:v>Spagna</c:v>
                </c:pt>
                <c:pt idx="4">
                  <c:v>Svizzera</c:v>
                </c:pt>
                <c:pt idx="5">
                  <c:v>Turchia</c:v>
                </c:pt>
                <c:pt idx="6">
                  <c:v>MERCOSUR</c:v>
                </c:pt>
                <c:pt idx="7">
                  <c:v>OPEC</c:v>
                </c:pt>
                <c:pt idx="8">
                  <c:v>Austria</c:v>
                </c:pt>
                <c:pt idx="9">
                  <c:v>Francia</c:v>
                </c:pt>
                <c:pt idx="10">
                  <c:v>Belgio</c:v>
                </c:pt>
                <c:pt idx="11">
                  <c:v>Regno Unito</c:v>
                </c:pt>
                <c:pt idx="12">
                  <c:v>Cechia</c:v>
                </c:pt>
                <c:pt idx="13">
                  <c:v>Polonia</c:v>
                </c:pt>
                <c:pt idx="14">
                  <c:v>Romania</c:v>
                </c:pt>
                <c:pt idx="15">
                  <c:v>India</c:v>
                </c:pt>
                <c:pt idx="16">
                  <c:v>Stati Uniti</c:v>
                </c:pt>
                <c:pt idx="17">
                  <c:v>Germania</c:v>
                </c:pt>
              </c:strCache>
            </c:strRef>
          </c:cat>
          <c:val>
            <c:numRef>
              <c:f>'figg. 8 e 9'!$B$61:$B$78</c:f>
              <c:numCache>
                <c:formatCode>0.0</c:formatCode>
                <c:ptCount val="18"/>
                <c:pt idx="0">
                  <c:v>48.695460249564007</c:v>
                </c:pt>
                <c:pt idx="1">
                  <c:v>62.286352595368442</c:v>
                </c:pt>
                <c:pt idx="2">
                  <c:v>18.440055536746314</c:v>
                </c:pt>
                <c:pt idx="3">
                  <c:v>8.5617798509835978</c:v>
                </c:pt>
                <c:pt idx="4">
                  <c:v>14.142982600467647</c:v>
                </c:pt>
                <c:pt idx="5">
                  <c:v>12.941252896970425</c:v>
                </c:pt>
                <c:pt idx="6">
                  <c:v>23.035587683310567</c:v>
                </c:pt>
                <c:pt idx="7">
                  <c:v>0.22160624780708815</c:v>
                </c:pt>
                <c:pt idx="8">
                  <c:v>5.2721858878129524E-2</c:v>
                </c:pt>
                <c:pt idx="9">
                  <c:v>-0.12043111622197955</c:v>
                </c:pt>
                <c:pt idx="10">
                  <c:v>-0.33932744337484166</c:v>
                </c:pt>
                <c:pt idx="11">
                  <c:v>-2.0143772461872516</c:v>
                </c:pt>
                <c:pt idx="12">
                  <c:v>-3.1861954366163445</c:v>
                </c:pt>
                <c:pt idx="13">
                  <c:v>-3.4518713071216638</c:v>
                </c:pt>
                <c:pt idx="14">
                  <c:v>-8.2714271852214978</c:v>
                </c:pt>
                <c:pt idx="15">
                  <c:v>-10.912160305774961</c:v>
                </c:pt>
                <c:pt idx="16">
                  <c:v>-7.0142273276965454</c:v>
                </c:pt>
                <c:pt idx="17">
                  <c:v>-4.7353110740156552</c:v>
                </c:pt>
              </c:numCache>
            </c:numRef>
          </c:val>
          <c:smooth val="0"/>
          <c:extLst>
            <c:ext xmlns:c16="http://schemas.microsoft.com/office/drawing/2014/chart" uri="{C3380CC4-5D6E-409C-BE32-E72D297353CC}">
              <c16:uniqueId val="{00000016-EB5A-4958-87ED-E47C1ABA615B}"/>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marker val="1"/>
        <c:smooth val="0"/>
        <c:axId val="237625504"/>
        <c:axId val="237449808"/>
      </c:lineChart>
      <c:catAx>
        <c:axId val="237448688"/>
        <c:scaling>
          <c:orientation val="minMax"/>
        </c:scaling>
        <c:delete val="0"/>
        <c:axPos val="b"/>
        <c:majorGridlines>
          <c:spPr>
            <a:ln w="6350" cap="flat" cmpd="sng" algn="ctr">
              <a:solidFill>
                <a:srgbClr val="A6A6A6"/>
              </a:solidFill>
              <a:prstDash val="sysDash"/>
              <a:round/>
              <a:headEnd type="none" w="med" len="med"/>
              <a:tailEnd type="none" w="med" len="med"/>
            </a:ln>
            <a:effectLst/>
          </c:spPr>
        </c:majorGridlines>
        <c:numFmt formatCode="General" sourceLinked="1"/>
        <c:majorTickMark val="none"/>
        <c:minorTickMark val="none"/>
        <c:tickLblPos val="low"/>
        <c:spPr>
          <a:noFill/>
          <a:ln w="9525" cap="flat" cmpd="sng" algn="ctr">
            <a:solidFill>
              <a:schemeClr val="tx1"/>
            </a:solidFill>
            <a:round/>
          </a:ln>
          <a:effectLst/>
        </c:spPr>
        <c:txPr>
          <a:bodyPr rot="-2700000" spcFirstLastPara="1" vertOverflow="ellipsis"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7449248"/>
        <c:crosses val="autoZero"/>
        <c:auto val="1"/>
        <c:lblAlgn val="ctr"/>
        <c:lblOffset val="0"/>
        <c:tickLblSkip val="1"/>
        <c:noMultiLvlLbl val="0"/>
      </c:catAx>
      <c:valAx>
        <c:axId val="237449248"/>
        <c:scaling>
          <c:orientation val="minMax"/>
          <c:max val="5"/>
          <c:min val="-5"/>
        </c:scaling>
        <c:delete val="0"/>
        <c:axPos val="l"/>
        <c:majorGridlines>
          <c:spPr>
            <a:ln w="6350" cap="flat" cmpd="sng" algn="ctr">
              <a:solidFill>
                <a:srgbClr val="A6A6A6"/>
              </a:solidFill>
              <a:prstDash val="sysDash"/>
              <a:round/>
              <a:headEnd type="none" w="med" len="med"/>
              <a:tailEnd type="none" w="med" len="med"/>
            </a:ln>
            <a:effectLst/>
          </c:spPr>
        </c:majorGridlines>
        <c:numFmt formatCode="#,##0.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7448688"/>
        <c:crosses val="autoZero"/>
        <c:crossBetween val="between"/>
        <c:majorUnit val="2.5"/>
      </c:valAx>
      <c:valAx>
        <c:axId val="237449808"/>
        <c:scaling>
          <c:orientation val="minMax"/>
          <c:max val="100"/>
          <c:min val="-100"/>
        </c:scaling>
        <c:delete val="0"/>
        <c:axPos val="r"/>
        <c:title>
          <c:tx>
            <c:rich>
              <a:bodyPr rot="0" vert="horz"/>
              <a:lstStyle/>
              <a:p>
                <a:pPr>
                  <a:defRPr b="1"/>
                </a:pPr>
                <a:r>
                  <a:rPr lang="it-IT" b="1"/>
                  <a:t>%</a:t>
                </a:r>
              </a:p>
            </c:rich>
          </c:tx>
          <c:layout>
            <c:manualLayout>
              <c:xMode val="edge"/>
              <c:yMode val="edge"/>
              <c:x val="0.96162867867867863"/>
              <c:y val="1.9740740740740756E-3"/>
            </c:manualLayout>
          </c:layout>
          <c:overlay val="0"/>
        </c:title>
        <c:numFmt formatCode="0" sourceLinked="0"/>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7625504"/>
        <c:crosses val="max"/>
        <c:crossBetween val="between"/>
        <c:majorUnit val="50"/>
      </c:valAx>
      <c:catAx>
        <c:axId val="237625504"/>
        <c:scaling>
          <c:orientation val="minMax"/>
        </c:scaling>
        <c:delete val="1"/>
        <c:axPos val="b"/>
        <c:numFmt formatCode="General" sourceLinked="1"/>
        <c:majorTickMark val="out"/>
        <c:minorTickMark val="none"/>
        <c:tickLblPos val="nextTo"/>
        <c:crossAx val="237449808"/>
        <c:crosses val="autoZero"/>
        <c:auto val="1"/>
        <c:lblAlgn val="ctr"/>
        <c:lblOffset val="100"/>
        <c:noMultiLvlLbl val="0"/>
      </c:catAx>
      <c:spPr>
        <a:solidFill>
          <a:srgbClr val="FFFFFF"/>
        </a:solidFill>
        <a:ln w="9525" cap="flat" cmpd="sng" algn="ctr">
          <a:solidFill>
            <a:srgbClr val="DDDDDD"/>
          </a:solidFill>
          <a:prstDash val="solid"/>
          <a:round/>
          <a:headEnd type="none" w="med" len="med"/>
          <a:tailEnd type="none" w="med" len="med"/>
        </a:ln>
        <a:effectLst/>
      </c:spPr>
    </c:plotArea>
    <c:legend>
      <c:legendPos val="t"/>
      <c:layout>
        <c:manualLayout>
          <c:xMode val="edge"/>
          <c:yMode val="edge"/>
          <c:x val="0.16853560371427334"/>
          <c:y val="0"/>
          <c:w val="0.68984446994428816"/>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80" b="1" i="0" u="none" strike="noStrike" kern="1200" spc="0" baseline="0">
                <a:solidFill>
                  <a:srgbClr val="000000"/>
                </a:solidFill>
                <a:latin typeface="Arial Narrow" panose="020B0606020202030204" pitchFamily="34" charset="0"/>
                <a:ea typeface="+mn-ea"/>
                <a:cs typeface="+mn-cs"/>
              </a:defRPr>
            </a:pPr>
            <a:r>
              <a:rPr lang="en-US" b="1"/>
              <a:t>Valori medi unitari</a:t>
            </a:r>
          </a:p>
        </c:rich>
      </c:tx>
      <c:layout>
        <c:manualLayout>
          <c:xMode val="edge"/>
          <c:yMode val="edge"/>
          <c:x val="0.32500246913580255"/>
          <c:y val="1.1423431526872049E-2"/>
        </c:manualLayout>
      </c:layout>
      <c:overlay val="1"/>
      <c:spPr>
        <a:noFill/>
        <a:ln>
          <a:noFill/>
        </a:ln>
        <a:effectLst/>
      </c:spPr>
    </c:title>
    <c:autoTitleDeleted val="0"/>
    <c:plotArea>
      <c:layout>
        <c:manualLayout>
          <c:layoutTarget val="inner"/>
          <c:xMode val="edge"/>
          <c:yMode val="edge"/>
          <c:x val="3.8200031242677498E-2"/>
          <c:y val="0.1838210029233191"/>
          <c:w val="0.9225041907245296"/>
          <c:h val="0.72395322689453567"/>
        </c:manualLayout>
      </c:layout>
      <c:lineChart>
        <c:grouping val="standard"/>
        <c:varyColors val="0"/>
        <c:ser>
          <c:idx val="0"/>
          <c:order val="0"/>
          <c:tx>
            <c:strRef>
              <c:f>'figura 10'!$D$16</c:f>
              <c:strCache>
                <c:ptCount val="1"/>
                <c:pt idx="0">
                  <c:v>Esportazioni</c:v>
                </c:pt>
              </c:strCache>
            </c:strRef>
          </c:tx>
          <c:spPr>
            <a:ln w="19050" cap="rnd" cmpd="sng" algn="ctr">
              <a:solidFill>
                <a:srgbClr val="003B5C"/>
              </a:solidFill>
              <a:prstDash val="solid"/>
              <a:round/>
              <a:headEnd type="none" w="med" len="med"/>
              <a:tailEnd type="none" w="med" len="med"/>
            </a:ln>
            <a:effectLst/>
          </c:spPr>
          <c:marker>
            <c:symbol val="none"/>
          </c:marker>
          <c:cat>
            <c:numRef>
              <c:f>'figura 10'!$C$113:$C$172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10'!$D$113:$D$172</c:f>
              <c:numCache>
                <c:formatCode>0.0</c:formatCode>
                <c:ptCount val="60"/>
                <c:pt idx="0">
                  <c:v>2.0540540540540491</c:v>
                </c:pt>
                <c:pt idx="1">
                  <c:v>4.3572984749455372</c:v>
                </c:pt>
                <c:pt idx="2">
                  <c:v>6.9459757442116796</c:v>
                </c:pt>
                <c:pt idx="3">
                  <c:v>8.7053571428571388</c:v>
                </c:pt>
                <c:pt idx="4">
                  <c:v>8.250825082508257</c:v>
                </c:pt>
                <c:pt idx="5">
                  <c:v>7.5</c:v>
                </c:pt>
                <c:pt idx="6">
                  <c:v>9.9890230515916585</c:v>
                </c:pt>
                <c:pt idx="7">
                  <c:v>12.5</c:v>
                </c:pt>
                <c:pt idx="8">
                  <c:v>12.967032967032964</c:v>
                </c:pt>
                <c:pt idx="9">
                  <c:v>12.5</c:v>
                </c:pt>
                <c:pt idx="10">
                  <c:v>14.207650273224033</c:v>
                </c:pt>
                <c:pt idx="11">
                  <c:v>15.292841648590013</c:v>
                </c:pt>
                <c:pt idx="12">
                  <c:v>17.16101694915254</c:v>
                </c:pt>
                <c:pt idx="13">
                  <c:v>17.640918580375796</c:v>
                </c:pt>
                <c:pt idx="14">
                  <c:v>19.072164948453604</c:v>
                </c:pt>
                <c:pt idx="15">
                  <c:v>19.71252566735113</c:v>
                </c:pt>
                <c:pt idx="16">
                  <c:v>22.35772357723576</c:v>
                </c:pt>
                <c:pt idx="17">
                  <c:v>22.143579373104131</c:v>
                </c:pt>
                <c:pt idx="18">
                  <c:v>19.960079840319366</c:v>
                </c:pt>
                <c:pt idx="19">
                  <c:v>20.255653883972457</c:v>
                </c:pt>
                <c:pt idx="20">
                  <c:v>18.579766536964982</c:v>
                </c:pt>
                <c:pt idx="21">
                  <c:v>19.49317738791423</c:v>
                </c:pt>
                <c:pt idx="22">
                  <c:v>17.607655502392362</c:v>
                </c:pt>
                <c:pt idx="23">
                  <c:v>16.180620884289752</c:v>
                </c:pt>
                <c:pt idx="24">
                  <c:v>12.929475587703436</c:v>
                </c:pt>
                <c:pt idx="25">
                  <c:v>10.73646850044365</c:v>
                </c:pt>
                <c:pt idx="26">
                  <c:v>7.7056277056277054</c:v>
                </c:pt>
                <c:pt idx="27">
                  <c:v>5.6603773584905497</c:v>
                </c:pt>
                <c:pt idx="28">
                  <c:v>4.0697674418604635</c:v>
                </c:pt>
                <c:pt idx="29">
                  <c:v>1.9039735099337918</c:v>
                </c:pt>
                <c:pt idx="30">
                  <c:v>3.6605657237936811</c:v>
                </c:pt>
                <c:pt idx="31">
                  <c:v>-1.2264922322158611</c:v>
                </c:pt>
                <c:pt idx="32">
                  <c:v>1.2305168170631617</c:v>
                </c:pt>
                <c:pt idx="33">
                  <c:v>1.8760195758564464</c:v>
                </c:pt>
                <c:pt idx="34">
                  <c:v>0.56956875508544158</c:v>
                </c:pt>
                <c:pt idx="35">
                  <c:v>1.7004048582995921</c:v>
                </c:pt>
                <c:pt idx="36">
                  <c:v>0.4003202562049637</c:v>
                </c:pt>
                <c:pt idx="37">
                  <c:v>0.5608974358974308</c:v>
                </c:pt>
                <c:pt idx="38">
                  <c:v>0.96463022508039842</c:v>
                </c:pt>
                <c:pt idx="39">
                  <c:v>1.7857142857142918</c:v>
                </c:pt>
                <c:pt idx="40">
                  <c:v>0.39904229848364992</c:v>
                </c:pt>
                <c:pt idx="41">
                  <c:v>2.3558082859463809</c:v>
                </c:pt>
                <c:pt idx="42">
                  <c:v>2.5682182985553794</c:v>
                </c:pt>
                <c:pt idx="43">
                  <c:v>5.2980132450331183</c:v>
                </c:pt>
                <c:pt idx="44">
                  <c:v>3.160453808752024</c:v>
                </c:pt>
                <c:pt idx="45">
                  <c:v>1.6012810248198548</c:v>
                </c:pt>
                <c:pt idx="46">
                  <c:v>3.3980582524271767</c:v>
                </c:pt>
                <c:pt idx="47">
                  <c:v>3.4235668789808926</c:v>
                </c:pt>
                <c:pt idx="48">
                  <c:v>5.3429027113237595</c:v>
                </c:pt>
              </c:numCache>
            </c:numRef>
          </c:val>
          <c:smooth val="0"/>
          <c:extLst>
            <c:ext xmlns:c16="http://schemas.microsoft.com/office/drawing/2014/chart" uri="{C3380CC4-5D6E-409C-BE32-E72D297353CC}">
              <c16:uniqueId val="{00000000-8F91-4F6A-AD3F-679044132ACE}"/>
            </c:ext>
          </c:extLst>
        </c:ser>
        <c:ser>
          <c:idx val="1"/>
          <c:order val="1"/>
          <c:tx>
            <c:strRef>
              <c:f>'figura 10'!$E$16</c:f>
              <c:strCache>
                <c:ptCount val="1"/>
                <c:pt idx="0">
                  <c:v>Importazioni</c:v>
                </c:pt>
              </c:strCache>
            </c:strRef>
          </c:tx>
          <c:spPr>
            <a:ln w="19050" cap="rnd" cmpd="sng" algn="ctr">
              <a:solidFill>
                <a:srgbClr val="D22630"/>
              </a:solidFill>
              <a:prstDash val="sysDash"/>
              <a:round/>
              <a:headEnd type="none" w="med" len="med"/>
              <a:tailEnd type="none" w="med" len="med"/>
            </a:ln>
            <a:effectLst/>
          </c:spPr>
          <c:marker>
            <c:symbol val="none"/>
          </c:marker>
          <c:cat>
            <c:numRef>
              <c:f>'figura 10'!$C$113:$C$172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10'!$E$113:$E$172</c:f>
              <c:numCache>
                <c:formatCode>0.0</c:formatCode>
                <c:ptCount val="60"/>
                <c:pt idx="0">
                  <c:v>-0.78651685393258219</c:v>
                </c:pt>
                <c:pt idx="1">
                  <c:v>2.5258323765786344</c:v>
                </c:pt>
                <c:pt idx="2">
                  <c:v>7.4030552291421827</c:v>
                </c:pt>
                <c:pt idx="3">
                  <c:v>14.110429447852766</c:v>
                </c:pt>
                <c:pt idx="4">
                  <c:v>19.825436408977566</c:v>
                </c:pt>
                <c:pt idx="5">
                  <c:v>18.237454100367202</c:v>
                </c:pt>
                <c:pt idx="6">
                  <c:v>20.334928229665067</c:v>
                </c:pt>
                <c:pt idx="7">
                  <c:v>24.817518248175176</c:v>
                </c:pt>
                <c:pt idx="8">
                  <c:v>26.997578692493946</c:v>
                </c:pt>
                <c:pt idx="9">
                  <c:v>32.929782082324436</c:v>
                </c:pt>
                <c:pt idx="10">
                  <c:v>33.727810650887591</c:v>
                </c:pt>
                <c:pt idx="11">
                  <c:v>33.372228704784135</c:v>
                </c:pt>
                <c:pt idx="12">
                  <c:v>39.977349943374861</c:v>
                </c:pt>
                <c:pt idx="13">
                  <c:v>36.730123180291173</c:v>
                </c:pt>
                <c:pt idx="14">
                  <c:v>40.809628008752725</c:v>
                </c:pt>
                <c:pt idx="15">
                  <c:v>44.51612903225805</c:v>
                </c:pt>
                <c:pt idx="16">
                  <c:v>39.33402705515087</c:v>
                </c:pt>
                <c:pt idx="17">
                  <c:v>42.650103519668733</c:v>
                </c:pt>
                <c:pt idx="18">
                  <c:v>41.948310139165017</c:v>
                </c:pt>
                <c:pt idx="19">
                  <c:v>47.368421052631589</c:v>
                </c:pt>
                <c:pt idx="20">
                  <c:v>40.705433746425143</c:v>
                </c:pt>
                <c:pt idx="21">
                  <c:v>27.413479052823334</c:v>
                </c:pt>
                <c:pt idx="22">
                  <c:v>21.946902654867273</c:v>
                </c:pt>
                <c:pt idx="23">
                  <c:v>21.347331583552062</c:v>
                </c:pt>
                <c:pt idx="24">
                  <c:v>6.6343042071197544</c:v>
                </c:pt>
                <c:pt idx="25">
                  <c:v>4.8321048321048181</c:v>
                </c:pt>
                <c:pt idx="26">
                  <c:v>-1.8648018648018621</c:v>
                </c:pt>
                <c:pt idx="27">
                  <c:v>-8.8541666666666714</c:v>
                </c:pt>
                <c:pt idx="28">
                  <c:v>-9.036594473487682</c:v>
                </c:pt>
                <c:pt idx="29">
                  <c:v>-11.973875181422358</c:v>
                </c:pt>
                <c:pt idx="30">
                  <c:v>-17.226890756302524</c:v>
                </c:pt>
                <c:pt idx="31">
                  <c:v>-22.354497354497369</c:v>
                </c:pt>
                <c:pt idx="32">
                  <c:v>-17.276422764227632</c:v>
                </c:pt>
                <c:pt idx="33">
                  <c:v>-13.152251608291635</c:v>
                </c:pt>
                <c:pt idx="34">
                  <c:v>-10.449927431059507</c:v>
                </c:pt>
                <c:pt idx="35">
                  <c:v>-14.635904830569586</c:v>
                </c:pt>
                <c:pt idx="36">
                  <c:v>-7.8907435508345998</c:v>
                </c:pt>
                <c:pt idx="37">
                  <c:v>-6.875</c:v>
                </c:pt>
                <c:pt idx="38">
                  <c:v>-4.6714172604908839</c:v>
                </c:pt>
                <c:pt idx="39">
                  <c:v>-1.7142857142857224</c:v>
                </c:pt>
                <c:pt idx="40">
                  <c:v>-0.16420361247946857</c:v>
                </c:pt>
                <c:pt idx="41">
                  <c:v>0.16488046166529102</c:v>
                </c:pt>
                <c:pt idx="42">
                  <c:v>1.7766497461929021</c:v>
                </c:pt>
                <c:pt idx="43">
                  <c:v>2.6405451448040793</c:v>
                </c:pt>
                <c:pt idx="44">
                  <c:v>0.57330057330055695</c:v>
                </c:pt>
                <c:pt idx="45">
                  <c:v>-0.90534979423868833</c:v>
                </c:pt>
                <c:pt idx="46">
                  <c:v>-0.8103727714748743</c:v>
                </c:pt>
                <c:pt idx="47">
                  <c:v>4.3918918918918877</c:v>
                </c:pt>
                <c:pt idx="48">
                  <c:v>4.5304777594728307</c:v>
                </c:pt>
              </c:numCache>
            </c:numRef>
          </c:val>
          <c:smooth val="0"/>
          <c:extLst>
            <c:ext xmlns:c16="http://schemas.microsoft.com/office/drawing/2014/chart" uri="{C3380CC4-5D6E-409C-BE32-E72D297353CC}">
              <c16:uniqueId val="{00000001-8F91-4F6A-AD3F-679044132ACE}"/>
            </c:ext>
          </c:extLst>
        </c:ser>
        <c:dLbls>
          <c:showLegendKey val="0"/>
          <c:showVal val="0"/>
          <c:showCatName val="0"/>
          <c:showSerName val="0"/>
          <c:showPercent val="0"/>
          <c:showBubbleSize val="0"/>
        </c:dLbls>
        <c:marker val="1"/>
        <c:smooth val="0"/>
        <c:axId val="237639504"/>
        <c:axId val="237640064"/>
      </c:lineChart>
      <c:lineChart>
        <c:grouping val="standard"/>
        <c:varyColors val="0"/>
        <c:ser>
          <c:idx val="2"/>
          <c:order val="2"/>
          <c:spPr>
            <a:ln w="28575" cap="rnd">
              <a:solidFill>
                <a:srgbClr val="FFFFFF"/>
              </a:solidFill>
              <a:round/>
            </a:ln>
            <a:effectLst/>
          </c:spPr>
          <c:marker>
            <c:symbol val="none"/>
          </c:marker>
          <c:cat>
            <c:numRef>
              <c:f>'figura 10'!$C$17:$C$76</c:f>
              <c:numCache>
                <c:formatCode>General</c:formatCode>
                <c:ptCount val="60"/>
                <c:pt idx="5" formatCode="0">
                  <c:v>2013</c:v>
                </c:pt>
                <c:pt idx="17" formatCode="0">
                  <c:v>2014</c:v>
                </c:pt>
                <c:pt idx="29" formatCode="0">
                  <c:v>2015</c:v>
                </c:pt>
                <c:pt idx="41" formatCode="0">
                  <c:v>2016</c:v>
                </c:pt>
                <c:pt idx="53" formatCode="0">
                  <c:v>2017</c:v>
                </c:pt>
              </c:numCache>
            </c:numRef>
          </c:cat>
          <c:val>
            <c:numRef>
              <c:f>'figura 10'!$FR$2:$FR$45</c:f>
              <c:numCache>
                <c:formatCode>General</c:formatCode>
                <c:ptCount val="44"/>
              </c:numCache>
            </c:numRef>
          </c:val>
          <c:smooth val="0"/>
          <c:extLst>
            <c:ext xmlns:c16="http://schemas.microsoft.com/office/drawing/2014/chart" uri="{C3380CC4-5D6E-409C-BE32-E72D297353CC}">
              <c16:uniqueId val="{00000002-8F91-4F6A-AD3F-679044132ACE}"/>
            </c:ext>
          </c:extLst>
        </c:ser>
        <c:dLbls>
          <c:showLegendKey val="0"/>
          <c:showVal val="0"/>
          <c:showCatName val="0"/>
          <c:showSerName val="0"/>
          <c:showPercent val="0"/>
          <c:showBubbleSize val="0"/>
        </c:dLbls>
        <c:marker val="1"/>
        <c:smooth val="0"/>
        <c:axId val="237641184"/>
        <c:axId val="237640624"/>
      </c:lineChart>
      <c:catAx>
        <c:axId val="237639504"/>
        <c:scaling>
          <c:orientation val="minMax"/>
        </c:scaling>
        <c:delete val="0"/>
        <c:axPos val="b"/>
        <c:numFmt formatCode="General" sourceLinked="1"/>
        <c:majorTickMark val="none"/>
        <c:minorTickMark val="none"/>
        <c:tickLblPos val="low"/>
        <c:spPr>
          <a:noFill/>
          <a:ln w="9525" cap="flat" cmpd="sng" algn="ctr">
            <a:solidFill>
              <a:schemeClr val="tx1"/>
            </a:solidFill>
            <a:round/>
          </a:ln>
          <a:effec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7640064"/>
        <c:crosses val="autoZero"/>
        <c:auto val="1"/>
        <c:lblAlgn val="ctr"/>
        <c:lblOffset val="0"/>
        <c:tickMarkSkip val="3"/>
        <c:noMultiLvlLbl val="0"/>
      </c:catAx>
      <c:valAx>
        <c:axId val="237640064"/>
        <c:scaling>
          <c:orientation val="minMax"/>
          <c:max val="75"/>
          <c:min val="-50"/>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spcFirstLastPara="1" vertOverflow="ellipsis" wrap="square" anchor="ctr" anchorCtr="1"/>
              <a:lstStyle/>
              <a:p>
                <a:pPr>
                  <a:defRPr sz="900" b="0" i="0" u="none" strike="noStrike" kern="1200" baseline="0">
                    <a:solidFill>
                      <a:srgbClr val="000000"/>
                    </a:solidFill>
                    <a:latin typeface="Arial Narrow" panose="020B0606020202030204" pitchFamily="34" charset="0"/>
                    <a:ea typeface="+mn-ea"/>
                    <a:cs typeface="+mn-cs"/>
                  </a:defRPr>
                </a:pPr>
                <a:r>
                  <a:rPr lang="it-IT"/>
                  <a:t>%</a:t>
                </a:r>
              </a:p>
            </c:rich>
          </c:tx>
          <c:layout>
            <c:manualLayout>
              <c:xMode val="edge"/>
              <c:yMode val="edge"/>
              <c:x val="5.8228395061728395E-3"/>
              <c:y val="1.5138439410284071E-2"/>
            </c:manualLayout>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7639504"/>
        <c:crosses val="autoZero"/>
        <c:crossBetween val="between"/>
        <c:majorUnit val="25"/>
      </c:valAx>
      <c:valAx>
        <c:axId val="237640624"/>
        <c:scaling>
          <c:orientation val="minMax"/>
        </c:scaling>
        <c:delete val="1"/>
        <c:axPos val="r"/>
        <c:numFmt formatCode="General" sourceLinked="1"/>
        <c:majorTickMark val="out"/>
        <c:minorTickMark val="none"/>
        <c:tickLblPos val="nextTo"/>
        <c:crossAx val="237641184"/>
        <c:crosses val="max"/>
        <c:crossBetween val="between"/>
      </c:valAx>
      <c:catAx>
        <c:axId val="237641184"/>
        <c:scaling>
          <c:orientation val="minMax"/>
        </c:scaling>
        <c:delete val="1"/>
        <c:axPos val="t"/>
        <c:majorGridlines>
          <c:spPr>
            <a:ln w="6350" cap="flat" cmpd="sng" algn="ctr">
              <a:solidFill>
                <a:srgbClr val="A6A6A6"/>
              </a:solidFill>
              <a:prstDash val="solid"/>
              <a:round/>
              <a:headEnd type="none" w="med" len="med"/>
              <a:tailEnd type="none" w="med" len="med"/>
            </a:ln>
            <a:effectLst/>
          </c:spPr>
        </c:majorGridlines>
        <c:numFmt formatCode="General" sourceLinked="1"/>
        <c:majorTickMark val="out"/>
        <c:minorTickMark val="none"/>
        <c:tickLblPos val="nextTo"/>
        <c:crossAx val="237640624"/>
        <c:crosses val="max"/>
        <c:auto val="1"/>
        <c:lblAlgn val="ctr"/>
        <c:lblOffset val="100"/>
        <c:tickMarkSkip val="12"/>
        <c:noMultiLvlLbl val="0"/>
      </c:catAx>
      <c:spPr>
        <a:solidFill>
          <a:srgbClr val="FFFFFF"/>
        </a:solidFill>
        <a:ln w="9525" cap="flat" cmpd="sng" algn="ctr">
          <a:solidFill>
            <a:schemeClr val="bg1">
              <a:lumMod val="85000"/>
            </a:schemeClr>
          </a:solidFill>
          <a:prstDash val="solid"/>
          <a:round/>
          <a:headEnd type="none" w="med" len="med"/>
          <a:tailEnd type="none" w="med" len="med"/>
        </a:ln>
        <a:effectLst/>
      </c:spPr>
    </c:plotArea>
    <c:legend>
      <c:legendPos val="t"/>
      <c:legendEntry>
        <c:idx val="2"/>
        <c:delete val="1"/>
      </c:legendEntry>
      <c:layout>
        <c:manualLayout>
          <c:xMode val="edge"/>
          <c:yMode val="edge"/>
          <c:x val="0.14301820987654318"/>
          <c:y val="9.7099167978412407E-2"/>
          <c:w val="0.74563518518518523"/>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80" b="1" i="0" u="none" strike="noStrike" kern="1200" spc="0" baseline="0">
                <a:solidFill>
                  <a:srgbClr val="000000"/>
                </a:solidFill>
                <a:latin typeface="Arial Narrow" panose="020B0606020202030204" pitchFamily="34" charset="0"/>
                <a:ea typeface="+mn-ea"/>
                <a:cs typeface="+mn-cs"/>
              </a:defRPr>
            </a:pPr>
            <a:r>
              <a:rPr lang="en-US" b="1"/>
              <a:t>Volumi</a:t>
            </a:r>
          </a:p>
        </c:rich>
      </c:tx>
      <c:layout>
        <c:manualLayout>
          <c:xMode val="edge"/>
          <c:yMode val="edge"/>
          <c:x val="0.45780370370370371"/>
          <c:y val="0"/>
        </c:manualLayout>
      </c:layout>
      <c:overlay val="1"/>
      <c:spPr>
        <a:noFill/>
        <a:ln>
          <a:noFill/>
        </a:ln>
        <a:effectLst/>
      </c:spPr>
    </c:title>
    <c:autoTitleDeleted val="0"/>
    <c:plotArea>
      <c:layout>
        <c:manualLayout>
          <c:layoutTarget val="inner"/>
          <c:xMode val="edge"/>
          <c:yMode val="edge"/>
          <c:x val="3.8200031242677498E-2"/>
          <c:y val="0.17810928715988306"/>
          <c:w val="0.9225041907245296"/>
          <c:h val="0.72966494265797155"/>
        </c:manualLayout>
      </c:layout>
      <c:lineChart>
        <c:grouping val="standard"/>
        <c:varyColors val="0"/>
        <c:ser>
          <c:idx val="0"/>
          <c:order val="0"/>
          <c:tx>
            <c:strRef>
              <c:f>'figura 10'!$D$16</c:f>
              <c:strCache>
                <c:ptCount val="1"/>
                <c:pt idx="0">
                  <c:v>Esportazioni</c:v>
                </c:pt>
              </c:strCache>
            </c:strRef>
          </c:tx>
          <c:spPr>
            <a:ln w="19050" cap="rnd" cmpd="sng" algn="ctr">
              <a:solidFill>
                <a:srgbClr val="003B5C"/>
              </a:solidFill>
              <a:prstDash val="solid"/>
              <a:round/>
              <a:headEnd type="none" w="med" len="med"/>
              <a:tailEnd type="none" w="med" len="med"/>
            </a:ln>
            <a:effectLst/>
          </c:spPr>
          <c:marker>
            <c:symbol val="none"/>
          </c:marker>
          <c:cat>
            <c:numRef>
              <c:f>'figura 10'!$C$113:$C$172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10'!$F$113:$F$172</c:f>
              <c:numCache>
                <c:formatCode>0.0</c:formatCode>
                <c:ptCount val="60"/>
                <c:pt idx="0">
                  <c:v>-10.195227765726685</c:v>
                </c:pt>
                <c:pt idx="1">
                  <c:v>-6.3063063063063112</c:v>
                </c:pt>
                <c:pt idx="2">
                  <c:v>20.41712403951702</c:v>
                </c:pt>
                <c:pt idx="3">
                  <c:v>82.311733800350254</c:v>
                </c:pt>
                <c:pt idx="4">
                  <c:v>30.916030534351137</c:v>
                </c:pt>
                <c:pt idx="5">
                  <c:v>16.850220264317201</c:v>
                </c:pt>
                <c:pt idx="6">
                  <c:v>5.6481481481481524</c:v>
                </c:pt>
                <c:pt idx="7">
                  <c:v>4.4880785413744775</c:v>
                </c:pt>
                <c:pt idx="8">
                  <c:v>-1.5564202334630295</c:v>
                </c:pt>
                <c:pt idx="9">
                  <c:v>-3.8781163434902908</c:v>
                </c:pt>
                <c:pt idx="10">
                  <c:v>2.8790786948176503</c:v>
                </c:pt>
                <c:pt idx="11">
                  <c:v>1.3306038894575209</c:v>
                </c:pt>
                <c:pt idx="12">
                  <c:v>3.7439613526570099</c:v>
                </c:pt>
                <c:pt idx="13">
                  <c:v>3.6324786324786231</c:v>
                </c:pt>
                <c:pt idx="14">
                  <c:v>3.3728350045578992</c:v>
                </c:pt>
                <c:pt idx="15">
                  <c:v>-4.3227665706051965</c:v>
                </c:pt>
                <c:pt idx="16">
                  <c:v>5.6365403304178727</c:v>
                </c:pt>
                <c:pt idx="17">
                  <c:v>-1.3195098963242344</c:v>
                </c:pt>
                <c:pt idx="18">
                  <c:v>-2.4539877300613568</c:v>
                </c:pt>
                <c:pt idx="19">
                  <c:v>3.7583892617449663</c:v>
                </c:pt>
                <c:pt idx="20">
                  <c:v>3.0632411067193601</c:v>
                </c:pt>
                <c:pt idx="21">
                  <c:v>-0.96061479346782619</c:v>
                </c:pt>
                <c:pt idx="22">
                  <c:v>0.83955223880597885</c:v>
                </c:pt>
                <c:pt idx="23">
                  <c:v>-2.1212121212121104</c:v>
                </c:pt>
                <c:pt idx="24">
                  <c:v>0.58207217694993574</c:v>
                </c:pt>
                <c:pt idx="25">
                  <c:v>-0.10309278350514717</c:v>
                </c:pt>
                <c:pt idx="26">
                  <c:v>-2.6455026455026456</c:v>
                </c:pt>
                <c:pt idx="27">
                  <c:v>-10.642570281124506</c:v>
                </c:pt>
                <c:pt idx="28">
                  <c:v>-3.3118675252989789</c:v>
                </c:pt>
                <c:pt idx="29">
                  <c:v>-1.0506208213944461</c:v>
                </c:pt>
                <c:pt idx="30">
                  <c:v>-10.871518418688225</c:v>
                </c:pt>
                <c:pt idx="31">
                  <c:v>3.6222509702458012</c:v>
                </c:pt>
                <c:pt idx="32">
                  <c:v>-7.4784276126557927</c:v>
                </c:pt>
                <c:pt idx="33">
                  <c:v>1.1639185257031812</c:v>
                </c:pt>
                <c:pt idx="34">
                  <c:v>-4.717853839037943</c:v>
                </c:pt>
                <c:pt idx="35">
                  <c:v>-9.1847265221878303</c:v>
                </c:pt>
                <c:pt idx="36">
                  <c:v>1.0416666666666572</c:v>
                </c:pt>
                <c:pt idx="37">
                  <c:v>1.1351909184726452</c:v>
                </c:pt>
                <c:pt idx="38">
                  <c:v>-9.8731884057971087</c:v>
                </c:pt>
                <c:pt idx="39">
                  <c:v>8.7640449438202239</c:v>
                </c:pt>
                <c:pt idx="40">
                  <c:v>-2.1883920076118102</c:v>
                </c:pt>
                <c:pt idx="41">
                  <c:v>-8.3976833976833944</c:v>
                </c:pt>
                <c:pt idx="42">
                  <c:v>4.3346774193548328</c:v>
                </c:pt>
                <c:pt idx="43">
                  <c:v>-11.610486891385776</c:v>
                </c:pt>
                <c:pt idx="44">
                  <c:v>-5.1813471502590573</c:v>
                </c:pt>
                <c:pt idx="45">
                  <c:v>0</c:v>
                </c:pt>
                <c:pt idx="46">
                  <c:v>-5.8252427184466029</c:v>
                </c:pt>
                <c:pt idx="47">
                  <c:v>-0.56818181818181301</c:v>
                </c:pt>
                <c:pt idx="48">
                  <c:v>-2.6345933562428456</c:v>
                </c:pt>
              </c:numCache>
            </c:numRef>
          </c:val>
          <c:smooth val="0"/>
          <c:extLst>
            <c:ext xmlns:c16="http://schemas.microsoft.com/office/drawing/2014/chart" uri="{C3380CC4-5D6E-409C-BE32-E72D297353CC}">
              <c16:uniqueId val="{00000000-3466-4C80-AB55-78D4E732A7B2}"/>
            </c:ext>
          </c:extLst>
        </c:ser>
        <c:ser>
          <c:idx val="1"/>
          <c:order val="1"/>
          <c:tx>
            <c:strRef>
              <c:f>'figura 10'!$E$16</c:f>
              <c:strCache>
                <c:ptCount val="1"/>
                <c:pt idx="0">
                  <c:v>Importazioni</c:v>
                </c:pt>
              </c:strCache>
            </c:strRef>
          </c:tx>
          <c:spPr>
            <a:ln w="19050" cap="rnd" cmpd="sng" algn="ctr">
              <a:solidFill>
                <a:srgbClr val="D22630"/>
              </a:solidFill>
              <a:prstDash val="sysDash"/>
              <a:round/>
              <a:headEnd type="none" w="med" len="med"/>
              <a:tailEnd type="none" w="med" len="med"/>
            </a:ln>
            <a:effectLst/>
          </c:spPr>
          <c:marker>
            <c:symbol val="none"/>
          </c:marker>
          <c:cat>
            <c:numRef>
              <c:f>'figura 10'!$C$113:$C$172</c:f>
              <c:numCache>
                <c:formatCode>General</c:formatCode>
                <c:ptCount val="60"/>
                <c:pt idx="5" formatCode="0">
                  <c:v>2021</c:v>
                </c:pt>
                <c:pt idx="17" formatCode="0">
                  <c:v>2022</c:v>
                </c:pt>
                <c:pt idx="29" formatCode="0">
                  <c:v>2023</c:v>
                </c:pt>
                <c:pt idx="41" formatCode="0">
                  <c:v>2024</c:v>
                </c:pt>
                <c:pt idx="53" formatCode="0">
                  <c:v>2025</c:v>
                </c:pt>
              </c:numCache>
            </c:numRef>
          </c:cat>
          <c:val>
            <c:numRef>
              <c:f>'figura 10'!$G$113:$G$172</c:f>
              <c:numCache>
                <c:formatCode>0.0</c:formatCode>
                <c:ptCount val="60"/>
                <c:pt idx="0">
                  <c:v>-10.459433040078181</c:v>
                </c:pt>
                <c:pt idx="1">
                  <c:v>-2.5510204081632679</c:v>
                </c:pt>
                <c:pt idx="2">
                  <c:v>27.13963963963964</c:v>
                </c:pt>
                <c:pt idx="3">
                  <c:v>43.776223776223787</c:v>
                </c:pt>
                <c:pt idx="4">
                  <c:v>27.122940430925212</c:v>
                </c:pt>
                <c:pt idx="5">
                  <c:v>13.740458015267166</c:v>
                </c:pt>
                <c:pt idx="6">
                  <c:v>3.9393939393939519</c:v>
                </c:pt>
                <c:pt idx="7">
                  <c:v>8.3333333333333286</c:v>
                </c:pt>
                <c:pt idx="8">
                  <c:v>-0.38277511961720734</c:v>
                </c:pt>
                <c:pt idx="9">
                  <c:v>-5.9044048734770342</c:v>
                </c:pt>
                <c:pt idx="10">
                  <c:v>0.58823529411765207</c:v>
                </c:pt>
                <c:pt idx="11">
                  <c:v>9.4580233793836328</c:v>
                </c:pt>
                <c:pt idx="12">
                  <c:v>6.0043668122270759</c:v>
                </c:pt>
                <c:pt idx="13">
                  <c:v>5.4450261780104796</c:v>
                </c:pt>
                <c:pt idx="14">
                  <c:v>-0.88573959255978707</c:v>
                </c:pt>
                <c:pt idx="15">
                  <c:v>-1.848249027237344</c:v>
                </c:pt>
                <c:pt idx="16">
                  <c:v>6.4805583250249299</c:v>
                </c:pt>
                <c:pt idx="17">
                  <c:v>0.3835091083413289</c:v>
                </c:pt>
                <c:pt idx="18">
                  <c:v>0.2915451895043617</c:v>
                </c:pt>
                <c:pt idx="19">
                  <c:v>5.422446406052984</c:v>
                </c:pt>
                <c:pt idx="20">
                  <c:v>0.57636887608067866</c:v>
                </c:pt>
                <c:pt idx="21">
                  <c:v>1.3944223107569655</c:v>
                </c:pt>
                <c:pt idx="22">
                  <c:v>-0.77972709551657715</c:v>
                </c:pt>
                <c:pt idx="23">
                  <c:v>-10.388349514563117</c:v>
                </c:pt>
                <c:pt idx="24">
                  <c:v>1.0298661174047368</c:v>
                </c:pt>
                <c:pt idx="25">
                  <c:v>-3.078450844091364</c:v>
                </c:pt>
                <c:pt idx="26">
                  <c:v>-0.89365504915102179</c:v>
                </c:pt>
                <c:pt idx="27">
                  <c:v>-4.4598612487611575</c:v>
                </c:pt>
                <c:pt idx="28">
                  <c:v>0.46816479400747824</c:v>
                </c:pt>
                <c:pt idx="29">
                  <c:v>1.2416427889207284</c:v>
                </c:pt>
                <c:pt idx="30">
                  <c:v>-1.7441860465116292</c:v>
                </c:pt>
                <c:pt idx="31">
                  <c:v>0.83732057416266059</c:v>
                </c:pt>
                <c:pt idx="32">
                  <c:v>-3.2473734479465151</c:v>
                </c:pt>
                <c:pt idx="33">
                  <c:v>5.1080550098231754</c:v>
                </c:pt>
                <c:pt idx="34">
                  <c:v>1.7681728880157266</c:v>
                </c:pt>
                <c:pt idx="35">
                  <c:v>-2.6002166847237191</c:v>
                </c:pt>
                <c:pt idx="36">
                  <c:v>-5.6065239551478072</c:v>
                </c:pt>
                <c:pt idx="37">
                  <c:v>1.7418032786885078</c:v>
                </c:pt>
                <c:pt idx="38">
                  <c:v>-6.5825067628494054</c:v>
                </c:pt>
                <c:pt idx="39">
                  <c:v>3.0082987551867149</c:v>
                </c:pt>
                <c:pt idx="40">
                  <c:v>-4.753028890959925</c:v>
                </c:pt>
                <c:pt idx="41">
                  <c:v>-9.3396226415094361</c:v>
                </c:pt>
                <c:pt idx="42">
                  <c:v>3.5502958579881607</c:v>
                </c:pt>
                <c:pt idx="43">
                  <c:v>-7.2360616844602532</c:v>
                </c:pt>
                <c:pt idx="44">
                  <c:v>-3.6525172754195268</c:v>
                </c:pt>
                <c:pt idx="45">
                  <c:v>1.495327102803742</c:v>
                </c:pt>
                <c:pt idx="46">
                  <c:v>-1.9305019305019187</c:v>
                </c:pt>
                <c:pt idx="47">
                  <c:v>-2.2246941045606121</c:v>
                </c:pt>
                <c:pt idx="48">
                  <c:v>4.1036717062634978</c:v>
                </c:pt>
              </c:numCache>
            </c:numRef>
          </c:val>
          <c:smooth val="0"/>
          <c:extLst>
            <c:ext xmlns:c16="http://schemas.microsoft.com/office/drawing/2014/chart" uri="{C3380CC4-5D6E-409C-BE32-E72D297353CC}">
              <c16:uniqueId val="{00000001-3466-4C80-AB55-78D4E732A7B2}"/>
            </c:ext>
          </c:extLst>
        </c:ser>
        <c:dLbls>
          <c:showLegendKey val="0"/>
          <c:showVal val="0"/>
          <c:showCatName val="0"/>
          <c:showSerName val="0"/>
          <c:showPercent val="0"/>
          <c:showBubbleSize val="0"/>
        </c:dLbls>
        <c:marker val="1"/>
        <c:smooth val="0"/>
        <c:axId val="238328592"/>
        <c:axId val="238329152"/>
      </c:lineChart>
      <c:lineChart>
        <c:grouping val="standard"/>
        <c:varyColors val="0"/>
        <c:ser>
          <c:idx val="2"/>
          <c:order val="2"/>
          <c:spPr>
            <a:ln w="28575" cap="rnd">
              <a:solidFill>
                <a:srgbClr val="FFFFFF"/>
              </a:solidFill>
              <a:round/>
            </a:ln>
            <a:effectLst/>
          </c:spPr>
          <c:marker>
            <c:symbol val="none"/>
          </c:marker>
          <c:cat>
            <c:numRef>
              <c:f>'figura 10'!$C$17:$C$76</c:f>
              <c:numCache>
                <c:formatCode>General</c:formatCode>
                <c:ptCount val="60"/>
                <c:pt idx="5" formatCode="0">
                  <c:v>2013</c:v>
                </c:pt>
                <c:pt idx="17" formatCode="0">
                  <c:v>2014</c:v>
                </c:pt>
                <c:pt idx="29" formatCode="0">
                  <c:v>2015</c:v>
                </c:pt>
                <c:pt idx="41" formatCode="0">
                  <c:v>2016</c:v>
                </c:pt>
                <c:pt idx="53" formatCode="0">
                  <c:v>2017</c:v>
                </c:pt>
              </c:numCache>
            </c:numRef>
          </c:cat>
          <c:val>
            <c:numRef>
              <c:f>'figura 10'!$FR$2:$FR$45</c:f>
              <c:numCache>
                <c:formatCode>General</c:formatCode>
                <c:ptCount val="44"/>
              </c:numCache>
            </c:numRef>
          </c:val>
          <c:smooth val="0"/>
          <c:extLst>
            <c:ext xmlns:c16="http://schemas.microsoft.com/office/drawing/2014/chart" uri="{C3380CC4-5D6E-409C-BE32-E72D297353CC}">
              <c16:uniqueId val="{00000002-3466-4C80-AB55-78D4E732A7B2}"/>
            </c:ext>
          </c:extLst>
        </c:ser>
        <c:dLbls>
          <c:showLegendKey val="0"/>
          <c:showVal val="0"/>
          <c:showCatName val="0"/>
          <c:showSerName val="0"/>
          <c:showPercent val="0"/>
          <c:showBubbleSize val="0"/>
        </c:dLbls>
        <c:marker val="1"/>
        <c:smooth val="0"/>
        <c:axId val="238330272"/>
        <c:axId val="238329712"/>
      </c:lineChart>
      <c:catAx>
        <c:axId val="238328592"/>
        <c:scaling>
          <c:orientation val="minMax"/>
        </c:scaling>
        <c:delete val="0"/>
        <c:axPos val="b"/>
        <c:numFmt formatCode="General" sourceLinked="1"/>
        <c:majorTickMark val="none"/>
        <c:minorTickMark val="none"/>
        <c:tickLblPos val="low"/>
        <c:spPr>
          <a:noFill/>
          <a:ln w="9525" cap="flat" cmpd="sng" algn="ctr">
            <a:solidFill>
              <a:schemeClr val="tx1"/>
            </a:solidFill>
            <a:round/>
          </a:ln>
          <a:effectLst/>
        </c:spPr>
        <c:txPr>
          <a:bodyPr rot="-60000000" spcFirstLastPara="1" vertOverflow="ellipsis" vert="horz" wrap="square" anchor="ctr" anchorCtr="1"/>
          <a:lstStyle/>
          <a:p>
            <a:pPr>
              <a:defRPr sz="1000" b="1" i="0" u="none" strike="noStrike" kern="1200" baseline="0">
                <a:solidFill>
                  <a:srgbClr val="000000"/>
                </a:solidFill>
                <a:latin typeface="Arial Narrow" panose="020B0606020202030204" pitchFamily="34" charset="0"/>
                <a:ea typeface="+mn-ea"/>
                <a:cs typeface="+mn-cs"/>
              </a:defRPr>
            </a:pPr>
            <a:endParaRPr lang="it-IT"/>
          </a:p>
        </c:txPr>
        <c:crossAx val="238329152"/>
        <c:crosses val="autoZero"/>
        <c:auto val="1"/>
        <c:lblAlgn val="ctr"/>
        <c:lblOffset val="0"/>
        <c:tickMarkSkip val="3"/>
        <c:noMultiLvlLbl val="0"/>
      </c:catAx>
      <c:valAx>
        <c:axId val="238329152"/>
        <c:scaling>
          <c:orientation val="minMax"/>
          <c:max val="100"/>
          <c:min val="-50"/>
        </c:scaling>
        <c:delete val="0"/>
        <c:axPos val="l"/>
        <c:majorGridlines>
          <c:spPr>
            <a:ln w="6350" cap="flat" cmpd="sng" algn="ctr">
              <a:solidFill>
                <a:srgbClr val="A6A6A6"/>
              </a:solidFill>
              <a:prstDash val="sysDash"/>
              <a:round/>
              <a:headEnd type="none" w="med" len="med"/>
              <a:tailEnd type="none" w="med" len="med"/>
            </a:ln>
            <a:effectLst/>
          </c:spPr>
        </c:majorGridlines>
        <c:title>
          <c:tx>
            <c:rich>
              <a:bodyPr rot="0" spcFirstLastPara="1" vertOverflow="ellipsis" wrap="square" anchor="ctr" anchorCtr="1"/>
              <a:lstStyle/>
              <a:p>
                <a:pPr>
                  <a:defRPr sz="900" b="0" i="0" u="none" strike="noStrike" kern="1200" baseline="0">
                    <a:solidFill>
                      <a:srgbClr val="000000"/>
                    </a:solidFill>
                    <a:latin typeface="Arial Narrow" panose="020B0606020202030204" pitchFamily="34" charset="0"/>
                    <a:ea typeface="+mn-ea"/>
                    <a:cs typeface="+mn-cs"/>
                  </a:defRPr>
                </a:pPr>
                <a:r>
                  <a:rPr lang="it-IT"/>
                  <a:t>%</a:t>
                </a:r>
              </a:p>
            </c:rich>
          </c:tx>
          <c:layout>
            <c:manualLayout>
              <c:xMode val="edge"/>
              <c:yMode val="edge"/>
              <c:x val="1.9076057895084685E-3"/>
              <c:y val="2.2167303800314821E-2"/>
            </c:manualLayout>
          </c:layout>
          <c:overlay val="0"/>
          <c:spPr>
            <a:noFill/>
            <a:ln>
              <a:noFill/>
            </a:ln>
            <a:effectLst/>
          </c:spPr>
        </c:title>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crossAx val="238328592"/>
        <c:crosses val="autoZero"/>
        <c:crossBetween val="between"/>
        <c:majorUnit val="25"/>
      </c:valAx>
      <c:valAx>
        <c:axId val="238329712"/>
        <c:scaling>
          <c:orientation val="minMax"/>
        </c:scaling>
        <c:delete val="1"/>
        <c:axPos val="r"/>
        <c:numFmt formatCode="General" sourceLinked="1"/>
        <c:majorTickMark val="out"/>
        <c:minorTickMark val="none"/>
        <c:tickLblPos val="nextTo"/>
        <c:crossAx val="238330272"/>
        <c:crosses val="max"/>
        <c:crossBetween val="between"/>
      </c:valAx>
      <c:catAx>
        <c:axId val="238330272"/>
        <c:scaling>
          <c:orientation val="minMax"/>
        </c:scaling>
        <c:delete val="1"/>
        <c:axPos val="t"/>
        <c:majorGridlines>
          <c:spPr>
            <a:ln w="6350" cap="flat" cmpd="sng" algn="ctr">
              <a:solidFill>
                <a:srgbClr val="A6A6A6"/>
              </a:solidFill>
              <a:prstDash val="solid"/>
              <a:round/>
              <a:headEnd type="none" w="med" len="med"/>
              <a:tailEnd type="none" w="med" len="med"/>
            </a:ln>
            <a:effectLst/>
          </c:spPr>
        </c:majorGridlines>
        <c:numFmt formatCode="General" sourceLinked="1"/>
        <c:majorTickMark val="out"/>
        <c:minorTickMark val="none"/>
        <c:tickLblPos val="nextTo"/>
        <c:crossAx val="238329712"/>
        <c:crosses val="max"/>
        <c:auto val="1"/>
        <c:lblAlgn val="ctr"/>
        <c:lblOffset val="100"/>
        <c:tickMarkSkip val="12"/>
        <c:noMultiLvlLbl val="0"/>
      </c:catAx>
      <c:spPr>
        <a:solidFill>
          <a:srgbClr val="FFFFFF"/>
        </a:solidFill>
        <a:ln w="9525" cap="flat" cmpd="sng" algn="ctr">
          <a:solidFill>
            <a:schemeClr val="bg1">
              <a:lumMod val="85000"/>
            </a:schemeClr>
          </a:solidFill>
          <a:prstDash val="solid"/>
          <a:round/>
          <a:headEnd type="none" w="med" len="med"/>
          <a:tailEnd type="none" w="med" len="med"/>
        </a:ln>
        <a:effectLst/>
      </c:spPr>
    </c:plotArea>
    <c:legend>
      <c:legendPos val="t"/>
      <c:legendEntry>
        <c:idx val="2"/>
        <c:delete val="1"/>
      </c:legendEntry>
      <c:layout>
        <c:manualLayout>
          <c:xMode val="edge"/>
          <c:yMode val="edge"/>
          <c:x val="0.11557993827160494"/>
          <c:y val="8.5675736451540363E-2"/>
          <c:w val="0.78642623456790128"/>
          <c:h val="9.1890712840116934E-2"/>
        </c:manualLayout>
      </c:layout>
      <c:overlay val="0"/>
      <c:spPr>
        <a:noFill/>
        <a:ln>
          <a:noFill/>
        </a:ln>
        <a:effectLst/>
      </c:spPr>
      <c:txPr>
        <a:bodyPr rot="0" spcFirstLastPara="1" vertOverflow="ellipsis" vert="horz" wrap="square" anchor="ctr" anchorCtr="1"/>
        <a:lstStyle/>
        <a:p>
          <a:pPr>
            <a:defRPr sz="900" b="0" i="0" u="none" strike="noStrike" kern="1200" baseline="0">
              <a:solidFill>
                <a:srgbClr val="000000"/>
              </a:solidFill>
              <a:latin typeface="Arial Narrow" panose="020B0606020202030204" pitchFamily="34" charset="0"/>
              <a:ea typeface="+mn-ea"/>
              <a:cs typeface="+mn-cs"/>
            </a:defRPr>
          </a:pPr>
          <a:endParaRPr lang="it-IT"/>
        </a:p>
      </c:txPr>
    </c:legend>
    <c:plotVisOnly val="1"/>
    <c:dispBlanksAs val="gap"/>
    <c:showDLblsOverMax val="0"/>
  </c:chart>
  <c:spPr>
    <a:solidFill>
      <a:srgbClr val="FFFFFF"/>
    </a:solidFill>
    <a:ln w="9525" cap="flat" cmpd="sng" algn="ctr">
      <a:noFill/>
      <a:round/>
    </a:ln>
    <a:effectLst/>
    <a:extLst>
      <a:ext uri="{91240B29-F687-4F45-9708-019B960494DF}">
        <a14:hiddenLine xmlns:a14="http://schemas.microsoft.com/office/drawing/2010/main" w="9525" cap="flat" cmpd="sng" algn="ctr">
          <a:solidFill>
            <a:sysClr val="windowText" lastClr="000000">
              <a:lumMod val="15000"/>
              <a:lumOff val="85000"/>
            </a:sysClr>
          </a:solidFill>
          <a:round/>
        </a14:hiddenLine>
      </a:ext>
    </a:extLst>
  </c:spPr>
  <c:txPr>
    <a:bodyPr/>
    <a:lstStyle/>
    <a:p>
      <a:pPr>
        <a:defRPr sz="900">
          <a:solidFill>
            <a:srgbClr val="000000"/>
          </a:solidFill>
          <a:latin typeface="Arial Narrow" panose="020B0606020202030204" pitchFamily="34" charset="0"/>
        </a:defRPr>
      </a:pPr>
      <a:endParaRPr lang="it-IT"/>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it-I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8186724085118653E-2"/>
          <c:y val="0.11275701452811358"/>
          <c:w val="0.94192748217685607"/>
          <c:h val="0.77375032346308836"/>
        </c:manualLayout>
      </c:layout>
      <c:barChart>
        <c:barDir val="col"/>
        <c:grouping val="clustered"/>
        <c:varyColors val="0"/>
        <c:ser>
          <c:idx val="0"/>
          <c:order val="0"/>
          <c:tx>
            <c:strRef>
              <c:f>'[GraficiElabImport_1_25.xlsx]GR-11 italiano'!$B$1</c:f>
              <c:strCache>
                <c:ptCount val="1"/>
                <c:pt idx="0">
                  <c:v>Area euro</c:v>
                </c:pt>
              </c:strCache>
            </c:strRef>
          </c:tx>
          <c:spPr>
            <a:solidFill>
              <a:srgbClr val="808080"/>
            </a:solidFill>
            <a:ln w="12700">
              <a:solidFill>
                <a:srgbClr val="808080"/>
              </a:solidFill>
              <a:prstDash val="solid"/>
            </a:ln>
          </c:spPr>
          <c:invertIfNegative val="0"/>
          <c:dLbls>
            <c:dLbl>
              <c:idx val="8"/>
              <c:layout>
                <c:manualLayout>
                  <c:x val="-1.2227642968098116E-3"/>
                  <c:y val="5.1896099194497043E-3"/>
                </c:manualLayout>
              </c:layout>
              <c:spPr>
                <a:noFill/>
                <a:ln w="25400">
                  <a:noFill/>
                </a:ln>
              </c:spPr>
              <c:txPr>
                <a:bodyPr/>
                <a:lstStyle/>
                <a:p>
                  <a:pPr>
                    <a:defRPr sz="900" b="0" i="0" u="none" strike="noStrike" baseline="0">
                      <a:solidFill>
                        <a:srgbClr val="000000"/>
                      </a:solidFill>
                      <a:latin typeface="Arial Narrow"/>
                      <a:ea typeface="Arial Narrow"/>
                      <a:cs typeface="Arial Narrow"/>
                    </a:defRPr>
                  </a:pPr>
                  <a:endParaRPr lang="it-IT"/>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1E5-48B2-B819-DC57A3435FDF}"/>
                </c:ext>
              </c:extLst>
            </c:dLbl>
            <c:spPr>
              <a:noFill/>
              <a:ln w="25400">
                <a:noFill/>
              </a:ln>
            </c:spPr>
            <c:txPr>
              <a:bodyPr wrap="square" lIns="38100" tIns="19050" rIns="38100" bIns="19050" anchor="ctr">
                <a:spAutoFit/>
              </a:bodyPr>
              <a:lstStyle/>
              <a:p>
                <a:pPr>
                  <a:defRPr sz="900" b="0" i="0" u="none" strike="noStrike" baseline="0">
                    <a:solidFill>
                      <a:srgbClr val="000000"/>
                    </a:solidFill>
                    <a:latin typeface="Arial Narrow"/>
                    <a:ea typeface="Arial Narrow"/>
                    <a:cs typeface="Arial Narrow"/>
                  </a:defRPr>
                </a:pPr>
                <a:endParaRPr lang="it-IT"/>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'[GraficiElabImport_1_25.xlsx]GR-11 italiano'!$A$3:$A$15</c:f>
              <c:strCache>
                <c:ptCount val="13"/>
                <c:pt idx="0">
                  <c:v>CA</c:v>
                </c:pt>
                <c:pt idx="1">
                  <c:v>CB</c:v>
                </c:pt>
                <c:pt idx="2">
                  <c:v>CC</c:v>
                </c:pt>
                <c:pt idx="3">
                  <c:v>CD</c:v>
                </c:pt>
                <c:pt idx="4">
                  <c:v>CE</c:v>
                </c:pt>
                <c:pt idx="5">
                  <c:v>CF</c:v>
                </c:pt>
                <c:pt idx="6">
                  <c:v>CG</c:v>
                </c:pt>
                <c:pt idx="7">
                  <c:v>CH</c:v>
                </c:pt>
                <c:pt idx="8">
                  <c:v>CI</c:v>
                </c:pt>
                <c:pt idx="9">
                  <c:v>CJ</c:v>
                </c:pt>
                <c:pt idx="10">
                  <c:v>CK</c:v>
                </c:pt>
                <c:pt idx="11">
                  <c:v>CL</c:v>
                </c:pt>
                <c:pt idx="12">
                  <c:v>CM</c:v>
                </c:pt>
              </c:strCache>
            </c:strRef>
          </c:cat>
          <c:val>
            <c:numRef>
              <c:f>'[GraficiElabImport_1_25.xlsx]GR-11 italiano'!$B$3:$B$15</c:f>
              <c:numCache>
                <c:formatCode>0.0</c:formatCode>
                <c:ptCount val="13"/>
                <c:pt idx="0">
                  <c:v>-3.2</c:v>
                </c:pt>
                <c:pt idx="1">
                  <c:v>-1.9</c:v>
                </c:pt>
                <c:pt idx="2">
                  <c:v>1.8</c:v>
                </c:pt>
                <c:pt idx="3">
                  <c:v>-1.8</c:v>
                </c:pt>
                <c:pt idx="4">
                  <c:v>1.2</c:v>
                </c:pt>
                <c:pt idx="5">
                  <c:v>-3.4</c:v>
                </c:pt>
                <c:pt idx="6">
                  <c:v>-1.2</c:v>
                </c:pt>
                <c:pt idx="7">
                  <c:v>2.7</c:v>
                </c:pt>
                <c:pt idx="8">
                  <c:v>-2.2999999999999998</c:v>
                </c:pt>
                <c:pt idx="9">
                  <c:v>-1.1000000000000001</c:v>
                </c:pt>
                <c:pt idx="10">
                  <c:v>0.5</c:v>
                </c:pt>
                <c:pt idx="11">
                  <c:v>0.7</c:v>
                </c:pt>
                <c:pt idx="12">
                  <c:v>1.5</c:v>
                </c:pt>
              </c:numCache>
            </c:numRef>
          </c:val>
          <c:extLst>
            <c:ext xmlns:c16="http://schemas.microsoft.com/office/drawing/2014/chart" uri="{C3380CC4-5D6E-409C-BE32-E72D297353CC}">
              <c16:uniqueId val="{00000001-E1E5-48B2-B819-DC57A3435FDF}"/>
            </c:ext>
          </c:extLst>
        </c:ser>
        <c:ser>
          <c:idx val="1"/>
          <c:order val="1"/>
          <c:tx>
            <c:strRef>
              <c:f>'[GraficiElabImport_1_25.xlsx]GR-11 italiano'!$C$1:$D$1</c:f>
              <c:strCache>
                <c:ptCount val="1"/>
                <c:pt idx="0">
                  <c:v>Area non euro</c:v>
                </c:pt>
              </c:strCache>
            </c:strRef>
          </c:tx>
          <c:spPr>
            <a:solidFill>
              <a:srgbClr val="FF0000"/>
            </a:solidFill>
            <a:ln w="12700">
              <a:solidFill>
                <a:srgbClr val="FF0000"/>
              </a:solidFill>
              <a:prstDash val="solid"/>
            </a:ln>
          </c:spPr>
          <c:invertIfNegative val="0"/>
          <c:dLbls>
            <c:dLbl>
              <c:idx val="2"/>
              <c:layout>
                <c:manualLayout>
                  <c:x val="3.482652572909274E-3"/>
                  <c:y val="4.8102090686939726E-3"/>
                </c:manualLayout>
              </c:layout>
              <c:spPr>
                <a:noFill/>
                <a:ln w="25400">
                  <a:noFill/>
                </a:ln>
              </c:spPr>
              <c:txPr>
                <a:bodyPr/>
                <a:lstStyle/>
                <a:p>
                  <a:pPr>
                    <a:defRPr sz="900" b="0" i="0" u="none" strike="noStrike" baseline="0">
                      <a:solidFill>
                        <a:srgbClr val="000000"/>
                      </a:solidFill>
                      <a:latin typeface="Arial Narrow"/>
                      <a:ea typeface="Arial Narrow"/>
                      <a:cs typeface="Arial Narrow"/>
                    </a:defRPr>
                  </a:pPr>
                  <a:endParaRPr lang="it-IT"/>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1E5-48B2-B819-DC57A3435FDF}"/>
                </c:ext>
              </c:extLst>
            </c:dLbl>
            <c:dLbl>
              <c:idx val="8"/>
              <c:layout>
                <c:manualLayout>
                  <c:x val="3.2256354554862279E-3"/>
                  <c:y val="-2.775853018372703E-2"/>
                </c:manualLayout>
              </c:layout>
              <c:spPr>
                <a:noFill/>
                <a:ln w="25400">
                  <a:noFill/>
                </a:ln>
              </c:spPr>
              <c:txPr>
                <a:bodyPr/>
                <a:lstStyle/>
                <a:p>
                  <a:pPr>
                    <a:defRPr sz="900" b="0" i="0" u="none" strike="noStrike" baseline="0">
                      <a:solidFill>
                        <a:srgbClr val="000000"/>
                      </a:solidFill>
                      <a:latin typeface="Arial Narrow"/>
                      <a:ea typeface="Arial Narrow"/>
                      <a:cs typeface="Arial Narrow"/>
                    </a:defRPr>
                  </a:pPr>
                  <a:endParaRPr lang="it-IT"/>
                </a:p>
              </c:txPr>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1E5-48B2-B819-DC57A3435FDF}"/>
                </c:ext>
              </c:extLst>
            </c:dLbl>
            <c:spPr>
              <a:noFill/>
              <a:ln w="25400">
                <a:noFill/>
              </a:ln>
            </c:spPr>
            <c:txPr>
              <a:bodyPr wrap="square" lIns="38100" tIns="19050" rIns="38100" bIns="19050" anchor="ctr">
                <a:spAutoFit/>
              </a:bodyPr>
              <a:lstStyle/>
              <a:p>
                <a:pPr>
                  <a:defRPr sz="900" b="0" i="0" u="none" strike="noStrike" baseline="0">
                    <a:solidFill>
                      <a:srgbClr val="000000"/>
                    </a:solidFill>
                    <a:latin typeface="Arial Narrow"/>
                    <a:ea typeface="Arial Narrow"/>
                    <a:cs typeface="Arial Narrow"/>
                  </a:defRPr>
                </a:pPr>
                <a:endParaRPr lang="it-IT"/>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'[GraficiElabImport_1_25.xlsx]GR-11 italiano'!$A$3:$A$15</c:f>
              <c:strCache>
                <c:ptCount val="13"/>
                <c:pt idx="0">
                  <c:v>CA</c:v>
                </c:pt>
                <c:pt idx="1">
                  <c:v>CB</c:v>
                </c:pt>
                <c:pt idx="2">
                  <c:v>CC</c:v>
                </c:pt>
                <c:pt idx="3">
                  <c:v>CD</c:v>
                </c:pt>
                <c:pt idx="4">
                  <c:v>CE</c:v>
                </c:pt>
                <c:pt idx="5">
                  <c:v>CF</c:v>
                </c:pt>
                <c:pt idx="6">
                  <c:v>CG</c:v>
                </c:pt>
                <c:pt idx="7">
                  <c:v>CH</c:v>
                </c:pt>
                <c:pt idx="8">
                  <c:v>CI</c:v>
                </c:pt>
                <c:pt idx="9">
                  <c:v>CJ</c:v>
                </c:pt>
                <c:pt idx="10">
                  <c:v>CK</c:v>
                </c:pt>
                <c:pt idx="11">
                  <c:v>CL</c:v>
                </c:pt>
                <c:pt idx="12">
                  <c:v>CM</c:v>
                </c:pt>
              </c:strCache>
            </c:strRef>
          </c:cat>
          <c:val>
            <c:numRef>
              <c:f>'[GraficiElabImport_1_25.xlsx]GR-11 italiano'!$C$3:$C$15</c:f>
              <c:numCache>
                <c:formatCode>0.0</c:formatCode>
                <c:ptCount val="13"/>
                <c:pt idx="0">
                  <c:v>2.1</c:v>
                </c:pt>
                <c:pt idx="1">
                  <c:v>-1.1000000000000001</c:v>
                </c:pt>
                <c:pt idx="2">
                  <c:v>3.9</c:v>
                </c:pt>
                <c:pt idx="3">
                  <c:v>-1.7</c:v>
                </c:pt>
                <c:pt idx="4">
                  <c:v>1</c:v>
                </c:pt>
                <c:pt idx="5">
                  <c:v>-1.9</c:v>
                </c:pt>
                <c:pt idx="6">
                  <c:v>-0.4</c:v>
                </c:pt>
                <c:pt idx="7">
                  <c:v>9.8000000000000007</c:v>
                </c:pt>
                <c:pt idx="8">
                  <c:v>-2.2000000000000002</c:v>
                </c:pt>
                <c:pt idx="9">
                  <c:v>-0.9</c:v>
                </c:pt>
                <c:pt idx="10">
                  <c:v>-0.9</c:v>
                </c:pt>
                <c:pt idx="11">
                  <c:v>-2.9</c:v>
                </c:pt>
                <c:pt idx="12">
                  <c:v>0.2</c:v>
                </c:pt>
              </c:numCache>
            </c:numRef>
          </c:val>
          <c:extLst>
            <c:ext xmlns:c16="http://schemas.microsoft.com/office/drawing/2014/chart" uri="{C3380CC4-5D6E-409C-BE32-E72D297353CC}">
              <c16:uniqueId val="{00000004-E1E5-48B2-B819-DC57A3435FDF}"/>
            </c:ext>
          </c:extLst>
        </c:ser>
        <c:dLbls>
          <c:showLegendKey val="0"/>
          <c:showVal val="0"/>
          <c:showCatName val="0"/>
          <c:showSerName val="0"/>
          <c:showPercent val="0"/>
          <c:showBubbleSize val="0"/>
        </c:dLbls>
        <c:gapWidth val="30"/>
        <c:axId val="242107616"/>
        <c:axId val="239661376"/>
      </c:barChart>
      <c:catAx>
        <c:axId val="242107616"/>
        <c:scaling>
          <c:orientation val="minMax"/>
        </c:scaling>
        <c:delete val="0"/>
        <c:axPos val="b"/>
        <c:majorGridlines>
          <c:spPr>
            <a:ln>
              <a:prstDash val="sysDash"/>
            </a:ln>
          </c:spPr>
        </c:majorGridlines>
        <c:numFmt formatCode="General" sourceLinked="1"/>
        <c:majorTickMark val="none"/>
        <c:minorTickMark val="none"/>
        <c:tickLblPos val="low"/>
        <c:spPr>
          <a:ln w="12700">
            <a:solidFill>
              <a:srgbClr val="808080"/>
            </a:solidFill>
            <a:prstDash val="solid"/>
          </a:ln>
        </c:spPr>
        <c:txPr>
          <a:bodyPr rot="0" vert="horz"/>
          <a:lstStyle/>
          <a:p>
            <a:pPr>
              <a:defRPr sz="875" b="1" i="0" u="none" strike="noStrike" baseline="0">
                <a:solidFill>
                  <a:srgbClr val="808080"/>
                </a:solidFill>
                <a:latin typeface="Arial Narrow"/>
                <a:ea typeface="Arial Narrow"/>
                <a:cs typeface="Arial Narrow"/>
              </a:defRPr>
            </a:pPr>
            <a:endParaRPr lang="it-IT"/>
          </a:p>
        </c:txPr>
        <c:crossAx val="239661376"/>
        <c:crosses val="autoZero"/>
        <c:auto val="1"/>
        <c:lblAlgn val="ctr"/>
        <c:lblOffset val="100"/>
        <c:tickLblSkip val="1"/>
        <c:tickMarkSkip val="1"/>
        <c:noMultiLvlLbl val="0"/>
      </c:catAx>
      <c:valAx>
        <c:axId val="239661376"/>
        <c:scaling>
          <c:orientation val="minMax"/>
          <c:max val="20"/>
          <c:min val="-20"/>
        </c:scaling>
        <c:delete val="0"/>
        <c:axPos val="l"/>
        <c:majorGridlines>
          <c:spPr>
            <a:ln>
              <a:prstDash val="sysDash"/>
            </a:ln>
          </c:spPr>
        </c:majorGridlines>
        <c:numFmt formatCode="0" sourceLinked="0"/>
        <c:majorTickMark val="out"/>
        <c:minorTickMark val="none"/>
        <c:tickLblPos val="nextTo"/>
        <c:spPr>
          <a:ln>
            <a:noFill/>
          </a:ln>
        </c:spPr>
        <c:txPr>
          <a:bodyPr rot="0" vert="horz"/>
          <a:lstStyle/>
          <a:p>
            <a:pPr>
              <a:defRPr sz="900" b="0" i="0" u="none" strike="noStrike" baseline="0">
                <a:solidFill>
                  <a:srgbClr val="000000"/>
                </a:solidFill>
                <a:latin typeface="Arial Narrow"/>
                <a:ea typeface="Arial Narrow"/>
                <a:cs typeface="Arial Narrow"/>
              </a:defRPr>
            </a:pPr>
            <a:endParaRPr lang="it-IT"/>
          </a:p>
        </c:txPr>
        <c:crossAx val="242107616"/>
        <c:crosses val="autoZero"/>
        <c:crossBetween val="between"/>
        <c:majorUnit val="10"/>
      </c:valAx>
    </c:plotArea>
    <c:legend>
      <c:legendPos val="t"/>
      <c:legendEntry>
        <c:idx val="0"/>
        <c:txPr>
          <a:bodyPr/>
          <a:lstStyle/>
          <a:p>
            <a:pPr>
              <a:defRPr sz="900" b="0" i="0" u="none" strike="noStrike" baseline="0">
                <a:solidFill>
                  <a:srgbClr val="000000"/>
                </a:solidFill>
                <a:latin typeface="Arial Narrow"/>
                <a:ea typeface="Arial Narrow"/>
                <a:cs typeface="Arial Narrow"/>
              </a:defRPr>
            </a:pPr>
            <a:endParaRPr lang="it-IT"/>
          </a:p>
        </c:txPr>
      </c:legendEntry>
      <c:legendEntry>
        <c:idx val="1"/>
        <c:txPr>
          <a:bodyPr/>
          <a:lstStyle/>
          <a:p>
            <a:pPr>
              <a:defRPr sz="900" b="0" i="0" u="none" strike="noStrike" baseline="0">
                <a:solidFill>
                  <a:srgbClr val="000000"/>
                </a:solidFill>
                <a:latin typeface="Arial Narrow"/>
                <a:ea typeface="Arial Narrow"/>
                <a:cs typeface="Arial Narrow"/>
              </a:defRPr>
            </a:pPr>
            <a:endParaRPr lang="it-IT"/>
          </a:p>
        </c:txPr>
      </c:legendEntry>
      <c:layout>
        <c:manualLayout>
          <c:xMode val="edge"/>
          <c:yMode val="edge"/>
          <c:x val="0.38842366529126648"/>
          <c:y val="0"/>
          <c:w val="0.22315266941746698"/>
          <c:h val="9.4608116649341212E-2"/>
        </c:manualLayout>
      </c:layout>
      <c:overlay val="0"/>
      <c:spPr>
        <a:noFill/>
        <a:ln w="25400">
          <a:noFill/>
        </a:ln>
      </c:spPr>
      <c:txPr>
        <a:bodyPr/>
        <a:lstStyle/>
        <a:p>
          <a:pPr>
            <a:defRPr sz="900" b="0" i="0" u="none" strike="noStrike" baseline="0">
              <a:solidFill>
                <a:srgbClr val="000000"/>
              </a:solidFill>
              <a:latin typeface="Arial Narrow"/>
              <a:ea typeface="Arial Narrow"/>
              <a:cs typeface="Arial Narrow"/>
            </a:defRPr>
          </a:pPr>
          <a:endParaRPr lang="it-IT"/>
        </a:p>
      </c:txPr>
    </c:legend>
    <c:plotVisOnly val="1"/>
    <c:dispBlanksAs val="gap"/>
    <c:showDLblsOverMax val="0"/>
  </c:chart>
  <c:spPr>
    <a:solidFill>
      <a:srgbClr val="FFFFFF"/>
    </a:solidFill>
    <a:ln w="9525">
      <a:noFill/>
    </a:ln>
  </c:spPr>
  <c:txPr>
    <a:bodyPr/>
    <a:lstStyle/>
    <a:p>
      <a:pPr>
        <a:defRPr sz="800" b="0" i="0" u="none" strike="noStrike" baseline="0">
          <a:solidFill>
            <a:srgbClr val="000000"/>
          </a:solidFill>
          <a:latin typeface="Arial Narrow"/>
          <a:ea typeface="Arial Narrow"/>
          <a:cs typeface="Arial Narrow"/>
        </a:defRPr>
      </a:pPr>
      <a:endParaRPr lang="it-IT"/>
    </a:p>
  </c:txPr>
  <c:externalData r:id="rId1">
    <c:autoUpdate val="0"/>
  </c:externalData>
</c:chartSpace>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Nota o comunicato" ma:contentTypeID="0x010100B795A82E90F7744F8BBD5BCEA1E47B9D00412BB8B24175FB4599016A296A388103" ma:contentTypeVersion="2" ma:contentTypeDescription="" ma:contentTypeScope="" ma:versionID="fef993d87c238cc71779350178681a56">
  <xsd:schema xmlns:xsd="http://www.w3.org/2001/XMLSchema" xmlns:xs="http://www.w3.org/2001/XMLSchema" xmlns:p="http://schemas.microsoft.com/office/2006/metadata/properties" xmlns:ns2="2886d22a-1eb9-406b-961e-e52bb60f5915" targetNamespace="http://schemas.microsoft.com/office/2006/metadata/properties" ma:root="true" ma:fieldsID="6a986a9c8108b3d7a67e5da413ff238a" ns2:_="">
    <xsd:import namespace="2886d22a-1eb9-406b-961e-e52bb60f5915"/>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86d22a-1eb9-406b-961e-e52bb60f5915" elementFormDefault="qualified">
    <xsd:import namespace="http://schemas.microsoft.com/office/2006/documentManagement/types"/>
    <xsd:import namespace="http://schemas.microsoft.com/office/infopath/2007/PartnerControls"/>
    <xsd:element name="_dlc_DocId" ma:index="8" nillable="true" ma:displayName="Valore ID documento" ma:description="Valore dell'ID documento assegnato all'elemento." ma:internalName="_dlc_DocId" ma:readOnly="true">
      <xsd:simpleType>
        <xsd:restriction base="dms:Text"/>
      </xsd:simpleType>
    </xsd:element>
    <xsd:element name="_dlc_DocIdUrl" ma:index="9" nillable="true" ma:displayName="ID documento" ma:description="Collegamento permanente al documento."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6CBCD4-A0D9-4779-82A0-880610C2D00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FA3A331-E51C-433B-B400-E4AB42279668}">
  <ds:schemaRefs>
    <ds:schemaRef ds:uri="http://schemas.microsoft.com/sharepoint/v3/contenttype/forms"/>
  </ds:schemaRefs>
</ds:datastoreItem>
</file>

<file path=customXml/itemProps3.xml><?xml version="1.0" encoding="utf-8"?>
<ds:datastoreItem xmlns:ds="http://schemas.openxmlformats.org/officeDocument/2006/customXml" ds:itemID="{830AF039-4907-44F4-9163-8CBD2D9FEF44}">
  <ds:schemaRefs>
    <ds:schemaRef ds:uri="http://schemas.microsoft.com/office/2006/metadata/longProperties"/>
  </ds:schemaRefs>
</ds:datastoreItem>
</file>

<file path=customXml/itemProps4.xml><?xml version="1.0" encoding="utf-8"?>
<ds:datastoreItem xmlns:ds="http://schemas.openxmlformats.org/officeDocument/2006/customXml" ds:itemID="{4463D393-A86E-48FE-A47C-966673B0F313}">
  <ds:schemaRefs>
    <ds:schemaRef ds:uri="http://schemas.microsoft.com/sharepoint/events"/>
  </ds:schemaRefs>
</ds:datastoreItem>
</file>

<file path=customXml/itemProps5.xml><?xml version="1.0" encoding="utf-8"?>
<ds:datastoreItem xmlns:ds="http://schemas.openxmlformats.org/officeDocument/2006/customXml" ds:itemID="{BBAC46FC-E450-4A0E-A8DC-D0559AC305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86d22a-1eb9-406b-961e-e52bb60f59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0A862D9B-7B09-43D8-A092-D4AB796C3C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9484</Words>
  <Characters>54065</Characters>
  <Application>Microsoft Office Word</Application>
  <DocSecurity>0</DocSecurity>
  <Lines>450</Lines>
  <Paragraphs>126</Paragraphs>
  <ScaleCrop>false</ScaleCrop>
  <HeadingPairs>
    <vt:vector size="2" baseType="variant">
      <vt:variant>
        <vt:lpstr>Titolo</vt:lpstr>
      </vt:variant>
      <vt:variant>
        <vt:i4>1</vt:i4>
      </vt:variant>
    </vt:vector>
  </HeadingPairs>
  <TitlesOfParts>
    <vt:vector size="1" baseType="lpstr">
      <vt:lpstr>COMMERCIO CON L'ESTERO E PREZZI ALL'IMPORT</vt:lpstr>
    </vt:vector>
  </TitlesOfParts>
  <Company>HP</Company>
  <LinksUpToDate>false</LinksUpToDate>
  <CharactersWithSpaces>63423</CharactersWithSpaces>
  <SharedDoc>false</SharedDoc>
  <HLinks>
    <vt:vector size="108" baseType="variant">
      <vt:variant>
        <vt:i4>3670095</vt:i4>
      </vt:variant>
      <vt:variant>
        <vt:i4>51</vt:i4>
      </vt:variant>
      <vt:variant>
        <vt:i4>0</vt:i4>
      </vt:variant>
      <vt:variant>
        <vt:i4>5</vt:i4>
      </vt:variant>
      <vt:variant>
        <vt:lpwstr>https://www.istat.it/it/files/2018/05/nota_informativa_prezzi_import.pdf</vt:lpwstr>
      </vt:variant>
      <vt:variant>
        <vt:lpwstr/>
      </vt:variant>
      <vt:variant>
        <vt:i4>6881380</vt:i4>
      </vt:variant>
      <vt:variant>
        <vt:i4>48</vt:i4>
      </vt:variant>
      <vt:variant>
        <vt:i4>0</vt:i4>
      </vt:variant>
      <vt:variant>
        <vt:i4>5</vt:i4>
      </vt:variant>
      <vt:variant>
        <vt:lpwstr>http://www.istat.it/it/files/2015/11/Ricostruzione-serie-indici-2005-2009.pdf?title=Prezzi+all%27importazione+dei+prodotti+industriali+-+17%2Fnov%2F2015+-+Ricostruzione+serie.pdf</vt:lpwstr>
      </vt:variant>
      <vt:variant>
        <vt:lpwstr/>
      </vt:variant>
      <vt:variant>
        <vt:i4>7340158</vt:i4>
      </vt:variant>
      <vt:variant>
        <vt:i4>45</vt:i4>
      </vt:variant>
      <vt:variant>
        <vt:i4>0</vt:i4>
      </vt:variant>
      <vt:variant>
        <vt:i4>5</vt:i4>
      </vt:variant>
      <vt:variant>
        <vt:lpwstr>http://www.istat.it/it/files/2016/02/Prezzi-all-importazione-dei-prodotti-industriali-Nota-informativa.pdf?title=Prezzi+all%E2%80%99importazione+dei+prodotti+industriali+-+16%2Ffeb%2F2016+-+Nota+informativa.pdf</vt:lpwstr>
      </vt:variant>
      <vt:variant>
        <vt:lpwstr/>
      </vt:variant>
      <vt:variant>
        <vt:i4>5898331</vt:i4>
      </vt:variant>
      <vt:variant>
        <vt:i4>42</vt:i4>
      </vt:variant>
      <vt:variant>
        <vt:i4>0</vt:i4>
      </vt:variant>
      <vt:variant>
        <vt:i4>5</vt:i4>
      </vt:variant>
      <vt:variant>
        <vt:lpwstr>http://www.istat.it/it/archivio/45225</vt:lpwstr>
      </vt:variant>
      <vt:variant>
        <vt:lpwstr/>
      </vt:variant>
      <vt:variant>
        <vt:i4>852042</vt:i4>
      </vt:variant>
      <vt:variant>
        <vt:i4>39</vt:i4>
      </vt:variant>
      <vt:variant>
        <vt:i4>0</vt:i4>
      </vt:variant>
      <vt:variant>
        <vt:i4>5</vt:i4>
      </vt:variant>
      <vt:variant>
        <vt:lpwstr>https://www.istat.it/it/files/2011/03/testointegrale20080225.pdf</vt:lpwstr>
      </vt:variant>
      <vt:variant>
        <vt:lpwstr/>
      </vt:variant>
      <vt:variant>
        <vt:i4>7340157</vt:i4>
      </vt:variant>
      <vt:variant>
        <vt:i4>36</vt:i4>
      </vt:variant>
      <vt:variant>
        <vt:i4>0</vt:i4>
      </vt:variant>
      <vt:variant>
        <vt:i4>5</vt:i4>
      </vt:variant>
      <vt:variant>
        <vt:lpwstr>http://ec.europa.eu/eurostat/data/database</vt:lpwstr>
      </vt:variant>
      <vt:variant>
        <vt:lpwstr/>
      </vt:variant>
      <vt:variant>
        <vt:i4>3604535</vt:i4>
      </vt:variant>
      <vt:variant>
        <vt:i4>33</vt:i4>
      </vt:variant>
      <vt:variant>
        <vt:i4>0</vt:i4>
      </vt:variant>
      <vt:variant>
        <vt:i4>5</vt:i4>
      </vt:variant>
      <vt:variant>
        <vt:lpwstr>http://www.istat.it/it/archivio/esportazioni+delle+regioni</vt:lpwstr>
      </vt:variant>
      <vt:variant>
        <vt:lpwstr/>
      </vt:variant>
      <vt:variant>
        <vt:i4>1245267</vt:i4>
      </vt:variant>
      <vt:variant>
        <vt:i4>30</vt:i4>
      </vt:variant>
      <vt:variant>
        <vt:i4>0</vt:i4>
      </vt:variant>
      <vt:variant>
        <vt:i4>5</vt:i4>
      </vt:variant>
      <vt:variant>
        <vt:lpwstr>http://www.istat.it/it/archivio/commercio+estero+extra+ue</vt:lpwstr>
      </vt:variant>
      <vt:variant>
        <vt:lpwstr/>
      </vt:variant>
      <vt:variant>
        <vt:i4>4259923</vt:i4>
      </vt:variant>
      <vt:variant>
        <vt:i4>27</vt:i4>
      </vt:variant>
      <vt:variant>
        <vt:i4>0</vt:i4>
      </vt:variant>
      <vt:variant>
        <vt:i4>5</vt:i4>
      </vt:variant>
      <vt:variant>
        <vt:lpwstr>http://www.istat.it/it/archivio/commercio+estero+e+prezzi+import</vt:lpwstr>
      </vt:variant>
      <vt:variant>
        <vt:lpwstr/>
      </vt:variant>
      <vt:variant>
        <vt:i4>2359335</vt:i4>
      </vt:variant>
      <vt:variant>
        <vt:i4>24</vt:i4>
      </vt:variant>
      <vt:variant>
        <vt:i4>0</vt:i4>
      </vt:variant>
      <vt:variant>
        <vt:i4>5</vt:i4>
      </vt:variant>
      <vt:variant>
        <vt:lpwstr>http://www.istat.it/it/files/2016/07/scheda-CommercioEstero-e-prezzi-allimport-dei-prodotti-industriali.pdf</vt:lpwstr>
      </vt:variant>
      <vt:variant>
        <vt:lpwstr/>
      </vt:variant>
      <vt:variant>
        <vt:i4>2031617</vt:i4>
      </vt:variant>
      <vt:variant>
        <vt:i4>21</vt:i4>
      </vt:variant>
      <vt:variant>
        <vt:i4>0</vt:i4>
      </vt:variant>
      <vt:variant>
        <vt:i4>5</vt:i4>
      </vt:variant>
      <vt:variant>
        <vt:lpwstr>http://www.istat.it/it/congiuntura/revisioni</vt:lpwstr>
      </vt:variant>
      <vt:variant>
        <vt:lpwstr/>
      </vt:variant>
      <vt:variant>
        <vt:i4>1310812</vt:i4>
      </vt:variant>
      <vt:variant>
        <vt:i4>18</vt:i4>
      </vt:variant>
      <vt:variant>
        <vt:i4>0</vt:i4>
      </vt:variant>
      <vt:variant>
        <vt:i4>5</vt:i4>
      </vt:variant>
      <vt:variant>
        <vt:lpwstr>http://www.istat.it/it/informazioni/per-i-giornalisti/calendario/</vt:lpwstr>
      </vt:variant>
      <vt:variant>
        <vt:lpwstr/>
      </vt:variant>
      <vt:variant>
        <vt:i4>1900613</vt:i4>
      </vt:variant>
      <vt:variant>
        <vt:i4>15</vt:i4>
      </vt:variant>
      <vt:variant>
        <vt:i4>0</vt:i4>
      </vt:variant>
      <vt:variant>
        <vt:i4>5</vt:i4>
      </vt:variant>
      <vt:variant>
        <vt:lpwstr>https://www.coeweb.istat.it/</vt:lpwstr>
      </vt:variant>
      <vt:variant>
        <vt:lpwstr/>
      </vt:variant>
      <vt:variant>
        <vt:i4>6815848</vt:i4>
      </vt:variant>
      <vt:variant>
        <vt:i4>12</vt:i4>
      </vt:variant>
      <vt:variant>
        <vt:i4>0</vt:i4>
      </vt:variant>
      <vt:variant>
        <vt:i4>5</vt:i4>
      </vt:variant>
      <vt:variant>
        <vt:lpwstr>http://ec.europa.eu/eurostat/documents/3859598/5902521/KS-RA-07-015-EN.PDF</vt:lpwstr>
      </vt:variant>
      <vt:variant>
        <vt:lpwstr/>
      </vt:variant>
      <vt:variant>
        <vt:i4>5832811</vt:i4>
      </vt:variant>
      <vt:variant>
        <vt:i4>9</vt:i4>
      </vt:variant>
      <vt:variant>
        <vt:i4>0</vt:i4>
      </vt:variant>
      <vt:variant>
        <vt:i4>5</vt:i4>
      </vt:variant>
      <vt:variant>
        <vt:lpwstr>https://unstats.un.org/unsd/cr/registry/docs/i4_SNA.pdf</vt:lpwstr>
      </vt:variant>
      <vt:variant>
        <vt:lpwstr/>
      </vt:variant>
      <vt:variant>
        <vt:i4>1900613</vt:i4>
      </vt:variant>
      <vt:variant>
        <vt:i4>6</vt:i4>
      </vt:variant>
      <vt:variant>
        <vt:i4>0</vt:i4>
      </vt:variant>
      <vt:variant>
        <vt:i4>5</vt:i4>
      </vt:variant>
      <vt:variant>
        <vt:lpwstr>https://www.coeweb.istat.it/</vt:lpwstr>
      </vt:variant>
      <vt:variant>
        <vt:lpwstr/>
      </vt:variant>
      <vt:variant>
        <vt:i4>7208997</vt:i4>
      </vt:variant>
      <vt:variant>
        <vt:i4>3</vt:i4>
      </vt:variant>
      <vt:variant>
        <vt:i4>0</vt:i4>
      </vt:variant>
      <vt:variant>
        <vt:i4>5</vt:i4>
      </vt:variant>
      <vt:variant>
        <vt:lpwstr>http://www.istat.it/it/congiuntura</vt:lpwstr>
      </vt:variant>
      <vt:variant>
        <vt:lpwstr/>
      </vt:variant>
      <vt:variant>
        <vt:i4>6094849</vt:i4>
      </vt:variant>
      <vt:variant>
        <vt:i4>0</vt:i4>
      </vt:variant>
      <vt:variant>
        <vt:i4>0</vt:i4>
      </vt:variant>
      <vt:variant>
        <vt:i4>5</vt:i4>
      </vt:variant>
      <vt:variant>
        <vt:lpwstr>http://dati.istat.it/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COMMERCIO CON L'ESTERO E PREZZI ALL'IMPORT</dc:title>
  <dc:subject/>
  <dc:creator>ISTAT</dc:creator>
  <cp:keywords>Commercio con l'estero e prezzi all'import</cp:keywords>
  <dc:description/>
  <cp:lastModifiedBy>Maria Moscufo</cp:lastModifiedBy>
  <cp:revision>3</cp:revision>
  <cp:lastPrinted>2025-03-13T19:42:00Z</cp:lastPrinted>
  <dcterms:created xsi:type="dcterms:W3CDTF">2025-03-14T13:55:00Z</dcterms:created>
  <dcterms:modified xsi:type="dcterms:W3CDTF">2025-03-14T13:55:00Z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2QYKZWF4TN2A-29-1413</vt:lpwstr>
  </property>
  <property fmtid="{D5CDD505-2E9C-101B-9397-08002B2CF9AE}" pid="3" name="_dlc_DocIdItemGuid">
    <vt:lpwstr>91d25d38-75ff-4036-8e43-5fa02ffec53a</vt:lpwstr>
  </property>
  <property fmtid="{D5CDD505-2E9C-101B-9397-08002B2CF9AE}" pid="4" name="_dlc_DocIdUrl">
    <vt:lpwstr>https://collaborazione.istat.it/siti/ed/ufficio_stampa/_layouts/DocIdRedir.aspx?ID=2QYKZWF4TN2A-29-1413, 2QYKZWF4TN2A-29-1413</vt:lpwstr>
  </property>
  <property fmtid="{D5CDD505-2E9C-101B-9397-08002B2CF9AE}" pid="5" name="GrammarlyDocumentId">
    <vt:lpwstr>26829e1025d1b01231abda159f63f942cd1219cba6e57581801da71dbbdd5081</vt:lpwstr>
  </property>
</Properties>
</file>