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3CBCA" w14:textId="5E12557B" w:rsidR="000F4D00" w:rsidRPr="004D1C28" w:rsidRDefault="001E7914" w:rsidP="00FB1684">
      <w:pPr>
        <w:spacing w:before="0" w:after="0"/>
        <w:ind w:left="1814"/>
        <w:rPr>
          <w:rFonts w:ascii="Arial" w:hAnsi="Arial" w:cs="Arial"/>
          <w:color w:val="5F5F5F"/>
          <w:sz w:val="28"/>
          <w:szCs w:val="28"/>
        </w:rPr>
      </w:pPr>
      <w:r w:rsidRPr="004D1C28">
        <w:rPr>
          <w:rFonts w:ascii="Arial" w:hAnsi="Arial" w:cs="Arial"/>
          <w:noProof/>
          <w:color w:val="5F5F5F"/>
          <w:sz w:val="28"/>
          <w:szCs w:val="28"/>
        </w:rPr>
        <mc:AlternateContent>
          <mc:Choice Requires="wps">
            <w:drawing>
              <wp:anchor distT="0" distB="0" distL="114300" distR="114300" simplePos="0" relativeHeight="251656192" behindDoc="0" locked="0" layoutInCell="1" allowOverlap="1" wp14:anchorId="4AC0DB55" wp14:editId="38565D8A">
                <wp:simplePos x="0" y="0"/>
                <wp:positionH relativeFrom="column">
                  <wp:posOffset>4166870</wp:posOffset>
                </wp:positionH>
                <wp:positionV relativeFrom="paragraph">
                  <wp:posOffset>-1000125</wp:posOffset>
                </wp:positionV>
                <wp:extent cx="1103630" cy="325755"/>
                <wp:effectExtent l="6350" t="12700" r="13970" b="1397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325755"/>
                        </a:xfrm>
                        <a:prstGeom prst="rect">
                          <a:avLst/>
                        </a:prstGeom>
                        <a:solidFill>
                          <a:srgbClr val="FFFFFF"/>
                        </a:solidFill>
                        <a:ln w="9525">
                          <a:solidFill>
                            <a:srgbClr val="FFFFFF"/>
                          </a:solidFill>
                          <a:miter lim="800000"/>
                          <a:headEnd/>
                          <a:tailEnd/>
                        </a:ln>
                      </wps:spPr>
                      <wps:txbx>
                        <w:txbxContent>
                          <w:p w14:paraId="0F1AA6ED" w14:textId="336F0550" w:rsidR="00EC67E6" w:rsidRPr="009A650C" w:rsidRDefault="00816721" w:rsidP="00631127">
                            <w:pPr>
                              <w:jc w:val="center"/>
                              <w:rPr>
                                <w:rFonts w:ascii="Arial Narrow" w:hAnsi="Arial Narrow" w:cs="Arial"/>
                                <w:b/>
                                <w:color w:val="808080"/>
                                <w:kern w:val="0"/>
                                <w:sz w:val="26"/>
                                <w:szCs w:val="26"/>
                              </w:rPr>
                            </w:pPr>
                            <w:r w:rsidRPr="00816721">
                              <w:rPr>
                                <w:rFonts w:ascii="Arial Narrow" w:hAnsi="Arial Narrow" w:cs="Arial"/>
                                <w:b/>
                                <w:color w:val="808080"/>
                                <w:kern w:val="0"/>
                                <w:sz w:val="26"/>
                                <w:szCs w:val="26"/>
                              </w:rPr>
                              <w:t>30 luglio 2025</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AC0DB55" id="_x0000_t202" coordsize="21600,21600" o:spt="202" path="m,l,21600r21600,l21600,xe">
                <v:stroke joinstyle="miter"/>
                <v:path gradientshapeok="t" o:connecttype="rect"/>
              </v:shapetype>
              <v:shape id="Casella di testo 2" o:spid="_x0000_s1026" type="#_x0000_t202" style="position:absolute;left:0;text-align:left;margin-left:328.1pt;margin-top:-78.75pt;width:86.9pt;height:25.6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" strokecolor="white">
                <v:textbox style="mso-fit-shape-to-text:t" inset="0,0,0,0">
                  <w:txbxContent>
                    <w:p w14:paraId="0F1AA6ED" w14:textId="336F0550" w:rsidR="00EC67E6" w:rsidRPr="009A650C" w:rsidRDefault="00816721" w:rsidP="00631127">
                      <w:pPr>
                        <w:jc w:val="center"/>
                        <w:rPr>
                          <w:rFonts w:ascii="Arial Narrow" w:hAnsi="Arial Narrow" w:cs="Arial"/>
                          <w:b/>
                          <w:color w:val="808080"/>
                          <w:kern w:val="0"/>
                          <w:sz w:val="26"/>
                          <w:szCs w:val="26"/>
                        </w:rPr>
                      </w:pPr>
                      <w:r w:rsidRPr="00816721">
                        <w:rPr>
                          <w:rFonts w:ascii="Arial Narrow" w:hAnsi="Arial Narrow" w:cs="Arial"/>
                          <w:b/>
                          <w:color w:val="808080"/>
                          <w:kern w:val="0"/>
                          <w:sz w:val="26"/>
                          <w:szCs w:val="26"/>
                        </w:rPr>
                        <w:t>30 luglio 2025</w:t>
                      </w:r>
                    </w:p>
                  </w:txbxContent>
                </v:textbox>
              </v:shape>
            </w:pict>
          </mc:Fallback>
        </mc:AlternateContent>
      </w:r>
      <w:r w:rsidR="00816721" w:rsidRPr="00816721">
        <w:rPr>
          <w:rFonts w:ascii="Arial" w:hAnsi="Arial" w:cs="Arial"/>
          <w:sz w:val="28"/>
          <w:szCs w:val="28"/>
        </w:rPr>
        <w:t>II trimestre 2025</w:t>
      </w:r>
    </w:p>
    <w:p w14:paraId="65EDB921" w14:textId="77777777" w:rsidR="008A2015" w:rsidRDefault="008A2015" w:rsidP="00FB1684">
      <w:pPr>
        <w:tabs>
          <w:tab w:val="left" w:pos="142"/>
        </w:tabs>
        <w:spacing w:before="0" w:after="0"/>
        <w:ind w:left="1814"/>
        <w:rPr>
          <w:rFonts w:ascii="Calibri" w:hAnsi="Calibri" w:cs="Arial"/>
          <w:b/>
          <w:bCs/>
          <w:caps/>
          <w:color w:val="5F5F5F"/>
          <w:sz w:val="52"/>
          <w:szCs w:val="52"/>
        </w:rPr>
      </w:pPr>
      <w:r w:rsidRPr="0072298E">
        <w:rPr>
          <w:rFonts w:ascii="Calibri" w:hAnsi="Calibri" w:cs="Arial"/>
          <w:b/>
          <w:bCs/>
          <w:caps/>
          <w:color w:val="5F5F5F"/>
          <w:sz w:val="52"/>
          <w:szCs w:val="52"/>
        </w:rPr>
        <w:t>STIMA PRELIMINARE</w:t>
      </w:r>
      <w:r w:rsidRPr="008A2015">
        <w:rPr>
          <w:rFonts w:ascii="Arial Narrow" w:hAnsi="Arial Narrow" w:cs="Arial"/>
          <w:b/>
          <w:bCs/>
          <w:caps/>
          <w:color w:val="5F5F5F"/>
          <w:sz w:val="48"/>
          <w:szCs w:val="48"/>
        </w:rPr>
        <w:t xml:space="preserve"> </w:t>
      </w:r>
      <w:r w:rsidRPr="00B23A85">
        <w:rPr>
          <w:rFonts w:ascii="Calibri" w:hAnsi="Calibri" w:cs="Arial"/>
          <w:b/>
          <w:bCs/>
          <w:caps/>
          <w:color w:val="5F5F5F"/>
          <w:sz w:val="52"/>
          <w:szCs w:val="52"/>
        </w:rPr>
        <w:t>DEL PIL</w:t>
      </w:r>
    </w:p>
    <w:p w14:paraId="6BE42265" w14:textId="77777777" w:rsidR="00FB1684" w:rsidRDefault="00FB1684" w:rsidP="00FB1684">
      <w:pPr>
        <w:tabs>
          <w:tab w:val="left" w:pos="142"/>
        </w:tabs>
        <w:spacing w:before="0" w:after="0"/>
        <w:ind w:left="1814"/>
        <w:rPr>
          <w:rFonts w:ascii="Calibri" w:hAnsi="Calibri" w:cs="Arial"/>
          <w:b/>
          <w:bCs/>
          <w:caps/>
          <w:color w:val="5F5F5F"/>
          <w:sz w:val="52"/>
          <w:szCs w:val="52"/>
        </w:rPr>
      </w:pPr>
    </w:p>
    <w:p w14:paraId="2A085CC0" w14:textId="6F0284CD" w:rsidR="009F4366" w:rsidRPr="00CF389D" w:rsidRDefault="008A2015" w:rsidP="009F4366">
      <w:pPr>
        <w:widowControl/>
        <w:numPr>
          <w:ilvl w:val="0"/>
          <w:numId w:val="19"/>
        </w:numPr>
        <w:tabs>
          <w:tab w:val="clear" w:pos="340"/>
          <w:tab w:val="num" w:pos="284"/>
          <w:tab w:val="left" w:pos="10206"/>
        </w:tabs>
        <w:overflowPunct/>
        <w:spacing w:before="0" w:line="230" w:lineRule="exact"/>
        <w:ind w:left="284" w:hanging="284"/>
        <w:jc w:val="both"/>
        <w:rPr>
          <w:rFonts w:ascii="Arial" w:hAnsi="Arial" w:cs="Arial"/>
          <w:sz w:val="21"/>
          <w:szCs w:val="21"/>
        </w:rPr>
      </w:pPr>
      <w:r w:rsidRPr="009F4366">
        <w:rPr>
          <w:rFonts w:ascii="Arial" w:hAnsi="Arial" w:cs="Arial"/>
          <w:sz w:val="21"/>
          <w:szCs w:val="21"/>
        </w:rPr>
        <w:t xml:space="preserve">Nel </w:t>
      </w:r>
      <w:r w:rsidR="00816721" w:rsidRPr="00816721">
        <w:rPr>
          <w:rFonts w:ascii="Arial" w:hAnsi="Arial" w:cs="Arial"/>
          <w:sz w:val="21"/>
          <w:szCs w:val="21"/>
        </w:rPr>
        <w:t>secondo trimestre del 2025</w:t>
      </w:r>
      <w:r w:rsidR="00D32878" w:rsidRPr="009F4366">
        <w:rPr>
          <w:rFonts w:ascii="Arial" w:hAnsi="Arial" w:cs="Arial"/>
          <w:sz w:val="21"/>
          <w:szCs w:val="21"/>
        </w:rPr>
        <w:t xml:space="preserve"> si stima che</w:t>
      </w:r>
      <w:r w:rsidRPr="009F4366">
        <w:rPr>
          <w:rFonts w:ascii="Arial" w:hAnsi="Arial" w:cs="Arial"/>
          <w:sz w:val="21"/>
          <w:szCs w:val="21"/>
        </w:rPr>
        <w:t xml:space="preserve"> il prodotto interno lordo (Pil), espresso in valori concatenati con anno di riferimento </w:t>
      </w:r>
      <w:r w:rsidR="007E40B3">
        <w:rPr>
          <w:rFonts w:ascii="Arial" w:hAnsi="Arial" w:cs="Arial"/>
          <w:sz w:val="21"/>
          <w:szCs w:val="21"/>
        </w:rPr>
        <w:t>2020</w:t>
      </w:r>
      <w:r w:rsidRPr="009F4366">
        <w:rPr>
          <w:rFonts w:ascii="Arial" w:hAnsi="Arial" w:cs="Arial"/>
          <w:sz w:val="21"/>
          <w:szCs w:val="21"/>
        </w:rPr>
        <w:t xml:space="preserve">, corretto per gli effetti di calendario e destagionalizzato, </w:t>
      </w:r>
      <w:r w:rsidR="00D32878" w:rsidRPr="009F4366">
        <w:rPr>
          <w:rFonts w:ascii="Arial" w:hAnsi="Arial" w:cs="Arial"/>
          <w:sz w:val="21"/>
          <w:szCs w:val="21"/>
        </w:rPr>
        <w:t>sia</w:t>
      </w:r>
      <w:r w:rsidRPr="009F4366">
        <w:rPr>
          <w:rFonts w:ascii="Arial" w:hAnsi="Arial" w:cs="Arial"/>
          <w:sz w:val="21"/>
          <w:szCs w:val="21"/>
        </w:rPr>
        <w:t xml:space="preserve"> </w:t>
      </w:r>
      <w:r w:rsidR="003865B4">
        <w:rPr>
          <w:rFonts w:ascii="Arial" w:hAnsi="Arial" w:cs="Arial"/>
          <w:sz w:val="21"/>
          <w:szCs w:val="21"/>
        </w:rPr>
        <w:t>diminuito</w:t>
      </w:r>
      <w:r w:rsidRPr="009F4366">
        <w:rPr>
          <w:rFonts w:ascii="Arial" w:hAnsi="Arial" w:cs="Arial"/>
          <w:sz w:val="21"/>
          <w:szCs w:val="21"/>
        </w:rPr>
        <w:t xml:space="preserve"> dello </w:t>
      </w:r>
      <w:r w:rsidR="00816721" w:rsidRPr="00816721">
        <w:rPr>
          <w:rFonts w:ascii="Arial" w:hAnsi="Arial" w:cs="Arial"/>
          <w:sz w:val="21"/>
          <w:szCs w:val="21"/>
        </w:rPr>
        <w:t>0,1</w:t>
      </w:r>
      <w:r w:rsidRPr="009F4366">
        <w:rPr>
          <w:rFonts w:ascii="Arial" w:hAnsi="Arial" w:cs="Arial"/>
          <w:sz w:val="21"/>
          <w:szCs w:val="21"/>
        </w:rPr>
        <w:t xml:space="preserve">% rispetto al trimestre precedente e </w:t>
      </w:r>
      <w:r w:rsidR="003865B4">
        <w:rPr>
          <w:rFonts w:ascii="Arial" w:hAnsi="Arial" w:cs="Arial"/>
          <w:sz w:val="21"/>
          <w:szCs w:val="21"/>
        </w:rPr>
        <w:t xml:space="preserve">sia aumentato </w:t>
      </w:r>
      <w:r w:rsidRPr="009F4366">
        <w:rPr>
          <w:rFonts w:ascii="Arial" w:hAnsi="Arial" w:cs="Arial"/>
          <w:sz w:val="21"/>
          <w:szCs w:val="21"/>
        </w:rPr>
        <w:t>dell</w:t>
      </w:r>
      <w:r w:rsidR="003865B4">
        <w:rPr>
          <w:rFonts w:ascii="Arial" w:hAnsi="Arial" w:cs="Arial"/>
          <w:sz w:val="21"/>
          <w:szCs w:val="21"/>
        </w:rPr>
        <w:t xml:space="preserve">o </w:t>
      </w:r>
      <w:r w:rsidR="00816721" w:rsidRPr="00816721">
        <w:rPr>
          <w:rFonts w:ascii="Arial" w:hAnsi="Arial" w:cs="Arial"/>
          <w:sz w:val="21"/>
          <w:szCs w:val="21"/>
        </w:rPr>
        <w:t>0,4</w:t>
      </w:r>
      <w:r w:rsidRPr="009F4366">
        <w:rPr>
          <w:rFonts w:ascii="Arial" w:hAnsi="Arial" w:cs="Arial"/>
          <w:sz w:val="21"/>
          <w:szCs w:val="21"/>
        </w:rPr>
        <w:t xml:space="preserve">% </w:t>
      </w:r>
      <w:r w:rsidR="00DD0FB6" w:rsidRPr="009F4366">
        <w:rPr>
          <w:rFonts w:ascii="Arial" w:hAnsi="Arial" w:cs="Arial"/>
          <w:sz w:val="21"/>
          <w:szCs w:val="21"/>
        </w:rPr>
        <w:t>in termini tendenziali</w:t>
      </w:r>
      <w:r w:rsidRPr="009F4366">
        <w:rPr>
          <w:rFonts w:ascii="Arial" w:hAnsi="Arial" w:cs="Arial"/>
          <w:sz w:val="21"/>
          <w:szCs w:val="21"/>
        </w:rPr>
        <w:t>.</w:t>
      </w:r>
      <w:r w:rsidR="009F4366" w:rsidRPr="009F4366">
        <w:rPr>
          <w:rFonts w:ascii="Arial" w:hAnsi="Arial" w:cs="Arial"/>
          <w:sz w:val="21"/>
          <w:szCs w:val="21"/>
        </w:rPr>
        <w:t xml:space="preserve"> </w:t>
      </w:r>
    </w:p>
    <w:p w14:paraId="1DDB067F" w14:textId="2AF0C422" w:rsidR="008A2015" w:rsidRPr="009F4366" w:rsidRDefault="008A2015" w:rsidP="007150C5">
      <w:pPr>
        <w:widowControl/>
        <w:numPr>
          <w:ilvl w:val="0"/>
          <w:numId w:val="19"/>
        </w:numPr>
        <w:tabs>
          <w:tab w:val="left" w:pos="10206"/>
        </w:tabs>
        <w:overflowPunct/>
        <w:spacing w:before="0" w:line="230" w:lineRule="exact"/>
        <w:ind w:left="284" w:hanging="284"/>
        <w:jc w:val="both"/>
        <w:rPr>
          <w:rFonts w:ascii="Arial" w:hAnsi="Arial" w:cs="Arial"/>
          <w:sz w:val="21"/>
          <w:szCs w:val="21"/>
        </w:rPr>
      </w:pPr>
      <w:r w:rsidRPr="009F4366">
        <w:rPr>
          <w:rFonts w:ascii="Arial" w:hAnsi="Arial" w:cs="Arial"/>
          <w:sz w:val="21"/>
          <w:szCs w:val="21"/>
        </w:rPr>
        <w:t xml:space="preserve">Il </w:t>
      </w:r>
      <w:r w:rsidR="00816721" w:rsidRPr="00816721">
        <w:rPr>
          <w:rFonts w:ascii="Arial" w:hAnsi="Arial" w:cs="Arial"/>
          <w:sz w:val="21"/>
          <w:szCs w:val="21"/>
        </w:rPr>
        <w:t>secondo trimestre del 2025</w:t>
      </w:r>
      <w:r w:rsidRPr="009F4366">
        <w:rPr>
          <w:rFonts w:ascii="Arial" w:hAnsi="Arial" w:cs="Arial"/>
          <w:sz w:val="21"/>
          <w:szCs w:val="21"/>
        </w:rPr>
        <w:t xml:space="preserve"> ha avuto </w:t>
      </w:r>
      <w:r w:rsidR="00816721" w:rsidRPr="00816721">
        <w:rPr>
          <w:rFonts w:ascii="Arial" w:hAnsi="Arial" w:cs="Arial"/>
          <w:bCs/>
          <w:kern w:val="0"/>
          <w:sz w:val="21"/>
          <w:szCs w:val="21"/>
          <w:lang w:eastAsia="en-US"/>
        </w:rPr>
        <w:t>una giornata lavorativa in meno</w:t>
      </w:r>
      <w:r w:rsidRPr="009F4366">
        <w:rPr>
          <w:rFonts w:ascii="Arial" w:hAnsi="Arial" w:cs="Arial"/>
          <w:sz w:val="21"/>
          <w:szCs w:val="21"/>
        </w:rPr>
        <w:t xml:space="preserve"> </w:t>
      </w:r>
      <w:r w:rsidR="0075269C">
        <w:rPr>
          <w:rFonts w:ascii="Arial" w:hAnsi="Arial" w:cs="Arial"/>
          <w:sz w:val="21"/>
          <w:szCs w:val="21"/>
        </w:rPr>
        <w:t xml:space="preserve">sia </w:t>
      </w:r>
      <w:r w:rsidR="002C1564" w:rsidRPr="009F4366">
        <w:rPr>
          <w:rFonts w:ascii="Arial" w:hAnsi="Arial" w:cs="Arial"/>
          <w:sz w:val="21"/>
          <w:szCs w:val="21"/>
        </w:rPr>
        <w:t xml:space="preserve">rispetto </w:t>
      </w:r>
      <w:r w:rsidRPr="009F4366">
        <w:rPr>
          <w:rFonts w:ascii="Arial" w:hAnsi="Arial" w:cs="Arial"/>
          <w:sz w:val="21"/>
          <w:szCs w:val="21"/>
        </w:rPr>
        <w:t>al trimestre precedente</w:t>
      </w:r>
      <w:r w:rsidR="0075269C">
        <w:rPr>
          <w:rFonts w:ascii="Arial" w:hAnsi="Arial" w:cs="Arial"/>
          <w:sz w:val="21"/>
          <w:szCs w:val="21"/>
        </w:rPr>
        <w:t>,</w:t>
      </w:r>
      <w:r w:rsidRPr="009F4366">
        <w:rPr>
          <w:rFonts w:ascii="Arial" w:hAnsi="Arial" w:cs="Arial"/>
          <w:sz w:val="21"/>
          <w:szCs w:val="21"/>
        </w:rPr>
        <w:t xml:space="preserve"> </w:t>
      </w:r>
      <w:r w:rsidR="0075269C">
        <w:rPr>
          <w:rFonts w:ascii="Arial" w:hAnsi="Arial" w:cs="Arial"/>
          <w:sz w:val="21"/>
          <w:szCs w:val="21"/>
        </w:rPr>
        <w:t xml:space="preserve">sia </w:t>
      </w:r>
      <w:r w:rsidR="003C1443" w:rsidRPr="009F4366">
        <w:rPr>
          <w:rFonts w:ascii="Arial" w:hAnsi="Arial" w:cs="Arial"/>
          <w:sz w:val="21"/>
          <w:szCs w:val="21"/>
        </w:rPr>
        <w:t xml:space="preserve">rispetto </w:t>
      </w:r>
      <w:r w:rsidRPr="009F4366">
        <w:rPr>
          <w:rFonts w:ascii="Arial" w:hAnsi="Arial" w:cs="Arial"/>
          <w:sz w:val="21"/>
          <w:szCs w:val="21"/>
        </w:rPr>
        <w:t xml:space="preserve">al </w:t>
      </w:r>
      <w:r w:rsidR="00816721" w:rsidRPr="00816721">
        <w:rPr>
          <w:rFonts w:ascii="Arial" w:hAnsi="Arial" w:cs="Arial"/>
          <w:bCs/>
          <w:kern w:val="0"/>
          <w:sz w:val="21"/>
          <w:szCs w:val="21"/>
          <w:lang w:eastAsia="en-US"/>
        </w:rPr>
        <w:t>secondo trimestre del 2024</w:t>
      </w:r>
      <w:r w:rsidRPr="009F4366">
        <w:rPr>
          <w:rFonts w:ascii="Arial" w:hAnsi="Arial" w:cs="Arial"/>
          <w:sz w:val="21"/>
          <w:szCs w:val="21"/>
        </w:rPr>
        <w:t>.</w:t>
      </w:r>
      <w:r w:rsidR="002C1564" w:rsidRPr="009F4366">
        <w:rPr>
          <w:rFonts w:ascii="Arial" w:hAnsi="Arial" w:cs="Arial"/>
          <w:sz w:val="21"/>
          <w:szCs w:val="21"/>
        </w:rPr>
        <w:t xml:space="preserve"> </w:t>
      </w:r>
    </w:p>
    <w:p w14:paraId="7694FA52" w14:textId="2E68BFF3" w:rsidR="008A2015" w:rsidRPr="0040329B" w:rsidRDefault="008A2015" w:rsidP="008748F4">
      <w:pPr>
        <w:widowControl/>
        <w:numPr>
          <w:ilvl w:val="0"/>
          <w:numId w:val="19"/>
        </w:numPr>
        <w:tabs>
          <w:tab w:val="clear" w:pos="340"/>
          <w:tab w:val="num" w:pos="284"/>
          <w:tab w:val="left" w:pos="10206"/>
        </w:tabs>
        <w:overflowPunct/>
        <w:spacing w:before="0" w:line="230" w:lineRule="exact"/>
        <w:ind w:left="284" w:hanging="284"/>
        <w:jc w:val="both"/>
        <w:rPr>
          <w:rFonts w:ascii="Arial" w:hAnsi="Arial" w:cs="Arial"/>
          <w:iCs/>
          <w:noProof/>
          <w:color w:val="000000"/>
          <w:sz w:val="21"/>
          <w:szCs w:val="21"/>
        </w:rPr>
      </w:pPr>
      <w:r w:rsidRPr="000B233D">
        <w:rPr>
          <w:rFonts w:ascii="Arial" w:hAnsi="Arial" w:cs="Arial"/>
          <w:sz w:val="21"/>
          <w:szCs w:val="21"/>
        </w:rPr>
        <w:t>La variazione congiunturale è la sintesi di una diminuzione del valore aggiunto nel comparto dell’</w:t>
      </w:r>
      <w:r w:rsidR="00D95CE2">
        <w:rPr>
          <w:rFonts w:ascii="Arial" w:hAnsi="Arial" w:cs="Arial"/>
          <w:sz w:val="21"/>
          <w:szCs w:val="21"/>
        </w:rPr>
        <w:t>agricoltura, silvicoltura e pesca</w:t>
      </w:r>
      <w:r w:rsidR="00394B0D">
        <w:rPr>
          <w:rFonts w:ascii="Arial" w:hAnsi="Arial" w:cs="Arial"/>
          <w:sz w:val="21"/>
          <w:szCs w:val="21"/>
        </w:rPr>
        <w:t xml:space="preserve"> e</w:t>
      </w:r>
      <w:r w:rsidR="00B8697F">
        <w:rPr>
          <w:rFonts w:ascii="Arial" w:hAnsi="Arial" w:cs="Arial"/>
          <w:sz w:val="21"/>
          <w:szCs w:val="21"/>
        </w:rPr>
        <w:t xml:space="preserve"> </w:t>
      </w:r>
      <w:r w:rsidRPr="000B233D">
        <w:rPr>
          <w:rFonts w:ascii="Arial" w:hAnsi="Arial" w:cs="Arial"/>
          <w:sz w:val="21"/>
          <w:szCs w:val="21"/>
        </w:rPr>
        <w:t>i</w:t>
      </w:r>
      <w:r w:rsidR="00B8697F">
        <w:rPr>
          <w:rFonts w:ascii="Arial" w:hAnsi="Arial" w:cs="Arial"/>
          <w:sz w:val="21"/>
          <w:szCs w:val="21"/>
        </w:rPr>
        <w:t xml:space="preserve">n quello </w:t>
      </w:r>
      <w:r w:rsidRPr="000B233D">
        <w:rPr>
          <w:rFonts w:ascii="Arial" w:hAnsi="Arial" w:cs="Arial"/>
          <w:sz w:val="21"/>
          <w:szCs w:val="21"/>
        </w:rPr>
        <w:t>dell’</w:t>
      </w:r>
      <w:r w:rsidR="00D95CE2">
        <w:rPr>
          <w:rFonts w:ascii="Arial" w:hAnsi="Arial" w:cs="Arial"/>
          <w:sz w:val="21"/>
          <w:szCs w:val="21"/>
        </w:rPr>
        <w:t>industria</w:t>
      </w:r>
      <w:r w:rsidR="00394B0D">
        <w:rPr>
          <w:rFonts w:ascii="Arial" w:hAnsi="Arial" w:cs="Arial"/>
          <w:sz w:val="21"/>
          <w:szCs w:val="21"/>
        </w:rPr>
        <w:t xml:space="preserve"> e di una sostanziale stazionarietà n</w:t>
      </w:r>
      <w:r w:rsidRPr="000B233D">
        <w:rPr>
          <w:rFonts w:ascii="Arial" w:hAnsi="Arial" w:cs="Arial"/>
          <w:sz w:val="21"/>
          <w:szCs w:val="21"/>
        </w:rPr>
        <w:t xml:space="preserve">ei servizi. Dal lato della domanda, </w:t>
      </w:r>
      <w:r w:rsidR="00394B0D">
        <w:rPr>
          <w:rFonts w:ascii="Arial" w:hAnsi="Arial" w:cs="Arial"/>
          <w:sz w:val="21"/>
          <w:szCs w:val="21"/>
        </w:rPr>
        <w:t>si rileva</w:t>
      </w:r>
      <w:r w:rsidRPr="000B233D">
        <w:rPr>
          <w:rFonts w:ascii="Arial" w:hAnsi="Arial" w:cs="Arial"/>
          <w:sz w:val="21"/>
          <w:szCs w:val="21"/>
        </w:rPr>
        <w:t xml:space="preserve"> un contributo positivo della componente nazionale (al lordo delle scorte) e un apporto negativo della componente estera netta. </w:t>
      </w:r>
    </w:p>
    <w:p w14:paraId="4C5400DE" w14:textId="32879B38" w:rsidR="0040329B" w:rsidRPr="00885824" w:rsidRDefault="0040329B" w:rsidP="008748F4">
      <w:pPr>
        <w:widowControl/>
        <w:numPr>
          <w:ilvl w:val="0"/>
          <w:numId w:val="19"/>
        </w:numPr>
        <w:tabs>
          <w:tab w:val="clear" w:pos="340"/>
          <w:tab w:val="num" w:pos="284"/>
          <w:tab w:val="left" w:pos="10206"/>
        </w:tabs>
        <w:overflowPunct/>
        <w:spacing w:before="0" w:line="230" w:lineRule="exact"/>
        <w:jc w:val="both"/>
        <w:rPr>
          <w:rFonts w:ascii="Arial" w:hAnsi="Arial" w:cs="Arial"/>
          <w:sz w:val="21"/>
          <w:szCs w:val="21"/>
        </w:rPr>
      </w:pPr>
      <w:r w:rsidRPr="000B233D">
        <w:rPr>
          <w:rFonts w:ascii="Arial" w:hAnsi="Arial" w:cs="Arial"/>
          <w:sz w:val="21"/>
          <w:szCs w:val="21"/>
        </w:rPr>
        <w:t xml:space="preserve">La variazione acquisita per il </w:t>
      </w:r>
      <w:r w:rsidR="00816721" w:rsidRPr="00816721">
        <w:rPr>
          <w:rFonts w:ascii="Arial" w:hAnsi="Arial" w:cs="Arial"/>
          <w:bCs/>
          <w:kern w:val="0"/>
          <w:sz w:val="21"/>
          <w:szCs w:val="21"/>
          <w:lang w:eastAsia="en-US"/>
        </w:rPr>
        <w:t>2025</w:t>
      </w:r>
      <w:r w:rsidRPr="000B233D">
        <w:rPr>
          <w:rFonts w:ascii="Arial" w:hAnsi="Arial" w:cs="Arial"/>
          <w:sz w:val="21"/>
          <w:szCs w:val="21"/>
        </w:rPr>
        <w:t xml:space="preserve"> è pari a </w:t>
      </w:r>
      <w:r w:rsidR="00B8697F">
        <w:rPr>
          <w:rFonts w:ascii="Arial" w:hAnsi="Arial" w:cs="Arial"/>
          <w:sz w:val="21"/>
          <w:szCs w:val="21"/>
        </w:rPr>
        <w:t>+</w:t>
      </w:r>
      <w:r w:rsidR="00816721" w:rsidRPr="00816721">
        <w:rPr>
          <w:rFonts w:ascii="Arial" w:hAnsi="Arial" w:cs="Arial"/>
          <w:kern w:val="0"/>
          <w:sz w:val="21"/>
          <w:szCs w:val="21"/>
          <w:lang w:eastAsia="en-US"/>
        </w:rPr>
        <w:t>0,5</w:t>
      </w:r>
      <w:r w:rsidRPr="000B233D">
        <w:rPr>
          <w:rFonts w:ascii="Arial" w:hAnsi="Arial" w:cs="Arial"/>
          <w:sz w:val="21"/>
          <w:szCs w:val="21"/>
        </w:rPr>
        <w:t>%.</w:t>
      </w:r>
    </w:p>
    <w:p w14:paraId="4DB21FD6" w14:textId="77777777" w:rsidR="00E55169" w:rsidRDefault="00E55169" w:rsidP="008748F4">
      <w:pPr>
        <w:widowControl/>
        <w:tabs>
          <w:tab w:val="left" w:pos="284"/>
        </w:tabs>
        <w:overflowPunct/>
        <w:autoSpaceDE/>
        <w:autoSpaceDN/>
        <w:adjustRightInd/>
        <w:spacing w:before="0" w:line="230" w:lineRule="exact"/>
        <w:ind w:right="341"/>
        <w:jc w:val="both"/>
        <w:rPr>
          <w:rFonts w:ascii="Arial" w:hAnsi="Arial" w:cs="Arial"/>
          <w:color w:val="000000"/>
          <w:sz w:val="21"/>
          <w:szCs w:val="21"/>
        </w:rPr>
      </w:pPr>
    </w:p>
    <w:p w14:paraId="457C30C1" w14:textId="77777777" w:rsidR="00E55169" w:rsidRDefault="00E55169" w:rsidP="008748F4">
      <w:pPr>
        <w:widowControl/>
        <w:tabs>
          <w:tab w:val="left" w:pos="284"/>
        </w:tabs>
        <w:overflowPunct/>
        <w:autoSpaceDE/>
        <w:autoSpaceDN/>
        <w:adjustRightInd/>
        <w:spacing w:before="0" w:line="230" w:lineRule="exact"/>
        <w:ind w:right="341"/>
        <w:jc w:val="both"/>
        <w:rPr>
          <w:rFonts w:ascii="Arial" w:hAnsi="Arial" w:cs="Arial"/>
          <w:color w:val="000000"/>
          <w:sz w:val="21"/>
          <w:szCs w:val="21"/>
        </w:rPr>
      </w:pPr>
      <w:bookmarkStart w:id="0" w:name="_GoBack"/>
      <w:bookmarkEnd w:id="0"/>
    </w:p>
    <w:p w14:paraId="4867380D" w14:textId="77777777" w:rsidR="000B115F" w:rsidRDefault="000B115F" w:rsidP="000B115F">
      <w:pPr>
        <w:spacing w:before="0" w:after="120"/>
        <w:jc w:val="both"/>
        <w:rPr>
          <w:rFonts w:ascii="Arial" w:hAnsi="Arial" w:cs="Arial"/>
          <w:color w:val="000000"/>
          <w:sz w:val="21"/>
          <w:szCs w:val="21"/>
        </w:rPr>
      </w:pPr>
    </w:p>
    <w:p w14:paraId="3ADE1FB1" w14:textId="77777777" w:rsidR="000B115F" w:rsidRDefault="000B115F" w:rsidP="000B115F">
      <w:pPr>
        <w:spacing w:before="0" w:after="120"/>
        <w:jc w:val="both"/>
        <w:rPr>
          <w:rFonts w:ascii="Arial" w:hAnsi="Arial" w:cs="Arial"/>
          <w:color w:val="000000"/>
          <w:sz w:val="21"/>
          <w:szCs w:val="21"/>
        </w:rPr>
      </w:pPr>
    </w:p>
    <w:p w14:paraId="7672A263" w14:textId="77777777" w:rsidR="000B115F" w:rsidRDefault="000B115F" w:rsidP="000B115F">
      <w:pPr>
        <w:spacing w:before="0" w:after="120"/>
        <w:jc w:val="both"/>
        <w:rPr>
          <w:rFonts w:ascii="Arial" w:hAnsi="Arial" w:cs="Arial"/>
          <w:color w:val="000000"/>
          <w:sz w:val="21"/>
          <w:szCs w:val="21"/>
        </w:rPr>
      </w:pPr>
    </w:p>
    <w:p w14:paraId="26CCAF0C" w14:textId="77777777" w:rsidR="000B115F" w:rsidRDefault="000B115F" w:rsidP="000B115F">
      <w:pPr>
        <w:spacing w:before="0" w:after="120"/>
        <w:jc w:val="both"/>
        <w:rPr>
          <w:rFonts w:ascii="Arial" w:hAnsi="Arial" w:cs="Arial"/>
          <w:color w:val="000000"/>
          <w:sz w:val="21"/>
          <w:szCs w:val="21"/>
        </w:rPr>
      </w:pPr>
    </w:p>
    <w:p w14:paraId="1564153C" w14:textId="77777777" w:rsidR="000B115F" w:rsidRDefault="000B115F" w:rsidP="000B115F">
      <w:pPr>
        <w:spacing w:before="0" w:after="120"/>
        <w:jc w:val="both"/>
        <w:rPr>
          <w:rFonts w:ascii="Arial" w:hAnsi="Arial" w:cs="Arial"/>
          <w:color w:val="000000"/>
          <w:sz w:val="21"/>
          <w:szCs w:val="21"/>
        </w:rPr>
      </w:pPr>
    </w:p>
    <w:p w14:paraId="3B8F6947" w14:textId="77777777" w:rsidR="000B115F" w:rsidRDefault="000B115F" w:rsidP="000B115F">
      <w:pPr>
        <w:spacing w:before="0" w:after="120"/>
        <w:jc w:val="both"/>
        <w:rPr>
          <w:rFonts w:ascii="Arial" w:hAnsi="Arial" w:cs="Arial"/>
          <w:color w:val="000000"/>
          <w:sz w:val="21"/>
          <w:szCs w:val="21"/>
        </w:rPr>
      </w:pPr>
    </w:p>
    <w:p w14:paraId="07C69167" w14:textId="756969BF" w:rsidR="000B115F" w:rsidRDefault="001E7914" w:rsidP="000B115F">
      <w:pPr>
        <w:tabs>
          <w:tab w:val="left" w:pos="142"/>
        </w:tabs>
      </w:pPr>
      <w:r>
        <w:rPr>
          <w:rFonts w:ascii="Arial" w:hAnsi="Arial" w:cs="Arial"/>
          <w:noProof/>
          <w:sz w:val="22"/>
          <w:szCs w:val="22"/>
        </w:rPr>
        <w:drawing>
          <wp:anchor distT="0" distB="0" distL="114300" distR="114300" simplePos="0" relativeHeight="251659264" behindDoc="0" locked="0" layoutInCell="1" allowOverlap="1" wp14:anchorId="63AB1BC0" wp14:editId="2FC00AC1">
            <wp:simplePos x="0" y="0"/>
            <wp:positionH relativeFrom="column">
              <wp:posOffset>-75565</wp:posOffset>
            </wp:positionH>
            <wp:positionV relativeFrom="paragraph">
              <wp:posOffset>14605</wp:posOffset>
            </wp:positionV>
            <wp:extent cx="920750" cy="920750"/>
            <wp:effectExtent l="0" t="0" r="0" b="0"/>
            <wp:wrapNone/>
            <wp:docPr id="236" name="Immagin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b/>
          <w:noProof/>
          <w:color w:val="FFFFFF"/>
          <w:sz w:val="32"/>
          <w:szCs w:val="32"/>
        </w:rPr>
        <w:drawing>
          <wp:anchor distT="0" distB="0" distL="114300" distR="114300" simplePos="0" relativeHeight="251658240" behindDoc="0" locked="0" layoutInCell="1" allowOverlap="1" wp14:anchorId="365486B8" wp14:editId="44F4A7CF">
            <wp:simplePos x="0" y="0"/>
            <wp:positionH relativeFrom="column">
              <wp:posOffset>5865495</wp:posOffset>
            </wp:positionH>
            <wp:positionV relativeFrom="paragraph">
              <wp:posOffset>-2540</wp:posOffset>
            </wp:positionV>
            <wp:extent cx="657225" cy="638175"/>
            <wp:effectExtent l="0" t="0" r="0" b="0"/>
            <wp:wrapNone/>
            <wp:docPr id="235" name="Immagine 3" descr="Descrizione: iconeComunicati-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Descrizione: iconeComunicati-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6"/>
        <w:gridCol w:w="3290"/>
      </w:tblGrid>
      <w:tr w:rsidR="000B115F" w:rsidRPr="002578CE" w14:paraId="24ABABCC" w14:textId="77777777" w:rsidTr="006354F3">
        <w:trPr>
          <w:trHeight w:val="115"/>
        </w:trPr>
        <w:tc>
          <w:tcPr>
            <w:tcW w:w="7054" w:type="dxa"/>
            <w:vMerge w:val="restart"/>
            <w:tcBorders>
              <w:top w:val="nil"/>
              <w:left w:val="single" w:sz="4" w:space="0" w:color="FFFFFF"/>
              <w:right w:val="single" w:sz="48" w:space="0" w:color="FFFFFF"/>
            </w:tcBorders>
            <w:shd w:val="clear" w:color="auto" w:fill="D9D9D9"/>
          </w:tcPr>
          <w:p w14:paraId="67C4D044" w14:textId="77777777" w:rsidR="000B115F" w:rsidRPr="00CC0B76" w:rsidRDefault="000B115F" w:rsidP="006354F3">
            <w:pPr>
              <w:pStyle w:val="Paragrafobase"/>
              <w:spacing w:before="120" w:line="140" w:lineRule="atLeast"/>
              <w:rPr>
                <w:rFonts w:ascii="Calibri" w:hAnsi="Calibri" w:cs="Arial"/>
                <w:color w:val="E42618"/>
                <w:sz w:val="56"/>
                <w:szCs w:val="56"/>
              </w:rPr>
            </w:pPr>
            <w:r w:rsidRPr="002578CE">
              <w:rPr>
                <w:rFonts w:ascii="Arial" w:hAnsi="Arial" w:cs="Arial"/>
                <w:sz w:val="22"/>
                <w:szCs w:val="22"/>
              </w:rPr>
              <w:t xml:space="preserve">                    </w:t>
            </w:r>
            <w:r>
              <w:rPr>
                <w:rFonts w:ascii="Arial" w:hAnsi="Arial" w:cs="Arial"/>
                <w:sz w:val="22"/>
                <w:szCs w:val="22"/>
              </w:rPr>
              <w:t xml:space="preserve"> </w:t>
            </w:r>
            <w:r w:rsidRPr="00CC0B76">
              <w:rPr>
                <w:rFonts w:ascii="Calibri" w:hAnsi="Calibri" w:cs="Arial"/>
                <w:color w:val="E42618"/>
                <w:sz w:val="56"/>
                <w:szCs w:val="56"/>
              </w:rPr>
              <w:t>Il commento</w:t>
            </w:r>
          </w:p>
          <w:p w14:paraId="0476B538" w14:textId="77777777" w:rsidR="000B115F" w:rsidRPr="0062122A" w:rsidRDefault="000B115F" w:rsidP="006354F3">
            <w:pPr>
              <w:pStyle w:val="Paragrafobase"/>
              <w:spacing w:line="240" w:lineRule="atLeast"/>
              <w:rPr>
                <w:rFonts w:ascii="Calibri" w:hAnsi="Calibri" w:cs="Arial"/>
                <w:color w:val="E31C18"/>
              </w:rPr>
            </w:pPr>
          </w:p>
          <w:p w14:paraId="5912EA20" w14:textId="77777777" w:rsidR="000B115F" w:rsidRDefault="000B115F" w:rsidP="000B115F">
            <w:pPr>
              <w:pStyle w:val="Paragrafobase"/>
              <w:tabs>
                <w:tab w:val="left" w:pos="6526"/>
              </w:tabs>
              <w:spacing w:line="260" w:lineRule="exact"/>
              <w:ind w:left="142" w:right="176"/>
              <w:jc w:val="both"/>
              <w:rPr>
                <w:rFonts w:ascii="Arial" w:hAnsi="Arial" w:cs="Arial"/>
                <w:sz w:val="21"/>
                <w:szCs w:val="21"/>
              </w:rPr>
            </w:pPr>
          </w:p>
          <w:p w14:paraId="4B06579B" w14:textId="77777777" w:rsidR="00394B0D" w:rsidRDefault="00394B0D" w:rsidP="00394B0D">
            <w:pPr>
              <w:pStyle w:val="Paragrafobase"/>
              <w:tabs>
                <w:tab w:val="left" w:pos="6526"/>
              </w:tabs>
              <w:spacing w:line="260" w:lineRule="exact"/>
              <w:ind w:left="142" w:right="176"/>
              <w:jc w:val="both"/>
              <w:rPr>
                <w:rFonts w:ascii="Arial" w:hAnsi="Arial" w:cs="Arial"/>
                <w:sz w:val="21"/>
                <w:szCs w:val="21"/>
              </w:rPr>
            </w:pPr>
            <w:r>
              <w:rPr>
                <w:rFonts w:ascii="Arial" w:hAnsi="Arial" w:cs="Arial"/>
                <w:sz w:val="21"/>
                <w:szCs w:val="21"/>
              </w:rPr>
              <w:t>Nel secondo trimestre del 2025 si stima che l</w:t>
            </w:r>
            <w:r w:rsidRPr="00B928D9">
              <w:rPr>
                <w:rFonts w:ascii="Arial" w:hAnsi="Arial" w:cs="Arial"/>
                <w:sz w:val="21"/>
                <w:szCs w:val="21"/>
              </w:rPr>
              <w:t xml:space="preserve">’economia italiana </w:t>
            </w:r>
            <w:r>
              <w:rPr>
                <w:rFonts w:ascii="Arial" w:hAnsi="Arial" w:cs="Arial"/>
                <w:sz w:val="21"/>
                <w:szCs w:val="21"/>
              </w:rPr>
              <w:t>sia in flessione dello 0,1% rispetto al primo trimestre dell’anno e in crescita dello 0,4% rispetto al secondo trimestre del 2024. La crescita tendenziale risulta in decelerazione rispetto alla quella dello 0,7% del primo trimestre dell’anno. La stima della crescita acquisita per il 2025 è pari allo 0,5%, uguale a quella rilasciata con la diffusione dei conti trimestrali completi relativi al primo trimestre dell’anno.</w:t>
            </w:r>
          </w:p>
          <w:p w14:paraId="53E1E68A" w14:textId="4D5BA70E" w:rsidR="000B115F" w:rsidRDefault="00394B0D" w:rsidP="00394B0D">
            <w:pPr>
              <w:pStyle w:val="Paragrafobase"/>
              <w:tabs>
                <w:tab w:val="left" w:pos="6526"/>
              </w:tabs>
              <w:spacing w:line="260" w:lineRule="exact"/>
              <w:ind w:left="142" w:right="176"/>
              <w:jc w:val="both"/>
              <w:rPr>
                <w:rFonts w:ascii="Arial" w:hAnsi="Arial" w:cs="Arial"/>
                <w:sz w:val="21"/>
                <w:szCs w:val="21"/>
              </w:rPr>
            </w:pPr>
            <w:r>
              <w:rPr>
                <w:rFonts w:ascii="Arial" w:hAnsi="Arial" w:cs="Arial"/>
                <w:sz w:val="21"/>
                <w:szCs w:val="21"/>
              </w:rPr>
              <w:t>La stima della variazione congiunturale del Pil qui diffusa, di cui si sottolinea la natura preliminare, riflette una diminuzione sia del comparto primario sia di quello industriale, mentre il settore dei servizi ha registrato, nel complesso dei tre mesi, una sostanziale stazionarietà. Dal lato della domanda, la componente nazionale, misurata al lordo delle scorte, è in crescita, mentre si registra una diminuzione consistente della componente estera netta.</w:t>
            </w:r>
          </w:p>
          <w:p w14:paraId="1C562662" w14:textId="77777777" w:rsidR="000B115F" w:rsidRPr="003C3951" w:rsidRDefault="000B115F" w:rsidP="000B115F">
            <w:pPr>
              <w:pStyle w:val="Paragrafobase"/>
              <w:tabs>
                <w:tab w:val="left" w:pos="6526"/>
              </w:tabs>
              <w:spacing w:line="260" w:lineRule="exact"/>
              <w:ind w:right="176"/>
              <w:jc w:val="both"/>
              <w:rPr>
                <w:b/>
              </w:rPr>
            </w:pPr>
          </w:p>
        </w:tc>
        <w:tc>
          <w:tcPr>
            <w:tcW w:w="3294" w:type="dxa"/>
            <w:tcBorders>
              <w:top w:val="nil"/>
              <w:left w:val="single" w:sz="48" w:space="0" w:color="FFFFFF"/>
              <w:bottom w:val="single" w:sz="36" w:space="0" w:color="FFFFFF"/>
              <w:right w:val="single" w:sz="36" w:space="0" w:color="FFFFFF"/>
            </w:tcBorders>
            <w:shd w:val="clear" w:color="auto" w:fill="E31C18"/>
          </w:tcPr>
          <w:p w14:paraId="300B46CF" w14:textId="77777777" w:rsidR="000B115F" w:rsidRPr="00AC2483" w:rsidRDefault="000B115F" w:rsidP="006354F3">
            <w:pPr>
              <w:pStyle w:val="Paragrafobase"/>
              <w:spacing w:before="200" w:line="320" w:lineRule="exact"/>
              <w:ind w:left="176"/>
              <w:rPr>
                <w:rFonts w:ascii="Calibri" w:hAnsi="Calibri" w:cs="Arial"/>
                <w:b/>
                <w:color w:val="FFFFFF"/>
                <w:sz w:val="28"/>
                <w:szCs w:val="28"/>
              </w:rPr>
            </w:pPr>
            <w:r w:rsidRPr="00AC2483">
              <w:rPr>
                <w:rFonts w:ascii="Calibri" w:hAnsi="Calibri" w:cs="Arial"/>
                <w:b/>
                <w:color w:val="FFFFFF"/>
                <w:sz w:val="28"/>
                <w:szCs w:val="28"/>
              </w:rPr>
              <w:t>PROSSIMA</w:t>
            </w:r>
          </w:p>
          <w:p w14:paraId="3BA8386F" w14:textId="77777777" w:rsidR="000B115F" w:rsidRPr="0065525E" w:rsidRDefault="000B115F" w:rsidP="006354F3">
            <w:pPr>
              <w:pStyle w:val="Paragrafobase"/>
              <w:spacing w:line="320" w:lineRule="exact"/>
              <w:ind w:left="175"/>
              <w:rPr>
                <w:rFonts w:ascii="Calibri" w:hAnsi="Calibri" w:cs="Arial"/>
                <w:b/>
                <w:color w:val="FFFFFF"/>
                <w:sz w:val="28"/>
                <w:szCs w:val="28"/>
              </w:rPr>
            </w:pPr>
            <w:r w:rsidRPr="00AC2483">
              <w:rPr>
                <w:rFonts w:ascii="Calibri" w:hAnsi="Calibri" w:cs="Arial"/>
                <w:b/>
                <w:color w:val="FFFFFF"/>
                <w:sz w:val="28"/>
                <w:szCs w:val="28"/>
              </w:rPr>
              <w:t>DIFFUSIONE</w:t>
            </w:r>
          </w:p>
          <w:p w14:paraId="3F89CDDF" w14:textId="449A5BB9" w:rsidR="000B115F" w:rsidRPr="0065525E" w:rsidRDefault="00816721" w:rsidP="006354F3">
            <w:pPr>
              <w:pStyle w:val="Paragrafobase"/>
              <w:spacing w:before="120" w:after="120" w:line="160" w:lineRule="atLeast"/>
              <w:ind w:left="176"/>
              <w:rPr>
                <w:rFonts w:ascii="Arial Narrow" w:hAnsi="Arial Narrow" w:cs="Arial"/>
                <w:color w:val="FFFFFF"/>
                <w:sz w:val="28"/>
                <w:szCs w:val="28"/>
              </w:rPr>
            </w:pPr>
            <w:r w:rsidRPr="00816721">
              <w:rPr>
                <w:rFonts w:ascii="Arial Narrow" w:hAnsi="Arial Narrow" w:cs="Arial"/>
                <w:color w:val="FFFFFF"/>
                <w:sz w:val="22"/>
                <w:szCs w:val="22"/>
              </w:rPr>
              <w:t>30 ottobre 2025</w:t>
            </w:r>
          </w:p>
        </w:tc>
      </w:tr>
      <w:tr w:rsidR="000B115F" w:rsidRPr="002578CE" w14:paraId="51B0BFFE" w14:textId="77777777" w:rsidTr="006354F3">
        <w:trPr>
          <w:trHeight w:val="115"/>
        </w:trPr>
        <w:tc>
          <w:tcPr>
            <w:tcW w:w="7054" w:type="dxa"/>
            <w:vMerge/>
            <w:tcBorders>
              <w:left w:val="single" w:sz="4" w:space="0" w:color="FFFFFF"/>
              <w:right w:val="single" w:sz="48" w:space="0" w:color="FFFFFF"/>
            </w:tcBorders>
            <w:shd w:val="clear" w:color="auto" w:fill="D9D9D9"/>
          </w:tcPr>
          <w:p w14:paraId="68EA6508" w14:textId="77777777" w:rsidR="000B115F" w:rsidRPr="002578CE" w:rsidRDefault="000B115F" w:rsidP="006354F3">
            <w:pPr>
              <w:widowControl/>
              <w:tabs>
                <w:tab w:val="left" w:pos="284"/>
                <w:tab w:val="left" w:pos="709"/>
              </w:tabs>
              <w:overflowPunct/>
              <w:autoSpaceDE/>
              <w:autoSpaceDN/>
              <w:adjustRightInd/>
              <w:spacing w:before="0" w:after="120" w:line="230" w:lineRule="exact"/>
              <w:jc w:val="both"/>
              <w:rPr>
                <w:rFonts w:ascii="Arial" w:hAnsi="Arial" w:cs="Arial"/>
                <w:sz w:val="21"/>
                <w:szCs w:val="21"/>
              </w:rPr>
            </w:pPr>
          </w:p>
        </w:tc>
        <w:tc>
          <w:tcPr>
            <w:tcW w:w="3294" w:type="dxa"/>
            <w:tcBorders>
              <w:top w:val="single" w:sz="36" w:space="0" w:color="FFFFFF"/>
              <w:left w:val="single" w:sz="48" w:space="0" w:color="FFFFFF"/>
              <w:bottom w:val="single" w:sz="36" w:space="0" w:color="FFFFFF"/>
              <w:right w:val="single" w:sz="36" w:space="0" w:color="FFFFFF"/>
            </w:tcBorders>
            <w:shd w:val="clear" w:color="auto" w:fill="FFFFFF"/>
          </w:tcPr>
          <w:p w14:paraId="0332DF64" w14:textId="0DEB1532" w:rsidR="000B115F" w:rsidRPr="002578CE" w:rsidRDefault="001E7914" w:rsidP="006354F3">
            <w:pPr>
              <w:pStyle w:val="Paragrafobase"/>
              <w:spacing w:before="120" w:line="240" w:lineRule="exact"/>
              <w:ind w:left="175"/>
              <w:rPr>
                <w:rFonts w:ascii="Arial" w:hAnsi="Arial" w:cs="Arial"/>
                <w:sz w:val="21"/>
                <w:szCs w:val="21"/>
              </w:rPr>
            </w:pPr>
            <w:r>
              <w:rPr>
                <w:rFonts w:ascii="Arial Narrow" w:hAnsi="Arial Narrow" w:cs="Arial"/>
                <w:noProof/>
                <w:color w:val="FFFFFF"/>
                <w:sz w:val="22"/>
                <w:szCs w:val="22"/>
              </w:rPr>
              <w:drawing>
                <wp:anchor distT="0" distB="0" distL="114300" distR="114300" simplePos="0" relativeHeight="251657216" behindDoc="0" locked="0" layoutInCell="1" allowOverlap="1" wp14:anchorId="63C0FEE2" wp14:editId="4300B9F7">
                  <wp:simplePos x="0" y="0"/>
                  <wp:positionH relativeFrom="column">
                    <wp:posOffset>1388745</wp:posOffset>
                  </wp:positionH>
                  <wp:positionV relativeFrom="paragraph">
                    <wp:posOffset>142240</wp:posOffset>
                  </wp:positionV>
                  <wp:extent cx="647700" cy="628650"/>
                  <wp:effectExtent l="0" t="0" r="0" b="0"/>
                  <wp:wrapNone/>
                  <wp:docPr id="234" name="Immagine 9" descr="Descrizione: iconeComunicati-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Descrizione: iconeComunicati-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B115F" w:rsidRPr="00394B0D" w14:paraId="5A6773D0" w14:textId="77777777" w:rsidTr="006354F3">
        <w:trPr>
          <w:trHeight w:val="1873"/>
        </w:trPr>
        <w:tc>
          <w:tcPr>
            <w:tcW w:w="7054" w:type="dxa"/>
            <w:vMerge/>
            <w:tcBorders>
              <w:left w:val="single" w:sz="4" w:space="0" w:color="FFFFFF"/>
              <w:bottom w:val="nil"/>
              <w:right w:val="single" w:sz="48" w:space="0" w:color="FFFFFF"/>
            </w:tcBorders>
            <w:shd w:val="clear" w:color="auto" w:fill="D9D9D9"/>
          </w:tcPr>
          <w:p w14:paraId="04C243C1" w14:textId="77777777" w:rsidR="000B115F" w:rsidRPr="002578CE" w:rsidRDefault="000B115F" w:rsidP="006354F3">
            <w:pPr>
              <w:widowControl/>
              <w:tabs>
                <w:tab w:val="left" w:pos="284"/>
                <w:tab w:val="left" w:pos="709"/>
              </w:tabs>
              <w:overflowPunct/>
              <w:autoSpaceDE/>
              <w:autoSpaceDN/>
              <w:adjustRightInd/>
              <w:spacing w:before="0" w:after="120" w:line="230" w:lineRule="exact"/>
              <w:jc w:val="both"/>
              <w:rPr>
                <w:rFonts w:ascii="Arial" w:hAnsi="Arial" w:cs="Arial"/>
                <w:sz w:val="21"/>
                <w:szCs w:val="21"/>
              </w:rPr>
            </w:pPr>
          </w:p>
        </w:tc>
        <w:tc>
          <w:tcPr>
            <w:tcW w:w="3294" w:type="dxa"/>
            <w:tcBorders>
              <w:top w:val="single" w:sz="36" w:space="0" w:color="FFFFFF"/>
              <w:left w:val="single" w:sz="48" w:space="0" w:color="FFFFFF"/>
              <w:bottom w:val="single" w:sz="36" w:space="0" w:color="FFFFFF"/>
              <w:right w:val="single" w:sz="36" w:space="0" w:color="FFFFFF"/>
            </w:tcBorders>
            <w:shd w:val="clear" w:color="auto" w:fill="E31C18"/>
          </w:tcPr>
          <w:p w14:paraId="2BADEA61" w14:textId="77777777" w:rsidR="000B115F" w:rsidRPr="00FA5CC6" w:rsidRDefault="000B115F" w:rsidP="006354F3">
            <w:pPr>
              <w:pStyle w:val="Paragrafobase"/>
              <w:spacing w:before="160" w:line="320" w:lineRule="exact"/>
              <w:ind w:left="175"/>
              <w:rPr>
                <w:rFonts w:ascii="Calibri" w:hAnsi="Calibri" w:cs="Arial"/>
                <w:b/>
                <w:color w:val="FFFFFF"/>
                <w:sz w:val="28"/>
                <w:szCs w:val="28"/>
                <w:lang w:val="en-US"/>
              </w:rPr>
            </w:pPr>
            <w:r w:rsidRPr="00FA5CC6">
              <w:rPr>
                <w:rFonts w:ascii="Calibri" w:hAnsi="Calibri" w:cs="Arial"/>
                <w:b/>
                <w:color w:val="FFFFFF"/>
                <w:sz w:val="28"/>
                <w:szCs w:val="28"/>
                <w:lang w:val="en-US"/>
              </w:rPr>
              <w:t>Link utili</w:t>
            </w:r>
          </w:p>
          <w:p w14:paraId="4A05459B" w14:textId="77777777" w:rsidR="000B115F" w:rsidRPr="000604F0" w:rsidRDefault="000B115F" w:rsidP="006354F3">
            <w:pPr>
              <w:pStyle w:val="Paragrafobase"/>
              <w:spacing w:before="120" w:line="240" w:lineRule="exact"/>
              <w:ind w:left="176"/>
              <w:rPr>
                <w:rStyle w:val="Collegamentoipertestuale"/>
                <w:rFonts w:cs="Arial"/>
                <w:color w:val="FFFFFF"/>
                <w:lang w:val="en-US"/>
              </w:rPr>
            </w:pPr>
          </w:p>
          <w:p w14:paraId="474C3841" w14:textId="77777777" w:rsidR="000B115F" w:rsidRPr="00FA5CC6" w:rsidRDefault="00FE2553" w:rsidP="006354F3">
            <w:pPr>
              <w:pStyle w:val="Paragrafobase"/>
              <w:spacing w:before="120" w:line="240" w:lineRule="exact"/>
              <w:ind w:left="176"/>
              <w:rPr>
                <w:rStyle w:val="Collegamentoipertestuale"/>
                <w:rFonts w:cs="Arial"/>
                <w:color w:val="FFFFFF"/>
                <w:lang w:val="en-US"/>
              </w:rPr>
            </w:pPr>
            <w:hyperlink r:id="rId15" w:history="1">
              <w:r w:rsidR="000B115F" w:rsidRPr="00D66307">
                <w:rPr>
                  <w:rStyle w:val="Collegamentoipertestuale"/>
                  <w:rFonts w:ascii="Arial" w:hAnsi="Arial" w:cs="Arial"/>
                  <w:color w:val="FFFFFF"/>
                  <w:sz w:val="20"/>
                  <w:szCs w:val="20"/>
                  <w:lang w:val="en-US"/>
                </w:rPr>
                <w:t>http://dati.istat.it/</w:t>
              </w:r>
            </w:hyperlink>
          </w:p>
          <w:p w14:paraId="5216F37F" w14:textId="77777777" w:rsidR="000B115F" w:rsidRPr="00FA5CC6" w:rsidRDefault="00FE2553" w:rsidP="006354F3">
            <w:pPr>
              <w:pStyle w:val="Paragrafobase"/>
              <w:spacing w:before="120" w:line="240" w:lineRule="exact"/>
              <w:ind w:left="175"/>
              <w:rPr>
                <w:rFonts w:ascii="Arial" w:hAnsi="Arial" w:cs="Arial"/>
                <w:color w:val="FFFFFF"/>
                <w:sz w:val="20"/>
                <w:szCs w:val="20"/>
                <w:lang w:val="en-US"/>
              </w:rPr>
            </w:pPr>
            <w:hyperlink r:id="rId16" w:history="1">
              <w:r w:rsidR="000B115F" w:rsidRPr="00FA5CC6">
                <w:rPr>
                  <w:rStyle w:val="Collegamentoipertestuale"/>
                  <w:rFonts w:ascii="Arial" w:hAnsi="Arial" w:cs="Arial"/>
                  <w:color w:val="FFFFFF"/>
                  <w:sz w:val="20"/>
                  <w:szCs w:val="20"/>
                  <w:lang w:val="en-US"/>
                </w:rPr>
                <w:t>http://www.istat.it/it/congiuntura</w:t>
              </w:r>
            </w:hyperlink>
          </w:p>
          <w:p w14:paraId="55883FD4" w14:textId="77777777" w:rsidR="000B115F" w:rsidRDefault="000B115F" w:rsidP="006354F3">
            <w:pPr>
              <w:pStyle w:val="Paragrafobase"/>
              <w:spacing w:before="120" w:line="240" w:lineRule="exact"/>
              <w:ind w:left="175"/>
              <w:rPr>
                <w:rFonts w:ascii="Arial" w:hAnsi="Arial" w:cs="Arial"/>
                <w:color w:val="FFFFFF"/>
                <w:sz w:val="20"/>
                <w:szCs w:val="20"/>
                <w:lang w:val="en-US"/>
              </w:rPr>
            </w:pPr>
          </w:p>
          <w:p w14:paraId="6705890C" w14:textId="77777777" w:rsidR="000B115F" w:rsidRPr="00FA5CC6" w:rsidRDefault="000B115F" w:rsidP="006354F3">
            <w:pPr>
              <w:pStyle w:val="Paragrafobase"/>
              <w:spacing w:before="120" w:line="240" w:lineRule="exact"/>
              <w:ind w:left="175"/>
              <w:rPr>
                <w:rFonts w:ascii="Arial" w:hAnsi="Arial" w:cs="Arial"/>
                <w:sz w:val="21"/>
                <w:szCs w:val="21"/>
                <w:lang w:val="en-US"/>
              </w:rPr>
            </w:pPr>
          </w:p>
        </w:tc>
      </w:tr>
    </w:tbl>
    <w:p w14:paraId="4DD2E654" w14:textId="77777777" w:rsidR="009E5F03" w:rsidRPr="00660CDC" w:rsidRDefault="009E5F03" w:rsidP="00A621DE">
      <w:pPr>
        <w:rPr>
          <w:lang w:val="en-US"/>
        </w:rPr>
      </w:pPr>
    </w:p>
    <w:p w14:paraId="2EDAF058" w14:textId="77777777" w:rsidR="009E5F03" w:rsidRPr="00660CDC" w:rsidRDefault="009E5F03" w:rsidP="00A621DE">
      <w:pPr>
        <w:pStyle w:val="Paragrafobase"/>
        <w:spacing w:line="260" w:lineRule="exact"/>
        <w:rPr>
          <w:rFonts w:ascii="Arial" w:hAnsi="Arial" w:cs="Arial"/>
          <w:color w:val="auto"/>
          <w:kern w:val="28"/>
          <w:sz w:val="21"/>
          <w:szCs w:val="21"/>
          <w:lang w:val="en-US"/>
        </w:rPr>
        <w:sectPr w:rsidR="009E5F03" w:rsidRPr="00660CDC" w:rsidSect="00014269">
          <w:headerReference w:type="default" r:id="rId17"/>
          <w:pgSz w:w="11907" w:h="16840" w:code="9"/>
          <w:pgMar w:top="2240" w:right="851" w:bottom="680" w:left="851" w:header="283" w:footer="204" w:gutter="0"/>
          <w:cols w:space="720"/>
          <w:noEndnote/>
          <w:docGrid w:linePitch="272"/>
        </w:sectPr>
      </w:pPr>
    </w:p>
    <w:p w14:paraId="204332EB" w14:textId="77777777" w:rsidR="009E5F03" w:rsidRPr="00660CDC" w:rsidRDefault="009E5F03" w:rsidP="00A00693">
      <w:pPr>
        <w:pStyle w:val="Paragrafobase"/>
        <w:spacing w:after="120" w:line="240" w:lineRule="auto"/>
        <w:rPr>
          <w:rFonts w:ascii="Arial Narrow" w:hAnsi="Arial Narrow" w:cs="Arial"/>
          <w:color w:val="auto"/>
          <w:kern w:val="28"/>
          <w:sz w:val="22"/>
          <w:szCs w:val="22"/>
          <w:lang w:val="en-US"/>
        </w:rPr>
      </w:pPr>
    </w:p>
    <w:p w14:paraId="4D0517C5" w14:textId="77777777" w:rsidR="008E28A3" w:rsidRPr="000B4ACD" w:rsidRDefault="000034E3" w:rsidP="008E28A3">
      <w:pPr>
        <w:widowControl/>
        <w:overflowPunct/>
        <w:autoSpaceDE/>
        <w:autoSpaceDN/>
        <w:adjustRightInd/>
        <w:spacing w:before="0" w:after="0"/>
        <w:rPr>
          <w:rFonts w:ascii="Arial Narrow" w:hAnsi="Arial Narrow" w:cs="Arial"/>
          <w:b/>
          <w:color w:val="5F5F5F"/>
          <w:sz w:val="22"/>
          <w:szCs w:val="22"/>
        </w:rPr>
      </w:pPr>
      <w:r w:rsidRPr="000034E3">
        <w:rPr>
          <w:rFonts w:ascii="Arial Narrow" w:hAnsi="Arial Narrow" w:cs="Arial"/>
          <w:b/>
          <w:color w:val="E42618"/>
          <w:sz w:val="22"/>
          <w:szCs w:val="22"/>
        </w:rPr>
        <w:t>FIGURA 1.</w:t>
      </w:r>
      <w:r>
        <w:rPr>
          <w:rFonts w:ascii="Arial Narrow" w:hAnsi="Arial Narrow" w:cs="Arial"/>
          <w:b/>
          <w:color w:val="5F5F5F"/>
          <w:sz w:val="22"/>
          <w:szCs w:val="22"/>
        </w:rPr>
        <w:t xml:space="preserve"> </w:t>
      </w:r>
      <w:r w:rsidR="005968FD">
        <w:rPr>
          <w:rFonts w:ascii="Arial Narrow" w:hAnsi="Arial Narrow" w:cs="Arial"/>
          <w:b/>
          <w:color w:val="5F5F5F"/>
          <w:sz w:val="22"/>
          <w:szCs w:val="22"/>
        </w:rPr>
        <w:t>PRODOTTO INTERNO LORDO,</w:t>
      </w:r>
      <w:r w:rsidR="00EC1712" w:rsidRPr="00EC1712">
        <w:rPr>
          <w:rFonts w:ascii="Arial Narrow" w:hAnsi="Arial Narrow" w:cs="Arial"/>
          <w:b/>
          <w:color w:val="5F5F5F"/>
          <w:sz w:val="22"/>
          <w:szCs w:val="22"/>
        </w:rPr>
        <w:t xml:space="preserve"> INDICI</w:t>
      </w:r>
      <w:r w:rsidR="000B4ACD">
        <w:rPr>
          <w:rFonts w:ascii="Arial Narrow" w:hAnsi="Arial Narrow" w:cs="Arial"/>
          <w:b/>
          <w:color w:val="5F5F5F"/>
          <w:sz w:val="22"/>
          <w:szCs w:val="22"/>
        </w:rPr>
        <w:t xml:space="preserve"> CONCATENATI</w:t>
      </w:r>
    </w:p>
    <w:p w14:paraId="576DB576" w14:textId="4B70B199" w:rsidR="008E28A3" w:rsidRDefault="00D95CE2" w:rsidP="008E28A3">
      <w:pPr>
        <w:widowControl/>
        <w:overflowPunct/>
        <w:autoSpaceDE/>
        <w:autoSpaceDN/>
        <w:adjustRightInd/>
        <w:spacing w:before="0" w:after="120"/>
        <w:rPr>
          <w:rFonts w:ascii="Arial Narrow" w:hAnsi="Arial Narrow" w:cs="Arial"/>
          <w:color w:val="5F5F5F"/>
        </w:rPr>
      </w:pPr>
      <w:r>
        <w:rPr>
          <w:rFonts w:ascii="Arial Narrow" w:hAnsi="Arial Narrow" w:cs="Arial"/>
          <w:color w:val="5F5F5F"/>
        </w:rPr>
        <w:t>I trim</w:t>
      </w:r>
      <w:r w:rsidR="00350969">
        <w:rPr>
          <w:rFonts w:ascii="Arial Narrow" w:hAnsi="Arial Narrow" w:cs="Arial"/>
          <w:color w:val="5F5F5F"/>
        </w:rPr>
        <w:t>estre</w:t>
      </w:r>
      <w:r w:rsidR="0004186A">
        <w:rPr>
          <w:rFonts w:ascii="Arial Narrow" w:hAnsi="Arial Narrow" w:cs="Arial"/>
          <w:color w:val="5F5F5F"/>
        </w:rPr>
        <w:t xml:space="preserve"> 2013</w:t>
      </w:r>
      <w:r w:rsidR="009A17E8">
        <w:rPr>
          <w:rFonts w:ascii="Arial Narrow" w:hAnsi="Arial Narrow" w:cs="Arial"/>
          <w:color w:val="5F5F5F"/>
        </w:rPr>
        <w:t xml:space="preserve"> – </w:t>
      </w:r>
      <w:r w:rsidR="00816721" w:rsidRPr="00816721">
        <w:rPr>
          <w:rFonts w:ascii="Arial Narrow" w:hAnsi="Arial Narrow" w:cs="Arial"/>
          <w:color w:val="5F5F5F"/>
        </w:rPr>
        <w:t>II trimestre 2025</w:t>
      </w:r>
      <w:r w:rsidR="009A17E8">
        <w:rPr>
          <w:rFonts w:ascii="Arial Narrow" w:hAnsi="Arial Narrow" w:cs="Arial"/>
          <w:color w:val="5F5F5F"/>
        </w:rPr>
        <w:t>, i</w:t>
      </w:r>
      <w:r w:rsidR="005968FD">
        <w:rPr>
          <w:rFonts w:ascii="Arial Narrow" w:hAnsi="Arial Narrow" w:cs="Arial"/>
          <w:color w:val="5F5F5F"/>
        </w:rPr>
        <w:t xml:space="preserve">ndici </w:t>
      </w:r>
      <w:r w:rsidR="008E28A3" w:rsidRPr="008E28A3">
        <w:rPr>
          <w:rFonts w:ascii="Arial Narrow" w:hAnsi="Arial Narrow" w:cs="Arial"/>
          <w:color w:val="5F5F5F"/>
        </w:rPr>
        <w:t>destagionalizzati e corretti</w:t>
      </w:r>
      <w:r w:rsidR="00834951">
        <w:rPr>
          <w:rFonts w:ascii="Arial Narrow" w:hAnsi="Arial Narrow" w:cs="Arial"/>
          <w:color w:val="5F5F5F"/>
        </w:rPr>
        <w:t xml:space="preserve"> per gli effetti di calendario </w:t>
      </w:r>
      <w:r w:rsidR="00192E69" w:rsidRPr="00900C1F">
        <w:rPr>
          <w:rFonts w:ascii="Arial Narrow" w:hAnsi="Arial Narrow" w:cs="Arial"/>
          <w:color w:val="5F5F5F"/>
        </w:rPr>
        <w:t xml:space="preserve">(anno di riferimento </w:t>
      </w:r>
      <w:r w:rsidR="007E40B3">
        <w:rPr>
          <w:rFonts w:ascii="Arial Narrow" w:hAnsi="Arial Narrow" w:cs="Arial"/>
          <w:color w:val="5F5F5F"/>
        </w:rPr>
        <w:t>2020</w:t>
      </w:r>
      <w:r w:rsidR="00192E69" w:rsidRPr="00900C1F">
        <w:rPr>
          <w:rFonts w:ascii="Arial Narrow" w:hAnsi="Arial Narrow" w:cs="Arial"/>
          <w:color w:val="5F5F5F"/>
        </w:rPr>
        <w:t>)</w:t>
      </w:r>
    </w:p>
    <w:p w14:paraId="26D741FE" w14:textId="1A54C9D3" w:rsidR="00C80374" w:rsidRPr="008E28A3" w:rsidRDefault="00FE2553" w:rsidP="008E28A3">
      <w:pPr>
        <w:widowControl/>
        <w:overflowPunct/>
        <w:autoSpaceDE/>
        <w:autoSpaceDN/>
        <w:adjustRightInd/>
        <w:spacing w:before="0" w:after="120"/>
        <w:rPr>
          <w:rFonts w:ascii="Arial Narrow" w:hAnsi="Arial Narrow" w:cs="Arial"/>
          <w:color w:val="5F5F5F"/>
        </w:rPr>
      </w:pPr>
      <w:r>
        <w:rPr>
          <w:rFonts w:ascii="Arial Narrow" w:hAnsi="Arial Narrow" w:cs="Arial"/>
          <w:color w:val="5F5F5F"/>
        </w:rPr>
        <w:pict w14:anchorId="0F06FE41">
          <v:shape id="_x0000_i1027" type="#_x0000_t75" style="width:510.65pt;height:254.65pt">
            <v:imagedata r:id="rId18" o:title=""/>
            <o:lock v:ext="edit" aspectratio="f"/>
          </v:shape>
        </w:pict>
      </w:r>
    </w:p>
    <w:p w14:paraId="2B0B63BF" w14:textId="77777777" w:rsidR="00EC1712" w:rsidRPr="00EC1712" w:rsidRDefault="000034E3" w:rsidP="00EC1712">
      <w:pPr>
        <w:widowControl/>
        <w:overflowPunct/>
        <w:autoSpaceDE/>
        <w:autoSpaceDN/>
        <w:adjustRightInd/>
        <w:spacing w:before="0" w:after="0"/>
        <w:rPr>
          <w:rFonts w:ascii="Arial Narrow" w:hAnsi="Arial Narrow" w:cs="Arial"/>
          <w:b/>
          <w:color w:val="5F5F5F"/>
          <w:sz w:val="22"/>
          <w:szCs w:val="22"/>
        </w:rPr>
      </w:pPr>
      <w:r>
        <w:rPr>
          <w:rFonts w:ascii="Arial Narrow" w:hAnsi="Arial Narrow" w:cs="Arial"/>
          <w:b/>
          <w:color w:val="E42618"/>
          <w:sz w:val="22"/>
          <w:szCs w:val="22"/>
        </w:rPr>
        <w:t>FIGURA 2</w:t>
      </w:r>
      <w:r w:rsidRPr="000034E3">
        <w:rPr>
          <w:rFonts w:ascii="Arial Narrow" w:hAnsi="Arial Narrow" w:cs="Arial"/>
          <w:b/>
          <w:color w:val="E42618"/>
          <w:sz w:val="22"/>
          <w:szCs w:val="22"/>
        </w:rPr>
        <w:t>.</w:t>
      </w:r>
      <w:r>
        <w:rPr>
          <w:rFonts w:ascii="Arial Narrow" w:hAnsi="Arial Narrow" w:cs="Arial"/>
          <w:b/>
          <w:color w:val="5F5F5F"/>
          <w:sz w:val="22"/>
          <w:szCs w:val="22"/>
        </w:rPr>
        <w:t xml:space="preserve"> </w:t>
      </w:r>
      <w:r w:rsidR="00EC1712" w:rsidRPr="00EC1712">
        <w:rPr>
          <w:rFonts w:ascii="Arial Narrow" w:hAnsi="Arial Narrow" w:cs="Arial"/>
          <w:b/>
          <w:color w:val="5F5F5F"/>
          <w:sz w:val="22"/>
          <w:szCs w:val="22"/>
        </w:rPr>
        <w:t>PRODOTTO INTERNO LORDO</w:t>
      </w:r>
      <w:r w:rsidR="005968FD">
        <w:rPr>
          <w:rFonts w:ascii="Arial Narrow" w:hAnsi="Arial Narrow" w:cs="Arial"/>
          <w:b/>
          <w:color w:val="5F5F5F"/>
          <w:sz w:val="22"/>
          <w:szCs w:val="22"/>
        </w:rPr>
        <w:t>,</w:t>
      </w:r>
      <w:r w:rsidR="00EC1712">
        <w:rPr>
          <w:rFonts w:ascii="Arial Narrow" w:hAnsi="Arial Narrow" w:cs="Arial"/>
          <w:b/>
          <w:color w:val="5F5F5F"/>
          <w:sz w:val="22"/>
          <w:szCs w:val="22"/>
        </w:rPr>
        <w:t xml:space="preserve"> </w:t>
      </w:r>
      <w:r w:rsidR="00EC1712" w:rsidRPr="00EC1712">
        <w:rPr>
          <w:rFonts w:ascii="Arial Narrow" w:hAnsi="Arial Narrow" w:cs="Arial"/>
          <w:b/>
          <w:color w:val="5F5F5F"/>
          <w:sz w:val="22"/>
          <w:szCs w:val="22"/>
        </w:rPr>
        <w:t xml:space="preserve">VARIAZIONI </w:t>
      </w:r>
      <w:r w:rsidR="006B55EC">
        <w:rPr>
          <w:rFonts w:ascii="Arial Narrow" w:hAnsi="Arial Narrow" w:cs="Arial"/>
          <w:b/>
          <w:color w:val="5F5F5F"/>
          <w:sz w:val="22"/>
          <w:szCs w:val="22"/>
        </w:rPr>
        <w:t xml:space="preserve">PERCENTUALI </w:t>
      </w:r>
      <w:r w:rsidR="00EC1712" w:rsidRPr="00EC1712">
        <w:rPr>
          <w:rFonts w:ascii="Arial Narrow" w:hAnsi="Arial Narrow" w:cs="Arial"/>
          <w:b/>
          <w:color w:val="5F5F5F"/>
          <w:sz w:val="22"/>
          <w:szCs w:val="22"/>
        </w:rPr>
        <w:t>CONGIUNTURALI E TENDENZIALI</w:t>
      </w:r>
    </w:p>
    <w:p w14:paraId="6EFE723F" w14:textId="33BD2919" w:rsidR="00B00692" w:rsidRDefault="00350969" w:rsidP="00A00693">
      <w:pPr>
        <w:widowControl/>
        <w:overflowPunct/>
        <w:autoSpaceDE/>
        <w:autoSpaceDN/>
        <w:adjustRightInd/>
        <w:spacing w:before="0" w:after="120"/>
        <w:rPr>
          <w:rFonts w:ascii="Arial Narrow" w:hAnsi="Arial Narrow" w:cs="Arial"/>
          <w:color w:val="5F5F5F"/>
        </w:rPr>
      </w:pPr>
      <w:r>
        <w:rPr>
          <w:rFonts w:ascii="Arial Narrow" w:hAnsi="Arial Narrow" w:cs="Arial"/>
          <w:color w:val="5F5F5F"/>
        </w:rPr>
        <w:t>I trimestre 201</w:t>
      </w:r>
      <w:r w:rsidR="0004186A">
        <w:rPr>
          <w:rFonts w:ascii="Arial Narrow" w:hAnsi="Arial Narrow" w:cs="Arial"/>
          <w:color w:val="5F5F5F"/>
        </w:rPr>
        <w:t>8</w:t>
      </w:r>
      <w:r w:rsidR="009A17E8">
        <w:rPr>
          <w:rFonts w:ascii="Arial Narrow" w:hAnsi="Arial Narrow" w:cs="Arial"/>
          <w:color w:val="5F5F5F"/>
        </w:rPr>
        <w:t xml:space="preserve"> – </w:t>
      </w:r>
      <w:r w:rsidR="00816721" w:rsidRPr="00816721">
        <w:rPr>
          <w:rFonts w:ascii="Arial Narrow" w:hAnsi="Arial Narrow" w:cs="Arial"/>
          <w:color w:val="5F5F5F"/>
        </w:rPr>
        <w:t>II trimestre 2025</w:t>
      </w:r>
      <w:r w:rsidR="009A17E8">
        <w:rPr>
          <w:rFonts w:ascii="Arial Narrow" w:hAnsi="Arial Narrow" w:cs="Arial"/>
          <w:color w:val="5F5F5F"/>
        </w:rPr>
        <w:t>, d</w:t>
      </w:r>
      <w:r w:rsidR="00B00692" w:rsidRPr="00900C1F">
        <w:rPr>
          <w:rFonts w:ascii="Arial Narrow" w:hAnsi="Arial Narrow" w:cs="Arial"/>
          <w:color w:val="5F5F5F"/>
        </w:rPr>
        <w:t>ati concatenati, destagionalizzati e corretti</w:t>
      </w:r>
      <w:r w:rsidR="00834951" w:rsidRPr="00900C1F">
        <w:rPr>
          <w:rFonts w:ascii="Arial Narrow" w:hAnsi="Arial Narrow" w:cs="Arial"/>
          <w:color w:val="5F5F5F"/>
        </w:rPr>
        <w:t xml:space="preserve"> per gli effetti di calendario </w:t>
      </w:r>
      <w:r w:rsidR="00192E69" w:rsidRPr="00900C1F">
        <w:rPr>
          <w:rFonts w:ascii="Arial Narrow" w:hAnsi="Arial Narrow" w:cs="Arial"/>
          <w:color w:val="5F5F5F"/>
        </w:rPr>
        <w:t xml:space="preserve">(anno di riferimento </w:t>
      </w:r>
      <w:r w:rsidR="007E40B3">
        <w:rPr>
          <w:rFonts w:ascii="Arial Narrow" w:hAnsi="Arial Narrow" w:cs="Arial"/>
          <w:color w:val="5F5F5F"/>
        </w:rPr>
        <w:t>2020</w:t>
      </w:r>
      <w:r w:rsidR="00192E69" w:rsidRPr="00900C1F">
        <w:rPr>
          <w:rFonts w:ascii="Arial Narrow" w:hAnsi="Arial Narrow" w:cs="Arial"/>
          <w:color w:val="5F5F5F"/>
        </w:rPr>
        <w:t>)</w:t>
      </w:r>
    </w:p>
    <w:p w14:paraId="3271CF40" w14:textId="11C07E51" w:rsidR="00C80374" w:rsidRDefault="00FE2553" w:rsidP="00A00693">
      <w:pPr>
        <w:widowControl/>
        <w:overflowPunct/>
        <w:autoSpaceDE/>
        <w:autoSpaceDN/>
        <w:adjustRightInd/>
        <w:spacing w:before="0" w:after="120"/>
      </w:pPr>
      <w:r>
        <w:rPr>
          <w:noProof/>
        </w:rPr>
        <w:pict w14:anchorId="158B080C">
          <v:shape id="_x0000_i1028" type="#_x0000_t75" style="width:510.9pt;height:170.35pt">
            <v:imagedata r:id="rId19" o:title=""/>
          </v:shape>
        </w:pict>
      </w:r>
    </w:p>
    <w:p w14:paraId="5328A789" w14:textId="77777777" w:rsidR="00D908C9" w:rsidRPr="007138A3" w:rsidRDefault="00A00693" w:rsidP="00A00693">
      <w:pPr>
        <w:rPr>
          <w:rFonts w:ascii="Arial Narrow" w:hAnsi="Arial Narrow"/>
          <w:sz w:val="22"/>
          <w:szCs w:val="22"/>
        </w:rPr>
      </w:pPr>
      <w:r>
        <w:br w:type="page"/>
      </w:r>
    </w:p>
    <w:p w14:paraId="59B01214" w14:textId="7D1A3918" w:rsidR="00816721" w:rsidRDefault="00F73B8A" w:rsidP="00A00693">
      <w:pPr>
        <w:rPr>
          <w:kern w:val="0"/>
        </w:rPr>
      </w:pPr>
      <w:r>
        <w:rPr>
          <w:rStyle w:val="001TitoGraRed"/>
          <w:rFonts w:ascii="Arial Narrow" w:hAnsi="Arial Narrow"/>
          <w:b/>
          <w:color w:val="E42618"/>
          <w:sz w:val="22"/>
          <w:szCs w:val="22"/>
        </w:rPr>
        <w:lastRenderedPageBreak/>
        <w:t>PROSPETTO 1</w:t>
      </w:r>
      <w:r>
        <w:rPr>
          <w:rFonts w:ascii="Arial Narrow" w:hAnsi="Arial Narrow" w:cs="Arial"/>
          <w:b/>
          <w:bCs/>
          <w:caps/>
          <w:color w:val="4D4D4D"/>
        </w:rPr>
        <w:t xml:space="preserve">. </w:t>
      </w:r>
      <w:r>
        <w:rPr>
          <w:rFonts w:ascii="Arial Narrow" w:hAnsi="Arial Narrow" w:cs="Arial"/>
          <w:b/>
          <w:color w:val="5F5F5F"/>
          <w:sz w:val="22"/>
          <w:szCs w:val="22"/>
        </w:rPr>
        <w:t>PRODOTTO INTERNO LORDO</w:t>
      </w:r>
      <w:r>
        <w:rPr>
          <w:rFonts w:ascii="Arial Narrow" w:hAnsi="Arial Narrow" w:cs="Arial"/>
          <w:b/>
          <w:color w:val="5F5F5F"/>
          <w:sz w:val="22"/>
          <w:szCs w:val="22"/>
        </w:rPr>
        <w:br/>
      </w:r>
      <w:r w:rsidR="0004186A">
        <w:rPr>
          <w:rFonts w:ascii="Arial Narrow" w:hAnsi="Arial Narrow" w:cs="Arial"/>
          <w:color w:val="5F5F5F"/>
        </w:rPr>
        <w:t>I trimestre 2021</w:t>
      </w:r>
      <w:r>
        <w:rPr>
          <w:rFonts w:ascii="Arial Narrow" w:hAnsi="Arial Narrow" w:cs="Arial"/>
          <w:color w:val="5F5F5F"/>
        </w:rPr>
        <w:t xml:space="preserve"> – </w:t>
      </w:r>
      <w:r w:rsidR="00816721" w:rsidRPr="00816721">
        <w:rPr>
          <w:rFonts w:ascii="Arial Narrow" w:hAnsi="Arial Narrow" w:cs="Arial"/>
          <w:color w:val="5F5F5F"/>
        </w:rPr>
        <w:t>II trimestre 2025</w:t>
      </w:r>
      <w:r>
        <w:rPr>
          <w:rFonts w:ascii="Arial Narrow" w:hAnsi="Arial Narrow" w:cs="Arial"/>
          <w:color w:val="5F5F5F"/>
        </w:rPr>
        <w:t xml:space="preserve">, valori </w:t>
      </w:r>
      <w:r w:rsidR="005533E7">
        <w:rPr>
          <w:rFonts w:ascii="Arial Narrow" w:hAnsi="Arial Narrow" w:cs="Arial"/>
          <w:color w:val="5F5F5F"/>
        </w:rPr>
        <w:t xml:space="preserve">concatenati </w:t>
      </w:r>
      <w:r>
        <w:rPr>
          <w:rFonts w:ascii="Arial Narrow" w:hAnsi="Arial Narrow" w:cs="Arial"/>
          <w:color w:val="5F5F5F"/>
        </w:rPr>
        <w:t xml:space="preserve">in milioni di euro destagionalizzati e corretti per gli effetti di calendario </w:t>
      </w:r>
      <w:r w:rsidR="00192E69" w:rsidRPr="00192E69">
        <w:rPr>
          <w:rFonts w:ascii="Arial Narrow" w:hAnsi="Arial Narrow" w:cs="Arial"/>
          <w:color w:val="5F5F5F"/>
        </w:rPr>
        <w:t xml:space="preserve">(anno di riferimento </w:t>
      </w:r>
      <w:r w:rsidR="007E40B3">
        <w:rPr>
          <w:rFonts w:ascii="Arial Narrow" w:hAnsi="Arial Narrow" w:cs="Arial"/>
          <w:color w:val="5F5F5F"/>
        </w:rPr>
        <w:t>2020</w:t>
      </w:r>
      <w:r w:rsidR="00192E69" w:rsidRPr="00192E69">
        <w:rPr>
          <w:rFonts w:ascii="Arial Narrow" w:hAnsi="Arial Narrow" w:cs="Arial"/>
          <w:color w:val="5F5F5F"/>
        </w:rPr>
        <w:t>)</w:t>
      </w:r>
      <w:r w:rsidR="005533E7">
        <w:rPr>
          <w:rFonts w:ascii="Arial Narrow" w:hAnsi="Arial Narrow" w:cs="Arial"/>
          <w:color w:val="5F5F5F"/>
        </w:rPr>
        <w:t>, variazioni percentuali congiunturali e tendenziali</w:t>
      </w:r>
    </w:p>
    <w:tbl>
      <w:tblPr>
        <w:tblW w:w="0" w:type="auto"/>
        <w:tblInd w:w="40" w:type="dxa"/>
        <w:tblLayout w:type="fixed"/>
        <w:tblCellMar>
          <w:left w:w="70" w:type="dxa"/>
          <w:right w:w="70" w:type="dxa"/>
        </w:tblCellMar>
        <w:tblLook w:val="0000" w:firstRow="0" w:lastRow="0" w:firstColumn="0" w:lastColumn="0" w:noHBand="0" w:noVBand="0"/>
      </w:tblPr>
      <w:tblGrid>
        <w:gridCol w:w="1246"/>
        <w:gridCol w:w="2949"/>
        <w:gridCol w:w="2950"/>
        <w:gridCol w:w="2949"/>
      </w:tblGrid>
      <w:tr w:rsidR="00816721" w:rsidRPr="00816721" w14:paraId="191FF0C8" w14:textId="77777777" w:rsidTr="00816721">
        <w:trPr>
          <w:trHeight w:val="523"/>
        </w:trPr>
        <w:tc>
          <w:tcPr>
            <w:tcW w:w="1246" w:type="dxa"/>
            <w:tcBorders>
              <w:top w:val="single" w:sz="6" w:space="0" w:color="auto"/>
              <w:left w:val="nil"/>
              <w:bottom w:val="single" w:sz="6" w:space="0" w:color="000000"/>
              <w:right w:val="nil"/>
            </w:tcBorders>
          </w:tcPr>
          <w:p w14:paraId="52B264E7" w14:textId="77777777" w:rsidR="00816721" w:rsidRPr="00816721" w:rsidRDefault="00816721" w:rsidP="00816721">
            <w:pPr>
              <w:spacing w:after="0"/>
              <w:rPr>
                <w:rFonts w:ascii="Arial Narrow" w:hAnsi="Arial Narrow" w:cs="Arial Narrow"/>
                <w:b/>
                <w:bCs/>
                <w:color w:val="000000"/>
                <w:kern w:val="0"/>
                <w:sz w:val="18"/>
                <w:szCs w:val="18"/>
              </w:rPr>
            </w:pPr>
            <w:r w:rsidRPr="00816721">
              <w:rPr>
                <w:rFonts w:ascii="Arial Narrow" w:hAnsi="Arial Narrow" w:cs="Arial Narrow"/>
                <w:b/>
                <w:bCs/>
                <w:color w:val="000000"/>
                <w:kern w:val="0"/>
                <w:sz w:val="18"/>
                <w:szCs w:val="18"/>
              </w:rPr>
              <w:t>TRIMESTRI</w:t>
            </w:r>
          </w:p>
        </w:tc>
        <w:tc>
          <w:tcPr>
            <w:tcW w:w="2949" w:type="dxa"/>
            <w:tcBorders>
              <w:top w:val="single" w:sz="6" w:space="0" w:color="auto"/>
              <w:left w:val="nil"/>
              <w:bottom w:val="single" w:sz="6" w:space="0" w:color="000000"/>
              <w:right w:val="nil"/>
            </w:tcBorders>
            <w:shd w:val="solid" w:color="DDDDDD" w:fill="auto"/>
          </w:tcPr>
          <w:p w14:paraId="20D5D161" w14:textId="77777777" w:rsidR="00816721" w:rsidRPr="00816721" w:rsidRDefault="00816721" w:rsidP="00816721">
            <w:pPr>
              <w:widowControl/>
              <w:overflowPunct/>
              <w:spacing w:before="0" w:after="0"/>
              <w:jc w:val="right"/>
              <w:rPr>
                <w:rFonts w:ascii="Arial Narrow" w:hAnsi="Arial Narrow" w:cs="Arial Narrow"/>
                <w:b/>
                <w:bCs/>
                <w:color w:val="000000"/>
                <w:kern w:val="0"/>
                <w:sz w:val="18"/>
                <w:szCs w:val="18"/>
              </w:rPr>
            </w:pPr>
            <w:r w:rsidRPr="00816721">
              <w:rPr>
                <w:rFonts w:ascii="Arial Narrow" w:hAnsi="Arial Narrow" w:cs="Arial Narrow"/>
                <w:b/>
                <w:bCs/>
                <w:color w:val="000000"/>
                <w:kern w:val="0"/>
                <w:sz w:val="18"/>
                <w:szCs w:val="18"/>
              </w:rPr>
              <w:t>Valori concatenati</w:t>
            </w:r>
          </w:p>
          <w:p w14:paraId="45CE3973" w14:textId="77777777" w:rsidR="00816721" w:rsidRPr="00816721" w:rsidRDefault="00816721" w:rsidP="00816721">
            <w:pPr>
              <w:widowControl/>
              <w:overflowPunct/>
              <w:spacing w:before="0" w:after="0"/>
              <w:jc w:val="right"/>
              <w:rPr>
                <w:rFonts w:ascii="Arial Narrow" w:hAnsi="Arial Narrow" w:cs="Arial Narrow"/>
                <w:b/>
                <w:bCs/>
                <w:color w:val="000000"/>
                <w:kern w:val="0"/>
                <w:sz w:val="18"/>
                <w:szCs w:val="18"/>
              </w:rPr>
            </w:pPr>
            <w:r w:rsidRPr="00816721">
              <w:rPr>
                <w:rFonts w:ascii="Arial Narrow" w:hAnsi="Arial Narrow" w:cs="Arial Narrow"/>
                <w:b/>
                <w:bCs/>
                <w:color w:val="000000"/>
                <w:kern w:val="0"/>
                <w:sz w:val="18"/>
                <w:szCs w:val="18"/>
              </w:rPr>
              <w:t>anno di riferimento 2020</w:t>
            </w:r>
          </w:p>
        </w:tc>
        <w:tc>
          <w:tcPr>
            <w:tcW w:w="2950" w:type="dxa"/>
            <w:tcBorders>
              <w:top w:val="single" w:sz="6" w:space="0" w:color="auto"/>
              <w:left w:val="nil"/>
              <w:bottom w:val="single" w:sz="6" w:space="0" w:color="000000"/>
              <w:right w:val="nil"/>
            </w:tcBorders>
          </w:tcPr>
          <w:p w14:paraId="137EC7FF" w14:textId="77777777" w:rsidR="00816721" w:rsidRPr="00816721" w:rsidRDefault="00816721" w:rsidP="00816721">
            <w:pPr>
              <w:widowControl/>
              <w:overflowPunct/>
              <w:spacing w:before="0" w:after="0"/>
              <w:jc w:val="right"/>
              <w:rPr>
                <w:rFonts w:ascii="Arial Narrow" w:hAnsi="Arial Narrow" w:cs="Arial Narrow"/>
                <w:b/>
                <w:bCs/>
                <w:color w:val="000000"/>
                <w:kern w:val="0"/>
                <w:sz w:val="18"/>
                <w:szCs w:val="18"/>
              </w:rPr>
            </w:pPr>
            <w:r w:rsidRPr="00816721">
              <w:rPr>
                <w:rFonts w:ascii="Arial Narrow" w:hAnsi="Arial Narrow" w:cs="Arial Narrow"/>
                <w:b/>
                <w:bCs/>
                <w:color w:val="000000"/>
                <w:kern w:val="0"/>
                <w:sz w:val="18"/>
                <w:szCs w:val="18"/>
              </w:rPr>
              <w:t>Variazioni percentuali</w:t>
            </w:r>
          </w:p>
          <w:p w14:paraId="01CB459A" w14:textId="77777777" w:rsidR="00816721" w:rsidRPr="00816721" w:rsidRDefault="00816721" w:rsidP="00816721">
            <w:pPr>
              <w:widowControl/>
              <w:overflowPunct/>
              <w:spacing w:before="0" w:after="0"/>
              <w:jc w:val="right"/>
              <w:rPr>
                <w:rFonts w:ascii="Arial Narrow" w:hAnsi="Arial Narrow" w:cs="Arial Narrow"/>
                <w:b/>
                <w:bCs/>
                <w:color w:val="000000"/>
                <w:kern w:val="0"/>
                <w:sz w:val="18"/>
                <w:szCs w:val="18"/>
              </w:rPr>
            </w:pPr>
            <w:r w:rsidRPr="00816721">
              <w:rPr>
                <w:rFonts w:ascii="Arial Narrow" w:hAnsi="Arial Narrow" w:cs="Arial Narrow"/>
                <w:b/>
                <w:bCs/>
                <w:color w:val="000000"/>
                <w:kern w:val="0"/>
                <w:sz w:val="18"/>
                <w:szCs w:val="18"/>
              </w:rPr>
              <w:t>congiunturali</w:t>
            </w:r>
          </w:p>
        </w:tc>
        <w:tc>
          <w:tcPr>
            <w:tcW w:w="2949" w:type="dxa"/>
            <w:tcBorders>
              <w:top w:val="single" w:sz="6" w:space="0" w:color="auto"/>
              <w:left w:val="nil"/>
              <w:bottom w:val="single" w:sz="6" w:space="0" w:color="000000"/>
              <w:right w:val="nil"/>
            </w:tcBorders>
            <w:shd w:val="solid" w:color="DDDDDD" w:fill="auto"/>
          </w:tcPr>
          <w:p w14:paraId="6E39CEC1" w14:textId="77777777" w:rsidR="00816721" w:rsidRPr="00816721" w:rsidRDefault="00816721" w:rsidP="00816721">
            <w:pPr>
              <w:widowControl/>
              <w:overflowPunct/>
              <w:spacing w:before="0" w:after="0"/>
              <w:jc w:val="right"/>
              <w:rPr>
                <w:rFonts w:ascii="Arial Narrow" w:hAnsi="Arial Narrow" w:cs="Arial Narrow"/>
                <w:b/>
                <w:bCs/>
                <w:color w:val="000000"/>
                <w:kern w:val="0"/>
                <w:sz w:val="18"/>
                <w:szCs w:val="18"/>
              </w:rPr>
            </w:pPr>
            <w:r w:rsidRPr="00816721">
              <w:rPr>
                <w:rFonts w:ascii="Arial Narrow" w:hAnsi="Arial Narrow" w:cs="Arial Narrow"/>
                <w:b/>
                <w:bCs/>
                <w:color w:val="000000"/>
                <w:kern w:val="0"/>
                <w:sz w:val="18"/>
                <w:szCs w:val="18"/>
              </w:rPr>
              <w:t>Variazioni percentuali</w:t>
            </w:r>
          </w:p>
          <w:p w14:paraId="3ABDA998" w14:textId="77777777" w:rsidR="00816721" w:rsidRPr="00816721" w:rsidRDefault="00816721" w:rsidP="00816721">
            <w:pPr>
              <w:widowControl/>
              <w:overflowPunct/>
              <w:spacing w:before="0" w:after="0"/>
              <w:jc w:val="right"/>
              <w:rPr>
                <w:rFonts w:ascii="Arial Narrow" w:hAnsi="Arial Narrow" w:cs="Arial Narrow"/>
                <w:b/>
                <w:bCs/>
                <w:color w:val="000000"/>
                <w:kern w:val="0"/>
                <w:sz w:val="18"/>
                <w:szCs w:val="18"/>
              </w:rPr>
            </w:pPr>
            <w:r w:rsidRPr="00816721">
              <w:rPr>
                <w:rFonts w:ascii="Arial Narrow" w:hAnsi="Arial Narrow" w:cs="Arial Narrow"/>
                <w:b/>
                <w:bCs/>
                <w:color w:val="000000"/>
                <w:kern w:val="0"/>
                <w:sz w:val="18"/>
                <w:szCs w:val="18"/>
              </w:rPr>
              <w:t>tendenziali</w:t>
            </w:r>
          </w:p>
        </w:tc>
      </w:tr>
      <w:tr w:rsidR="00816721" w:rsidRPr="00816721" w14:paraId="2E7AC55B" w14:textId="77777777" w:rsidTr="00816721">
        <w:trPr>
          <w:trHeight w:val="262"/>
        </w:trPr>
        <w:tc>
          <w:tcPr>
            <w:tcW w:w="1246" w:type="dxa"/>
            <w:tcBorders>
              <w:top w:val="single" w:sz="6" w:space="0" w:color="000000"/>
              <w:left w:val="nil"/>
              <w:bottom w:val="single" w:sz="6" w:space="0" w:color="000000"/>
              <w:right w:val="nil"/>
            </w:tcBorders>
          </w:tcPr>
          <w:p w14:paraId="7964E3D9"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2021 - I</w:t>
            </w:r>
          </w:p>
        </w:tc>
        <w:tc>
          <w:tcPr>
            <w:tcW w:w="2949" w:type="dxa"/>
            <w:tcBorders>
              <w:top w:val="single" w:sz="6" w:space="0" w:color="000000"/>
              <w:left w:val="nil"/>
              <w:bottom w:val="single" w:sz="6" w:space="0" w:color="000000"/>
              <w:right w:val="nil"/>
            </w:tcBorders>
            <w:shd w:val="solid" w:color="DDDDDD" w:fill="auto"/>
          </w:tcPr>
          <w:p w14:paraId="2E85E8B4"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438.567</w:t>
            </w:r>
          </w:p>
        </w:tc>
        <w:tc>
          <w:tcPr>
            <w:tcW w:w="2950" w:type="dxa"/>
            <w:tcBorders>
              <w:top w:val="single" w:sz="6" w:space="0" w:color="000000"/>
              <w:left w:val="nil"/>
              <w:bottom w:val="single" w:sz="6" w:space="0" w:color="000000"/>
              <w:right w:val="nil"/>
            </w:tcBorders>
          </w:tcPr>
          <w:p w14:paraId="623D1861"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+1,8</w:t>
            </w:r>
          </w:p>
        </w:tc>
        <w:tc>
          <w:tcPr>
            <w:tcW w:w="2949" w:type="dxa"/>
            <w:tcBorders>
              <w:top w:val="single" w:sz="6" w:space="0" w:color="000000"/>
              <w:left w:val="nil"/>
              <w:bottom w:val="single" w:sz="6" w:space="0" w:color="000000"/>
              <w:right w:val="nil"/>
            </w:tcBorders>
            <w:shd w:val="solid" w:color="DDDDDD" w:fill="auto"/>
          </w:tcPr>
          <w:p w14:paraId="5CDD3D05"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w:t>
            </w:r>
          </w:p>
        </w:tc>
      </w:tr>
      <w:tr w:rsidR="00816721" w:rsidRPr="00816721" w14:paraId="3086F33E" w14:textId="77777777" w:rsidTr="00816721">
        <w:trPr>
          <w:trHeight w:val="262"/>
        </w:trPr>
        <w:tc>
          <w:tcPr>
            <w:tcW w:w="1246" w:type="dxa"/>
            <w:tcBorders>
              <w:top w:val="single" w:sz="6" w:space="0" w:color="000000"/>
              <w:left w:val="nil"/>
              <w:bottom w:val="single" w:sz="6" w:space="0" w:color="000000"/>
              <w:right w:val="nil"/>
            </w:tcBorders>
          </w:tcPr>
          <w:p w14:paraId="36F1F40C"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2021 - II</w:t>
            </w:r>
          </w:p>
        </w:tc>
        <w:tc>
          <w:tcPr>
            <w:tcW w:w="2949" w:type="dxa"/>
            <w:tcBorders>
              <w:top w:val="single" w:sz="6" w:space="0" w:color="000000"/>
              <w:left w:val="nil"/>
              <w:bottom w:val="single" w:sz="6" w:space="0" w:color="000000"/>
              <w:right w:val="nil"/>
            </w:tcBorders>
            <w:shd w:val="solid" w:color="DDDDDD" w:fill="auto"/>
          </w:tcPr>
          <w:p w14:paraId="7B2C4ED7"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449.320</w:t>
            </w:r>
          </w:p>
        </w:tc>
        <w:tc>
          <w:tcPr>
            <w:tcW w:w="2950" w:type="dxa"/>
            <w:tcBorders>
              <w:top w:val="single" w:sz="6" w:space="0" w:color="000000"/>
              <w:left w:val="nil"/>
              <w:bottom w:val="single" w:sz="6" w:space="0" w:color="000000"/>
              <w:right w:val="nil"/>
            </w:tcBorders>
          </w:tcPr>
          <w:p w14:paraId="6DD9902E"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+2,5</w:t>
            </w:r>
          </w:p>
        </w:tc>
        <w:tc>
          <w:tcPr>
            <w:tcW w:w="2949" w:type="dxa"/>
            <w:tcBorders>
              <w:top w:val="single" w:sz="6" w:space="0" w:color="000000"/>
              <w:left w:val="nil"/>
              <w:bottom w:val="single" w:sz="6" w:space="0" w:color="000000"/>
              <w:right w:val="nil"/>
            </w:tcBorders>
            <w:shd w:val="solid" w:color="DDDDDD" w:fill="auto"/>
          </w:tcPr>
          <w:p w14:paraId="4E7D1B23" w14:textId="5A448A5F" w:rsidR="00816721" w:rsidRPr="00201686" w:rsidRDefault="00816721" w:rsidP="00816721">
            <w:pPr>
              <w:widowControl/>
              <w:overflowPunct/>
              <w:spacing w:before="0" w:after="0"/>
              <w:jc w:val="right"/>
              <w:rPr>
                <w:rFonts w:ascii="Arial Narrow" w:hAnsi="Arial Narrow" w:cs="Arial Narrow"/>
                <w:color w:val="000000"/>
                <w:kern w:val="0"/>
                <w:sz w:val="18"/>
                <w:szCs w:val="18"/>
                <w:highlight w:val="yellow"/>
              </w:rPr>
            </w:pPr>
            <w:r w:rsidRPr="00201686">
              <w:rPr>
                <w:rFonts w:ascii="Arial Narrow" w:hAnsi="Arial Narrow" w:cs="Arial Narrow"/>
                <w:color w:val="000000"/>
                <w:kern w:val="0"/>
                <w:sz w:val="18"/>
                <w:szCs w:val="18"/>
              </w:rPr>
              <w:t>+19,</w:t>
            </w:r>
            <w:r w:rsidR="00201686" w:rsidRPr="00201686">
              <w:rPr>
                <w:rFonts w:ascii="Arial Narrow" w:hAnsi="Arial Narrow" w:cs="Arial Narrow"/>
                <w:color w:val="000000"/>
                <w:kern w:val="0"/>
                <w:sz w:val="18"/>
                <w:szCs w:val="18"/>
              </w:rPr>
              <w:t>2</w:t>
            </w:r>
          </w:p>
        </w:tc>
      </w:tr>
      <w:tr w:rsidR="00816721" w:rsidRPr="00816721" w14:paraId="6B2160DE" w14:textId="77777777" w:rsidTr="00816721">
        <w:trPr>
          <w:trHeight w:val="262"/>
        </w:trPr>
        <w:tc>
          <w:tcPr>
            <w:tcW w:w="1246" w:type="dxa"/>
            <w:tcBorders>
              <w:top w:val="single" w:sz="6" w:space="0" w:color="000000"/>
              <w:left w:val="nil"/>
              <w:bottom w:val="single" w:sz="6" w:space="0" w:color="000000"/>
              <w:right w:val="nil"/>
            </w:tcBorders>
          </w:tcPr>
          <w:p w14:paraId="442E7015"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2021 - III</w:t>
            </w:r>
          </w:p>
        </w:tc>
        <w:tc>
          <w:tcPr>
            <w:tcW w:w="2949" w:type="dxa"/>
            <w:tcBorders>
              <w:top w:val="single" w:sz="6" w:space="0" w:color="000000"/>
              <w:left w:val="nil"/>
              <w:bottom w:val="single" w:sz="6" w:space="0" w:color="000000"/>
              <w:right w:val="nil"/>
            </w:tcBorders>
            <w:shd w:val="solid" w:color="DDDDDD" w:fill="auto"/>
          </w:tcPr>
          <w:p w14:paraId="448EB84F"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460.450</w:t>
            </w:r>
          </w:p>
        </w:tc>
        <w:tc>
          <w:tcPr>
            <w:tcW w:w="2950" w:type="dxa"/>
            <w:tcBorders>
              <w:top w:val="single" w:sz="6" w:space="0" w:color="000000"/>
              <w:left w:val="nil"/>
              <w:bottom w:val="single" w:sz="6" w:space="0" w:color="000000"/>
              <w:right w:val="nil"/>
            </w:tcBorders>
          </w:tcPr>
          <w:p w14:paraId="32419102"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+2,5</w:t>
            </w:r>
          </w:p>
        </w:tc>
        <w:tc>
          <w:tcPr>
            <w:tcW w:w="2949" w:type="dxa"/>
            <w:tcBorders>
              <w:top w:val="single" w:sz="6" w:space="0" w:color="000000"/>
              <w:left w:val="nil"/>
              <w:bottom w:val="single" w:sz="6" w:space="0" w:color="000000"/>
              <w:right w:val="nil"/>
            </w:tcBorders>
            <w:shd w:val="solid" w:color="DDDDDD" w:fill="auto"/>
          </w:tcPr>
          <w:p w14:paraId="1864B932"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+6,8</w:t>
            </w:r>
          </w:p>
        </w:tc>
      </w:tr>
      <w:tr w:rsidR="00816721" w:rsidRPr="00816721" w14:paraId="24F10522" w14:textId="77777777" w:rsidTr="00816721">
        <w:trPr>
          <w:trHeight w:val="262"/>
        </w:trPr>
        <w:tc>
          <w:tcPr>
            <w:tcW w:w="1246" w:type="dxa"/>
            <w:tcBorders>
              <w:top w:val="single" w:sz="6" w:space="0" w:color="000000"/>
              <w:left w:val="nil"/>
              <w:bottom w:val="single" w:sz="6" w:space="0" w:color="000000"/>
              <w:right w:val="nil"/>
            </w:tcBorders>
          </w:tcPr>
          <w:p w14:paraId="7A8E1D34"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2021 - IV</w:t>
            </w:r>
          </w:p>
        </w:tc>
        <w:tc>
          <w:tcPr>
            <w:tcW w:w="2949" w:type="dxa"/>
            <w:tcBorders>
              <w:top w:val="single" w:sz="6" w:space="0" w:color="000000"/>
              <w:left w:val="nil"/>
              <w:bottom w:val="single" w:sz="6" w:space="0" w:color="000000"/>
              <w:right w:val="nil"/>
            </w:tcBorders>
            <w:shd w:val="solid" w:color="DDDDDD" w:fill="auto"/>
          </w:tcPr>
          <w:p w14:paraId="39035E22"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467.515</w:t>
            </w:r>
          </w:p>
        </w:tc>
        <w:tc>
          <w:tcPr>
            <w:tcW w:w="2950" w:type="dxa"/>
            <w:tcBorders>
              <w:top w:val="single" w:sz="6" w:space="0" w:color="000000"/>
              <w:left w:val="nil"/>
              <w:bottom w:val="single" w:sz="6" w:space="0" w:color="000000"/>
              <w:right w:val="nil"/>
            </w:tcBorders>
          </w:tcPr>
          <w:p w14:paraId="513F1D23"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+1,5</w:t>
            </w:r>
          </w:p>
        </w:tc>
        <w:tc>
          <w:tcPr>
            <w:tcW w:w="2949" w:type="dxa"/>
            <w:tcBorders>
              <w:top w:val="single" w:sz="6" w:space="0" w:color="000000"/>
              <w:left w:val="nil"/>
              <w:bottom w:val="single" w:sz="6" w:space="0" w:color="000000"/>
              <w:right w:val="nil"/>
            </w:tcBorders>
            <w:shd w:val="solid" w:color="DDDDDD" w:fill="auto"/>
          </w:tcPr>
          <w:p w14:paraId="7D4D98EF"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+8,5</w:t>
            </w:r>
          </w:p>
        </w:tc>
      </w:tr>
      <w:tr w:rsidR="00816721" w:rsidRPr="00816721" w14:paraId="4EBFB4B8" w14:textId="77777777" w:rsidTr="00816721">
        <w:trPr>
          <w:trHeight w:val="262"/>
        </w:trPr>
        <w:tc>
          <w:tcPr>
            <w:tcW w:w="1246" w:type="dxa"/>
            <w:tcBorders>
              <w:top w:val="single" w:sz="6" w:space="0" w:color="000000"/>
              <w:left w:val="nil"/>
              <w:bottom w:val="single" w:sz="6" w:space="0" w:color="000000"/>
              <w:right w:val="nil"/>
            </w:tcBorders>
          </w:tcPr>
          <w:p w14:paraId="4D5EAA04"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2022 - I</w:t>
            </w:r>
          </w:p>
        </w:tc>
        <w:tc>
          <w:tcPr>
            <w:tcW w:w="2949" w:type="dxa"/>
            <w:tcBorders>
              <w:top w:val="single" w:sz="6" w:space="0" w:color="000000"/>
              <w:left w:val="nil"/>
              <w:bottom w:val="single" w:sz="6" w:space="0" w:color="000000"/>
              <w:right w:val="nil"/>
            </w:tcBorders>
            <w:shd w:val="solid" w:color="DDDDDD" w:fill="auto"/>
          </w:tcPr>
          <w:p w14:paraId="43AD2BED"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470.950</w:t>
            </w:r>
          </w:p>
        </w:tc>
        <w:tc>
          <w:tcPr>
            <w:tcW w:w="2950" w:type="dxa"/>
            <w:tcBorders>
              <w:top w:val="single" w:sz="6" w:space="0" w:color="000000"/>
              <w:left w:val="nil"/>
              <w:bottom w:val="single" w:sz="6" w:space="0" w:color="000000"/>
              <w:right w:val="nil"/>
            </w:tcBorders>
          </w:tcPr>
          <w:p w14:paraId="657B0015"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+0,7</w:t>
            </w:r>
          </w:p>
        </w:tc>
        <w:tc>
          <w:tcPr>
            <w:tcW w:w="2949" w:type="dxa"/>
            <w:tcBorders>
              <w:top w:val="single" w:sz="6" w:space="0" w:color="000000"/>
              <w:left w:val="nil"/>
              <w:bottom w:val="single" w:sz="6" w:space="0" w:color="000000"/>
              <w:right w:val="nil"/>
            </w:tcBorders>
            <w:shd w:val="solid" w:color="DDDDDD" w:fill="auto"/>
          </w:tcPr>
          <w:p w14:paraId="3ABF0F6E"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+7,4</w:t>
            </w:r>
          </w:p>
        </w:tc>
      </w:tr>
      <w:tr w:rsidR="00816721" w:rsidRPr="00816721" w14:paraId="59A75BDD" w14:textId="77777777" w:rsidTr="00816721">
        <w:trPr>
          <w:trHeight w:val="262"/>
        </w:trPr>
        <w:tc>
          <w:tcPr>
            <w:tcW w:w="1246" w:type="dxa"/>
            <w:tcBorders>
              <w:top w:val="single" w:sz="6" w:space="0" w:color="000000"/>
              <w:left w:val="nil"/>
              <w:bottom w:val="single" w:sz="6" w:space="0" w:color="000000"/>
              <w:right w:val="nil"/>
            </w:tcBorders>
          </w:tcPr>
          <w:p w14:paraId="2B84D4CE"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2022 - II</w:t>
            </w:r>
          </w:p>
        </w:tc>
        <w:tc>
          <w:tcPr>
            <w:tcW w:w="2949" w:type="dxa"/>
            <w:tcBorders>
              <w:top w:val="single" w:sz="6" w:space="0" w:color="000000"/>
              <w:left w:val="nil"/>
              <w:bottom w:val="single" w:sz="6" w:space="0" w:color="000000"/>
              <w:right w:val="nil"/>
            </w:tcBorders>
            <w:shd w:val="solid" w:color="DDDDDD" w:fill="auto"/>
          </w:tcPr>
          <w:p w14:paraId="21E4B423"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477.875</w:t>
            </w:r>
          </w:p>
        </w:tc>
        <w:tc>
          <w:tcPr>
            <w:tcW w:w="2950" w:type="dxa"/>
            <w:tcBorders>
              <w:top w:val="single" w:sz="6" w:space="0" w:color="000000"/>
              <w:left w:val="nil"/>
              <w:bottom w:val="single" w:sz="6" w:space="0" w:color="000000"/>
              <w:right w:val="nil"/>
            </w:tcBorders>
          </w:tcPr>
          <w:p w14:paraId="5DDF5943"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+1,5</w:t>
            </w:r>
          </w:p>
        </w:tc>
        <w:tc>
          <w:tcPr>
            <w:tcW w:w="2949" w:type="dxa"/>
            <w:tcBorders>
              <w:top w:val="single" w:sz="6" w:space="0" w:color="000000"/>
              <w:left w:val="nil"/>
              <w:bottom w:val="single" w:sz="6" w:space="0" w:color="000000"/>
              <w:right w:val="nil"/>
            </w:tcBorders>
            <w:shd w:val="solid" w:color="DDDDDD" w:fill="auto"/>
          </w:tcPr>
          <w:p w14:paraId="5C70422B"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+6,4</w:t>
            </w:r>
          </w:p>
        </w:tc>
      </w:tr>
      <w:tr w:rsidR="00816721" w:rsidRPr="00816721" w14:paraId="6FDE1045" w14:textId="77777777" w:rsidTr="00816721">
        <w:trPr>
          <w:trHeight w:val="262"/>
        </w:trPr>
        <w:tc>
          <w:tcPr>
            <w:tcW w:w="1246" w:type="dxa"/>
            <w:tcBorders>
              <w:top w:val="single" w:sz="6" w:space="0" w:color="000000"/>
              <w:left w:val="nil"/>
              <w:bottom w:val="single" w:sz="6" w:space="0" w:color="000000"/>
              <w:right w:val="nil"/>
            </w:tcBorders>
          </w:tcPr>
          <w:p w14:paraId="047C0AE0"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2022 - III</w:t>
            </w:r>
          </w:p>
        </w:tc>
        <w:tc>
          <w:tcPr>
            <w:tcW w:w="2949" w:type="dxa"/>
            <w:tcBorders>
              <w:top w:val="single" w:sz="6" w:space="0" w:color="000000"/>
              <w:left w:val="nil"/>
              <w:bottom w:val="single" w:sz="6" w:space="0" w:color="000000"/>
              <w:right w:val="nil"/>
            </w:tcBorders>
            <w:shd w:val="solid" w:color="DDDDDD" w:fill="auto"/>
          </w:tcPr>
          <w:p w14:paraId="25B9E1D5"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479.022</w:t>
            </w:r>
          </w:p>
        </w:tc>
        <w:tc>
          <w:tcPr>
            <w:tcW w:w="2950" w:type="dxa"/>
            <w:tcBorders>
              <w:top w:val="single" w:sz="6" w:space="0" w:color="000000"/>
              <w:left w:val="nil"/>
              <w:bottom w:val="single" w:sz="6" w:space="0" w:color="000000"/>
              <w:right w:val="nil"/>
            </w:tcBorders>
          </w:tcPr>
          <w:p w14:paraId="67197388"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+0,2</w:t>
            </w:r>
          </w:p>
        </w:tc>
        <w:tc>
          <w:tcPr>
            <w:tcW w:w="2949" w:type="dxa"/>
            <w:tcBorders>
              <w:top w:val="single" w:sz="6" w:space="0" w:color="000000"/>
              <w:left w:val="nil"/>
              <w:bottom w:val="single" w:sz="6" w:space="0" w:color="000000"/>
              <w:right w:val="nil"/>
            </w:tcBorders>
            <w:shd w:val="solid" w:color="DDDDDD" w:fill="auto"/>
          </w:tcPr>
          <w:p w14:paraId="5672095D"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+4,0</w:t>
            </w:r>
          </w:p>
        </w:tc>
      </w:tr>
      <w:tr w:rsidR="00816721" w:rsidRPr="00816721" w14:paraId="4A36BF12" w14:textId="77777777" w:rsidTr="00816721">
        <w:trPr>
          <w:trHeight w:val="262"/>
        </w:trPr>
        <w:tc>
          <w:tcPr>
            <w:tcW w:w="1246" w:type="dxa"/>
            <w:tcBorders>
              <w:top w:val="single" w:sz="6" w:space="0" w:color="000000"/>
              <w:left w:val="nil"/>
              <w:bottom w:val="single" w:sz="6" w:space="0" w:color="000000"/>
              <w:right w:val="nil"/>
            </w:tcBorders>
          </w:tcPr>
          <w:p w14:paraId="35231EF4"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2022 - IV</w:t>
            </w:r>
          </w:p>
        </w:tc>
        <w:tc>
          <w:tcPr>
            <w:tcW w:w="2949" w:type="dxa"/>
            <w:tcBorders>
              <w:top w:val="single" w:sz="6" w:space="0" w:color="000000"/>
              <w:left w:val="nil"/>
              <w:bottom w:val="single" w:sz="6" w:space="0" w:color="000000"/>
              <w:right w:val="nil"/>
            </w:tcBorders>
            <w:shd w:val="solid" w:color="DDDDDD" w:fill="auto"/>
          </w:tcPr>
          <w:p w14:paraId="1F674219"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478.338</w:t>
            </w:r>
          </w:p>
        </w:tc>
        <w:tc>
          <w:tcPr>
            <w:tcW w:w="2950" w:type="dxa"/>
            <w:tcBorders>
              <w:top w:val="single" w:sz="6" w:space="0" w:color="000000"/>
              <w:left w:val="nil"/>
              <w:bottom w:val="single" w:sz="6" w:space="0" w:color="000000"/>
              <w:right w:val="nil"/>
            </w:tcBorders>
          </w:tcPr>
          <w:p w14:paraId="575F692F"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-0,1</w:t>
            </w:r>
          </w:p>
        </w:tc>
        <w:tc>
          <w:tcPr>
            <w:tcW w:w="2949" w:type="dxa"/>
            <w:tcBorders>
              <w:top w:val="single" w:sz="6" w:space="0" w:color="000000"/>
              <w:left w:val="nil"/>
              <w:bottom w:val="single" w:sz="6" w:space="0" w:color="000000"/>
              <w:right w:val="nil"/>
            </w:tcBorders>
            <w:shd w:val="solid" w:color="DDDDDD" w:fill="auto"/>
          </w:tcPr>
          <w:p w14:paraId="02532172"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+2,3</w:t>
            </w:r>
          </w:p>
        </w:tc>
      </w:tr>
      <w:tr w:rsidR="00816721" w:rsidRPr="00816721" w14:paraId="6886FED8" w14:textId="77777777" w:rsidTr="00816721">
        <w:trPr>
          <w:trHeight w:val="262"/>
        </w:trPr>
        <w:tc>
          <w:tcPr>
            <w:tcW w:w="1246" w:type="dxa"/>
            <w:tcBorders>
              <w:top w:val="single" w:sz="6" w:space="0" w:color="000000"/>
              <w:left w:val="nil"/>
              <w:bottom w:val="single" w:sz="6" w:space="0" w:color="000000"/>
              <w:right w:val="nil"/>
            </w:tcBorders>
          </w:tcPr>
          <w:p w14:paraId="314CF946"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2023 - I</w:t>
            </w:r>
          </w:p>
        </w:tc>
        <w:tc>
          <w:tcPr>
            <w:tcW w:w="2949" w:type="dxa"/>
            <w:tcBorders>
              <w:top w:val="single" w:sz="6" w:space="0" w:color="000000"/>
              <w:left w:val="nil"/>
              <w:bottom w:val="single" w:sz="6" w:space="0" w:color="000000"/>
              <w:right w:val="nil"/>
            </w:tcBorders>
            <w:shd w:val="solid" w:color="DDDDDD" w:fill="auto"/>
          </w:tcPr>
          <w:p w14:paraId="7103B3D7"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480.524</w:t>
            </w:r>
          </w:p>
        </w:tc>
        <w:tc>
          <w:tcPr>
            <w:tcW w:w="2950" w:type="dxa"/>
            <w:tcBorders>
              <w:top w:val="single" w:sz="6" w:space="0" w:color="000000"/>
              <w:left w:val="nil"/>
              <w:bottom w:val="single" w:sz="6" w:space="0" w:color="000000"/>
              <w:right w:val="nil"/>
            </w:tcBorders>
          </w:tcPr>
          <w:p w14:paraId="36172EE6"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+0,5</w:t>
            </w:r>
          </w:p>
        </w:tc>
        <w:tc>
          <w:tcPr>
            <w:tcW w:w="2949" w:type="dxa"/>
            <w:tcBorders>
              <w:top w:val="single" w:sz="6" w:space="0" w:color="000000"/>
              <w:left w:val="nil"/>
              <w:bottom w:val="single" w:sz="6" w:space="0" w:color="000000"/>
              <w:right w:val="nil"/>
            </w:tcBorders>
            <w:shd w:val="solid" w:color="DDDDDD" w:fill="auto"/>
          </w:tcPr>
          <w:p w14:paraId="326F07B2"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w:t>
            </w:r>
          </w:p>
        </w:tc>
      </w:tr>
      <w:tr w:rsidR="00816721" w:rsidRPr="00816721" w14:paraId="0E7BB19A" w14:textId="77777777" w:rsidTr="00816721">
        <w:trPr>
          <w:trHeight w:val="262"/>
        </w:trPr>
        <w:tc>
          <w:tcPr>
            <w:tcW w:w="1246" w:type="dxa"/>
            <w:tcBorders>
              <w:top w:val="single" w:sz="6" w:space="0" w:color="000000"/>
              <w:left w:val="nil"/>
              <w:bottom w:val="single" w:sz="6" w:space="0" w:color="000000"/>
              <w:right w:val="nil"/>
            </w:tcBorders>
          </w:tcPr>
          <w:p w14:paraId="1DEB93BD"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2023 - II</w:t>
            </w:r>
          </w:p>
        </w:tc>
        <w:tc>
          <w:tcPr>
            <w:tcW w:w="2949" w:type="dxa"/>
            <w:tcBorders>
              <w:top w:val="single" w:sz="6" w:space="0" w:color="000000"/>
              <w:left w:val="nil"/>
              <w:bottom w:val="single" w:sz="6" w:space="0" w:color="000000"/>
              <w:right w:val="nil"/>
            </w:tcBorders>
            <w:shd w:val="solid" w:color="DDDDDD" w:fill="auto"/>
          </w:tcPr>
          <w:p w14:paraId="718F8962"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479.760</w:t>
            </w:r>
          </w:p>
        </w:tc>
        <w:tc>
          <w:tcPr>
            <w:tcW w:w="2950" w:type="dxa"/>
            <w:tcBorders>
              <w:top w:val="single" w:sz="6" w:space="0" w:color="000000"/>
              <w:left w:val="nil"/>
              <w:bottom w:val="single" w:sz="6" w:space="0" w:color="000000"/>
              <w:right w:val="nil"/>
            </w:tcBorders>
          </w:tcPr>
          <w:p w14:paraId="2A9658A2"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-0,2</w:t>
            </w:r>
          </w:p>
        </w:tc>
        <w:tc>
          <w:tcPr>
            <w:tcW w:w="2949" w:type="dxa"/>
            <w:tcBorders>
              <w:top w:val="single" w:sz="6" w:space="0" w:color="000000"/>
              <w:left w:val="nil"/>
              <w:bottom w:val="single" w:sz="6" w:space="0" w:color="000000"/>
              <w:right w:val="nil"/>
            </w:tcBorders>
            <w:shd w:val="solid" w:color="DDDDDD" w:fill="auto"/>
          </w:tcPr>
          <w:p w14:paraId="64D30535"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+0,4</w:t>
            </w:r>
          </w:p>
        </w:tc>
      </w:tr>
      <w:tr w:rsidR="00816721" w:rsidRPr="00816721" w14:paraId="6762195F" w14:textId="77777777" w:rsidTr="00816721">
        <w:trPr>
          <w:trHeight w:val="262"/>
        </w:trPr>
        <w:tc>
          <w:tcPr>
            <w:tcW w:w="1246" w:type="dxa"/>
            <w:tcBorders>
              <w:top w:val="single" w:sz="6" w:space="0" w:color="000000"/>
              <w:left w:val="nil"/>
              <w:bottom w:val="single" w:sz="6" w:space="0" w:color="000000"/>
              <w:right w:val="nil"/>
            </w:tcBorders>
          </w:tcPr>
          <w:p w14:paraId="3A591146"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2023 - III</w:t>
            </w:r>
          </w:p>
        </w:tc>
        <w:tc>
          <w:tcPr>
            <w:tcW w:w="2949" w:type="dxa"/>
            <w:tcBorders>
              <w:top w:val="single" w:sz="6" w:space="0" w:color="000000"/>
              <w:left w:val="nil"/>
              <w:bottom w:val="single" w:sz="6" w:space="0" w:color="000000"/>
              <w:right w:val="nil"/>
            </w:tcBorders>
            <w:shd w:val="solid" w:color="DDDDDD" w:fill="auto"/>
          </w:tcPr>
          <w:p w14:paraId="05F88A57"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480.282</w:t>
            </w:r>
          </w:p>
        </w:tc>
        <w:tc>
          <w:tcPr>
            <w:tcW w:w="2950" w:type="dxa"/>
            <w:tcBorders>
              <w:top w:val="single" w:sz="6" w:space="0" w:color="000000"/>
              <w:left w:val="nil"/>
              <w:bottom w:val="single" w:sz="6" w:space="0" w:color="000000"/>
              <w:right w:val="nil"/>
            </w:tcBorders>
          </w:tcPr>
          <w:p w14:paraId="2ADFF244"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+0,1</w:t>
            </w:r>
          </w:p>
        </w:tc>
        <w:tc>
          <w:tcPr>
            <w:tcW w:w="2949" w:type="dxa"/>
            <w:tcBorders>
              <w:top w:val="single" w:sz="6" w:space="0" w:color="000000"/>
              <w:left w:val="nil"/>
              <w:bottom w:val="single" w:sz="6" w:space="0" w:color="000000"/>
              <w:right w:val="nil"/>
            </w:tcBorders>
            <w:shd w:val="solid" w:color="DDDDDD" w:fill="auto"/>
          </w:tcPr>
          <w:p w14:paraId="6C5DD931"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+0,3</w:t>
            </w:r>
          </w:p>
        </w:tc>
      </w:tr>
      <w:tr w:rsidR="00816721" w:rsidRPr="00816721" w14:paraId="71F2B8CF" w14:textId="77777777" w:rsidTr="00816721">
        <w:trPr>
          <w:trHeight w:val="262"/>
        </w:trPr>
        <w:tc>
          <w:tcPr>
            <w:tcW w:w="1246" w:type="dxa"/>
            <w:tcBorders>
              <w:top w:val="single" w:sz="6" w:space="0" w:color="000000"/>
              <w:left w:val="nil"/>
              <w:bottom w:val="single" w:sz="6" w:space="0" w:color="000000"/>
              <w:right w:val="nil"/>
            </w:tcBorders>
          </w:tcPr>
          <w:p w14:paraId="397432FF"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2023 - IV</w:t>
            </w:r>
          </w:p>
        </w:tc>
        <w:tc>
          <w:tcPr>
            <w:tcW w:w="2949" w:type="dxa"/>
            <w:tcBorders>
              <w:top w:val="single" w:sz="6" w:space="0" w:color="000000"/>
              <w:left w:val="nil"/>
              <w:bottom w:val="single" w:sz="6" w:space="0" w:color="000000"/>
              <w:right w:val="nil"/>
            </w:tcBorders>
            <w:shd w:val="solid" w:color="DDDDDD" w:fill="auto"/>
          </w:tcPr>
          <w:p w14:paraId="39D5202D"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481.140</w:t>
            </w:r>
          </w:p>
        </w:tc>
        <w:tc>
          <w:tcPr>
            <w:tcW w:w="2950" w:type="dxa"/>
            <w:tcBorders>
              <w:top w:val="single" w:sz="6" w:space="0" w:color="000000"/>
              <w:left w:val="nil"/>
              <w:bottom w:val="single" w:sz="6" w:space="0" w:color="000000"/>
              <w:right w:val="nil"/>
            </w:tcBorders>
          </w:tcPr>
          <w:p w14:paraId="40403963"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+0,2</w:t>
            </w:r>
          </w:p>
        </w:tc>
        <w:tc>
          <w:tcPr>
            <w:tcW w:w="2949" w:type="dxa"/>
            <w:tcBorders>
              <w:top w:val="single" w:sz="6" w:space="0" w:color="000000"/>
              <w:left w:val="nil"/>
              <w:bottom w:val="single" w:sz="6" w:space="0" w:color="000000"/>
              <w:right w:val="nil"/>
            </w:tcBorders>
            <w:shd w:val="solid" w:color="DDDDDD" w:fill="auto"/>
          </w:tcPr>
          <w:p w14:paraId="7AE65909"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+0,6</w:t>
            </w:r>
          </w:p>
        </w:tc>
      </w:tr>
      <w:tr w:rsidR="00816721" w:rsidRPr="00816721" w14:paraId="73738FAF" w14:textId="77777777" w:rsidTr="00816721">
        <w:trPr>
          <w:trHeight w:val="262"/>
        </w:trPr>
        <w:tc>
          <w:tcPr>
            <w:tcW w:w="1246" w:type="dxa"/>
            <w:tcBorders>
              <w:top w:val="single" w:sz="6" w:space="0" w:color="000000"/>
              <w:left w:val="nil"/>
              <w:bottom w:val="single" w:sz="6" w:space="0" w:color="000000"/>
              <w:right w:val="nil"/>
            </w:tcBorders>
          </w:tcPr>
          <w:p w14:paraId="07A8D7DC"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2024 - I</w:t>
            </w:r>
          </w:p>
        </w:tc>
        <w:tc>
          <w:tcPr>
            <w:tcW w:w="2949" w:type="dxa"/>
            <w:tcBorders>
              <w:top w:val="single" w:sz="6" w:space="0" w:color="000000"/>
              <w:left w:val="nil"/>
              <w:bottom w:val="single" w:sz="6" w:space="0" w:color="000000"/>
              <w:right w:val="nil"/>
            </w:tcBorders>
            <w:shd w:val="solid" w:color="DDDDDD" w:fill="auto"/>
          </w:tcPr>
          <w:p w14:paraId="736DD3BB"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481.914</w:t>
            </w:r>
          </w:p>
        </w:tc>
        <w:tc>
          <w:tcPr>
            <w:tcW w:w="2950" w:type="dxa"/>
            <w:tcBorders>
              <w:top w:val="single" w:sz="6" w:space="0" w:color="000000"/>
              <w:left w:val="nil"/>
              <w:bottom w:val="single" w:sz="6" w:space="0" w:color="000000"/>
              <w:right w:val="nil"/>
            </w:tcBorders>
          </w:tcPr>
          <w:p w14:paraId="5760B1B5"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+0,2</w:t>
            </w:r>
          </w:p>
        </w:tc>
        <w:tc>
          <w:tcPr>
            <w:tcW w:w="2949" w:type="dxa"/>
            <w:tcBorders>
              <w:top w:val="single" w:sz="6" w:space="0" w:color="000000"/>
              <w:left w:val="nil"/>
              <w:bottom w:val="single" w:sz="6" w:space="0" w:color="000000"/>
              <w:right w:val="nil"/>
            </w:tcBorders>
            <w:shd w:val="solid" w:color="DDDDDD" w:fill="auto"/>
          </w:tcPr>
          <w:p w14:paraId="338E4180"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+0,3</w:t>
            </w:r>
          </w:p>
        </w:tc>
      </w:tr>
      <w:tr w:rsidR="00816721" w:rsidRPr="00816721" w14:paraId="6CD4B2C9" w14:textId="77777777" w:rsidTr="00816721">
        <w:trPr>
          <w:trHeight w:val="262"/>
        </w:trPr>
        <w:tc>
          <w:tcPr>
            <w:tcW w:w="1246" w:type="dxa"/>
            <w:tcBorders>
              <w:top w:val="single" w:sz="6" w:space="0" w:color="000000"/>
              <w:left w:val="nil"/>
              <w:bottom w:val="single" w:sz="6" w:space="0" w:color="000000"/>
              <w:right w:val="nil"/>
            </w:tcBorders>
          </w:tcPr>
          <w:p w14:paraId="335C11A7"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2024 - II</w:t>
            </w:r>
          </w:p>
        </w:tc>
        <w:tc>
          <w:tcPr>
            <w:tcW w:w="2949" w:type="dxa"/>
            <w:tcBorders>
              <w:top w:val="single" w:sz="6" w:space="0" w:color="000000"/>
              <w:left w:val="nil"/>
              <w:bottom w:val="single" w:sz="6" w:space="0" w:color="000000"/>
              <w:right w:val="nil"/>
            </w:tcBorders>
            <w:shd w:val="solid" w:color="DDDDDD" w:fill="auto"/>
          </w:tcPr>
          <w:p w14:paraId="6E1E0EDA"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482.990</w:t>
            </w:r>
          </w:p>
        </w:tc>
        <w:tc>
          <w:tcPr>
            <w:tcW w:w="2950" w:type="dxa"/>
            <w:tcBorders>
              <w:top w:val="single" w:sz="6" w:space="0" w:color="000000"/>
              <w:left w:val="nil"/>
              <w:bottom w:val="single" w:sz="6" w:space="0" w:color="000000"/>
              <w:right w:val="nil"/>
            </w:tcBorders>
          </w:tcPr>
          <w:p w14:paraId="122CC393"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+0,2</w:t>
            </w:r>
          </w:p>
        </w:tc>
        <w:tc>
          <w:tcPr>
            <w:tcW w:w="2949" w:type="dxa"/>
            <w:tcBorders>
              <w:top w:val="single" w:sz="6" w:space="0" w:color="000000"/>
              <w:left w:val="nil"/>
              <w:bottom w:val="single" w:sz="6" w:space="0" w:color="000000"/>
              <w:right w:val="nil"/>
            </w:tcBorders>
            <w:shd w:val="solid" w:color="DDDDDD" w:fill="auto"/>
          </w:tcPr>
          <w:p w14:paraId="5A5793FA"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+0,7</w:t>
            </w:r>
          </w:p>
        </w:tc>
      </w:tr>
      <w:tr w:rsidR="00816721" w:rsidRPr="00816721" w14:paraId="345D6BBF" w14:textId="77777777" w:rsidTr="00816721">
        <w:trPr>
          <w:trHeight w:val="262"/>
        </w:trPr>
        <w:tc>
          <w:tcPr>
            <w:tcW w:w="1246" w:type="dxa"/>
            <w:tcBorders>
              <w:top w:val="single" w:sz="6" w:space="0" w:color="000000"/>
              <w:left w:val="nil"/>
              <w:bottom w:val="single" w:sz="6" w:space="0" w:color="000000"/>
              <w:right w:val="nil"/>
            </w:tcBorders>
          </w:tcPr>
          <w:p w14:paraId="36DBC879"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2024 - III</w:t>
            </w:r>
          </w:p>
        </w:tc>
        <w:tc>
          <w:tcPr>
            <w:tcW w:w="2949" w:type="dxa"/>
            <w:tcBorders>
              <w:top w:val="single" w:sz="6" w:space="0" w:color="000000"/>
              <w:left w:val="nil"/>
              <w:bottom w:val="single" w:sz="6" w:space="0" w:color="000000"/>
              <w:right w:val="nil"/>
            </w:tcBorders>
            <w:shd w:val="solid" w:color="DDDDDD" w:fill="auto"/>
          </w:tcPr>
          <w:p w14:paraId="28A6A2C0"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482.897</w:t>
            </w:r>
          </w:p>
        </w:tc>
        <w:tc>
          <w:tcPr>
            <w:tcW w:w="2950" w:type="dxa"/>
            <w:tcBorders>
              <w:top w:val="single" w:sz="6" w:space="0" w:color="000000"/>
              <w:left w:val="nil"/>
              <w:bottom w:val="single" w:sz="6" w:space="0" w:color="000000"/>
              <w:right w:val="nil"/>
            </w:tcBorders>
          </w:tcPr>
          <w:p w14:paraId="1BBE5C98"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0,0</w:t>
            </w:r>
          </w:p>
        </w:tc>
        <w:tc>
          <w:tcPr>
            <w:tcW w:w="2949" w:type="dxa"/>
            <w:tcBorders>
              <w:top w:val="single" w:sz="6" w:space="0" w:color="000000"/>
              <w:left w:val="nil"/>
              <w:bottom w:val="single" w:sz="6" w:space="0" w:color="000000"/>
              <w:right w:val="nil"/>
            </w:tcBorders>
            <w:shd w:val="solid" w:color="DDDDDD" w:fill="auto"/>
          </w:tcPr>
          <w:p w14:paraId="70F2F993"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+0,5</w:t>
            </w:r>
          </w:p>
        </w:tc>
      </w:tr>
      <w:tr w:rsidR="00816721" w:rsidRPr="00816721" w14:paraId="53B1D912" w14:textId="77777777" w:rsidTr="00816721">
        <w:trPr>
          <w:trHeight w:val="262"/>
        </w:trPr>
        <w:tc>
          <w:tcPr>
            <w:tcW w:w="1246" w:type="dxa"/>
            <w:tcBorders>
              <w:top w:val="single" w:sz="6" w:space="0" w:color="000000"/>
              <w:left w:val="nil"/>
              <w:bottom w:val="single" w:sz="6" w:space="0" w:color="000000"/>
              <w:right w:val="nil"/>
            </w:tcBorders>
          </w:tcPr>
          <w:p w14:paraId="7EFB553A"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2024 - IV</w:t>
            </w:r>
          </w:p>
        </w:tc>
        <w:tc>
          <w:tcPr>
            <w:tcW w:w="2949" w:type="dxa"/>
            <w:tcBorders>
              <w:top w:val="single" w:sz="6" w:space="0" w:color="000000"/>
              <w:left w:val="nil"/>
              <w:bottom w:val="single" w:sz="6" w:space="0" w:color="000000"/>
              <w:right w:val="nil"/>
            </w:tcBorders>
            <w:shd w:val="solid" w:color="DDDDDD" w:fill="auto"/>
          </w:tcPr>
          <w:p w14:paraId="0B017FEB"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483.889</w:t>
            </w:r>
          </w:p>
        </w:tc>
        <w:tc>
          <w:tcPr>
            <w:tcW w:w="2950" w:type="dxa"/>
            <w:tcBorders>
              <w:top w:val="single" w:sz="6" w:space="0" w:color="000000"/>
              <w:left w:val="nil"/>
              <w:bottom w:val="single" w:sz="6" w:space="0" w:color="000000"/>
              <w:right w:val="nil"/>
            </w:tcBorders>
          </w:tcPr>
          <w:p w14:paraId="539518EF"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+0,2</w:t>
            </w:r>
          </w:p>
        </w:tc>
        <w:tc>
          <w:tcPr>
            <w:tcW w:w="2949" w:type="dxa"/>
            <w:tcBorders>
              <w:top w:val="single" w:sz="6" w:space="0" w:color="000000"/>
              <w:left w:val="nil"/>
              <w:bottom w:val="single" w:sz="6" w:space="0" w:color="000000"/>
              <w:right w:val="nil"/>
            </w:tcBorders>
            <w:shd w:val="solid" w:color="DDDDDD" w:fill="auto"/>
          </w:tcPr>
          <w:p w14:paraId="19EA7C5E"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+0,6</w:t>
            </w:r>
          </w:p>
        </w:tc>
      </w:tr>
      <w:tr w:rsidR="00816721" w:rsidRPr="00816721" w14:paraId="47003FD3" w14:textId="77777777" w:rsidTr="00816721">
        <w:trPr>
          <w:trHeight w:val="262"/>
        </w:trPr>
        <w:tc>
          <w:tcPr>
            <w:tcW w:w="1246" w:type="dxa"/>
            <w:tcBorders>
              <w:top w:val="single" w:sz="6" w:space="0" w:color="000000"/>
              <w:left w:val="nil"/>
              <w:bottom w:val="single" w:sz="6" w:space="0" w:color="auto"/>
              <w:right w:val="nil"/>
            </w:tcBorders>
          </w:tcPr>
          <w:p w14:paraId="68E166D8"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2025 - I</w:t>
            </w:r>
          </w:p>
        </w:tc>
        <w:tc>
          <w:tcPr>
            <w:tcW w:w="2949" w:type="dxa"/>
            <w:tcBorders>
              <w:top w:val="single" w:sz="6" w:space="0" w:color="000000"/>
              <w:left w:val="nil"/>
              <w:bottom w:val="single" w:sz="6" w:space="0" w:color="auto"/>
              <w:right w:val="nil"/>
            </w:tcBorders>
            <w:shd w:val="solid" w:color="DDDDDD" w:fill="auto"/>
          </w:tcPr>
          <w:p w14:paraId="2A336E79"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485.351</w:t>
            </w:r>
          </w:p>
        </w:tc>
        <w:tc>
          <w:tcPr>
            <w:tcW w:w="2950" w:type="dxa"/>
            <w:tcBorders>
              <w:top w:val="single" w:sz="6" w:space="0" w:color="000000"/>
              <w:left w:val="nil"/>
              <w:bottom w:val="single" w:sz="6" w:space="0" w:color="auto"/>
              <w:right w:val="nil"/>
            </w:tcBorders>
          </w:tcPr>
          <w:p w14:paraId="1221D10E"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+0,3</w:t>
            </w:r>
          </w:p>
        </w:tc>
        <w:tc>
          <w:tcPr>
            <w:tcW w:w="2949" w:type="dxa"/>
            <w:tcBorders>
              <w:top w:val="single" w:sz="6" w:space="0" w:color="000000"/>
              <w:left w:val="nil"/>
              <w:bottom w:val="single" w:sz="6" w:space="0" w:color="auto"/>
              <w:right w:val="nil"/>
            </w:tcBorders>
            <w:shd w:val="solid" w:color="DDDDDD" w:fill="auto"/>
          </w:tcPr>
          <w:p w14:paraId="365DC94C"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+0,7</w:t>
            </w:r>
          </w:p>
        </w:tc>
      </w:tr>
      <w:tr w:rsidR="00816721" w:rsidRPr="00816721" w14:paraId="1D219B87" w14:textId="77777777" w:rsidTr="00816721">
        <w:trPr>
          <w:trHeight w:val="262"/>
        </w:trPr>
        <w:tc>
          <w:tcPr>
            <w:tcW w:w="1246" w:type="dxa"/>
            <w:tcBorders>
              <w:top w:val="single" w:sz="6" w:space="0" w:color="auto"/>
              <w:left w:val="nil"/>
              <w:bottom w:val="single" w:sz="6" w:space="0" w:color="auto"/>
              <w:right w:val="nil"/>
            </w:tcBorders>
          </w:tcPr>
          <w:p w14:paraId="6F9D6BF9"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2025 - II</w:t>
            </w:r>
          </w:p>
        </w:tc>
        <w:tc>
          <w:tcPr>
            <w:tcW w:w="2949" w:type="dxa"/>
            <w:tcBorders>
              <w:top w:val="single" w:sz="6" w:space="0" w:color="auto"/>
              <w:left w:val="nil"/>
              <w:bottom w:val="single" w:sz="6" w:space="0" w:color="auto"/>
              <w:right w:val="nil"/>
            </w:tcBorders>
            <w:shd w:val="solid" w:color="DDDDDD" w:fill="auto"/>
          </w:tcPr>
          <w:p w14:paraId="054425FF"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485.024</w:t>
            </w:r>
          </w:p>
        </w:tc>
        <w:tc>
          <w:tcPr>
            <w:tcW w:w="2950" w:type="dxa"/>
            <w:tcBorders>
              <w:top w:val="single" w:sz="6" w:space="0" w:color="auto"/>
              <w:left w:val="nil"/>
              <w:bottom w:val="single" w:sz="6" w:space="0" w:color="auto"/>
              <w:right w:val="nil"/>
            </w:tcBorders>
          </w:tcPr>
          <w:p w14:paraId="227268E7"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-0,1</w:t>
            </w:r>
          </w:p>
        </w:tc>
        <w:tc>
          <w:tcPr>
            <w:tcW w:w="2949" w:type="dxa"/>
            <w:tcBorders>
              <w:top w:val="single" w:sz="6" w:space="0" w:color="auto"/>
              <w:left w:val="nil"/>
              <w:bottom w:val="single" w:sz="6" w:space="0" w:color="auto"/>
              <w:right w:val="nil"/>
            </w:tcBorders>
            <w:shd w:val="solid" w:color="DDDDDD" w:fill="auto"/>
          </w:tcPr>
          <w:p w14:paraId="1A2F216A"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+0,4</w:t>
            </w:r>
          </w:p>
        </w:tc>
      </w:tr>
    </w:tbl>
    <w:p w14:paraId="0FF0BC05" w14:textId="71F1D763" w:rsidR="00C82867" w:rsidRDefault="00C82867" w:rsidP="00A00693"/>
    <w:p w14:paraId="2169C3B7" w14:textId="77777777" w:rsidR="00C82867" w:rsidRDefault="00C82867" w:rsidP="00A00693"/>
    <w:p w14:paraId="71860A49" w14:textId="77777777" w:rsidR="00C82867" w:rsidRDefault="00C82867" w:rsidP="00A00693"/>
    <w:p w14:paraId="3E45854F" w14:textId="77777777" w:rsidR="00C82867" w:rsidRDefault="00C82867" w:rsidP="00A00693"/>
    <w:p w14:paraId="0C180C08" w14:textId="77777777" w:rsidR="00C82867" w:rsidRDefault="00C82867" w:rsidP="00A00693"/>
    <w:p w14:paraId="11924AB4" w14:textId="77777777" w:rsidR="00C82867" w:rsidRDefault="00C82867" w:rsidP="00A00693"/>
    <w:p w14:paraId="34488CEB" w14:textId="77777777" w:rsidR="00C82867" w:rsidRDefault="00C82867" w:rsidP="00A00693"/>
    <w:p w14:paraId="5E52EFAE" w14:textId="77777777" w:rsidR="009A5035" w:rsidRDefault="009A5035" w:rsidP="00A00693">
      <w:pPr>
        <w:sectPr w:rsidR="009A5035" w:rsidSect="00623584">
          <w:headerReference w:type="default" r:id="rId20"/>
          <w:footerReference w:type="default" r:id="rId21"/>
          <w:pgSz w:w="11907" w:h="16840" w:code="9"/>
          <w:pgMar w:top="1534" w:right="851" w:bottom="680" w:left="851" w:header="567" w:footer="567" w:gutter="0"/>
          <w:cols w:space="720"/>
          <w:noEndnote/>
          <w:docGrid w:linePitch="272"/>
        </w:sectPr>
      </w:pPr>
    </w:p>
    <w:p w14:paraId="2EC1DE06" w14:textId="77777777" w:rsidR="00C82867" w:rsidRPr="007138A3" w:rsidRDefault="00C82867" w:rsidP="00B81D29">
      <w:pPr>
        <w:spacing w:before="0" w:after="120"/>
        <w:jc w:val="both"/>
        <w:rPr>
          <w:rFonts w:ascii="Arial Narrow" w:hAnsi="Arial Narrow" w:cs="Arial"/>
          <w:sz w:val="22"/>
          <w:szCs w:val="22"/>
        </w:rPr>
      </w:pPr>
    </w:p>
    <w:p w14:paraId="5E6F50AA" w14:textId="77777777" w:rsidR="000B233D" w:rsidRPr="00955FB5" w:rsidRDefault="000B233D" w:rsidP="00B81D29">
      <w:pPr>
        <w:spacing w:before="0" w:after="120"/>
        <w:jc w:val="both"/>
        <w:rPr>
          <w:rFonts w:ascii="Arial" w:hAnsi="Arial" w:cs="Arial"/>
          <w:sz w:val="21"/>
          <w:szCs w:val="21"/>
        </w:rPr>
      </w:pPr>
      <w:r w:rsidRPr="00955FB5">
        <w:rPr>
          <w:rFonts w:ascii="Arial" w:hAnsi="Arial" w:cs="Arial"/>
          <w:sz w:val="21"/>
          <w:szCs w:val="21"/>
        </w:rPr>
        <w:t xml:space="preserve">Secondo la prassi corrente, i dati diffusi con questo comunicato stampa sono rivisti a </w:t>
      </w:r>
      <w:r w:rsidR="0004186A">
        <w:rPr>
          <w:rFonts w:ascii="Arial" w:hAnsi="Arial" w:cs="Arial"/>
          <w:sz w:val="21"/>
          <w:szCs w:val="21"/>
        </w:rPr>
        <w:t>partire dal primo trimestre 2021</w:t>
      </w:r>
      <w:r w:rsidRPr="00955FB5">
        <w:rPr>
          <w:rFonts w:ascii="Arial" w:hAnsi="Arial" w:cs="Arial"/>
          <w:sz w:val="21"/>
          <w:szCs w:val="21"/>
        </w:rPr>
        <w:t xml:space="preserve">. La metodologia utilizzata </w:t>
      </w:r>
      <w:r w:rsidR="00661569">
        <w:rPr>
          <w:rFonts w:ascii="Arial" w:hAnsi="Arial" w:cs="Arial"/>
          <w:sz w:val="21"/>
          <w:szCs w:val="21"/>
        </w:rPr>
        <w:t>per la stima preliminare del Pil</w:t>
      </w:r>
      <w:r w:rsidRPr="00955FB5">
        <w:rPr>
          <w:rFonts w:ascii="Arial" w:hAnsi="Arial" w:cs="Arial"/>
          <w:sz w:val="21"/>
          <w:szCs w:val="21"/>
        </w:rPr>
        <w:t xml:space="preserve"> è analoga a quella seguita per la stima completa dei conti trimestrali. La mancanza totale o parziale di alcuni indicatori alla data della stima preliminare comporta un maggiore ricorso a tecniche statistiche di integrazione. Di conseguenza, le stime preliminari trimestrali possono essere soggette a revisioni di entità superiore rispetto alle stime correnti, diffuse a </w:t>
      </w:r>
      <w:r w:rsidR="008F59A0">
        <w:rPr>
          <w:rFonts w:ascii="Arial" w:hAnsi="Arial" w:cs="Arial"/>
          <w:sz w:val="21"/>
          <w:szCs w:val="21"/>
        </w:rPr>
        <w:t>due mesi</w:t>
      </w:r>
      <w:r w:rsidRPr="00955FB5">
        <w:rPr>
          <w:rFonts w:ascii="Arial" w:hAnsi="Arial" w:cs="Arial"/>
          <w:sz w:val="21"/>
          <w:szCs w:val="21"/>
        </w:rPr>
        <w:t xml:space="preserve"> dalla fine del trimestre.</w:t>
      </w:r>
    </w:p>
    <w:p w14:paraId="6F766458" w14:textId="77777777" w:rsidR="000B233D" w:rsidRPr="007138A3" w:rsidRDefault="000B233D" w:rsidP="00955FB5">
      <w:pPr>
        <w:spacing w:before="0" w:after="120"/>
        <w:jc w:val="both"/>
        <w:rPr>
          <w:rFonts w:ascii="Arial Narrow" w:hAnsi="Arial Narrow" w:cs="Arial"/>
          <w:sz w:val="22"/>
          <w:szCs w:val="22"/>
        </w:rPr>
      </w:pPr>
    </w:p>
    <w:p w14:paraId="2BF474F6" w14:textId="32D008E4" w:rsidR="00816721" w:rsidRDefault="000B233D" w:rsidP="00816721">
      <w:pPr>
        <w:pStyle w:val="Corpodeltesto3"/>
        <w:tabs>
          <w:tab w:val="left" w:pos="6946"/>
        </w:tabs>
        <w:jc w:val="both"/>
      </w:pPr>
      <w:r w:rsidRPr="000A085E">
        <w:rPr>
          <w:rStyle w:val="001TitoGraRed"/>
          <w:rFonts w:ascii="Arial Narrow" w:hAnsi="Arial Narrow"/>
          <w:b/>
          <w:color w:val="E42618"/>
          <w:kern w:val="28"/>
          <w:sz w:val="22"/>
          <w:szCs w:val="22"/>
        </w:rPr>
        <w:t>PROSPETTO 2</w:t>
      </w:r>
      <w:r w:rsidRPr="00470488">
        <w:rPr>
          <w:rStyle w:val="001TitoGraRed"/>
          <w:color w:val="E42618"/>
          <w:kern w:val="28"/>
          <w:sz w:val="22"/>
          <w:szCs w:val="22"/>
        </w:rPr>
        <w:t xml:space="preserve">. </w:t>
      </w:r>
      <w:r w:rsidRPr="000B233D">
        <w:rPr>
          <w:rFonts w:ascii="Arial Narrow" w:hAnsi="Arial Narrow" w:cs="Arial"/>
          <w:b/>
          <w:color w:val="5F5F5F"/>
          <w:kern w:val="28"/>
          <w:sz w:val="22"/>
          <w:szCs w:val="22"/>
        </w:rPr>
        <w:t>REVISIONI DEI TASSI DI CRESCITA CONGIUNTURALI DEL PIL NEGLI ULTIMI COMUNICATI STAMPA</w:t>
      </w:r>
      <w:r>
        <w:rPr>
          <w:rFonts w:ascii="Arial Narrow" w:hAnsi="Arial Narrow" w:cs="Arial"/>
          <w:b/>
          <w:bCs/>
          <w:caps/>
          <w:color w:val="4D4D4D"/>
          <w:sz w:val="20"/>
          <w:szCs w:val="20"/>
        </w:rPr>
        <w:t xml:space="preserve"> </w:t>
      </w:r>
      <w:r w:rsidRPr="000B233D">
        <w:rPr>
          <w:rFonts w:ascii="Arial Narrow" w:hAnsi="Arial Narrow" w:cs="Arial"/>
          <w:color w:val="5F5F5F"/>
          <w:kern w:val="28"/>
          <w:sz w:val="20"/>
          <w:szCs w:val="20"/>
        </w:rPr>
        <w:t>Elaborazioni su dati concatenati, destagionalizzati e corretti</w:t>
      </w:r>
      <w:r w:rsidR="00300040">
        <w:rPr>
          <w:rFonts w:ascii="Arial Narrow" w:hAnsi="Arial Narrow" w:cs="Arial"/>
          <w:color w:val="5F5F5F"/>
          <w:kern w:val="28"/>
          <w:sz w:val="20"/>
          <w:szCs w:val="20"/>
        </w:rPr>
        <w:t xml:space="preserve"> </w:t>
      </w:r>
      <w:r w:rsidR="00C22A09">
        <w:rPr>
          <w:rFonts w:ascii="Arial Narrow" w:hAnsi="Arial Narrow" w:cs="Arial"/>
          <w:color w:val="5F5F5F"/>
          <w:kern w:val="28"/>
          <w:sz w:val="20"/>
          <w:szCs w:val="20"/>
        </w:rPr>
        <w:t xml:space="preserve">per gli effetti di calendario </w:t>
      </w:r>
      <w:r w:rsidR="00CB46A1" w:rsidRPr="00CB46A1">
        <w:rPr>
          <w:rFonts w:ascii="Arial Narrow" w:hAnsi="Arial Narrow" w:cs="Arial"/>
          <w:color w:val="5F5F5F"/>
          <w:kern w:val="28"/>
          <w:sz w:val="20"/>
          <w:szCs w:val="20"/>
        </w:rPr>
        <w:t xml:space="preserve">(anno di riferimento </w:t>
      </w:r>
      <w:r w:rsidR="007E40B3">
        <w:rPr>
          <w:rFonts w:ascii="Arial Narrow" w:hAnsi="Arial Narrow" w:cs="Arial"/>
          <w:color w:val="5F5F5F"/>
          <w:kern w:val="28"/>
          <w:sz w:val="20"/>
          <w:szCs w:val="20"/>
        </w:rPr>
        <w:t>2020</w:t>
      </w:r>
      <w:r w:rsidR="00CB46A1" w:rsidRPr="00CB46A1">
        <w:rPr>
          <w:rFonts w:ascii="Arial Narrow" w:hAnsi="Arial Narrow" w:cs="Arial"/>
          <w:color w:val="5F5F5F"/>
          <w:kern w:val="28"/>
          <w:sz w:val="20"/>
          <w:szCs w:val="20"/>
        </w:rPr>
        <w:t>)</w:t>
      </w:r>
    </w:p>
    <w:tbl>
      <w:tblPr>
        <w:tblW w:w="10206" w:type="dxa"/>
        <w:tblInd w:w="40" w:type="dxa"/>
        <w:tblLayout w:type="fixed"/>
        <w:tblCellMar>
          <w:left w:w="70" w:type="dxa"/>
          <w:right w:w="70" w:type="dxa"/>
        </w:tblCellMar>
        <w:tblLook w:val="0000" w:firstRow="0" w:lastRow="0" w:firstColumn="0" w:lastColumn="0" w:noHBand="0" w:noVBand="0"/>
      </w:tblPr>
      <w:tblGrid>
        <w:gridCol w:w="2040"/>
        <w:gridCol w:w="2041"/>
        <w:gridCol w:w="2042"/>
        <w:gridCol w:w="2041"/>
        <w:gridCol w:w="2042"/>
      </w:tblGrid>
      <w:tr w:rsidR="00816721" w:rsidRPr="00816721" w14:paraId="437F5130" w14:textId="77777777" w:rsidTr="00DE2043">
        <w:trPr>
          <w:trHeight w:val="523"/>
        </w:trPr>
        <w:tc>
          <w:tcPr>
            <w:tcW w:w="2040" w:type="dxa"/>
            <w:tcBorders>
              <w:top w:val="single" w:sz="6" w:space="0" w:color="000000"/>
              <w:left w:val="nil"/>
              <w:bottom w:val="single" w:sz="6" w:space="0" w:color="000000"/>
              <w:right w:val="nil"/>
            </w:tcBorders>
          </w:tcPr>
          <w:p w14:paraId="5C37D7E8" w14:textId="77777777" w:rsidR="00816721" w:rsidRPr="00816721" w:rsidRDefault="00816721" w:rsidP="00816721">
            <w:pPr>
              <w:widowControl/>
              <w:overflowPunct/>
              <w:spacing w:before="0" w:after="0"/>
              <w:rPr>
                <w:rFonts w:ascii="Arial Narrow" w:hAnsi="Arial Narrow" w:cs="Arial Narrow"/>
                <w:b/>
                <w:bCs/>
                <w:color w:val="000000"/>
                <w:kern w:val="0"/>
                <w:sz w:val="18"/>
                <w:szCs w:val="18"/>
              </w:rPr>
            </w:pPr>
            <w:r w:rsidRPr="00816721">
              <w:rPr>
                <w:rFonts w:ascii="Arial Narrow" w:hAnsi="Arial Narrow" w:cs="Arial Narrow"/>
                <w:b/>
                <w:bCs/>
                <w:color w:val="000000"/>
                <w:kern w:val="0"/>
                <w:sz w:val="18"/>
                <w:szCs w:val="18"/>
              </w:rPr>
              <w:t>TRIMESTRI</w:t>
            </w:r>
          </w:p>
        </w:tc>
        <w:tc>
          <w:tcPr>
            <w:tcW w:w="2041" w:type="dxa"/>
            <w:tcBorders>
              <w:top w:val="single" w:sz="4" w:space="0" w:color="auto"/>
              <w:left w:val="nil"/>
              <w:bottom w:val="single" w:sz="6" w:space="0" w:color="000000"/>
              <w:right w:val="nil"/>
            </w:tcBorders>
            <w:shd w:val="solid" w:color="DDDDDD" w:fill="auto"/>
          </w:tcPr>
          <w:p w14:paraId="6562D79D" w14:textId="77777777" w:rsidR="00816721" w:rsidRPr="00816721" w:rsidRDefault="00816721" w:rsidP="00816721">
            <w:pPr>
              <w:widowControl/>
              <w:overflowPunct/>
              <w:spacing w:before="0" w:after="0"/>
              <w:jc w:val="right"/>
              <w:rPr>
                <w:rFonts w:ascii="Arial Narrow" w:hAnsi="Arial Narrow" w:cs="Arial Narrow"/>
                <w:b/>
                <w:bCs/>
                <w:color w:val="000000"/>
                <w:kern w:val="0"/>
                <w:sz w:val="18"/>
                <w:szCs w:val="18"/>
              </w:rPr>
            </w:pPr>
            <w:r w:rsidRPr="00816721">
              <w:rPr>
                <w:rFonts w:ascii="Arial Narrow" w:hAnsi="Arial Narrow" w:cs="Arial Narrow"/>
                <w:b/>
                <w:bCs/>
                <w:color w:val="000000"/>
                <w:kern w:val="0"/>
                <w:sz w:val="18"/>
                <w:szCs w:val="18"/>
              </w:rPr>
              <w:t>Stima odierna</w:t>
            </w:r>
          </w:p>
        </w:tc>
        <w:tc>
          <w:tcPr>
            <w:tcW w:w="2042" w:type="dxa"/>
            <w:tcBorders>
              <w:top w:val="single" w:sz="4" w:space="0" w:color="auto"/>
              <w:left w:val="nil"/>
              <w:bottom w:val="single" w:sz="6" w:space="0" w:color="000000"/>
              <w:right w:val="nil"/>
            </w:tcBorders>
          </w:tcPr>
          <w:p w14:paraId="1BF6974D" w14:textId="77777777" w:rsidR="00816721" w:rsidRPr="00816721" w:rsidRDefault="00816721" w:rsidP="00816721">
            <w:pPr>
              <w:widowControl/>
              <w:overflowPunct/>
              <w:spacing w:before="0" w:after="0"/>
              <w:jc w:val="right"/>
              <w:rPr>
                <w:rFonts w:ascii="Arial Narrow" w:hAnsi="Arial Narrow" w:cs="Arial Narrow"/>
                <w:b/>
                <w:bCs/>
                <w:color w:val="000000"/>
                <w:kern w:val="0"/>
                <w:sz w:val="18"/>
                <w:szCs w:val="18"/>
              </w:rPr>
            </w:pPr>
            <w:r w:rsidRPr="00816721">
              <w:rPr>
                <w:rFonts w:ascii="Arial Narrow" w:hAnsi="Arial Narrow" w:cs="Arial Narrow"/>
                <w:b/>
                <w:bCs/>
                <w:color w:val="000000"/>
                <w:kern w:val="0"/>
                <w:sz w:val="18"/>
                <w:szCs w:val="18"/>
              </w:rPr>
              <w:t>Conti economici trimestrali del 30 maggio 2025</w:t>
            </w:r>
          </w:p>
        </w:tc>
        <w:tc>
          <w:tcPr>
            <w:tcW w:w="2041" w:type="dxa"/>
            <w:tcBorders>
              <w:top w:val="single" w:sz="4" w:space="0" w:color="auto"/>
              <w:left w:val="nil"/>
              <w:bottom w:val="single" w:sz="6" w:space="0" w:color="000000"/>
              <w:right w:val="nil"/>
            </w:tcBorders>
            <w:shd w:val="solid" w:color="DDDDDD" w:fill="auto"/>
          </w:tcPr>
          <w:p w14:paraId="5E1722B6" w14:textId="77777777" w:rsidR="00816721" w:rsidRPr="00816721" w:rsidRDefault="00816721" w:rsidP="00816721">
            <w:pPr>
              <w:widowControl/>
              <w:overflowPunct/>
              <w:spacing w:before="0" w:after="0"/>
              <w:jc w:val="right"/>
              <w:rPr>
                <w:rFonts w:ascii="Arial Narrow" w:hAnsi="Arial Narrow" w:cs="Arial Narrow"/>
                <w:b/>
                <w:bCs/>
                <w:color w:val="000000"/>
                <w:kern w:val="0"/>
                <w:sz w:val="18"/>
                <w:szCs w:val="18"/>
              </w:rPr>
            </w:pPr>
            <w:r w:rsidRPr="00816721">
              <w:rPr>
                <w:rFonts w:ascii="Arial Narrow" w:hAnsi="Arial Narrow" w:cs="Arial Narrow"/>
                <w:b/>
                <w:bCs/>
                <w:color w:val="000000"/>
                <w:kern w:val="0"/>
                <w:sz w:val="18"/>
                <w:szCs w:val="18"/>
              </w:rPr>
              <w:t>Stima preliminare del 30 aprile 2025</w:t>
            </w:r>
          </w:p>
        </w:tc>
        <w:tc>
          <w:tcPr>
            <w:tcW w:w="2042" w:type="dxa"/>
            <w:tcBorders>
              <w:top w:val="single" w:sz="4" w:space="0" w:color="auto"/>
              <w:left w:val="nil"/>
              <w:bottom w:val="single" w:sz="6" w:space="0" w:color="000000"/>
              <w:right w:val="nil"/>
            </w:tcBorders>
          </w:tcPr>
          <w:p w14:paraId="389B93BB" w14:textId="77777777" w:rsidR="00816721" w:rsidRPr="00816721" w:rsidRDefault="00816721" w:rsidP="00816721">
            <w:pPr>
              <w:widowControl/>
              <w:overflowPunct/>
              <w:spacing w:before="0" w:after="0"/>
              <w:jc w:val="right"/>
              <w:rPr>
                <w:rFonts w:ascii="Arial Narrow" w:hAnsi="Arial Narrow" w:cs="Arial Narrow"/>
                <w:b/>
                <w:bCs/>
                <w:color w:val="000000"/>
                <w:kern w:val="0"/>
                <w:sz w:val="18"/>
                <w:szCs w:val="18"/>
              </w:rPr>
            </w:pPr>
            <w:r w:rsidRPr="00816721">
              <w:rPr>
                <w:rFonts w:ascii="Arial Narrow" w:hAnsi="Arial Narrow" w:cs="Arial Narrow"/>
                <w:b/>
                <w:bCs/>
                <w:color w:val="000000"/>
                <w:kern w:val="0"/>
                <w:sz w:val="18"/>
                <w:szCs w:val="18"/>
              </w:rPr>
              <w:t>Conti economici trimestrali del 5 marzo 2025</w:t>
            </w:r>
          </w:p>
        </w:tc>
      </w:tr>
      <w:tr w:rsidR="00816721" w:rsidRPr="00816721" w14:paraId="0DE9E6CC" w14:textId="77777777" w:rsidTr="00DE2043">
        <w:trPr>
          <w:trHeight w:val="262"/>
        </w:trPr>
        <w:tc>
          <w:tcPr>
            <w:tcW w:w="2040" w:type="dxa"/>
            <w:tcBorders>
              <w:top w:val="single" w:sz="6" w:space="0" w:color="000000"/>
              <w:left w:val="nil"/>
              <w:bottom w:val="single" w:sz="6" w:space="0" w:color="000000"/>
              <w:right w:val="nil"/>
            </w:tcBorders>
          </w:tcPr>
          <w:p w14:paraId="065A79A1"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2021 - I</w:t>
            </w:r>
          </w:p>
        </w:tc>
        <w:tc>
          <w:tcPr>
            <w:tcW w:w="2041" w:type="dxa"/>
            <w:tcBorders>
              <w:top w:val="single" w:sz="6" w:space="0" w:color="000000"/>
              <w:left w:val="nil"/>
              <w:bottom w:val="single" w:sz="6" w:space="0" w:color="000000"/>
              <w:right w:val="nil"/>
            </w:tcBorders>
            <w:shd w:val="solid" w:color="DDDDDD" w:fill="auto"/>
          </w:tcPr>
          <w:p w14:paraId="57F8CB23"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+1,8</w:t>
            </w:r>
          </w:p>
        </w:tc>
        <w:tc>
          <w:tcPr>
            <w:tcW w:w="2042" w:type="dxa"/>
            <w:tcBorders>
              <w:top w:val="single" w:sz="6" w:space="0" w:color="000000"/>
              <w:left w:val="nil"/>
              <w:bottom w:val="single" w:sz="6" w:space="0" w:color="000000"/>
              <w:right w:val="nil"/>
            </w:tcBorders>
          </w:tcPr>
          <w:p w14:paraId="7E95D9A6"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+1,8</w:t>
            </w:r>
          </w:p>
        </w:tc>
        <w:tc>
          <w:tcPr>
            <w:tcW w:w="2041" w:type="dxa"/>
            <w:tcBorders>
              <w:top w:val="single" w:sz="6" w:space="0" w:color="000000"/>
              <w:left w:val="nil"/>
              <w:bottom w:val="single" w:sz="6" w:space="0" w:color="000000"/>
              <w:right w:val="nil"/>
            </w:tcBorders>
            <w:shd w:val="solid" w:color="DDDDDD" w:fill="auto"/>
          </w:tcPr>
          <w:p w14:paraId="55CBB0A3"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+1,8</w:t>
            </w:r>
          </w:p>
        </w:tc>
        <w:tc>
          <w:tcPr>
            <w:tcW w:w="2042" w:type="dxa"/>
            <w:tcBorders>
              <w:top w:val="single" w:sz="6" w:space="0" w:color="000000"/>
              <w:left w:val="nil"/>
              <w:bottom w:val="single" w:sz="6" w:space="0" w:color="000000"/>
              <w:right w:val="nil"/>
            </w:tcBorders>
          </w:tcPr>
          <w:p w14:paraId="02443675"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+1,8</w:t>
            </w:r>
          </w:p>
        </w:tc>
      </w:tr>
      <w:tr w:rsidR="00816721" w:rsidRPr="00816721" w14:paraId="75EDC252" w14:textId="77777777" w:rsidTr="00DE2043">
        <w:trPr>
          <w:trHeight w:val="262"/>
        </w:trPr>
        <w:tc>
          <w:tcPr>
            <w:tcW w:w="2040" w:type="dxa"/>
            <w:tcBorders>
              <w:top w:val="single" w:sz="6" w:space="0" w:color="000000"/>
              <w:left w:val="nil"/>
              <w:bottom w:val="single" w:sz="6" w:space="0" w:color="000000"/>
              <w:right w:val="nil"/>
            </w:tcBorders>
          </w:tcPr>
          <w:p w14:paraId="6147CDBE"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2021 - II</w:t>
            </w:r>
          </w:p>
        </w:tc>
        <w:tc>
          <w:tcPr>
            <w:tcW w:w="2041" w:type="dxa"/>
            <w:tcBorders>
              <w:top w:val="single" w:sz="6" w:space="0" w:color="000000"/>
              <w:left w:val="nil"/>
              <w:bottom w:val="single" w:sz="6" w:space="0" w:color="000000"/>
              <w:right w:val="nil"/>
            </w:tcBorders>
            <w:shd w:val="solid" w:color="DDDDDD" w:fill="auto"/>
          </w:tcPr>
          <w:p w14:paraId="1AACD442"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+2,5</w:t>
            </w:r>
          </w:p>
        </w:tc>
        <w:tc>
          <w:tcPr>
            <w:tcW w:w="2042" w:type="dxa"/>
            <w:tcBorders>
              <w:top w:val="single" w:sz="6" w:space="0" w:color="000000"/>
              <w:left w:val="nil"/>
              <w:bottom w:val="single" w:sz="6" w:space="0" w:color="000000"/>
              <w:right w:val="nil"/>
            </w:tcBorders>
          </w:tcPr>
          <w:p w14:paraId="7357A078"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+2,4</w:t>
            </w:r>
          </w:p>
        </w:tc>
        <w:tc>
          <w:tcPr>
            <w:tcW w:w="2041" w:type="dxa"/>
            <w:tcBorders>
              <w:top w:val="single" w:sz="6" w:space="0" w:color="000000"/>
              <w:left w:val="nil"/>
              <w:bottom w:val="single" w:sz="6" w:space="0" w:color="000000"/>
              <w:right w:val="nil"/>
            </w:tcBorders>
            <w:shd w:val="solid" w:color="DDDDDD" w:fill="auto"/>
          </w:tcPr>
          <w:p w14:paraId="03B41A27"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+2,4</w:t>
            </w:r>
          </w:p>
        </w:tc>
        <w:tc>
          <w:tcPr>
            <w:tcW w:w="2042" w:type="dxa"/>
            <w:tcBorders>
              <w:top w:val="single" w:sz="6" w:space="0" w:color="000000"/>
              <w:left w:val="nil"/>
              <w:bottom w:val="single" w:sz="6" w:space="0" w:color="000000"/>
              <w:right w:val="nil"/>
            </w:tcBorders>
          </w:tcPr>
          <w:p w14:paraId="2F5BF5B4"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+2,3</w:t>
            </w:r>
          </w:p>
        </w:tc>
      </w:tr>
      <w:tr w:rsidR="00816721" w:rsidRPr="00816721" w14:paraId="51652476" w14:textId="77777777" w:rsidTr="00DE2043">
        <w:trPr>
          <w:trHeight w:val="262"/>
        </w:trPr>
        <w:tc>
          <w:tcPr>
            <w:tcW w:w="2040" w:type="dxa"/>
            <w:tcBorders>
              <w:top w:val="single" w:sz="6" w:space="0" w:color="000000"/>
              <w:left w:val="nil"/>
              <w:bottom w:val="single" w:sz="6" w:space="0" w:color="000000"/>
              <w:right w:val="nil"/>
            </w:tcBorders>
          </w:tcPr>
          <w:p w14:paraId="3D44AC04"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2021 - III</w:t>
            </w:r>
          </w:p>
        </w:tc>
        <w:tc>
          <w:tcPr>
            <w:tcW w:w="2041" w:type="dxa"/>
            <w:tcBorders>
              <w:top w:val="single" w:sz="6" w:space="0" w:color="000000"/>
              <w:left w:val="nil"/>
              <w:bottom w:val="single" w:sz="6" w:space="0" w:color="000000"/>
              <w:right w:val="nil"/>
            </w:tcBorders>
            <w:shd w:val="solid" w:color="DDDDDD" w:fill="auto"/>
          </w:tcPr>
          <w:p w14:paraId="0E87E268"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+2,5</w:t>
            </w:r>
          </w:p>
        </w:tc>
        <w:tc>
          <w:tcPr>
            <w:tcW w:w="2042" w:type="dxa"/>
            <w:tcBorders>
              <w:top w:val="single" w:sz="6" w:space="0" w:color="000000"/>
              <w:left w:val="nil"/>
              <w:bottom w:val="single" w:sz="6" w:space="0" w:color="000000"/>
              <w:right w:val="nil"/>
            </w:tcBorders>
          </w:tcPr>
          <w:p w14:paraId="0E05782A"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+2,5</w:t>
            </w:r>
          </w:p>
        </w:tc>
        <w:tc>
          <w:tcPr>
            <w:tcW w:w="2041" w:type="dxa"/>
            <w:tcBorders>
              <w:top w:val="single" w:sz="6" w:space="0" w:color="000000"/>
              <w:left w:val="nil"/>
              <w:bottom w:val="single" w:sz="6" w:space="0" w:color="000000"/>
              <w:right w:val="nil"/>
            </w:tcBorders>
            <w:shd w:val="solid" w:color="DDDDDD" w:fill="auto"/>
          </w:tcPr>
          <w:p w14:paraId="02DFA892"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+2,5</w:t>
            </w:r>
          </w:p>
        </w:tc>
        <w:tc>
          <w:tcPr>
            <w:tcW w:w="2042" w:type="dxa"/>
            <w:tcBorders>
              <w:top w:val="single" w:sz="6" w:space="0" w:color="000000"/>
              <w:left w:val="nil"/>
              <w:bottom w:val="single" w:sz="6" w:space="0" w:color="000000"/>
              <w:right w:val="nil"/>
            </w:tcBorders>
          </w:tcPr>
          <w:p w14:paraId="59529D30"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+2,5</w:t>
            </w:r>
          </w:p>
        </w:tc>
      </w:tr>
      <w:tr w:rsidR="00816721" w:rsidRPr="00816721" w14:paraId="767C5A94" w14:textId="77777777" w:rsidTr="00DE2043">
        <w:trPr>
          <w:trHeight w:val="262"/>
        </w:trPr>
        <w:tc>
          <w:tcPr>
            <w:tcW w:w="2040" w:type="dxa"/>
            <w:tcBorders>
              <w:top w:val="single" w:sz="6" w:space="0" w:color="000000"/>
              <w:left w:val="nil"/>
              <w:bottom w:val="single" w:sz="6" w:space="0" w:color="000000"/>
              <w:right w:val="nil"/>
            </w:tcBorders>
          </w:tcPr>
          <w:p w14:paraId="3034B489"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2021 - IV</w:t>
            </w:r>
          </w:p>
        </w:tc>
        <w:tc>
          <w:tcPr>
            <w:tcW w:w="2041" w:type="dxa"/>
            <w:tcBorders>
              <w:top w:val="single" w:sz="6" w:space="0" w:color="000000"/>
              <w:left w:val="nil"/>
              <w:bottom w:val="single" w:sz="6" w:space="0" w:color="000000"/>
              <w:right w:val="nil"/>
            </w:tcBorders>
            <w:shd w:val="solid" w:color="DDDDDD" w:fill="auto"/>
          </w:tcPr>
          <w:p w14:paraId="70FEB44C"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+1,5</w:t>
            </w:r>
          </w:p>
        </w:tc>
        <w:tc>
          <w:tcPr>
            <w:tcW w:w="2042" w:type="dxa"/>
            <w:tcBorders>
              <w:top w:val="single" w:sz="6" w:space="0" w:color="000000"/>
              <w:left w:val="nil"/>
              <w:bottom w:val="single" w:sz="6" w:space="0" w:color="000000"/>
              <w:right w:val="nil"/>
            </w:tcBorders>
          </w:tcPr>
          <w:p w14:paraId="7657C137"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+1,5</w:t>
            </w:r>
          </w:p>
        </w:tc>
        <w:tc>
          <w:tcPr>
            <w:tcW w:w="2041" w:type="dxa"/>
            <w:tcBorders>
              <w:top w:val="single" w:sz="6" w:space="0" w:color="000000"/>
              <w:left w:val="nil"/>
              <w:bottom w:val="single" w:sz="6" w:space="0" w:color="000000"/>
              <w:right w:val="nil"/>
            </w:tcBorders>
            <w:shd w:val="solid" w:color="DDDDDD" w:fill="auto"/>
          </w:tcPr>
          <w:p w14:paraId="1F9C53B1"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+1,6</w:t>
            </w:r>
          </w:p>
        </w:tc>
        <w:tc>
          <w:tcPr>
            <w:tcW w:w="2042" w:type="dxa"/>
            <w:tcBorders>
              <w:top w:val="single" w:sz="6" w:space="0" w:color="000000"/>
              <w:left w:val="nil"/>
              <w:bottom w:val="single" w:sz="6" w:space="0" w:color="000000"/>
              <w:right w:val="nil"/>
            </w:tcBorders>
          </w:tcPr>
          <w:p w14:paraId="4B4378C1"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+1,5</w:t>
            </w:r>
          </w:p>
        </w:tc>
      </w:tr>
      <w:tr w:rsidR="00816721" w:rsidRPr="00816721" w14:paraId="6E0D857D" w14:textId="77777777" w:rsidTr="00DE2043">
        <w:trPr>
          <w:trHeight w:val="262"/>
        </w:trPr>
        <w:tc>
          <w:tcPr>
            <w:tcW w:w="2040" w:type="dxa"/>
            <w:tcBorders>
              <w:top w:val="single" w:sz="6" w:space="0" w:color="000000"/>
              <w:left w:val="nil"/>
              <w:bottom w:val="single" w:sz="6" w:space="0" w:color="000000"/>
              <w:right w:val="nil"/>
            </w:tcBorders>
          </w:tcPr>
          <w:p w14:paraId="1BABD122"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2022 - I</w:t>
            </w:r>
          </w:p>
        </w:tc>
        <w:tc>
          <w:tcPr>
            <w:tcW w:w="2041" w:type="dxa"/>
            <w:tcBorders>
              <w:top w:val="single" w:sz="6" w:space="0" w:color="000000"/>
              <w:left w:val="nil"/>
              <w:bottom w:val="single" w:sz="6" w:space="0" w:color="000000"/>
              <w:right w:val="nil"/>
            </w:tcBorders>
            <w:shd w:val="solid" w:color="DDDDDD" w:fill="auto"/>
          </w:tcPr>
          <w:p w14:paraId="2982D873"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+0,7</w:t>
            </w:r>
          </w:p>
        </w:tc>
        <w:tc>
          <w:tcPr>
            <w:tcW w:w="2042" w:type="dxa"/>
            <w:tcBorders>
              <w:top w:val="single" w:sz="6" w:space="0" w:color="000000"/>
              <w:left w:val="nil"/>
              <w:bottom w:val="single" w:sz="6" w:space="0" w:color="000000"/>
              <w:right w:val="nil"/>
            </w:tcBorders>
          </w:tcPr>
          <w:p w14:paraId="1BB6781D"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+0,7</w:t>
            </w:r>
          </w:p>
        </w:tc>
        <w:tc>
          <w:tcPr>
            <w:tcW w:w="2041" w:type="dxa"/>
            <w:tcBorders>
              <w:top w:val="single" w:sz="6" w:space="0" w:color="000000"/>
              <w:left w:val="nil"/>
              <w:bottom w:val="single" w:sz="6" w:space="0" w:color="000000"/>
              <w:right w:val="nil"/>
            </w:tcBorders>
            <w:shd w:val="solid" w:color="DDDDDD" w:fill="auto"/>
          </w:tcPr>
          <w:p w14:paraId="422ABD30"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+0,7</w:t>
            </w:r>
          </w:p>
        </w:tc>
        <w:tc>
          <w:tcPr>
            <w:tcW w:w="2042" w:type="dxa"/>
            <w:tcBorders>
              <w:top w:val="single" w:sz="6" w:space="0" w:color="000000"/>
              <w:left w:val="nil"/>
              <w:bottom w:val="single" w:sz="6" w:space="0" w:color="000000"/>
              <w:right w:val="nil"/>
            </w:tcBorders>
          </w:tcPr>
          <w:p w14:paraId="7CA8AD4E"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+0,8</w:t>
            </w:r>
          </w:p>
        </w:tc>
      </w:tr>
      <w:tr w:rsidR="00816721" w:rsidRPr="00816721" w14:paraId="303E28A8" w14:textId="77777777" w:rsidTr="00DE2043">
        <w:trPr>
          <w:trHeight w:val="262"/>
        </w:trPr>
        <w:tc>
          <w:tcPr>
            <w:tcW w:w="2040" w:type="dxa"/>
            <w:tcBorders>
              <w:top w:val="single" w:sz="6" w:space="0" w:color="000000"/>
              <w:left w:val="nil"/>
              <w:bottom w:val="single" w:sz="6" w:space="0" w:color="000000"/>
              <w:right w:val="nil"/>
            </w:tcBorders>
          </w:tcPr>
          <w:p w14:paraId="17C70BDE"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2022 - II</w:t>
            </w:r>
          </w:p>
        </w:tc>
        <w:tc>
          <w:tcPr>
            <w:tcW w:w="2041" w:type="dxa"/>
            <w:tcBorders>
              <w:top w:val="single" w:sz="6" w:space="0" w:color="000000"/>
              <w:left w:val="nil"/>
              <w:bottom w:val="single" w:sz="6" w:space="0" w:color="000000"/>
              <w:right w:val="nil"/>
            </w:tcBorders>
            <w:shd w:val="solid" w:color="DDDDDD" w:fill="auto"/>
          </w:tcPr>
          <w:p w14:paraId="4A1EF613"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+1,5</w:t>
            </w:r>
          </w:p>
        </w:tc>
        <w:tc>
          <w:tcPr>
            <w:tcW w:w="2042" w:type="dxa"/>
            <w:tcBorders>
              <w:top w:val="single" w:sz="6" w:space="0" w:color="000000"/>
              <w:left w:val="nil"/>
              <w:bottom w:val="single" w:sz="6" w:space="0" w:color="000000"/>
              <w:right w:val="nil"/>
            </w:tcBorders>
          </w:tcPr>
          <w:p w14:paraId="20D31A1C"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+1,5</w:t>
            </w:r>
          </w:p>
        </w:tc>
        <w:tc>
          <w:tcPr>
            <w:tcW w:w="2041" w:type="dxa"/>
            <w:tcBorders>
              <w:top w:val="single" w:sz="6" w:space="0" w:color="000000"/>
              <w:left w:val="nil"/>
              <w:bottom w:val="single" w:sz="6" w:space="0" w:color="000000"/>
              <w:right w:val="nil"/>
            </w:tcBorders>
            <w:shd w:val="solid" w:color="DDDDDD" w:fill="auto"/>
          </w:tcPr>
          <w:p w14:paraId="5D9D6A87"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+1,4</w:t>
            </w:r>
          </w:p>
        </w:tc>
        <w:tc>
          <w:tcPr>
            <w:tcW w:w="2042" w:type="dxa"/>
            <w:tcBorders>
              <w:top w:val="single" w:sz="6" w:space="0" w:color="000000"/>
              <w:left w:val="nil"/>
              <w:bottom w:val="single" w:sz="6" w:space="0" w:color="000000"/>
              <w:right w:val="nil"/>
            </w:tcBorders>
          </w:tcPr>
          <w:p w14:paraId="7B0CAC62"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+1,4</w:t>
            </w:r>
          </w:p>
        </w:tc>
      </w:tr>
      <w:tr w:rsidR="00816721" w:rsidRPr="00816721" w14:paraId="66817A2B" w14:textId="77777777" w:rsidTr="00DE2043">
        <w:trPr>
          <w:trHeight w:val="262"/>
        </w:trPr>
        <w:tc>
          <w:tcPr>
            <w:tcW w:w="2040" w:type="dxa"/>
            <w:tcBorders>
              <w:top w:val="single" w:sz="6" w:space="0" w:color="000000"/>
              <w:left w:val="nil"/>
              <w:bottom w:val="single" w:sz="6" w:space="0" w:color="000000"/>
              <w:right w:val="nil"/>
            </w:tcBorders>
          </w:tcPr>
          <w:p w14:paraId="5BAA9503"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2022 - III</w:t>
            </w:r>
          </w:p>
        </w:tc>
        <w:tc>
          <w:tcPr>
            <w:tcW w:w="2041" w:type="dxa"/>
            <w:tcBorders>
              <w:top w:val="single" w:sz="6" w:space="0" w:color="000000"/>
              <w:left w:val="nil"/>
              <w:bottom w:val="single" w:sz="6" w:space="0" w:color="000000"/>
              <w:right w:val="nil"/>
            </w:tcBorders>
            <w:shd w:val="solid" w:color="DDDDDD" w:fill="auto"/>
          </w:tcPr>
          <w:p w14:paraId="3A238814"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+0,2</w:t>
            </w:r>
          </w:p>
        </w:tc>
        <w:tc>
          <w:tcPr>
            <w:tcW w:w="2042" w:type="dxa"/>
            <w:tcBorders>
              <w:top w:val="single" w:sz="6" w:space="0" w:color="000000"/>
              <w:left w:val="nil"/>
              <w:bottom w:val="single" w:sz="6" w:space="0" w:color="000000"/>
              <w:right w:val="nil"/>
            </w:tcBorders>
          </w:tcPr>
          <w:p w14:paraId="00284801"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+0,3</w:t>
            </w:r>
          </w:p>
        </w:tc>
        <w:tc>
          <w:tcPr>
            <w:tcW w:w="2041" w:type="dxa"/>
            <w:tcBorders>
              <w:top w:val="single" w:sz="6" w:space="0" w:color="000000"/>
              <w:left w:val="nil"/>
              <w:bottom w:val="single" w:sz="6" w:space="0" w:color="000000"/>
              <w:right w:val="nil"/>
            </w:tcBorders>
            <w:shd w:val="solid" w:color="DDDDDD" w:fill="auto"/>
          </w:tcPr>
          <w:p w14:paraId="245EEE96"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+0,3</w:t>
            </w:r>
          </w:p>
        </w:tc>
        <w:tc>
          <w:tcPr>
            <w:tcW w:w="2042" w:type="dxa"/>
            <w:tcBorders>
              <w:top w:val="single" w:sz="6" w:space="0" w:color="000000"/>
              <w:left w:val="nil"/>
              <w:bottom w:val="single" w:sz="6" w:space="0" w:color="000000"/>
              <w:right w:val="nil"/>
            </w:tcBorders>
          </w:tcPr>
          <w:p w14:paraId="68F3A803"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+0,3</w:t>
            </w:r>
          </w:p>
        </w:tc>
      </w:tr>
      <w:tr w:rsidR="00816721" w:rsidRPr="00816721" w14:paraId="7E64C040" w14:textId="77777777" w:rsidTr="00DE2043">
        <w:trPr>
          <w:trHeight w:val="262"/>
        </w:trPr>
        <w:tc>
          <w:tcPr>
            <w:tcW w:w="2040" w:type="dxa"/>
            <w:tcBorders>
              <w:top w:val="single" w:sz="6" w:space="0" w:color="000000"/>
              <w:left w:val="nil"/>
              <w:bottom w:val="single" w:sz="6" w:space="0" w:color="000000"/>
              <w:right w:val="nil"/>
            </w:tcBorders>
          </w:tcPr>
          <w:p w14:paraId="10389FDC"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2022 - IV</w:t>
            </w:r>
          </w:p>
        </w:tc>
        <w:tc>
          <w:tcPr>
            <w:tcW w:w="2041" w:type="dxa"/>
            <w:tcBorders>
              <w:top w:val="single" w:sz="6" w:space="0" w:color="000000"/>
              <w:left w:val="nil"/>
              <w:bottom w:val="single" w:sz="6" w:space="0" w:color="000000"/>
              <w:right w:val="nil"/>
            </w:tcBorders>
            <w:shd w:val="solid" w:color="DDDDDD" w:fill="auto"/>
          </w:tcPr>
          <w:p w14:paraId="67598566"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-0,1</w:t>
            </w:r>
          </w:p>
        </w:tc>
        <w:tc>
          <w:tcPr>
            <w:tcW w:w="2042" w:type="dxa"/>
            <w:tcBorders>
              <w:top w:val="single" w:sz="6" w:space="0" w:color="000000"/>
              <w:left w:val="nil"/>
              <w:bottom w:val="single" w:sz="6" w:space="0" w:color="000000"/>
              <w:right w:val="nil"/>
            </w:tcBorders>
          </w:tcPr>
          <w:p w14:paraId="705F8905"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-0,1</w:t>
            </w:r>
          </w:p>
        </w:tc>
        <w:tc>
          <w:tcPr>
            <w:tcW w:w="2041" w:type="dxa"/>
            <w:tcBorders>
              <w:top w:val="single" w:sz="6" w:space="0" w:color="000000"/>
              <w:left w:val="nil"/>
              <w:bottom w:val="single" w:sz="6" w:space="0" w:color="000000"/>
              <w:right w:val="nil"/>
            </w:tcBorders>
            <w:shd w:val="solid" w:color="DDDDDD" w:fill="auto"/>
          </w:tcPr>
          <w:p w14:paraId="1C188565"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-0,1</w:t>
            </w:r>
          </w:p>
        </w:tc>
        <w:tc>
          <w:tcPr>
            <w:tcW w:w="2042" w:type="dxa"/>
            <w:tcBorders>
              <w:top w:val="single" w:sz="6" w:space="0" w:color="000000"/>
              <w:left w:val="nil"/>
              <w:bottom w:val="single" w:sz="6" w:space="0" w:color="000000"/>
              <w:right w:val="nil"/>
            </w:tcBorders>
          </w:tcPr>
          <w:p w14:paraId="73C241D7"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-0,1</w:t>
            </w:r>
          </w:p>
        </w:tc>
      </w:tr>
      <w:tr w:rsidR="00816721" w:rsidRPr="00816721" w14:paraId="37F9CEF2" w14:textId="77777777" w:rsidTr="00DE2043">
        <w:trPr>
          <w:trHeight w:val="262"/>
        </w:trPr>
        <w:tc>
          <w:tcPr>
            <w:tcW w:w="2040" w:type="dxa"/>
            <w:tcBorders>
              <w:top w:val="single" w:sz="6" w:space="0" w:color="000000"/>
              <w:left w:val="nil"/>
              <w:bottom w:val="single" w:sz="6" w:space="0" w:color="000000"/>
              <w:right w:val="nil"/>
            </w:tcBorders>
          </w:tcPr>
          <w:p w14:paraId="7A304DDC"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2023 - I</w:t>
            </w:r>
          </w:p>
        </w:tc>
        <w:tc>
          <w:tcPr>
            <w:tcW w:w="2041" w:type="dxa"/>
            <w:tcBorders>
              <w:top w:val="single" w:sz="6" w:space="0" w:color="000000"/>
              <w:left w:val="nil"/>
              <w:bottom w:val="single" w:sz="6" w:space="0" w:color="000000"/>
              <w:right w:val="nil"/>
            </w:tcBorders>
            <w:shd w:val="solid" w:color="DDDDDD" w:fill="auto"/>
          </w:tcPr>
          <w:p w14:paraId="2A27DF71"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+0,5</w:t>
            </w:r>
          </w:p>
        </w:tc>
        <w:tc>
          <w:tcPr>
            <w:tcW w:w="2042" w:type="dxa"/>
            <w:tcBorders>
              <w:top w:val="single" w:sz="6" w:space="0" w:color="000000"/>
              <w:left w:val="nil"/>
              <w:bottom w:val="single" w:sz="6" w:space="0" w:color="000000"/>
              <w:right w:val="nil"/>
            </w:tcBorders>
          </w:tcPr>
          <w:p w14:paraId="56B3C8E4"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+0,5</w:t>
            </w:r>
          </w:p>
        </w:tc>
        <w:tc>
          <w:tcPr>
            <w:tcW w:w="2041" w:type="dxa"/>
            <w:tcBorders>
              <w:top w:val="single" w:sz="6" w:space="0" w:color="000000"/>
              <w:left w:val="nil"/>
              <w:bottom w:val="single" w:sz="6" w:space="0" w:color="000000"/>
              <w:right w:val="nil"/>
            </w:tcBorders>
            <w:shd w:val="solid" w:color="DDDDDD" w:fill="auto"/>
          </w:tcPr>
          <w:p w14:paraId="4A2EC0AC"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+0,5</w:t>
            </w:r>
          </w:p>
        </w:tc>
        <w:tc>
          <w:tcPr>
            <w:tcW w:w="2042" w:type="dxa"/>
            <w:tcBorders>
              <w:top w:val="single" w:sz="6" w:space="0" w:color="000000"/>
              <w:left w:val="nil"/>
              <w:bottom w:val="single" w:sz="6" w:space="0" w:color="000000"/>
              <w:right w:val="nil"/>
            </w:tcBorders>
          </w:tcPr>
          <w:p w14:paraId="7EA26B42"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+0,6</w:t>
            </w:r>
          </w:p>
        </w:tc>
      </w:tr>
      <w:tr w:rsidR="00816721" w:rsidRPr="00816721" w14:paraId="1C6C4FFD" w14:textId="77777777" w:rsidTr="00DE2043">
        <w:trPr>
          <w:trHeight w:val="262"/>
        </w:trPr>
        <w:tc>
          <w:tcPr>
            <w:tcW w:w="2040" w:type="dxa"/>
            <w:tcBorders>
              <w:top w:val="single" w:sz="6" w:space="0" w:color="000000"/>
              <w:left w:val="nil"/>
              <w:bottom w:val="single" w:sz="6" w:space="0" w:color="000000"/>
              <w:right w:val="nil"/>
            </w:tcBorders>
          </w:tcPr>
          <w:p w14:paraId="0584D915"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2023 - II</w:t>
            </w:r>
          </w:p>
        </w:tc>
        <w:tc>
          <w:tcPr>
            <w:tcW w:w="2041" w:type="dxa"/>
            <w:tcBorders>
              <w:top w:val="single" w:sz="6" w:space="0" w:color="000000"/>
              <w:left w:val="nil"/>
              <w:bottom w:val="single" w:sz="6" w:space="0" w:color="000000"/>
              <w:right w:val="nil"/>
            </w:tcBorders>
            <w:shd w:val="solid" w:color="DDDDDD" w:fill="auto"/>
          </w:tcPr>
          <w:p w14:paraId="5488B2D3"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-0,2</w:t>
            </w:r>
          </w:p>
        </w:tc>
        <w:tc>
          <w:tcPr>
            <w:tcW w:w="2042" w:type="dxa"/>
            <w:tcBorders>
              <w:top w:val="single" w:sz="6" w:space="0" w:color="000000"/>
              <w:left w:val="nil"/>
              <w:bottom w:val="single" w:sz="6" w:space="0" w:color="000000"/>
              <w:right w:val="nil"/>
            </w:tcBorders>
          </w:tcPr>
          <w:p w14:paraId="1B412B56"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-0,2</w:t>
            </w:r>
          </w:p>
        </w:tc>
        <w:tc>
          <w:tcPr>
            <w:tcW w:w="2041" w:type="dxa"/>
            <w:tcBorders>
              <w:top w:val="single" w:sz="6" w:space="0" w:color="000000"/>
              <w:left w:val="nil"/>
              <w:bottom w:val="single" w:sz="6" w:space="0" w:color="000000"/>
              <w:right w:val="nil"/>
            </w:tcBorders>
            <w:shd w:val="solid" w:color="DDDDDD" w:fill="auto"/>
          </w:tcPr>
          <w:p w14:paraId="2E283E30"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-0,2</w:t>
            </w:r>
          </w:p>
        </w:tc>
        <w:tc>
          <w:tcPr>
            <w:tcW w:w="2042" w:type="dxa"/>
            <w:tcBorders>
              <w:top w:val="single" w:sz="6" w:space="0" w:color="000000"/>
              <w:left w:val="nil"/>
              <w:bottom w:val="single" w:sz="6" w:space="0" w:color="000000"/>
              <w:right w:val="nil"/>
            </w:tcBorders>
          </w:tcPr>
          <w:p w14:paraId="58E676E7"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-0,3</w:t>
            </w:r>
          </w:p>
        </w:tc>
      </w:tr>
      <w:tr w:rsidR="00816721" w:rsidRPr="00816721" w14:paraId="571238BB" w14:textId="77777777" w:rsidTr="00DE2043">
        <w:trPr>
          <w:trHeight w:val="262"/>
        </w:trPr>
        <w:tc>
          <w:tcPr>
            <w:tcW w:w="2040" w:type="dxa"/>
            <w:tcBorders>
              <w:top w:val="single" w:sz="6" w:space="0" w:color="000000"/>
              <w:left w:val="nil"/>
              <w:bottom w:val="single" w:sz="6" w:space="0" w:color="000000"/>
              <w:right w:val="nil"/>
            </w:tcBorders>
          </w:tcPr>
          <w:p w14:paraId="02456F1C"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2023 - III</w:t>
            </w:r>
          </w:p>
        </w:tc>
        <w:tc>
          <w:tcPr>
            <w:tcW w:w="2041" w:type="dxa"/>
            <w:tcBorders>
              <w:top w:val="single" w:sz="6" w:space="0" w:color="000000"/>
              <w:left w:val="nil"/>
              <w:bottom w:val="single" w:sz="6" w:space="0" w:color="000000"/>
              <w:right w:val="nil"/>
            </w:tcBorders>
            <w:shd w:val="solid" w:color="DDDDDD" w:fill="auto"/>
          </w:tcPr>
          <w:p w14:paraId="3CC4429D"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+0,1</w:t>
            </w:r>
          </w:p>
        </w:tc>
        <w:tc>
          <w:tcPr>
            <w:tcW w:w="2042" w:type="dxa"/>
            <w:tcBorders>
              <w:top w:val="single" w:sz="6" w:space="0" w:color="000000"/>
              <w:left w:val="nil"/>
              <w:bottom w:val="single" w:sz="6" w:space="0" w:color="000000"/>
              <w:right w:val="nil"/>
            </w:tcBorders>
          </w:tcPr>
          <w:p w14:paraId="503C58C7"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+0,1</w:t>
            </w:r>
          </w:p>
        </w:tc>
        <w:tc>
          <w:tcPr>
            <w:tcW w:w="2041" w:type="dxa"/>
            <w:tcBorders>
              <w:top w:val="single" w:sz="6" w:space="0" w:color="000000"/>
              <w:left w:val="nil"/>
              <w:bottom w:val="single" w:sz="6" w:space="0" w:color="000000"/>
              <w:right w:val="nil"/>
            </w:tcBorders>
            <w:shd w:val="solid" w:color="DDDDDD" w:fill="auto"/>
          </w:tcPr>
          <w:p w14:paraId="3626AFAC"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+0,1</w:t>
            </w:r>
          </w:p>
        </w:tc>
        <w:tc>
          <w:tcPr>
            <w:tcW w:w="2042" w:type="dxa"/>
            <w:tcBorders>
              <w:top w:val="single" w:sz="6" w:space="0" w:color="000000"/>
              <w:left w:val="nil"/>
              <w:bottom w:val="single" w:sz="6" w:space="0" w:color="000000"/>
              <w:right w:val="nil"/>
            </w:tcBorders>
          </w:tcPr>
          <w:p w14:paraId="052E2A1C"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0,0</w:t>
            </w:r>
          </w:p>
        </w:tc>
      </w:tr>
      <w:tr w:rsidR="00816721" w:rsidRPr="00816721" w14:paraId="6FD53ADF" w14:textId="77777777" w:rsidTr="00DE2043">
        <w:trPr>
          <w:trHeight w:val="262"/>
        </w:trPr>
        <w:tc>
          <w:tcPr>
            <w:tcW w:w="2040" w:type="dxa"/>
            <w:tcBorders>
              <w:top w:val="single" w:sz="6" w:space="0" w:color="000000"/>
              <w:left w:val="nil"/>
              <w:bottom w:val="single" w:sz="6" w:space="0" w:color="000000"/>
              <w:right w:val="nil"/>
            </w:tcBorders>
          </w:tcPr>
          <w:p w14:paraId="71173F7D"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2023 - IV</w:t>
            </w:r>
          </w:p>
        </w:tc>
        <w:tc>
          <w:tcPr>
            <w:tcW w:w="2041" w:type="dxa"/>
            <w:tcBorders>
              <w:top w:val="single" w:sz="6" w:space="0" w:color="000000"/>
              <w:left w:val="nil"/>
              <w:bottom w:val="single" w:sz="6" w:space="0" w:color="000000"/>
              <w:right w:val="nil"/>
            </w:tcBorders>
            <w:shd w:val="solid" w:color="DDDDDD" w:fill="auto"/>
          </w:tcPr>
          <w:p w14:paraId="23EB8B48"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+0,2</w:t>
            </w:r>
          </w:p>
        </w:tc>
        <w:tc>
          <w:tcPr>
            <w:tcW w:w="2042" w:type="dxa"/>
            <w:tcBorders>
              <w:top w:val="single" w:sz="6" w:space="0" w:color="000000"/>
              <w:left w:val="nil"/>
              <w:bottom w:val="single" w:sz="6" w:space="0" w:color="000000"/>
              <w:right w:val="nil"/>
            </w:tcBorders>
          </w:tcPr>
          <w:p w14:paraId="1E4B2026"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+0,2</w:t>
            </w:r>
          </w:p>
        </w:tc>
        <w:tc>
          <w:tcPr>
            <w:tcW w:w="2041" w:type="dxa"/>
            <w:tcBorders>
              <w:top w:val="single" w:sz="6" w:space="0" w:color="000000"/>
              <w:left w:val="nil"/>
              <w:bottom w:val="single" w:sz="6" w:space="0" w:color="000000"/>
              <w:right w:val="nil"/>
            </w:tcBorders>
            <w:shd w:val="solid" w:color="DDDDDD" w:fill="auto"/>
          </w:tcPr>
          <w:p w14:paraId="431D2739"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+0,2</w:t>
            </w:r>
          </w:p>
        </w:tc>
        <w:tc>
          <w:tcPr>
            <w:tcW w:w="2042" w:type="dxa"/>
            <w:tcBorders>
              <w:top w:val="single" w:sz="6" w:space="0" w:color="000000"/>
              <w:left w:val="nil"/>
              <w:bottom w:val="single" w:sz="6" w:space="0" w:color="000000"/>
              <w:right w:val="nil"/>
            </w:tcBorders>
          </w:tcPr>
          <w:p w14:paraId="5076923E"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+0,2</w:t>
            </w:r>
          </w:p>
        </w:tc>
      </w:tr>
      <w:tr w:rsidR="00816721" w:rsidRPr="00816721" w14:paraId="50CB507D" w14:textId="77777777" w:rsidTr="00DE2043">
        <w:trPr>
          <w:trHeight w:val="262"/>
        </w:trPr>
        <w:tc>
          <w:tcPr>
            <w:tcW w:w="2040" w:type="dxa"/>
            <w:tcBorders>
              <w:top w:val="single" w:sz="6" w:space="0" w:color="000000"/>
              <w:left w:val="nil"/>
              <w:bottom w:val="single" w:sz="6" w:space="0" w:color="000000"/>
              <w:right w:val="nil"/>
            </w:tcBorders>
          </w:tcPr>
          <w:p w14:paraId="624081DC"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2024 - I</w:t>
            </w:r>
          </w:p>
        </w:tc>
        <w:tc>
          <w:tcPr>
            <w:tcW w:w="2041" w:type="dxa"/>
            <w:tcBorders>
              <w:top w:val="single" w:sz="6" w:space="0" w:color="000000"/>
              <w:left w:val="nil"/>
              <w:bottom w:val="single" w:sz="6" w:space="0" w:color="000000"/>
              <w:right w:val="nil"/>
            </w:tcBorders>
            <w:shd w:val="solid" w:color="DDDDDD" w:fill="auto"/>
          </w:tcPr>
          <w:p w14:paraId="5FC2B0B5"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+0,2</w:t>
            </w:r>
          </w:p>
        </w:tc>
        <w:tc>
          <w:tcPr>
            <w:tcW w:w="2042" w:type="dxa"/>
            <w:tcBorders>
              <w:top w:val="single" w:sz="6" w:space="0" w:color="000000"/>
              <w:left w:val="nil"/>
              <w:bottom w:val="single" w:sz="6" w:space="0" w:color="000000"/>
              <w:right w:val="nil"/>
            </w:tcBorders>
          </w:tcPr>
          <w:p w14:paraId="4B01FD26"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+0,2</w:t>
            </w:r>
          </w:p>
        </w:tc>
        <w:tc>
          <w:tcPr>
            <w:tcW w:w="2041" w:type="dxa"/>
            <w:tcBorders>
              <w:top w:val="single" w:sz="6" w:space="0" w:color="000000"/>
              <w:left w:val="nil"/>
              <w:bottom w:val="single" w:sz="6" w:space="0" w:color="000000"/>
              <w:right w:val="nil"/>
            </w:tcBorders>
            <w:shd w:val="solid" w:color="DDDDDD" w:fill="auto"/>
          </w:tcPr>
          <w:p w14:paraId="26597C23"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+0,2</w:t>
            </w:r>
          </w:p>
        </w:tc>
        <w:tc>
          <w:tcPr>
            <w:tcW w:w="2042" w:type="dxa"/>
            <w:tcBorders>
              <w:top w:val="single" w:sz="6" w:space="0" w:color="000000"/>
              <w:left w:val="nil"/>
              <w:bottom w:val="single" w:sz="6" w:space="0" w:color="000000"/>
              <w:right w:val="nil"/>
            </w:tcBorders>
          </w:tcPr>
          <w:p w14:paraId="51FC22AE"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+0,3</w:t>
            </w:r>
          </w:p>
        </w:tc>
      </w:tr>
      <w:tr w:rsidR="00816721" w:rsidRPr="00816721" w14:paraId="135F1BFB" w14:textId="77777777" w:rsidTr="00DE2043">
        <w:trPr>
          <w:trHeight w:val="262"/>
        </w:trPr>
        <w:tc>
          <w:tcPr>
            <w:tcW w:w="2040" w:type="dxa"/>
            <w:tcBorders>
              <w:top w:val="single" w:sz="6" w:space="0" w:color="000000"/>
              <w:left w:val="nil"/>
              <w:bottom w:val="single" w:sz="6" w:space="0" w:color="000000"/>
              <w:right w:val="nil"/>
            </w:tcBorders>
          </w:tcPr>
          <w:p w14:paraId="22DBBF1A"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2024 - II</w:t>
            </w:r>
          </w:p>
        </w:tc>
        <w:tc>
          <w:tcPr>
            <w:tcW w:w="2041" w:type="dxa"/>
            <w:tcBorders>
              <w:top w:val="single" w:sz="6" w:space="0" w:color="000000"/>
              <w:left w:val="nil"/>
              <w:bottom w:val="single" w:sz="6" w:space="0" w:color="000000"/>
              <w:right w:val="nil"/>
            </w:tcBorders>
            <w:shd w:val="solid" w:color="DDDDDD" w:fill="auto"/>
          </w:tcPr>
          <w:p w14:paraId="633F0D4D"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+0,2</w:t>
            </w:r>
          </w:p>
        </w:tc>
        <w:tc>
          <w:tcPr>
            <w:tcW w:w="2042" w:type="dxa"/>
            <w:tcBorders>
              <w:top w:val="single" w:sz="6" w:space="0" w:color="000000"/>
              <w:left w:val="nil"/>
              <w:bottom w:val="single" w:sz="6" w:space="0" w:color="000000"/>
              <w:right w:val="nil"/>
            </w:tcBorders>
          </w:tcPr>
          <w:p w14:paraId="04EE4068"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+0,2</w:t>
            </w:r>
          </w:p>
        </w:tc>
        <w:tc>
          <w:tcPr>
            <w:tcW w:w="2041" w:type="dxa"/>
            <w:tcBorders>
              <w:top w:val="single" w:sz="6" w:space="0" w:color="000000"/>
              <w:left w:val="nil"/>
              <w:bottom w:val="single" w:sz="6" w:space="0" w:color="000000"/>
              <w:right w:val="nil"/>
            </w:tcBorders>
            <w:shd w:val="solid" w:color="DDDDDD" w:fill="auto"/>
          </w:tcPr>
          <w:p w14:paraId="43298BCE"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+0,2</w:t>
            </w:r>
          </w:p>
        </w:tc>
        <w:tc>
          <w:tcPr>
            <w:tcW w:w="2042" w:type="dxa"/>
            <w:tcBorders>
              <w:top w:val="single" w:sz="6" w:space="0" w:color="000000"/>
              <w:left w:val="nil"/>
              <w:bottom w:val="single" w:sz="6" w:space="0" w:color="000000"/>
              <w:right w:val="nil"/>
            </w:tcBorders>
          </w:tcPr>
          <w:p w14:paraId="2BE53641"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+0,1</w:t>
            </w:r>
          </w:p>
        </w:tc>
      </w:tr>
      <w:tr w:rsidR="00816721" w:rsidRPr="00816721" w14:paraId="29424C0F" w14:textId="77777777" w:rsidTr="00DE2043">
        <w:trPr>
          <w:trHeight w:val="262"/>
        </w:trPr>
        <w:tc>
          <w:tcPr>
            <w:tcW w:w="2040" w:type="dxa"/>
            <w:tcBorders>
              <w:top w:val="single" w:sz="6" w:space="0" w:color="000000"/>
              <w:left w:val="nil"/>
              <w:bottom w:val="single" w:sz="6" w:space="0" w:color="000000"/>
              <w:right w:val="nil"/>
            </w:tcBorders>
          </w:tcPr>
          <w:p w14:paraId="42C120C9"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2024 - III</w:t>
            </w:r>
          </w:p>
        </w:tc>
        <w:tc>
          <w:tcPr>
            <w:tcW w:w="2041" w:type="dxa"/>
            <w:tcBorders>
              <w:top w:val="single" w:sz="6" w:space="0" w:color="000000"/>
              <w:left w:val="nil"/>
              <w:bottom w:val="single" w:sz="6" w:space="0" w:color="000000"/>
              <w:right w:val="nil"/>
            </w:tcBorders>
            <w:shd w:val="solid" w:color="DDDDDD" w:fill="auto"/>
          </w:tcPr>
          <w:p w14:paraId="06138621"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0,0</w:t>
            </w:r>
          </w:p>
        </w:tc>
        <w:tc>
          <w:tcPr>
            <w:tcW w:w="2042" w:type="dxa"/>
            <w:tcBorders>
              <w:top w:val="single" w:sz="6" w:space="0" w:color="000000"/>
              <w:left w:val="nil"/>
              <w:bottom w:val="single" w:sz="6" w:space="0" w:color="000000"/>
              <w:right w:val="nil"/>
            </w:tcBorders>
          </w:tcPr>
          <w:p w14:paraId="360D61ED"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0,0</w:t>
            </w:r>
          </w:p>
        </w:tc>
        <w:tc>
          <w:tcPr>
            <w:tcW w:w="2041" w:type="dxa"/>
            <w:tcBorders>
              <w:top w:val="single" w:sz="6" w:space="0" w:color="000000"/>
              <w:left w:val="nil"/>
              <w:bottom w:val="single" w:sz="6" w:space="0" w:color="000000"/>
              <w:right w:val="nil"/>
            </w:tcBorders>
            <w:shd w:val="solid" w:color="DDDDDD" w:fill="auto"/>
          </w:tcPr>
          <w:p w14:paraId="3A7294F1"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0,0</w:t>
            </w:r>
          </w:p>
        </w:tc>
        <w:tc>
          <w:tcPr>
            <w:tcW w:w="2042" w:type="dxa"/>
            <w:tcBorders>
              <w:top w:val="single" w:sz="6" w:space="0" w:color="000000"/>
              <w:left w:val="nil"/>
              <w:bottom w:val="single" w:sz="6" w:space="0" w:color="000000"/>
              <w:right w:val="nil"/>
            </w:tcBorders>
          </w:tcPr>
          <w:p w14:paraId="58C8C534"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0,0</w:t>
            </w:r>
          </w:p>
        </w:tc>
      </w:tr>
      <w:tr w:rsidR="00816721" w:rsidRPr="00816721" w14:paraId="368D35BD" w14:textId="77777777" w:rsidTr="00DE2043">
        <w:trPr>
          <w:trHeight w:val="262"/>
        </w:trPr>
        <w:tc>
          <w:tcPr>
            <w:tcW w:w="2040" w:type="dxa"/>
            <w:tcBorders>
              <w:top w:val="single" w:sz="6" w:space="0" w:color="000000"/>
              <w:left w:val="nil"/>
              <w:bottom w:val="single" w:sz="6" w:space="0" w:color="000000"/>
              <w:right w:val="nil"/>
            </w:tcBorders>
          </w:tcPr>
          <w:p w14:paraId="6F6CB210"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2024 - IV</w:t>
            </w:r>
          </w:p>
        </w:tc>
        <w:tc>
          <w:tcPr>
            <w:tcW w:w="2041" w:type="dxa"/>
            <w:tcBorders>
              <w:top w:val="single" w:sz="6" w:space="0" w:color="000000"/>
              <w:left w:val="nil"/>
              <w:bottom w:val="single" w:sz="6" w:space="0" w:color="000000"/>
              <w:right w:val="nil"/>
            </w:tcBorders>
            <w:shd w:val="solid" w:color="DDDDDD" w:fill="auto"/>
          </w:tcPr>
          <w:p w14:paraId="37F80F1E"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+0,2</w:t>
            </w:r>
          </w:p>
        </w:tc>
        <w:tc>
          <w:tcPr>
            <w:tcW w:w="2042" w:type="dxa"/>
            <w:tcBorders>
              <w:top w:val="single" w:sz="6" w:space="0" w:color="000000"/>
              <w:left w:val="nil"/>
              <w:bottom w:val="single" w:sz="6" w:space="0" w:color="000000"/>
              <w:right w:val="nil"/>
            </w:tcBorders>
          </w:tcPr>
          <w:p w14:paraId="4268BCC1"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+0,2</w:t>
            </w:r>
          </w:p>
        </w:tc>
        <w:tc>
          <w:tcPr>
            <w:tcW w:w="2041" w:type="dxa"/>
            <w:tcBorders>
              <w:top w:val="single" w:sz="6" w:space="0" w:color="000000"/>
              <w:left w:val="nil"/>
              <w:bottom w:val="single" w:sz="6" w:space="0" w:color="000000"/>
              <w:right w:val="nil"/>
            </w:tcBorders>
            <w:shd w:val="solid" w:color="DDDDDD" w:fill="auto"/>
          </w:tcPr>
          <w:p w14:paraId="471DFD32"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+0,2</w:t>
            </w:r>
          </w:p>
        </w:tc>
        <w:tc>
          <w:tcPr>
            <w:tcW w:w="2042" w:type="dxa"/>
            <w:tcBorders>
              <w:top w:val="single" w:sz="6" w:space="0" w:color="000000"/>
              <w:left w:val="nil"/>
              <w:bottom w:val="single" w:sz="6" w:space="0" w:color="000000"/>
              <w:right w:val="nil"/>
            </w:tcBorders>
          </w:tcPr>
          <w:p w14:paraId="64875322"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+0,1</w:t>
            </w:r>
          </w:p>
        </w:tc>
      </w:tr>
      <w:tr w:rsidR="00816721" w:rsidRPr="00816721" w14:paraId="746948E0" w14:textId="77777777" w:rsidTr="00DE2043">
        <w:trPr>
          <w:trHeight w:val="262"/>
        </w:trPr>
        <w:tc>
          <w:tcPr>
            <w:tcW w:w="2040" w:type="dxa"/>
            <w:tcBorders>
              <w:top w:val="single" w:sz="6" w:space="0" w:color="000000"/>
              <w:left w:val="nil"/>
              <w:bottom w:val="single" w:sz="6" w:space="0" w:color="auto"/>
              <w:right w:val="nil"/>
            </w:tcBorders>
          </w:tcPr>
          <w:p w14:paraId="62536D33"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2025 - I</w:t>
            </w:r>
          </w:p>
        </w:tc>
        <w:tc>
          <w:tcPr>
            <w:tcW w:w="2041" w:type="dxa"/>
            <w:tcBorders>
              <w:top w:val="single" w:sz="6" w:space="0" w:color="auto"/>
              <w:left w:val="nil"/>
              <w:bottom w:val="single" w:sz="6" w:space="0" w:color="auto"/>
              <w:right w:val="nil"/>
            </w:tcBorders>
            <w:shd w:val="solid" w:color="DDDDDD" w:fill="auto"/>
          </w:tcPr>
          <w:p w14:paraId="359119B1"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+0,3</w:t>
            </w:r>
          </w:p>
        </w:tc>
        <w:tc>
          <w:tcPr>
            <w:tcW w:w="2042" w:type="dxa"/>
            <w:tcBorders>
              <w:top w:val="single" w:sz="6" w:space="0" w:color="000000"/>
              <w:left w:val="nil"/>
              <w:bottom w:val="single" w:sz="6" w:space="0" w:color="auto"/>
              <w:right w:val="nil"/>
            </w:tcBorders>
          </w:tcPr>
          <w:p w14:paraId="1A935ED0"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+0,3</w:t>
            </w:r>
          </w:p>
        </w:tc>
        <w:tc>
          <w:tcPr>
            <w:tcW w:w="2041" w:type="dxa"/>
            <w:tcBorders>
              <w:top w:val="single" w:sz="6" w:space="0" w:color="000000"/>
              <w:left w:val="nil"/>
              <w:bottom w:val="single" w:sz="6" w:space="0" w:color="auto"/>
              <w:right w:val="nil"/>
            </w:tcBorders>
            <w:shd w:val="solid" w:color="DDDDDD" w:fill="auto"/>
          </w:tcPr>
          <w:p w14:paraId="22A91E4B"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+0,3</w:t>
            </w:r>
          </w:p>
        </w:tc>
        <w:tc>
          <w:tcPr>
            <w:tcW w:w="2042" w:type="dxa"/>
            <w:tcBorders>
              <w:top w:val="single" w:sz="6" w:space="0" w:color="000000"/>
              <w:left w:val="nil"/>
              <w:bottom w:val="single" w:sz="6" w:space="0" w:color="auto"/>
              <w:right w:val="nil"/>
            </w:tcBorders>
          </w:tcPr>
          <w:p w14:paraId="4CFBD6B9"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p>
        </w:tc>
      </w:tr>
      <w:tr w:rsidR="00816721" w:rsidRPr="00816721" w14:paraId="65FCB919" w14:textId="77777777" w:rsidTr="00DE2043">
        <w:trPr>
          <w:trHeight w:val="262"/>
        </w:trPr>
        <w:tc>
          <w:tcPr>
            <w:tcW w:w="2040" w:type="dxa"/>
            <w:tcBorders>
              <w:top w:val="single" w:sz="6" w:space="0" w:color="auto"/>
              <w:left w:val="nil"/>
              <w:bottom w:val="single" w:sz="6" w:space="0" w:color="auto"/>
              <w:right w:val="nil"/>
            </w:tcBorders>
          </w:tcPr>
          <w:p w14:paraId="061DB922" w14:textId="77777777" w:rsidR="00816721" w:rsidRPr="00816721" w:rsidRDefault="00816721" w:rsidP="00816721">
            <w:pPr>
              <w:widowControl/>
              <w:overflowPunct/>
              <w:spacing w:before="0" w:after="0"/>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2025 - II</w:t>
            </w:r>
          </w:p>
        </w:tc>
        <w:tc>
          <w:tcPr>
            <w:tcW w:w="2041" w:type="dxa"/>
            <w:tcBorders>
              <w:top w:val="single" w:sz="6" w:space="0" w:color="auto"/>
              <w:left w:val="nil"/>
              <w:bottom w:val="single" w:sz="6" w:space="0" w:color="auto"/>
              <w:right w:val="nil"/>
            </w:tcBorders>
            <w:shd w:val="solid" w:color="DDDDDD" w:fill="auto"/>
          </w:tcPr>
          <w:p w14:paraId="3D53F54A"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r w:rsidRPr="00816721">
              <w:rPr>
                <w:rFonts w:ascii="Arial Narrow" w:hAnsi="Arial Narrow" w:cs="Arial Narrow"/>
                <w:color w:val="000000"/>
                <w:kern w:val="0"/>
                <w:sz w:val="18"/>
                <w:szCs w:val="18"/>
              </w:rPr>
              <w:t>-0,1</w:t>
            </w:r>
          </w:p>
        </w:tc>
        <w:tc>
          <w:tcPr>
            <w:tcW w:w="2042" w:type="dxa"/>
            <w:tcBorders>
              <w:top w:val="single" w:sz="6" w:space="0" w:color="auto"/>
              <w:left w:val="nil"/>
              <w:bottom w:val="single" w:sz="6" w:space="0" w:color="auto"/>
              <w:right w:val="nil"/>
            </w:tcBorders>
          </w:tcPr>
          <w:p w14:paraId="58F5EA9A"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p>
        </w:tc>
        <w:tc>
          <w:tcPr>
            <w:tcW w:w="2041" w:type="dxa"/>
            <w:tcBorders>
              <w:top w:val="single" w:sz="6" w:space="0" w:color="auto"/>
              <w:left w:val="nil"/>
              <w:bottom w:val="single" w:sz="6" w:space="0" w:color="auto"/>
              <w:right w:val="nil"/>
            </w:tcBorders>
            <w:shd w:val="solid" w:color="DDDDDD" w:fill="auto"/>
          </w:tcPr>
          <w:p w14:paraId="6D36042A"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p>
        </w:tc>
        <w:tc>
          <w:tcPr>
            <w:tcW w:w="2042" w:type="dxa"/>
            <w:tcBorders>
              <w:top w:val="single" w:sz="6" w:space="0" w:color="auto"/>
              <w:left w:val="nil"/>
              <w:bottom w:val="single" w:sz="6" w:space="0" w:color="auto"/>
              <w:right w:val="nil"/>
            </w:tcBorders>
          </w:tcPr>
          <w:p w14:paraId="4C4AA084" w14:textId="77777777" w:rsidR="00816721" w:rsidRPr="00816721" w:rsidRDefault="00816721" w:rsidP="00816721">
            <w:pPr>
              <w:widowControl/>
              <w:overflowPunct/>
              <w:spacing w:before="0" w:after="0"/>
              <w:jc w:val="right"/>
              <w:rPr>
                <w:rFonts w:ascii="Arial Narrow" w:hAnsi="Arial Narrow" w:cs="Arial Narrow"/>
                <w:color w:val="000000"/>
                <w:kern w:val="0"/>
                <w:sz w:val="18"/>
                <w:szCs w:val="18"/>
              </w:rPr>
            </w:pPr>
          </w:p>
        </w:tc>
      </w:tr>
    </w:tbl>
    <w:p w14:paraId="474A21A1" w14:textId="452B8D14" w:rsidR="00810933" w:rsidRDefault="00810933" w:rsidP="00810933"/>
    <w:p w14:paraId="01F8E580" w14:textId="77777777" w:rsidR="0017508C" w:rsidRDefault="0017508C" w:rsidP="00810933">
      <w:pPr>
        <w:sectPr w:rsidR="0017508C" w:rsidSect="00623584">
          <w:headerReference w:type="default" r:id="rId22"/>
          <w:pgSz w:w="11907" w:h="16840" w:code="9"/>
          <w:pgMar w:top="1534" w:right="851" w:bottom="680" w:left="851" w:header="567" w:footer="567" w:gutter="0"/>
          <w:cols w:space="720"/>
          <w:noEndnote/>
          <w:docGrid w:linePitch="272"/>
        </w:sectPr>
      </w:pPr>
    </w:p>
    <w:p w14:paraId="448901F8" w14:textId="77777777" w:rsidR="000B233D" w:rsidRPr="007138A3" w:rsidRDefault="000B233D" w:rsidP="00B81D29">
      <w:pPr>
        <w:spacing w:before="0" w:after="120"/>
        <w:jc w:val="both"/>
        <w:rPr>
          <w:rFonts w:ascii="Arial Narrow" w:hAnsi="Arial Narrow" w:cs="Arial"/>
          <w:b/>
          <w:bCs/>
          <w:sz w:val="22"/>
          <w:szCs w:val="22"/>
        </w:rPr>
      </w:pPr>
    </w:p>
    <w:p w14:paraId="571D4FDA" w14:textId="77777777" w:rsidR="00B07843" w:rsidRPr="000B233D" w:rsidRDefault="00B07843" w:rsidP="00B07843">
      <w:pPr>
        <w:spacing w:before="0" w:after="120"/>
        <w:jc w:val="both"/>
        <w:rPr>
          <w:rFonts w:ascii="Arial" w:hAnsi="Arial" w:cs="Arial"/>
          <w:b/>
          <w:bCs/>
        </w:rPr>
      </w:pPr>
      <w:r w:rsidRPr="000B233D">
        <w:rPr>
          <w:rFonts w:ascii="Arial" w:hAnsi="Arial" w:cs="Arial"/>
          <w:b/>
          <w:bCs/>
        </w:rPr>
        <w:t xml:space="preserve">Crescita acquisita: </w:t>
      </w:r>
      <w:r w:rsidRPr="000B233D">
        <w:rPr>
          <w:rFonts w:ascii="Arial" w:hAnsi="Arial" w:cs="Arial"/>
        </w:rPr>
        <w:t>crescita annuale che si otterrebbe in presenza di una variazione congiunturale nulla nei restanti trimestri dell’anno.</w:t>
      </w:r>
    </w:p>
    <w:p w14:paraId="1A8D36FD" w14:textId="77777777" w:rsidR="00B07843" w:rsidRPr="000B233D" w:rsidRDefault="00B07843" w:rsidP="00B07843">
      <w:pPr>
        <w:spacing w:before="0" w:after="120"/>
        <w:jc w:val="both"/>
        <w:rPr>
          <w:rFonts w:ascii="Arial" w:hAnsi="Arial" w:cs="Arial"/>
        </w:rPr>
      </w:pPr>
      <w:r w:rsidRPr="000B233D">
        <w:rPr>
          <w:rFonts w:ascii="Arial" w:hAnsi="Arial" w:cs="Arial"/>
          <w:b/>
          <w:bCs/>
        </w:rPr>
        <w:t xml:space="preserve">Dati corretti per gli effetti di calendario: </w:t>
      </w:r>
      <w:r w:rsidRPr="000B233D">
        <w:rPr>
          <w:rFonts w:ascii="Arial" w:hAnsi="Arial" w:cs="Arial"/>
        </w:rPr>
        <w:t>dati depurati dagli effetti de</w:t>
      </w:r>
      <w:r>
        <w:rPr>
          <w:rFonts w:ascii="Arial" w:hAnsi="Arial" w:cs="Arial"/>
        </w:rPr>
        <w:t>l numero de</w:t>
      </w:r>
      <w:r w:rsidRPr="000B233D">
        <w:rPr>
          <w:rFonts w:ascii="Arial" w:hAnsi="Arial" w:cs="Arial"/>
        </w:rPr>
        <w:t xml:space="preserve">i giorni lavorativi, delle festività pasquali </w:t>
      </w:r>
      <w:r>
        <w:rPr>
          <w:rFonts w:ascii="Arial" w:hAnsi="Arial" w:cs="Arial"/>
        </w:rPr>
        <w:t xml:space="preserve">(che possono cadere in trimestri diversi) </w:t>
      </w:r>
      <w:r w:rsidRPr="000B233D">
        <w:rPr>
          <w:rFonts w:ascii="Arial" w:hAnsi="Arial" w:cs="Arial"/>
        </w:rPr>
        <w:t>e dell’anno bisestile.</w:t>
      </w:r>
    </w:p>
    <w:p w14:paraId="368344C1" w14:textId="77777777" w:rsidR="00B07843" w:rsidRPr="000B233D" w:rsidRDefault="00B07843" w:rsidP="00B07843">
      <w:pPr>
        <w:spacing w:before="0" w:after="120"/>
        <w:jc w:val="both"/>
        <w:rPr>
          <w:rFonts w:ascii="Arial" w:hAnsi="Arial" w:cs="Arial"/>
        </w:rPr>
      </w:pPr>
      <w:r w:rsidRPr="000B233D">
        <w:rPr>
          <w:rFonts w:ascii="Arial" w:hAnsi="Arial" w:cs="Arial"/>
          <w:b/>
          <w:bCs/>
        </w:rPr>
        <w:t xml:space="preserve">Dati destagionalizzati: </w:t>
      </w:r>
      <w:r w:rsidRPr="000B233D">
        <w:rPr>
          <w:rFonts w:ascii="Arial" w:hAnsi="Arial" w:cs="Arial"/>
        </w:rPr>
        <w:t>dati depurati delle fluttuazioni stagionali dovute a fattori meteorologici, consuetudinari, legislativi, ecc</w:t>
      </w:r>
      <w:r>
        <w:rPr>
          <w:rFonts w:ascii="Arial" w:hAnsi="Arial" w:cs="Arial"/>
        </w:rPr>
        <w:t>; i valori destagionalizzati sono calcolati al netto degli effetti di calendario qualora tale effetto sia presente. Nel caso dei conti economici trimestrali si specifica la dizione “corretti per gli effetti di calendario” quando il relativo effetto è significativo.</w:t>
      </w:r>
    </w:p>
    <w:p w14:paraId="64F16678" w14:textId="77777777" w:rsidR="00B07843" w:rsidRDefault="00B07843" w:rsidP="00B07843">
      <w:pPr>
        <w:spacing w:before="0" w:after="120"/>
        <w:jc w:val="both"/>
        <w:rPr>
          <w:rFonts w:ascii="Arial" w:hAnsi="Arial" w:cs="Arial"/>
          <w:bCs/>
        </w:rPr>
      </w:pPr>
      <w:r w:rsidRPr="000B233D">
        <w:rPr>
          <w:rFonts w:ascii="Arial" w:hAnsi="Arial" w:cs="Arial"/>
          <w:b/>
          <w:bCs/>
        </w:rPr>
        <w:t xml:space="preserve">Deflatori (Prezzi impliciti): </w:t>
      </w:r>
      <w:r w:rsidRPr="000B233D">
        <w:rPr>
          <w:rFonts w:ascii="Arial" w:hAnsi="Arial" w:cs="Arial"/>
          <w:bCs/>
        </w:rPr>
        <w:t>si definisce deflatore o prezzo implicito il rapporto tra l’aggregato espresso in termini nominali e lo stesso espresso in termini reali; indica quanta parte della crescita</w:t>
      </w:r>
      <w:r w:rsidRPr="000B233D">
        <w:rPr>
          <w:rFonts w:ascii="Arial" w:hAnsi="Arial" w:cs="Arial"/>
          <w:b/>
          <w:bCs/>
        </w:rPr>
        <w:t xml:space="preserve"> </w:t>
      </w:r>
      <w:r w:rsidRPr="000B233D">
        <w:rPr>
          <w:rFonts w:ascii="Arial" w:hAnsi="Arial" w:cs="Arial"/>
          <w:bCs/>
        </w:rPr>
        <w:t>dell’aggregato, espresso in termini nominali, sia da attribuire a variazioni di prezzo.</w:t>
      </w:r>
    </w:p>
    <w:p w14:paraId="1BF4F8F1" w14:textId="77777777" w:rsidR="00B07843" w:rsidRPr="000B233D" w:rsidRDefault="00B07843" w:rsidP="00B07843">
      <w:pPr>
        <w:spacing w:before="0" w:after="120"/>
        <w:jc w:val="both"/>
        <w:rPr>
          <w:rFonts w:ascii="Arial" w:hAnsi="Arial" w:cs="Arial"/>
        </w:rPr>
      </w:pPr>
      <w:r w:rsidRPr="000B233D">
        <w:rPr>
          <w:rFonts w:ascii="Arial" w:hAnsi="Arial" w:cs="Arial"/>
          <w:b/>
          <w:bCs/>
        </w:rPr>
        <w:t xml:space="preserve">Prodotto interno lordo ai prezzi di mercato (Pil): </w:t>
      </w:r>
      <w:r w:rsidRPr="00B83B6B">
        <w:rPr>
          <w:rFonts w:ascii="Arial" w:hAnsi="Arial" w:cs="Arial"/>
        </w:rPr>
        <w:t>risultato finale dell'attività produttiva delle unità residenti. E' pari alla somma del valore aggiunto ai prezzi base delle unità produttive residenti, più le imposte sui prodotti al netto dei contributi ai prodotti</w:t>
      </w:r>
      <w:r w:rsidRPr="0034427F">
        <w:rPr>
          <w:rFonts w:ascii="Arial" w:hAnsi="Arial" w:cs="Arial"/>
        </w:rPr>
        <w:t>.</w:t>
      </w:r>
    </w:p>
    <w:p w14:paraId="1FFEE5E2" w14:textId="77777777" w:rsidR="00B07843" w:rsidRPr="000B233D" w:rsidRDefault="00B07843" w:rsidP="00B07843">
      <w:pPr>
        <w:spacing w:before="0" w:after="120"/>
        <w:jc w:val="both"/>
        <w:rPr>
          <w:rFonts w:ascii="Arial" w:hAnsi="Arial" w:cs="Arial"/>
          <w:b/>
          <w:bCs/>
        </w:rPr>
      </w:pPr>
      <w:r w:rsidRPr="000B233D">
        <w:rPr>
          <w:rFonts w:ascii="Arial" w:hAnsi="Arial" w:cs="Arial"/>
          <w:b/>
          <w:bCs/>
        </w:rPr>
        <w:t xml:space="preserve">Valore aggiunto ai prezzi </w:t>
      </w:r>
      <w:r>
        <w:rPr>
          <w:rFonts w:ascii="Arial" w:hAnsi="Arial" w:cs="Arial"/>
          <w:b/>
          <w:bCs/>
        </w:rPr>
        <w:t>base</w:t>
      </w:r>
      <w:r w:rsidRPr="000B233D">
        <w:rPr>
          <w:rFonts w:ascii="Arial" w:hAnsi="Arial" w:cs="Arial"/>
          <w:b/>
          <w:bCs/>
        </w:rPr>
        <w:t xml:space="preserve">: </w:t>
      </w:r>
      <w:r w:rsidRPr="00B83B6B">
        <w:rPr>
          <w:rFonts w:ascii="Arial" w:hAnsi="Arial" w:cs="Arial"/>
        </w:rPr>
        <w:t>differenza tra produzione ai prezzi base e i costi intermedi valutati ai prezzi d'acquisto. Il prezzo base è l'ammontare che riceve il produttore dalla vendita di un bene o servizio, al netto delle imposte sui prodotti e al lordo dei contributi ai prodotti</w:t>
      </w:r>
      <w:r w:rsidRPr="000C2971">
        <w:rPr>
          <w:rFonts w:ascii="Arial" w:hAnsi="Arial" w:cs="Arial"/>
        </w:rPr>
        <w:t>.</w:t>
      </w:r>
    </w:p>
    <w:p w14:paraId="10C5C8A6" w14:textId="77777777" w:rsidR="00B07843" w:rsidRPr="00784A8A" w:rsidRDefault="00B07843" w:rsidP="00B07843">
      <w:pPr>
        <w:pStyle w:val="Comunicato"/>
        <w:spacing w:after="120"/>
        <w:rPr>
          <w:rFonts w:ascii="Arial" w:hAnsi="Arial" w:cs="Arial"/>
          <w:sz w:val="20"/>
        </w:rPr>
      </w:pPr>
      <w:r w:rsidRPr="00AC3322">
        <w:rPr>
          <w:rFonts w:ascii="Arial" w:hAnsi="Arial" w:cs="Arial"/>
          <w:b/>
          <w:sz w:val="20"/>
        </w:rPr>
        <w:t>Valori concatenati</w:t>
      </w:r>
      <w:r>
        <w:rPr>
          <w:rFonts w:ascii="Arial" w:hAnsi="Arial" w:cs="Arial"/>
          <w:b/>
          <w:sz w:val="20"/>
        </w:rPr>
        <w:t xml:space="preserve">: </w:t>
      </w:r>
      <w:r w:rsidRPr="00784A8A">
        <w:rPr>
          <w:rFonts w:ascii="Arial" w:hAnsi="Arial" w:cs="Arial"/>
          <w:sz w:val="20"/>
        </w:rPr>
        <w:t>Misura in volume degli aggregati di contabilità nazionale che permette di rappresentare la dinamica delle grandezze economiche al netto delle variazioni dei prezzi. Per ogni aggregato e per ogni</w:t>
      </w:r>
      <w:r>
        <w:rPr>
          <w:rFonts w:ascii="Arial" w:hAnsi="Arial" w:cs="Arial"/>
          <w:sz w:val="20"/>
        </w:rPr>
        <w:t xml:space="preserve"> trimestre,</w:t>
      </w:r>
      <w:r w:rsidRPr="00784A8A">
        <w:rPr>
          <w:rFonts w:ascii="Arial" w:hAnsi="Arial" w:cs="Arial"/>
          <w:sz w:val="20"/>
        </w:rPr>
        <w:t xml:space="preserve"> </w:t>
      </w:r>
      <w:r>
        <w:rPr>
          <w:rFonts w:ascii="Arial" w:hAnsi="Arial" w:cs="Arial"/>
          <w:sz w:val="20"/>
        </w:rPr>
        <w:t xml:space="preserve">dal secondo anno in poi </w:t>
      </w:r>
      <w:r w:rsidRPr="00784A8A">
        <w:rPr>
          <w:rFonts w:ascii="Arial" w:hAnsi="Arial" w:cs="Arial"/>
          <w:sz w:val="20"/>
        </w:rPr>
        <w:t xml:space="preserve">si calcola il rapporto fra il valore espresso ai prezzi dell’anno precedente (ad esempio le stime </w:t>
      </w:r>
      <w:r>
        <w:rPr>
          <w:rFonts w:ascii="Arial" w:hAnsi="Arial" w:cs="Arial"/>
          <w:sz w:val="20"/>
        </w:rPr>
        <w:t>de</w:t>
      </w:r>
      <w:r w:rsidRPr="00784A8A">
        <w:rPr>
          <w:rFonts w:ascii="Arial" w:hAnsi="Arial" w:cs="Arial"/>
          <w:sz w:val="20"/>
        </w:rPr>
        <w:t xml:space="preserve">l </w:t>
      </w:r>
      <w:r>
        <w:rPr>
          <w:rFonts w:ascii="Arial" w:hAnsi="Arial" w:cs="Arial"/>
          <w:sz w:val="20"/>
        </w:rPr>
        <w:t xml:space="preserve">primo trimestre </w:t>
      </w:r>
      <w:r w:rsidRPr="00784A8A">
        <w:rPr>
          <w:rFonts w:ascii="Arial" w:hAnsi="Arial" w:cs="Arial"/>
          <w:sz w:val="20"/>
        </w:rPr>
        <w:t>20</w:t>
      </w:r>
      <w:r>
        <w:rPr>
          <w:rFonts w:ascii="Arial" w:hAnsi="Arial" w:cs="Arial"/>
          <w:sz w:val="20"/>
        </w:rPr>
        <w:t>18</w:t>
      </w:r>
      <w:r w:rsidRPr="00784A8A">
        <w:rPr>
          <w:rFonts w:ascii="Arial" w:hAnsi="Arial" w:cs="Arial"/>
          <w:sz w:val="20"/>
        </w:rPr>
        <w:t xml:space="preserve"> espresse ai prezzi </w:t>
      </w:r>
      <w:r>
        <w:rPr>
          <w:rFonts w:ascii="Arial" w:hAnsi="Arial" w:cs="Arial"/>
          <w:sz w:val="20"/>
        </w:rPr>
        <w:t xml:space="preserve">medi </w:t>
      </w:r>
      <w:r w:rsidRPr="00784A8A">
        <w:rPr>
          <w:rFonts w:ascii="Arial" w:hAnsi="Arial" w:cs="Arial"/>
          <w:sz w:val="20"/>
        </w:rPr>
        <w:t>del 20</w:t>
      </w:r>
      <w:r>
        <w:rPr>
          <w:rFonts w:ascii="Arial" w:hAnsi="Arial" w:cs="Arial"/>
          <w:sz w:val="20"/>
        </w:rPr>
        <w:t>17</w:t>
      </w:r>
      <w:r w:rsidRPr="00784A8A">
        <w:rPr>
          <w:rFonts w:ascii="Arial" w:hAnsi="Arial" w:cs="Arial"/>
          <w:sz w:val="20"/>
        </w:rPr>
        <w:t xml:space="preserve">) e il valore </w:t>
      </w:r>
      <w:r>
        <w:rPr>
          <w:rFonts w:ascii="Arial" w:hAnsi="Arial" w:cs="Arial"/>
          <w:sz w:val="20"/>
        </w:rPr>
        <w:t xml:space="preserve">medio trimestrale a prezzi </w:t>
      </w:r>
      <w:r w:rsidRPr="00784A8A">
        <w:rPr>
          <w:rFonts w:ascii="Arial" w:hAnsi="Arial" w:cs="Arial"/>
          <w:sz w:val="20"/>
        </w:rPr>
        <w:t>corrent</w:t>
      </w:r>
      <w:r>
        <w:rPr>
          <w:rFonts w:ascii="Arial" w:hAnsi="Arial" w:cs="Arial"/>
          <w:sz w:val="20"/>
        </w:rPr>
        <w:t>i</w:t>
      </w:r>
      <w:r w:rsidRPr="00784A8A">
        <w:rPr>
          <w:rFonts w:ascii="Arial" w:hAnsi="Arial" w:cs="Arial"/>
          <w:sz w:val="20"/>
        </w:rPr>
        <w:t xml:space="preserve"> dell</w:t>
      </w:r>
      <w:r>
        <w:rPr>
          <w:rFonts w:ascii="Arial" w:hAnsi="Arial" w:cs="Arial"/>
          <w:sz w:val="20"/>
        </w:rPr>
        <w:t xml:space="preserve">o stesso </w:t>
      </w:r>
      <w:r w:rsidRPr="00784A8A">
        <w:rPr>
          <w:rFonts w:ascii="Arial" w:hAnsi="Arial" w:cs="Arial"/>
          <w:sz w:val="20"/>
        </w:rPr>
        <w:t>aggregato l’anno p</w:t>
      </w:r>
      <w:r>
        <w:rPr>
          <w:rFonts w:ascii="Arial" w:hAnsi="Arial" w:cs="Arial"/>
          <w:sz w:val="20"/>
        </w:rPr>
        <w:t>rima</w:t>
      </w:r>
      <w:r w:rsidRPr="00784A8A">
        <w:rPr>
          <w:rFonts w:ascii="Arial" w:hAnsi="Arial" w:cs="Arial"/>
          <w:sz w:val="20"/>
        </w:rPr>
        <w:t xml:space="preserve">. Gli indici di volume in base mobile così ottenuti sono </w:t>
      </w:r>
      <w:r>
        <w:rPr>
          <w:rFonts w:ascii="Arial" w:hAnsi="Arial" w:cs="Arial"/>
          <w:sz w:val="20"/>
        </w:rPr>
        <w:t xml:space="preserve">concatenati, moltiplicandoli consecutivamente a partire da un valore pari a 100 fissato per la media dei dati trimestrali del primo anno (valori a prezzi correnti dei 4 trimestri del primo anno standardizzati a 100 in media e deflazionati per indici di prezzo trimestrali con base lo stesso anno) e slittando poi la base all’anno preso come </w:t>
      </w:r>
      <w:r w:rsidRPr="00784A8A">
        <w:rPr>
          <w:rFonts w:ascii="Arial" w:hAnsi="Arial" w:cs="Arial"/>
          <w:sz w:val="20"/>
        </w:rPr>
        <w:t xml:space="preserve">riferimento (attualmente il </w:t>
      </w:r>
      <w:r w:rsidR="007E40B3">
        <w:rPr>
          <w:rFonts w:ascii="Arial" w:hAnsi="Arial" w:cs="Arial"/>
          <w:sz w:val="20"/>
        </w:rPr>
        <w:t>2020</w:t>
      </w:r>
      <w:r w:rsidRPr="00784A8A">
        <w:rPr>
          <w:rFonts w:ascii="Arial" w:hAnsi="Arial" w:cs="Arial"/>
          <w:sz w:val="20"/>
        </w:rPr>
        <w:t>)</w:t>
      </w:r>
      <w:r>
        <w:rPr>
          <w:rFonts w:ascii="Arial" w:hAnsi="Arial" w:cs="Arial"/>
          <w:sz w:val="20"/>
        </w:rPr>
        <w:t xml:space="preserve">. Il risultato è un </w:t>
      </w:r>
      <w:r w:rsidRPr="00784A8A">
        <w:rPr>
          <w:rFonts w:ascii="Arial" w:hAnsi="Arial" w:cs="Arial"/>
          <w:sz w:val="20"/>
        </w:rPr>
        <w:t>indic</w:t>
      </w:r>
      <w:r>
        <w:rPr>
          <w:rFonts w:ascii="Arial" w:hAnsi="Arial" w:cs="Arial"/>
          <w:sz w:val="20"/>
        </w:rPr>
        <w:t>e</w:t>
      </w:r>
      <w:r w:rsidRPr="00784A8A">
        <w:rPr>
          <w:rFonts w:ascii="Arial" w:hAnsi="Arial" w:cs="Arial"/>
          <w:sz w:val="20"/>
        </w:rPr>
        <w:t xml:space="preserve"> di volume concatenat</w:t>
      </w:r>
      <w:r>
        <w:rPr>
          <w:rFonts w:ascii="Arial" w:hAnsi="Arial" w:cs="Arial"/>
          <w:sz w:val="20"/>
        </w:rPr>
        <w:t>o che m</w:t>
      </w:r>
      <w:r w:rsidRPr="00784A8A">
        <w:rPr>
          <w:rFonts w:ascii="Arial" w:hAnsi="Arial" w:cs="Arial"/>
          <w:sz w:val="20"/>
        </w:rPr>
        <w:t>oltiplica</w:t>
      </w:r>
      <w:r>
        <w:rPr>
          <w:rFonts w:ascii="Arial" w:hAnsi="Arial" w:cs="Arial"/>
          <w:sz w:val="20"/>
        </w:rPr>
        <w:t>t</w:t>
      </w:r>
      <w:r w:rsidRPr="00784A8A">
        <w:rPr>
          <w:rFonts w:ascii="Arial" w:hAnsi="Arial" w:cs="Arial"/>
          <w:sz w:val="20"/>
        </w:rPr>
        <w:t xml:space="preserve">o per il valore </w:t>
      </w:r>
      <w:r>
        <w:rPr>
          <w:rFonts w:ascii="Arial" w:hAnsi="Arial" w:cs="Arial"/>
          <w:sz w:val="20"/>
        </w:rPr>
        <w:t>medio trimestrale a prezzi correnti</w:t>
      </w:r>
      <w:r w:rsidRPr="00784A8A">
        <w:rPr>
          <w:rFonts w:ascii="Arial" w:hAnsi="Arial" w:cs="Arial"/>
          <w:sz w:val="20"/>
        </w:rPr>
        <w:t xml:space="preserve"> relativo all’anno di riferimento </w:t>
      </w:r>
      <w:r>
        <w:rPr>
          <w:rFonts w:ascii="Arial" w:hAnsi="Arial" w:cs="Arial"/>
          <w:sz w:val="20"/>
        </w:rPr>
        <w:t xml:space="preserve">(e diviso per 100) determina </w:t>
      </w:r>
      <w:r w:rsidRPr="00784A8A">
        <w:rPr>
          <w:rFonts w:ascii="Arial" w:hAnsi="Arial" w:cs="Arial"/>
          <w:sz w:val="20"/>
        </w:rPr>
        <w:t xml:space="preserve">l‘aggregato </w:t>
      </w:r>
      <w:r>
        <w:rPr>
          <w:rFonts w:ascii="Arial" w:hAnsi="Arial" w:cs="Arial"/>
          <w:sz w:val="20"/>
        </w:rPr>
        <w:t xml:space="preserve">a </w:t>
      </w:r>
      <w:r w:rsidRPr="00784A8A">
        <w:rPr>
          <w:rFonts w:ascii="Arial" w:hAnsi="Arial" w:cs="Arial"/>
          <w:sz w:val="20"/>
        </w:rPr>
        <w:t>valori concatenati.</w:t>
      </w:r>
    </w:p>
    <w:p w14:paraId="0EAF4EF7" w14:textId="77777777" w:rsidR="00B07843" w:rsidRPr="000B233D" w:rsidRDefault="00B07843" w:rsidP="00B07843">
      <w:pPr>
        <w:spacing w:before="0" w:after="120"/>
        <w:jc w:val="both"/>
        <w:rPr>
          <w:rFonts w:ascii="Arial" w:hAnsi="Arial" w:cs="Arial"/>
          <w:b/>
          <w:bCs/>
        </w:rPr>
      </w:pPr>
      <w:r w:rsidRPr="000B233D">
        <w:rPr>
          <w:rFonts w:ascii="Arial" w:hAnsi="Arial" w:cs="Arial"/>
          <w:b/>
          <w:bCs/>
        </w:rPr>
        <w:t xml:space="preserve">Variazione </w:t>
      </w:r>
      <w:r>
        <w:rPr>
          <w:rFonts w:ascii="Arial" w:hAnsi="Arial" w:cs="Arial"/>
          <w:b/>
          <w:bCs/>
        </w:rPr>
        <w:t xml:space="preserve">percentuale </w:t>
      </w:r>
      <w:r w:rsidRPr="000B233D">
        <w:rPr>
          <w:rFonts w:ascii="Arial" w:hAnsi="Arial" w:cs="Arial"/>
          <w:b/>
          <w:bCs/>
        </w:rPr>
        <w:t xml:space="preserve">congiunturale: </w:t>
      </w:r>
      <w:r w:rsidRPr="000B233D">
        <w:rPr>
          <w:rFonts w:ascii="Arial" w:hAnsi="Arial" w:cs="Arial"/>
        </w:rPr>
        <w:t>variazione percentuale rispetto al trimestre precedente.</w:t>
      </w:r>
    </w:p>
    <w:p w14:paraId="76751838" w14:textId="77777777" w:rsidR="006B55EC" w:rsidRPr="000B233D" w:rsidRDefault="00B07843" w:rsidP="006B55EC">
      <w:pPr>
        <w:spacing w:before="0" w:after="120"/>
        <w:jc w:val="both"/>
        <w:rPr>
          <w:rFonts w:ascii="Arial" w:hAnsi="Arial" w:cs="Arial"/>
        </w:rPr>
      </w:pPr>
      <w:r w:rsidRPr="000B233D">
        <w:rPr>
          <w:rFonts w:ascii="Arial" w:hAnsi="Arial" w:cs="Arial"/>
          <w:b/>
          <w:bCs/>
        </w:rPr>
        <w:t>Variazione</w:t>
      </w:r>
      <w:r>
        <w:rPr>
          <w:rFonts w:ascii="Arial" w:hAnsi="Arial" w:cs="Arial"/>
          <w:b/>
          <w:bCs/>
        </w:rPr>
        <w:t xml:space="preserve"> percentuale</w:t>
      </w:r>
      <w:r w:rsidRPr="000B233D">
        <w:rPr>
          <w:rFonts w:ascii="Arial" w:hAnsi="Arial" w:cs="Arial"/>
          <w:b/>
          <w:bCs/>
        </w:rPr>
        <w:t xml:space="preserve"> tendenziale: </w:t>
      </w:r>
      <w:r w:rsidRPr="000B233D">
        <w:rPr>
          <w:rFonts w:ascii="Arial" w:hAnsi="Arial" w:cs="Arial"/>
        </w:rPr>
        <w:t>variazione percentuale rispetto allo stesso trimestre dell'anno precedente.</w:t>
      </w:r>
    </w:p>
    <w:p w14:paraId="052F08EB" w14:textId="77777777" w:rsidR="006B55EC" w:rsidRPr="000B233D" w:rsidRDefault="006B55EC" w:rsidP="00B81D29">
      <w:pPr>
        <w:spacing w:before="0" w:after="120"/>
        <w:jc w:val="both"/>
        <w:rPr>
          <w:rFonts w:ascii="Arial" w:hAnsi="Arial" w:cs="Arial"/>
        </w:rPr>
      </w:pPr>
    </w:p>
    <w:p w14:paraId="7875DA7D" w14:textId="77777777" w:rsidR="00584391" w:rsidRDefault="00584391" w:rsidP="00DA659B">
      <w:pPr>
        <w:rPr>
          <w:rFonts w:cs="Arial"/>
          <w:b/>
          <w:sz w:val="24"/>
          <w:szCs w:val="24"/>
        </w:rPr>
        <w:sectPr w:rsidR="00584391" w:rsidSect="00623584">
          <w:headerReference w:type="default" r:id="rId23"/>
          <w:pgSz w:w="11907" w:h="16840" w:code="9"/>
          <w:pgMar w:top="1534" w:right="851" w:bottom="680" w:left="851" w:header="567" w:footer="567" w:gutter="0"/>
          <w:cols w:space="720"/>
          <w:noEndnote/>
          <w:docGrid w:linePitch="272"/>
        </w:sectPr>
      </w:pPr>
    </w:p>
    <w:p w14:paraId="5C4BD350" w14:textId="77777777" w:rsidR="00FF6E0B" w:rsidRDefault="00FF6E0B" w:rsidP="00FF6E0B">
      <w:pPr>
        <w:pStyle w:val="Corpotesto"/>
        <w:tabs>
          <w:tab w:val="left" w:pos="720"/>
        </w:tabs>
        <w:spacing w:after="120" w:line="240" w:lineRule="auto"/>
        <w:ind w:right="106"/>
        <w:rPr>
          <w:rFonts w:ascii="Arial" w:hAnsi="Arial" w:cs="Arial"/>
          <w:b/>
          <w:color w:val="000000"/>
          <w:sz w:val="22"/>
        </w:rPr>
      </w:pPr>
    </w:p>
    <w:p w14:paraId="63F67F19" w14:textId="77777777" w:rsidR="00FF6E0B" w:rsidRPr="006217E6" w:rsidRDefault="00FF6E0B" w:rsidP="00FF6E0B">
      <w:pPr>
        <w:pStyle w:val="Corpotesto"/>
        <w:tabs>
          <w:tab w:val="left" w:pos="720"/>
        </w:tabs>
        <w:spacing w:after="120" w:line="240" w:lineRule="auto"/>
        <w:ind w:right="106"/>
        <w:rPr>
          <w:rFonts w:ascii="Arial" w:hAnsi="Arial" w:cs="Arial"/>
          <w:b/>
          <w:color w:val="000000"/>
          <w:sz w:val="22"/>
        </w:rPr>
      </w:pPr>
      <w:r>
        <w:rPr>
          <w:rFonts w:ascii="Arial" w:hAnsi="Arial" w:cs="Arial"/>
          <w:b/>
          <w:color w:val="000000"/>
          <w:sz w:val="22"/>
        </w:rPr>
        <w:t>La stima preliminare del Pil</w:t>
      </w:r>
      <w:r w:rsidRPr="006217E6">
        <w:rPr>
          <w:rFonts w:ascii="Arial" w:hAnsi="Arial" w:cs="Arial"/>
          <w:b/>
          <w:color w:val="000000"/>
          <w:sz w:val="22"/>
        </w:rPr>
        <w:t xml:space="preserve"> trimestrale</w:t>
      </w:r>
      <w:r>
        <w:rPr>
          <w:rFonts w:ascii="Arial" w:hAnsi="Arial" w:cs="Arial"/>
          <w:b/>
          <w:color w:val="000000"/>
          <w:sz w:val="22"/>
        </w:rPr>
        <w:t>: i</w:t>
      </w:r>
      <w:r w:rsidRPr="006217E6">
        <w:rPr>
          <w:rFonts w:ascii="Arial" w:hAnsi="Arial" w:cs="Arial"/>
          <w:b/>
          <w:color w:val="000000"/>
          <w:sz w:val="22"/>
        </w:rPr>
        <w:t>ntroduzione</w:t>
      </w:r>
      <w:r>
        <w:rPr>
          <w:rFonts w:ascii="Arial" w:hAnsi="Arial" w:cs="Arial"/>
          <w:b/>
          <w:color w:val="000000"/>
          <w:sz w:val="22"/>
        </w:rPr>
        <w:t xml:space="preserve"> e</w:t>
      </w:r>
      <w:r w:rsidRPr="006217E6">
        <w:rPr>
          <w:rFonts w:ascii="Arial" w:hAnsi="Arial" w:cs="Arial"/>
          <w:b/>
          <w:color w:val="000000"/>
          <w:sz w:val="22"/>
        </w:rPr>
        <w:t xml:space="preserve"> quadro normativo</w:t>
      </w:r>
    </w:p>
    <w:p w14:paraId="0276D686" w14:textId="77777777" w:rsidR="00FF6E0B" w:rsidRPr="006217E6" w:rsidRDefault="00FF6E0B" w:rsidP="00FF6E0B">
      <w:pPr>
        <w:tabs>
          <w:tab w:val="left" w:pos="168"/>
          <w:tab w:val="left" w:pos="1188"/>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20"/>
        <w:jc w:val="both"/>
        <w:rPr>
          <w:rFonts w:ascii="Arial" w:hAnsi="Arial" w:cs="Arial"/>
          <w:spacing w:val="-3"/>
        </w:rPr>
      </w:pPr>
      <w:r>
        <w:rPr>
          <w:rFonts w:ascii="Arial" w:hAnsi="Arial" w:cs="Arial"/>
          <w:spacing w:val="-3"/>
        </w:rPr>
        <w:t>La stima preliminare del Pil (Prodotto interno l</w:t>
      </w:r>
      <w:r w:rsidRPr="006217E6">
        <w:rPr>
          <w:rFonts w:ascii="Arial" w:hAnsi="Arial" w:cs="Arial"/>
          <w:spacing w:val="-3"/>
        </w:rPr>
        <w:t>ordo) deriva da una specifica elaborazione dei conti economici trimestrali, effettuata quando l’informazione disponibile sul trimestre più recente è ancora molto parziale e d</w:t>
      </w:r>
      <w:r>
        <w:rPr>
          <w:rFonts w:ascii="Arial" w:hAnsi="Arial" w:cs="Arial"/>
          <w:spacing w:val="-3"/>
        </w:rPr>
        <w:t>à</w:t>
      </w:r>
      <w:r w:rsidRPr="006217E6">
        <w:rPr>
          <w:rFonts w:ascii="Arial" w:hAnsi="Arial" w:cs="Arial"/>
          <w:spacing w:val="-3"/>
        </w:rPr>
        <w:t xml:space="preserve"> luogo a elaborazioni caratterizzate da un livello di approssimazione relativamente elevato. Il processo di stima è lo stesso di quello che si effettua per il calcolo dei conti economici trimestrali completi ma si poggia su ipotesi semplificatrici e sull’estrapolazione di alcuni degli indicatori mensili o trimestrali utilizzati nella procedura</w:t>
      </w:r>
      <w:r>
        <w:rPr>
          <w:rFonts w:ascii="Arial" w:hAnsi="Arial" w:cs="Arial"/>
          <w:spacing w:val="-3"/>
        </w:rPr>
        <w:t xml:space="preserve"> </w:t>
      </w:r>
      <w:r w:rsidRPr="006217E6">
        <w:rPr>
          <w:rFonts w:ascii="Arial" w:hAnsi="Arial" w:cs="Arial"/>
          <w:spacing w:val="-3"/>
        </w:rPr>
        <w:t>completa. La stima del Pil è il risultato di un’elaborazione che considera sia gli aggregati a prezzi correnti, sia quelli in volume, per tutte le componenti della domanda e dell’offerta (quest’ultima espressa in termini di valore aggiunto).</w:t>
      </w:r>
      <w:r>
        <w:rPr>
          <w:rFonts w:ascii="Arial" w:hAnsi="Arial" w:cs="Arial"/>
          <w:spacing w:val="-3"/>
        </w:rPr>
        <w:t xml:space="preserve"> T</w:t>
      </w:r>
      <w:r w:rsidRPr="006217E6">
        <w:rPr>
          <w:rFonts w:ascii="Arial" w:hAnsi="Arial" w:cs="Arial"/>
          <w:spacing w:val="-3"/>
        </w:rPr>
        <w:t>uttavia</w:t>
      </w:r>
      <w:r>
        <w:rPr>
          <w:rFonts w:ascii="Arial" w:hAnsi="Arial" w:cs="Arial"/>
          <w:spacing w:val="-3"/>
        </w:rPr>
        <w:t xml:space="preserve">, </w:t>
      </w:r>
      <w:r w:rsidRPr="006217E6">
        <w:rPr>
          <w:rFonts w:ascii="Arial" w:hAnsi="Arial" w:cs="Arial"/>
          <w:spacing w:val="-3"/>
        </w:rPr>
        <w:t>la stima preliminare</w:t>
      </w:r>
      <w:r>
        <w:rPr>
          <w:rFonts w:ascii="Arial" w:hAnsi="Arial" w:cs="Arial"/>
          <w:spacing w:val="-3"/>
        </w:rPr>
        <w:t xml:space="preserve"> (</w:t>
      </w:r>
      <w:r w:rsidRPr="006217E6">
        <w:rPr>
          <w:rFonts w:ascii="Arial" w:hAnsi="Arial" w:cs="Arial"/>
          <w:spacing w:val="-3"/>
        </w:rPr>
        <w:t xml:space="preserve">come in generale quelle in corso d’anno, </w:t>
      </w:r>
      <w:r>
        <w:rPr>
          <w:rFonts w:ascii="Arial" w:hAnsi="Arial" w:cs="Arial"/>
          <w:spacing w:val="-3"/>
        </w:rPr>
        <w:t>precedenti cioè alla disponibilità del</w:t>
      </w:r>
      <w:r w:rsidRPr="006217E6">
        <w:rPr>
          <w:rFonts w:ascii="Arial" w:hAnsi="Arial" w:cs="Arial"/>
          <w:spacing w:val="-3"/>
        </w:rPr>
        <w:t xml:space="preserve"> conto annuale completo di tutti gli aggregati</w:t>
      </w:r>
      <w:r w:rsidRPr="00577F22">
        <w:rPr>
          <w:rFonts w:ascii="Arial" w:hAnsi="Arial" w:cs="Arial"/>
          <w:spacing w:val="-3"/>
        </w:rPr>
        <w:t xml:space="preserve">), considera più solida la misura degli aggregati dal lato dell’offerta, per cui </w:t>
      </w:r>
      <w:r w:rsidRPr="006217E6">
        <w:rPr>
          <w:rFonts w:ascii="Arial" w:hAnsi="Arial" w:cs="Arial"/>
          <w:spacing w:val="-3"/>
        </w:rPr>
        <w:t>calcola il Pil come somma del valore aggiunto dei settori</w:t>
      </w:r>
      <w:r>
        <w:rPr>
          <w:rFonts w:ascii="Arial" w:hAnsi="Arial" w:cs="Arial"/>
          <w:spacing w:val="-3"/>
        </w:rPr>
        <w:t xml:space="preserve"> economici</w:t>
      </w:r>
      <w:r w:rsidRPr="006217E6">
        <w:rPr>
          <w:rFonts w:ascii="Arial" w:hAnsi="Arial" w:cs="Arial"/>
          <w:spacing w:val="-3"/>
        </w:rPr>
        <w:t>. La stima indipendente degli aggregati di domanda ha un’importante funzione di verifica della coerenza del quadro economico, ma fissata l’offerta</w:t>
      </w:r>
      <w:r>
        <w:rPr>
          <w:rFonts w:ascii="Arial" w:hAnsi="Arial" w:cs="Arial"/>
          <w:spacing w:val="-3"/>
        </w:rPr>
        <w:t>,</w:t>
      </w:r>
      <w:r w:rsidRPr="006217E6">
        <w:rPr>
          <w:rFonts w:ascii="Arial" w:hAnsi="Arial" w:cs="Arial"/>
          <w:spacing w:val="-3"/>
        </w:rPr>
        <w:t xml:space="preserve"> le differenze con la somma di consumi, investimenti ed esportazioni nette d</w:t>
      </w:r>
      <w:r>
        <w:rPr>
          <w:rFonts w:ascii="Arial" w:hAnsi="Arial" w:cs="Arial"/>
          <w:spacing w:val="-3"/>
        </w:rPr>
        <w:t>à</w:t>
      </w:r>
      <w:r w:rsidRPr="006217E6">
        <w:rPr>
          <w:rFonts w:ascii="Arial" w:hAnsi="Arial" w:cs="Arial"/>
          <w:spacing w:val="-3"/>
        </w:rPr>
        <w:t xml:space="preserve"> luogo a un aggregato che è definito “scorte e discrepanze statistiche” </w:t>
      </w:r>
      <w:r>
        <w:rPr>
          <w:rFonts w:ascii="Arial" w:hAnsi="Arial" w:cs="Arial"/>
          <w:spacing w:val="-3"/>
        </w:rPr>
        <w:t xml:space="preserve">e </w:t>
      </w:r>
      <w:r w:rsidRPr="006217E6">
        <w:rPr>
          <w:rFonts w:ascii="Arial" w:hAnsi="Arial" w:cs="Arial"/>
          <w:spacing w:val="-3"/>
        </w:rPr>
        <w:t>nel quale, soprattutto nei primi rilasc</w:t>
      </w:r>
      <w:r>
        <w:rPr>
          <w:rFonts w:ascii="Arial" w:hAnsi="Arial" w:cs="Arial"/>
          <w:spacing w:val="-3"/>
        </w:rPr>
        <w:t>i, sono le seconde a prevalere.</w:t>
      </w:r>
    </w:p>
    <w:p w14:paraId="2410907F" w14:textId="77777777" w:rsidR="00FF6E0B" w:rsidRPr="006217E6" w:rsidRDefault="00FF6E0B" w:rsidP="00FF6E0B">
      <w:pPr>
        <w:tabs>
          <w:tab w:val="left" w:pos="168"/>
          <w:tab w:val="left" w:pos="1188"/>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20"/>
        <w:jc w:val="both"/>
        <w:rPr>
          <w:rFonts w:ascii="Arial" w:hAnsi="Arial" w:cs="Arial"/>
          <w:spacing w:val="-3"/>
        </w:rPr>
      </w:pPr>
      <w:r w:rsidRPr="006217E6">
        <w:rPr>
          <w:rFonts w:ascii="Arial" w:hAnsi="Arial" w:cs="Arial"/>
          <w:spacing w:val="-3"/>
        </w:rPr>
        <w:t xml:space="preserve">In sede di stima preliminare la diffusione riguarda </w:t>
      </w:r>
      <w:r>
        <w:rPr>
          <w:rFonts w:ascii="Arial" w:hAnsi="Arial" w:cs="Arial"/>
          <w:spacing w:val="-3"/>
        </w:rPr>
        <w:t>esclusivamente la misura del Pil</w:t>
      </w:r>
      <w:r w:rsidRPr="006217E6">
        <w:rPr>
          <w:rFonts w:ascii="Arial" w:hAnsi="Arial" w:cs="Arial"/>
          <w:spacing w:val="-3"/>
        </w:rPr>
        <w:t xml:space="preserve"> in volume, calcolato a valori concatenati con anno di riferimento </w:t>
      </w:r>
      <w:r>
        <w:rPr>
          <w:rFonts w:ascii="Arial" w:hAnsi="Arial" w:cs="Arial"/>
          <w:spacing w:val="-3"/>
        </w:rPr>
        <w:t>2020</w:t>
      </w:r>
      <w:r w:rsidRPr="006217E6">
        <w:rPr>
          <w:rFonts w:ascii="Arial" w:hAnsi="Arial" w:cs="Arial"/>
          <w:spacing w:val="-3"/>
        </w:rPr>
        <w:t>, in quanto si considera che le stime di molt</w:t>
      </w:r>
      <w:r>
        <w:rPr>
          <w:rFonts w:ascii="Arial" w:hAnsi="Arial" w:cs="Arial"/>
          <w:spacing w:val="-3"/>
        </w:rPr>
        <w:t>e</w:t>
      </w:r>
      <w:r w:rsidRPr="006217E6">
        <w:rPr>
          <w:rFonts w:ascii="Arial" w:hAnsi="Arial" w:cs="Arial"/>
          <w:spacing w:val="-3"/>
        </w:rPr>
        <w:t xml:space="preserve"> delle componenti sottostanti siano affette da un errore di revisione troppo ampio, che le renderebbe poco inf</w:t>
      </w:r>
      <w:r>
        <w:rPr>
          <w:rFonts w:ascii="Arial" w:hAnsi="Arial" w:cs="Arial"/>
          <w:spacing w:val="-3"/>
        </w:rPr>
        <w:t>ormative per gli utilizzatori.</w:t>
      </w:r>
    </w:p>
    <w:p w14:paraId="2A842C5C" w14:textId="77777777" w:rsidR="00FF6E0B" w:rsidRPr="006217E6" w:rsidRDefault="00FF6E0B" w:rsidP="00FF6E0B">
      <w:pPr>
        <w:spacing w:before="0" w:after="120"/>
        <w:jc w:val="both"/>
        <w:rPr>
          <w:rFonts w:ascii="Arial" w:hAnsi="Arial" w:cs="Arial"/>
          <w:spacing w:val="-3"/>
        </w:rPr>
      </w:pPr>
      <w:r w:rsidRPr="006217E6">
        <w:rPr>
          <w:rFonts w:ascii="Arial" w:hAnsi="Arial" w:cs="Arial"/>
          <w:spacing w:val="-3"/>
        </w:rPr>
        <w:t>In termini generali, i conti economici trimestrali adottano principi, definizioni e struttura della contabilità annuale, con alcune particolarità proprie dell'intervallo trimestrale cui è riferita l'analisi. A partire dall’edizione di ottobre 2014, metodi e fonti utilizzate nella stima dei conti trimestrali</w:t>
      </w:r>
      <w:r>
        <w:rPr>
          <w:rFonts w:ascii="Arial" w:hAnsi="Arial" w:cs="Arial"/>
          <w:spacing w:val="-3"/>
        </w:rPr>
        <w:t xml:space="preserve"> </w:t>
      </w:r>
      <w:r w:rsidRPr="006217E6">
        <w:rPr>
          <w:rFonts w:ascii="Arial" w:hAnsi="Arial" w:cs="Arial"/>
          <w:spacing w:val="-3"/>
        </w:rPr>
        <w:t xml:space="preserve">seguono i criteri definiti dal manuale Sistema europeo dei conti nazionali e regionali (Sec 2010), che rappresenta l’applicazione a livello europeo del System of National Accounts (Sna 2008) delle Nazioni Unite. Le disposizioni metodologiche da esso stabilite costituiscono delle regole stringenti per i paesi dell’Unione europea, assicurando la </w:t>
      </w:r>
      <w:r w:rsidRPr="00B83527">
        <w:rPr>
          <w:rFonts w:ascii="Arial" w:hAnsi="Arial" w:cs="Arial"/>
          <w:spacing w:val="-3"/>
        </w:rPr>
        <w:t>comparabilit</w:t>
      </w:r>
      <w:r w:rsidRPr="003B1032">
        <w:rPr>
          <w:rFonts w:ascii="Arial" w:hAnsi="Arial" w:cs="Arial"/>
          <w:spacing w:val="-3"/>
        </w:rPr>
        <w:t xml:space="preserve">à delle stime. Il Sec 2010 è stato adottato con il </w:t>
      </w:r>
      <w:hyperlink r:id="rId24" w:history="1">
        <w:r w:rsidRPr="003B1032">
          <w:rPr>
            <w:rStyle w:val="Collegamentoipertestuale"/>
            <w:rFonts w:ascii="Arial" w:hAnsi="Arial" w:cs="Arial"/>
            <w:spacing w:val="-3"/>
          </w:rPr>
          <w:t>Regolamento Ue del Parlamento europeo e del Consiglio, n. 549/2013, relativo al Sistema europeo dei conti nazionali e regionali dell’Unione europea</w:t>
        </w:r>
      </w:hyperlink>
      <w:r w:rsidRPr="003B1032">
        <w:rPr>
          <w:rFonts w:ascii="Arial" w:hAnsi="Arial" w:cs="Arial"/>
          <w:spacing w:val="-3"/>
        </w:rPr>
        <w:t xml:space="preserve"> recentemente modificato con il </w:t>
      </w:r>
      <w:hyperlink r:id="rId25" w:history="1">
        <w:r w:rsidRPr="003B1032">
          <w:rPr>
            <w:rStyle w:val="Collegamentoipertestuale"/>
            <w:rFonts w:ascii="Arial" w:hAnsi="Arial" w:cs="Arial"/>
            <w:spacing w:val="-3"/>
          </w:rPr>
          <w:t>Regolamento Ue del Parlamento europeo e del Consiglio, n. 734/2023</w:t>
        </w:r>
      </w:hyperlink>
      <w:r w:rsidRPr="003B1032">
        <w:rPr>
          <w:rStyle w:val="Collegamentoipertestuale"/>
          <w:rFonts w:ascii="Arial" w:hAnsi="Arial" w:cs="Arial"/>
          <w:spacing w:val="-3"/>
        </w:rPr>
        <w:t xml:space="preserve"> </w:t>
      </w:r>
      <w:r w:rsidRPr="003B1032">
        <w:rPr>
          <w:rFonts w:ascii="Arial" w:hAnsi="Arial" w:cs="Arial"/>
          <w:spacing w:val="-3"/>
        </w:rPr>
        <w:t>che prevede un programma di trasmissione obbligatoria dei dati. Per quanto attiene il Pil trimestrale, il regolamento prevede elaborazione e trasmissione della stima preliminare a 30 giorni dalla fine del trimestre di riferimento, mentre per i dati trimestrali nazionali la stima completa è prevista a due mesi dalla fine del trimestre di riferimento.</w:t>
      </w:r>
    </w:p>
    <w:p w14:paraId="2BA69632" w14:textId="60299389" w:rsidR="004F4D38" w:rsidRPr="00CA3BED" w:rsidRDefault="004F4D38" w:rsidP="004F4D38">
      <w:pPr>
        <w:tabs>
          <w:tab w:val="left" w:pos="168"/>
          <w:tab w:val="left" w:pos="1188"/>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20"/>
        <w:jc w:val="both"/>
        <w:rPr>
          <w:rFonts w:ascii="Arial" w:hAnsi="Arial" w:cs="Arial"/>
          <w:spacing w:val="-3"/>
        </w:rPr>
      </w:pPr>
      <w:r w:rsidRPr="00CA3BED">
        <w:rPr>
          <w:rFonts w:ascii="Arial" w:hAnsi="Arial" w:cs="Arial"/>
          <w:spacing w:val="-3"/>
        </w:rPr>
        <w:t xml:space="preserve">L’elaborazione è inserita nel </w:t>
      </w:r>
      <w:hyperlink r:id="rId26" w:history="1">
        <w:r w:rsidRPr="00C366EE">
          <w:rPr>
            <w:rStyle w:val="Collegamentoipertestuale"/>
            <w:rFonts w:ascii="Arial" w:hAnsi="Arial" w:cs="Arial"/>
          </w:rPr>
          <w:t>Programma Statistico Nazionale in vigore</w:t>
        </w:r>
      </w:hyperlink>
      <w:r>
        <w:rPr>
          <w:rFonts w:ascii="Arial" w:hAnsi="Arial" w:cs="Arial"/>
        </w:rPr>
        <w:t xml:space="preserve"> </w:t>
      </w:r>
      <w:r>
        <w:rPr>
          <w:rFonts w:ascii="Arial" w:hAnsi="Arial" w:cs="Arial"/>
          <w:bCs/>
        </w:rPr>
        <w:t>(Psn 2023-2025</w:t>
      </w:r>
      <w:r w:rsidRPr="00F4036F">
        <w:rPr>
          <w:rFonts w:ascii="Arial" w:hAnsi="Arial" w:cs="Arial"/>
          <w:bCs/>
        </w:rPr>
        <w:t xml:space="preserve">) - approvato con DPR del </w:t>
      </w:r>
      <w:r>
        <w:rPr>
          <w:rFonts w:ascii="Arial" w:hAnsi="Arial" w:cs="Arial"/>
          <w:bCs/>
        </w:rPr>
        <w:t>24</w:t>
      </w:r>
      <w:r w:rsidRPr="00F4036F">
        <w:rPr>
          <w:rFonts w:ascii="Arial" w:hAnsi="Arial" w:cs="Arial"/>
          <w:bCs/>
        </w:rPr>
        <w:t xml:space="preserve"> </w:t>
      </w:r>
      <w:r>
        <w:rPr>
          <w:rFonts w:ascii="Arial" w:hAnsi="Arial" w:cs="Arial"/>
          <w:bCs/>
        </w:rPr>
        <w:t>sette</w:t>
      </w:r>
      <w:r w:rsidR="006B792A">
        <w:rPr>
          <w:rFonts w:ascii="Arial" w:hAnsi="Arial" w:cs="Arial"/>
          <w:bCs/>
        </w:rPr>
        <w:t>m</w:t>
      </w:r>
      <w:r>
        <w:rPr>
          <w:rFonts w:ascii="Arial" w:hAnsi="Arial" w:cs="Arial"/>
          <w:bCs/>
        </w:rPr>
        <w:t>bre 2024</w:t>
      </w:r>
      <w:r w:rsidRPr="00F4036F">
        <w:rPr>
          <w:rFonts w:ascii="Arial" w:hAnsi="Arial" w:cs="Arial"/>
          <w:bCs/>
        </w:rPr>
        <w:t>, pubblicato sul supp</w:t>
      </w:r>
      <w:r>
        <w:rPr>
          <w:rFonts w:ascii="Arial" w:hAnsi="Arial" w:cs="Arial"/>
          <w:bCs/>
        </w:rPr>
        <w:t>lemento ordinario n.39</w:t>
      </w:r>
      <w:r w:rsidRPr="00F4036F">
        <w:rPr>
          <w:rFonts w:ascii="Arial" w:hAnsi="Arial" w:cs="Arial"/>
          <w:bCs/>
        </w:rPr>
        <w:t xml:space="preserve"> alla Gazzetta Uff</w:t>
      </w:r>
      <w:r>
        <w:rPr>
          <w:rFonts w:ascii="Arial" w:hAnsi="Arial" w:cs="Arial"/>
          <w:bCs/>
        </w:rPr>
        <w:t>iciale - serie generale - n. 268</w:t>
      </w:r>
      <w:r w:rsidRPr="00F4036F">
        <w:rPr>
          <w:rFonts w:ascii="Arial" w:hAnsi="Arial" w:cs="Arial"/>
          <w:bCs/>
        </w:rPr>
        <w:t xml:space="preserve"> del </w:t>
      </w:r>
      <w:r>
        <w:rPr>
          <w:rFonts w:ascii="Arial" w:hAnsi="Arial" w:cs="Arial"/>
          <w:bCs/>
        </w:rPr>
        <w:t>15</w:t>
      </w:r>
      <w:r w:rsidRPr="00F4036F">
        <w:rPr>
          <w:rFonts w:ascii="Arial" w:hAnsi="Arial" w:cs="Arial"/>
        </w:rPr>
        <w:t xml:space="preserve"> </w:t>
      </w:r>
      <w:r>
        <w:rPr>
          <w:rFonts w:ascii="Arial" w:hAnsi="Arial" w:cs="Arial"/>
        </w:rPr>
        <w:t>novembre 2024</w:t>
      </w:r>
      <w:r w:rsidRPr="00F4036F">
        <w:rPr>
          <w:rFonts w:ascii="Arial" w:hAnsi="Arial" w:cs="Arial"/>
        </w:rPr>
        <w:t>.</w:t>
      </w:r>
    </w:p>
    <w:p w14:paraId="30DCCEA9" w14:textId="77777777" w:rsidR="00FF6E0B" w:rsidRDefault="00FF6E0B" w:rsidP="00FF6E0B">
      <w:pPr>
        <w:spacing w:after="120"/>
        <w:jc w:val="both"/>
        <w:rPr>
          <w:rFonts w:ascii="Arial" w:hAnsi="Arial" w:cs="Arial"/>
          <w:spacing w:val="-3"/>
        </w:rPr>
      </w:pPr>
    </w:p>
    <w:p w14:paraId="21F102B6" w14:textId="77777777" w:rsidR="00FF6E0B" w:rsidRPr="00C53DB7" w:rsidRDefault="00FF6E0B" w:rsidP="00FF6E0B">
      <w:pPr>
        <w:spacing w:after="120"/>
        <w:jc w:val="both"/>
        <w:rPr>
          <w:rFonts w:ascii="Arial" w:hAnsi="Arial" w:cs="Arial"/>
          <w:b/>
          <w:spacing w:val="-3"/>
          <w:sz w:val="22"/>
          <w:szCs w:val="22"/>
        </w:rPr>
      </w:pPr>
      <w:r w:rsidRPr="00C53DB7">
        <w:rPr>
          <w:rFonts w:ascii="Arial" w:hAnsi="Arial" w:cs="Arial"/>
          <w:b/>
          <w:spacing w:val="-3"/>
          <w:sz w:val="22"/>
          <w:szCs w:val="22"/>
        </w:rPr>
        <w:t>La metodologia della stima dei conti trimestrali</w:t>
      </w:r>
    </w:p>
    <w:p w14:paraId="3601C760" w14:textId="77777777" w:rsidR="00FF6E0B" w:rsidRPr="006217E6" w:rsidRDefault="00FF6E0B" w:rsidP="00FF6E0B">
      <w:pPr>
        <w:spacing w:after="120"/>
        <w:jc w:val="both"/>
        <w:rPr>
          <w:rFonts w:ascii="Arial" w:hAnsi="Arial" w:cs="Arial"/>
          <w:spacing w:val="-3"/>
        </w:rPr>
      </w:pPr>
      <w:r w:rsidRPr="006217E6">
        <w:rPr>
          <w:rFonts w:ascii="Arial" w:hAnsi="Arial" w:cs="Arial"/>
          <w:spacing w:val="-3"/>
        </w:rPr>
        <w:t>Come accenna</w:t>
      </w:r>
      <w:r>
        <w:rPr>
          <w:rFonts w:ascii="Arial" w:hAnsi="Arial" w:cs="Arial"/>
          <w:spacing w:val="-3"/>
        </w:rPr>
        <w:t>to, la stima preliminare del Pil</w:t>
      </w:r>
      <w:r w:rsidRPr="006217E6">
        <w:rPr>
          <w:rFonts w:ascii="Arial" w:hAnsi="Arial" w:cs="Arial"/>
          <w:spacing w:val="-3"/>
        </w:rPr>
        <w:t xml:space="preserve"> </w:t>
      </w:r>
      <w:r>
        <w:rPr>
          <w:rFonts w:ascii="Arial" w:hAnsi="Arial" w:cs="Arial"/>
          <w:spacing w:val="-3"/>
        </w:rPr>
        <w:t>è il risultato dell’adattamento</w:t>
      </w:r>
      <w:r w:rsidRPr="006217E6">
        <w:rPr>
          <w:rFonts w:ascii="Arial" w:hAnsi="Arial" w:cs="Arial"/>
          <w:spacing w:val="-3"/>
        </w:rPr>
        <w:t xml:space="preserve"> della procedura di calcolo dei conti trimestrali alle condizioni specifiche di disponibilità parziale di molti indicatori congiunturali</w:t>
      </w:r>
      <w:r>
        <w:rPr>
          <w:rFonts w:ascii="Arial" w:hAnsi="Arial" w:cs="Arial"/>
          <w:spacing w:val="-3"/>
        </w:rPr>
        <w:t xml:space="preserve">, che </w:t>
      </w:r>
      <w:r w:rsidRPr="006217E6">
        <w:rPr>
          <w:rFonts w:ascii="Arial" w:hAnsi="Arial" w:cs="Arial"/>
          <w:spacing w:val="-3"/>
        </w:rPr>
        <w:t>rivestono un ruolo essenzial</w:t>
      </w:r>
      <w:r>
        <w:rPr>
          <w:rFonts w:ascii="Arial" w:hAnsi="Arial" w:cs="Arial"/>
          <w:spacing w:val="-3"/>
        </w:rPr>
        <w:t>e</w:t>
      </w:r>
      <w:r w:rsidRPr="006217E6">
        <w:rPr>
          <w:rFonts w:ascii="Arial" w:hAnsi="Arial" w:cs="Arial"/>
          <w:spacing w:val="-3"/>
        </w:rPr>
        <w:t xml:space="preserve"> nel processo di stima. I metodi adottati per l’elaborazione rapida (a </w:t>
      </w:r>
      <w:r>
        <w:rPr>
          <w:rFonts w:ascii="Arial" w:hAnsi="Arial" w:cs="Arial"/>
          <w:spacing w:val="-3"/>
        </w:rPr>
        <w:t>30</w:t>
      </w:r>
      <w:r w:rsidRPr="006217E6">
        <w:rPr>
          <w:rFonts w:ascii="Arial" w:hAnsi="Arial" w:cs="Arial"/>
          <w:spacing w:val="-3"/>
        </w:rPr>
        <w:t xml:space="preserve"> giorni dalla fine del trimestre) sono, quindi, sostanzialmente gli stessi di quelli impiegati </w:t>
      </w:r>
      <w:r>
        <w:rPr>
          <w:rFonts w:ascii="Arial" w:hAnsi="Arial" w:cs="Arial"/>
          <w:spacing w:val="-3"/>
        </w:rPr>
        <w:t>n</w:t>
      </w:r>
      <w:r w:rsidRPr="006217E6">
        <w:rPr>
          <w:rFonts w:ascii="Arial" w:hAnsi="Arial" w:cs="Arial"/>
          <w:spacing w:val="-3"/>
        </w:rPr>
        <w:t>ella costruzione delle stime complete che vengono suc</w:t>
      </w:r>
      <w:r>
        <w:rPr>
          <w:rFonts w:ascii="Arial" w:hAnsi="Arial" w:cs="Arial"/>
          <w:spacing w:val="-3"/>
        </w:rPr>
        <w:t>cessivamente diffuse a due mesi dalla fine del trimestre.</w:t>
      </w:r>
    </w:p>
    <w:p w14:paraId="7D4A7DBF" w14:textId="77777777" w:rsidR="00FF6E0B" w:rsidRPr="006217E6" w:rsidRDefault="00FF6E0B" w:rsidP="00FF6E0B">
      <w:pPr>
        <w:spacing w:after="120"/>
        <w:jc w:val="both"/>
        <w:rPr>
          <w:rFonts w:ascii="Arial" w:hAnsi="Arial" w:cs="Arial"/>
        </w:rPr>
      </w:pPr>
      <w:r w:rsidRPr="006217E6">
        <w:rPr>
          <w:rFonts w:ascii="Arial" w:hAnsi="Arial" w:cs="Arial"/>
          <w:spacing w:val="-3"/>
        </w:rPr>
        <w:t xml:space="preserve">In generale, tanto nella stima preliminare </w:t>
      </w:r>
      <w:r>
        <w:rPr>
          <w:rFonts w:ascii="Arial" w:hAnsi="Arial" w:cs="Arial"/>
          <w:spacing w:val="-3"/>
        </w:rPr>
        <w:t>quanto</w:t>
      </w:r>
      <w:r w:rsidRPr="006217E6">
        <w:rPr>
          <w:rFonts w:ascii="Arial" w:hAnsi="Arial" w:cs="Arial"/>
          <w:spacing w:val="-3"/>
        </w:rPr>
        <w:t xml:space="preserve"> in quella completa, </w:t>
      </w:r>
      <w:r>
        <w:rPr>
          <w:rFonts w:ascii="Arial" w:hAnsi="Arial" w:cs="Arial"/>
          <w:spacing w:val="-3"/>
        </w:rPr>
        <w:t>ai fini della</w:t>
      </w:r>
      <w:r w:rsidRPr="006217E6">
        <w:rPr>
          <w:rFonts w:ascii="Arial" w:hAnsi="Arial" w:cs="Arial"/>
          <w:spacing w:val="-3"/>
        </w:rPr>
        <w:t xml:space="preserve"> compilazione </w:t>
      </w:r>
      <w:r w:rsidRPr="006217E6">
        <w:rPr>
          <w:rFonts w:ascii="Arial" w:hAnsi="Arial" w:cs="Arial"/>
        </w:rPr>
        <w:t xml:space="preserve">dei conti trimestrali </w:t>
      </w:r>
      <w:r>
        <w:rPr>
          <w:rFonts w:ascii="Arial" w:hAnsi="Arial" w:cs="Arial"/>
        </w:rPr>
        <w:t xml:space="preserve">si </w:t>
      </w:r>
      <w:r w:rsidRPr="006217E6">
        <w:rPr>
          <w:rFonts w:ascii="Arial" w:hAnsi="Arial" w:cs="Arial"/>
        </w:rPr>
        <w:t>utilizza un metodo indiretto, basato su indicatori congiunturali, che permett</w:t>
      </w:r>
      <w:r>
        <w:rPr>
          <w:rFonts w:ascii="Arial" w:hAnsi="Arial" w:cs="Arial"/>
        </w:rPr>
        <w:t>e</w:t>
      </w:r>
      <w:r w:rsidRPr="006217E6">
        <w:rPr>
          <w:rFonts w:ascii="Arial" w:hAnsi="Arial" w:cs="Arial"/>
        </w:rPr>
        <w:t xml:space="preserve"> di superare i limiti posti dalla ridotta disponibilità di misure dirette a cadenza infrannuale. Tali metodi consistono nel ripartire per trimestre i dati dei conti annuali, sulla base dell’andamento di indicatori trimestrali di riferimento. In particolare, la tecnica attualmente applicata stima i valori trimestrali sulla base della relazione - identificata attraverso un metodo econometrico - che si osserva tra lo specifico aggregato dei conti annuali e i</w:t>
      </w:r>
      <w:r>
        <w:rPr>
          <w:rFonts w:ascii="Arial" w:hAnsi="Arial" w:cs="Arial"/>
        </w:rPr>
        <w:t>l</w:t>
      </w:r>
      <w:r w:rsidRPr="006217E6">
        <w:rPr>
          <w:rFonts w:ascii="Arial" w:hAnsi="Arial" w:cs="Arial"/>
        </w:rPr>
        <w:t xml:space="preserve"> valor</w:t>
      </w:r>
      <w:r>
        <w:rPr>
          <w:rFonts w:ascii="Arial" w:hAnsi="Arial" w:cs="Arial"/>
        </w:rPr>
        <w:t>e</w:t>
      </w:r>
      <w:r w:rsidRPr="006217E6">
        <w:rPr>
          <w:rFonts w:ascii="Arial" w:hAnsi="Arial" w:cs="Arial"/>
        </w:rPr>
        <w:t xml:space="preserve"> assunto nel medesimo periodo da uno o più indicatori di riferimento, opportunamente scelti. Il metodo viene utilizzato per la stima dei dati trimestrali, sia quando è già noto il valore annuale, sia quando l'informazione annuale non è ancora disponibile. Esso è applicato separatamente per ciascun aggregato </w:t>
      </w:r>
      <w:r w:rsidRPr="00CB46A1">
        <w:rPr>
          <w:rFonts w:ascii="Arial" w:hAnsi="Arial" w:cs="Arial"/>
        </w:rPr>
        <w:t>significativo</w:t>
      </w:r>
      <w:r w:rsidRPr="006217E6">
        <w:rPr>
          <w:rFonts w:ascii="Arial" w:hAnsi="Arial" w:cs="Arial"/>
        </w:rPr>
        <w:t xml:space="preserve"> necessario alla compilazione dei conti.</w:t>
      </w:r>
    </w:p>
    <w:p w14:paraId="2DC6FA5B" w14:textId="77777777" w:rsidR="00FF6E0B" w:rsidRDefault="00FF6E0B" w:rsidP="00FF6E0B">
      <w:pPr>
        <w:spacing w:after="120"/>
        <w:jc w:val="both"/>
        <w:rPr>
          <w:rFonts w:ascii="Arial" w:hAnsi="Arial" w:cs="Arial"/>
        </w:rPr>
      </w:pPr>
      <w:r>
        <w:rPr>
          <w:rFonts w:ascii="Arial" w:hAnsi="Arial" w:cs="Arial"/>
        </w:rPr>
        <w:t>Generalmente, l</w:t>
      </w:r>
      <w:r w:rsidRPr="006217E6">
        <w:rPr>
          <w:rFonts w:ascii="Arial" w:hAnsi="Arial" w:cs="Arial"/>
        </w:rPr>
        <w:t>e serie dei conti economici trimestrali sono elaborate e d</w:t>
      </w:r>
      <w:r>
        <w:rPr>
          <w:rFonts w:ascii="Arial" w:hAnsi="Arial" w:cs="Arial"/>
        </w:rPr>
        <w:t>iffuse in forma grezza, corretta</w:t>
      </w:r>
      <w:r w:rsidRPr="006217E6">
        <w:rPr>
          <w:rFonts w:ascii="Arial" w:hAnsi="Arial" w:cs="Arial"/>
        </w:rPr>
        <w:t xml:space="preserve"> per gli effetti d</w:t>
      </w:r>
      <w:r>
        <w:rPr>
          <w:rFonts w:ascii="Arial" w:hAnsi="Arial" w:cs="Arial"/>
        </w:rPr>
        <w:t>i calendario e destagionalizzata</w:t>
      </w:r>
      <w:r w:rsidRPr="006217E6">
        <w:rPr>
          <w:rFonts w:ascii="Arial" w:hAnsi="Arial" w:cs="Arial"/>
        </w:rPr>
        <w:t xml:space="preserve"> in milioni di euro, ai prezzi dell’anno precedente e a valori concatenati con anno di riferimento </w:t>
      </w:r>
      <w:r>
        <w:rPr>
          <w:rFonts w:ascii="Arial" w:hAnsi="Arial" w:cs="Arial"/>
        </w:rPr>
        <w:t>2020. A</w:t>
      </w:r>
      <w:r w:rsidRPr="006217E6">
        <w:rPr>
          <w:rFonts w:ascii="Arial" w:hAnsi="Arial" w:cs="Arial"/>
        </w:rPr>
        <w:t xml:space="preserve">l momento della stima preliminare si pubblica </w:t>
      </w:r>
      <w:r>
        <w:rPr>
          <w:rFonts w:ascii="Arial" w:hAnsi="Arial" w:cs="Arial"/>
        </w:rPr>
        <w:t xml:space="preserve">invece </w:t>
      </w:r>
      <w:r w:rsidRPr="006217E6">
        <w:rPr>
          <w:rFonts w:ascii="Arial" w:hAnsi="Arial" w:cs="Arial"/>
        </w:rPr>
        <w:t xml:space="preserve">esclusivamente </w:t>
      </w:r>
      <w:r>
        <w:rPr>
          <w:rFonts w:ascii="Arial" w:hAnsi="Arial" w:cs="Arial"/>
        </w:rPr>
        <w:t>la serie relativa al Pil</w:t>
      </w:r>
      <w:r w:rsidRPr="006217E6">
        <w:rPr>
          <w:rFonts w:ascii="Arial" w:hAnsi="Arial" w:cs="Arial"/>
        </w:rPr>
        <w:t xml:space="preserve"> in volume (</w:t>
      </w:r>
      <w:r w:rsidRPr="00BF53E3">
        <w:rPr>
          <w:rFonts w:ascii="Arial" w:hAnsi="Arial" w:cs="Arial"/>
        </w:rPr>
        <w:t>ovvero</w:t>
      </w:r>
      <w:r w:rsidRPr="006217E6">
        <w:rPr>
          <w:rFonts w:ascii="Arial" w:hAnsi="Arial" w:cs="Arial"/>
        </w:rPr>
        <w:t xml:space="preserve"> espresso in termini concatenati)</w:t>
      </w:r>
      <w:r>
        <w:rPr>
          <w:rFonts w:ascii="Arial" w:hAnsi="Arial" w:cs="Arial"/>
        </w:rPr>
        <w:t>,</w:t>
      </w:r>
      <w:r w:rsidRPr="006217E6">
        <w:rPr>
          <w:rFonts w:ascii="Arial" w:hAnsi="Arial" w:cs="Arial"/>
        </w:rPr>
        <w:t xml:space="preserve"> destagionalizzata e corretta per gli effetti di calendario. La serie è disponibile a partire dal primo trimestre del 1996.</w:t>
      </w:r>
    </w:p>
    <w:p w14:paraId="457F332D" w14:textId="77777777" w:rsidR="00FF6E0B" w:rsidRPr="006217E6" w:rsidRDefault="00FF6E0B" w:rsidP="00FF6E0B">
      <w:pPr>
        <w:spacing w:after="120"/>
        <w:jc w:val="both"/>
        <w:rPr>
          <w:rFonts w:ascii="Arial" w:hAnsi="Arial" w:cs="Arial"/>
        </w:rPr>
      </w:pPr>
      <w:r w:rsidRPr="006217E6">
        <w:rPr>
          <w:rFonts w:ascii="Arial" w:hAnsi="Arial" w:cs="Arial"/>
        </w:rPr>
        <w:t xml:space="preserve">La procedura di correzione degli aggregati per gli effetti di calendario è basata sul metodo della regressione e tiene </w:t>
      </w:r>
      <w:r w:rsidRPr="006217E6">
        <w:rPr>
          <w:rFonts w:ascii="Arial" w:hAnsi="Arial" w:cs="Arial"/>
        </w:rPr>
        <w:lastRenderedPageBreak/>
        <w:t>conto del diverso numero dei giorni lavorativi, delle festività pasquali e dell’anno bisestile. La correzione degli effetti di calendario e della stagionalità opera sugli indicatori di riferimento ed è effettuata attraverso l'approccio basato sui modelli Reg-Arima della procedura TRAMO-</w:t>
      </w:r>
      <w:r w:rsidRPr="00B83527">
        <w:rPr>
          <w:rFonts w:ascii="Arial" w:hAnsi="Arial" w:cs="Arial"/>
        </w:rPr>
        <w:t xml:space="preserve">SEATS </w:t>
      </w:r>
      <w:r w:rsidRPr="003B1032">
        <w:rPr>
          <w:rFonts w:ascii="Arial" w:hAnsi="Arial" w:cs="Arial"/>
        </w:rPr>
        <w:t>(</w:t>
      </w:r>
      <w:r>
        <w:rPr>
          <w:rFonts w:ascii="Arial" w:hAnsi="Arial" w:cs="Arial"/>
        </w:rPr>
        <w:t>sia versione 942 del 2017</w:t>
      </w:r>
      <w:r w:rsidRPr="003B1032">
        <w:rPr>
          <w:rFonts w:ascii="Arial" w:hAnsi="Arial" w:cs="Arial"/>
        </w:rPr>
        <w:t xml:space="preserve"> per Linux, sia versione inclusa nell’ambiente JDemetra+ versione 2.x).</w:t>
      </w:r>
    </w:p>
    <w:p w14:paraId="3BDB0F14" w14:textId="77777777" w:rsidR="00FF6E0B" w:rsidRPr="006217E6" w:rsidRDefault="00FF6E0B" w:rsidP="00FF6E0B">
      <w:pPr>
        <w:spacing w:before="0" w:after="120"/>
        <w:jc w:val="both"/>
        <w:rPr>
          <w:rFonts w:ascii="Arial" w:hAnsi="Arial" w:cs="Arial"/>
        </w:rPr>
      </w:pPr>
      <w:r w:rsidRPr="006217E6">
        <w:rPr>
          <w:rFonts w:ascii="Arial" w:hAnsi="Arial" w:cs="Arial"/>
        </w:rPr>
        <w:t xml:space="preserve">Per approfondimenti si </w:t>
      </w:r>
      <w:r w:rsidRPr="0038344F">
        <w:rPr>
          <w:rFonts w:ascii="Arial" w:hAnsi="Arial" w:cs="Arial"/>
        </w:rPr>
        <w:t xml:space="preserve">veda la </w:t>
      </w:r>
      <w:r w:rsidRPr="003B1032">
        <w:rPr>
          <w:rFonts w:ascii="Arial" w:hAnsi="Arial" w:cs="Arial"/>
        </w:rPr>
        <w:t>nota informativa</w:t>
      </w:r>
      <w:r w:rsidRPr="0038344F">
        <w:rPr>
          <w:rFonts w:ascii="Arial" w:hAnsi="Arial" w:cs="Arial"/>
        </w:rPr>
        <w:t xml:space="preserve"> </w:t>
      </w:r>
      <w:hyperlink r:id="rId27" w:history="1">
        <w:r w:rsidRPr="0038344F">
          <w:rPr>
            <w:rStyle w:val="Collegamentoipertestuale"/>
            <w:rFonts w:ascii="Arial" w:hAnsi="Arial" w:cs="Arial"/>
          </w:rPr>
          <w:t>I Conti economici trimestrali. Principali elementi informativi</w:t>
        </w:r>
      </w:hyperlink>
      <w:r w:rsidRPr="0038344F">
        <w:rPr>
          <w:rFonts w:ascii="Arial" w:hAnsi="Arial" w:cs="Arial"/>
        </w:rPr>
        <w:t xml:space="preserve"> di ottobre 2024, che contiene cenni sul metodo indiretto</w:t>
      </w:r>
      <w:r w:rsidRPr="006217E6">
        <w:rPr>
          <w:rFonts w:ascii="Arial" w:hAnsi="Arial" w:cs="Arial"/>
        </w:rPr>
        <w:t xml:space="preserve"> di trimestralizzazione, una lista ragionata dei principali indicatori utilizzati nelle stime, una descrizione sintetica delle principali variabili dei conti economici trimestrali e del legame tra schemi contabili e indicatori congiunturali e che delinea i metodi di stima del valore aggiunto, del sistema della doppia deflazione, degli impieghi finali, dell'input di lavoro e del relativo reddito, degli indicatori di costi e margini e della </w:t>
      </w:r>
      <w:r>
        <w:rPr>
          <w:rFonts w:ascii="Arial" w:hAnsi="Arial" w:cs="Arial"/>
        </w:rPr>
        <w:t>politica di revisione adottata.</w:t>
      </w:r>
    </w:p>
    <w:p w14:paraId="5DDE41EA" w14:textId="77777777" w:rsidR="00FF6E0B" w:rsidRPr="006217E6" w:rsidRDefault="00FF6E0B" w:rsidP="00FF6E0B">
      <w:pPr>
        <w:spacing w:before="0" w:after="120"/>
        <w:jc w:val="both"/>
        <w:rPr>
          <w:rFonts w:ascii="Arial" w:hAnsi="Arial" w:cs="Arial"/>
        </w:rPr>
      </w:pPr>
      <w:r w:rsidRPr="006217E6">
        <w:rPr>
          <w:rFonts w:ascii="Arial" w:hAnsi="Arial" w:cs="Arial"/>
        </w:rPr>
        <w:t xml:space="preserve">Le principali innovazioni introdotte con il passaggio al Sec 2010 sono </w:t>
      </w:r>
      <w:r>
        <w:rPr>
          <w:rFonts w:ascii="Arial" w:hAnsi="Arial" w:cs="Arial"/>
        </w:rPr>
        <w:t xml:space="preserve">state </w:t>
      </w:r>
      <w:r w:rsidRPr="006217E6">
        <w:rPr>
          <w:rFonts w:ascii="Arial" w:hAnsi="Arial" w:cs="Arial"/>
        </w:rPr>
        <w:t xml:space="preserve">presentate nell’intervento </w:t>
      </w:r>
      <w:hyperlink r:id="rId28" w:history="1">
        <w:r w:rsidRPr="006217E6">
          <w:rPr>
            <w:rStyle w:val="Collegamentoipertestuale"/>
            <w:rFonts w:ascii="Arial" w:hAnsi="Arial" w:cs="Arial"/>
          </w:rPr>
          <w:t>I conti trimestrali: innovazioni metodologiche e risultati</w:t>
        </w:r>
      </w:hyperlink>
      <w:r w:rsidRPr="006217E6">
        <w:rPr>
          <w:rFonts w:ascii="Arial" w:hAnsi="Arial" w:cs="Arial"/>
        </w:rPr>
        <w:t xml:space="preserve"> nel seminario “Il passaggio al Sec 2010 e la revisione generale dei cont</w:t>
      </w:r>
      <w:r>
        <w:rPr>
          <w:rFonts w:ascii="Arial" w:hAnsi="Arial" w:cs="Arial"/>
        </w:rPr>
        <w:t>i nazionali” del dicembre 2014.</w:t>
      </w:r>
    </w:p>
    <w:p w14:paraId="32938B12" w14:textId="77777777" w:rsidR="00FF6E0B" w:rsidRPr="00FE4534" w:rsidRDefault="00FF6E0B" w:rsidP="00FF6E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20"/>
        <w:jc w:val="both"/>
        <w:rPr>
          <w:rFonts w:ascii="Arial" w:hAnsi="Arial" w:cs="Arial"/>
          <w:b/>
          <w:spacing w:val="-3"/>
          <w:sz w:val="12"/>
          <w:szCs w:val="12"/>
        </w:rPr>
      </w:pPr>
    </w:p>
    <w:p w14:paraId="614AFBF1" w14:textId="77777777" w:rsidR="00FF6E0B" w:rsidRPr="00C53DB7" w:rsidRDefault="00FF6E0B" w:rsidP="00FF6E0B">
      <w:pPr>
        <w:spacing w:before="0" w:after="120"/>
        <w:jc w:val="both"/>
        <w:rPr>
          <w:rFonts w:ascii="Arial" w:hAnsi="Arial" w:cs="Arial"/>
          <w:b/>
          <w:spacing w:val="-3"/>
          <w:sz w:val="22"/>
          <w:szCs w:val="22"/>
        </w:rPr>
      </w:pPr>
      <w:r w:rsidRPr="00C53DB7">
        <w:rPr>
          <w:rFonts w:ascii="Arial" w:hAnsi="Arial" w:cs="Arial"/>
          <w:b/>
          <w:spacing w:val="-3"/>
          <w:sz w:val="22"/>
          <w:szCs w:val="22"/>
        </w:rPr>
        <w:t>Le info</w:t>
      </w:r>
      <w:r>
        <w:rPr>
          <w:rFonts w:ascii="Arial" w:hAnsi="Arial" w:cs="Arial"/>
          <w:b/>
          <w:spacing w:val="-3"/>
          <w:sz w:val="22"/>
          <w:szCs w:val="22"/>
        </w:rPr>
        <w:t>rmazioni utilizzate nella stima</w:t>
      </w:r>
    </w:p>
    <w:p w14:paraId="14B0348E" w14:textId="77777777" w:rsidR="00FF6E0B" w:rsidRPr="006217E6" w:rsidRDefault="00FF6E0B" w:rsidP="00FF6E0B">
      <w:pPr>
        <w:spacing w:before="0" w:after="120"/>
        <w:jc w:val="both"/>
        <w:rPr>
          <w:rFonts w:ascii="Arial" w:hAnsi="Arial" w:cs="Arial"/>
          <w:spacing w:val="-3"/>
        </w:rPr>
      </w:pPr>
      <w:r w:rsidRPr="006217E6">
        <w:rPr>
          <w:rFonts w:ascii="Arial" w:hAnsi="Arial" w:cs="Arial"/>
          <w:spacing w:val="-3"/>
        </w:rPr>
        <w:t xml:space="preserve">Come esposto sopra, la stima preliminare del Pil viene ottenuta utilizzando le medesime procedure messe a punto per le stime complete sottostanti alle valutazioni della contabilità trimestrale sia in occasione del rilascio a </w:t>
      </w:r>
      <w:r>
        <w:rPr>
          <w:rFonts w:ascii="Arial" w:hAnsi="Arial" w:cs="Arial"/>
          <w:spacing w:val="-3"/>
        </w:rPr>
        <w:t xml:space="preserve">due mesi </w:t>
      </w:r>
      <w:r w:rsidRPr="006217E6">
        <w:rPr>
          <w:rFonts w:ascii="Arial" w:hAnsi="Arial" w:cs="Arial"/>
          <w:spacing w:val="-3"/>
        </w:rPr>
        <w:t>dalla fine del periodo di riferimento, sia delle revisioni successive</w:t>
      </w:r>
      <w:r>
        <w:rPr>
          <w:rFonts w:ascii="Arial" w:hAnsi="Arial" w:cs="Arial"/>
          <w:spacing w:val="-3"/>
        </w:rPr>
        <w:t>.</w:t>
      </w:r>
    </w:p>
    <w:p w14:paraId="46DCE38F" w14:textId="77777777" w:rsidR="00FF6E0B" w:rsidRDefault="00FF6E0B" w:rsidP="00FF6E0B">
      <w:pPr>
        <w:spacing w:before="0" w:after="120"/>
        <w:jc w:val="both"/>
        <w:rPr>
          <w:rFonts w:ascii="Arial" w:hAnsi="Arial" w:cs="Arial"/>
          <w:spacing w:val="-3"/>
        </w:rPr>
      </w:pPr>
      <w:r w:rsidRPr="006217E6">
        <w:rPr>
          <w:rFonts w:ascii="Arial" w:hAnsi="Arial" w:cs="Arial"/>
          <w:spacing w:val="-3"/>
        </w:rPr>
        <w:t>Per ciascun aggregato dei conti da trimestralizzare, vengono selezionati uno o più indicatori disponibili a frequenza trimestrale e/o mensile capac</w:t>
      </w:r>
      <w:r>
        <w:rPr>
          <w:rFonts w:ascii="Arial" w:hAnsi="Arial" w:cs="Arial"/>
          <w:spacing w:val="-3"/>
        </w:rPr>
        <w:t>i di cogliere l’andamento infr</w:t>
      </w:r>
      <w:r w:rsidRPr="006217E6">
        <w:rPr>
          <w:rFonts w:ascii="Arial" w:hAnsi="Arial" w:cs="Arial"/>
          <w:spacing w:val="-3"/>
        </w:rPr>
        <w:t xml:space="preserve">annuale della variabile stessa. Tali indicatori sono gli stessi nella stima a </w:t>
      </w:r>
      <w:r>
        <w:rPr>
          <w:rFonts w:ascii="Arial" w:hAnsi="Arial" w:cs="Arial"/>
          <w:spacing w:val="-3"/>
        </w:rPr>
        <w:t>30</w:t>
      </w:r>
      <w:r w:rsidRPr="006217E6">
        <w:rPr>
          <w:rFonts w:ascii="Arial" w:hAnsi="Arial" w:cs="Arial"/>
          <w:spacing w:val="-3"/>
        </w:rPr>
        <w:t xml:space="preserve"> giorni dalla fine del trimestre e in quella a </w:t>
      </w:r>
      <w:r>
        <w:rPr>
          <w:rFonts w:ascii="Arial" w:hAnsi="Arial" w:cs="Arial"/>
          <w:spacing w:val="-3"/>
        </w:rPr>
        <w:t>due mesi</w:t>
      </w:r>
      <w:r w:rsidRPr="006217E6">
        <w:rPr>
          <w:rFonts w:ascii="Arial" w:hAnsi="Arial" w:cs="Arial"/>
          <w:spacing w:val="-3"/>
        </w:rPr>
        <w:t xml:space="preserve">, ma con un grado di aggiornamento che in molti casi è significativamente inferiore </w:t>
      </w:r>
      <w:r>
        <w:rPr>
          <w:rFonts w:ascii="Arial" w:hAnsi="Arial" w:cs="Arial"/>
          <w:spacing w:val="-3"/>
        </w:rPr>
        <w:t>in corrispondenza del</w:t>
      </w:r>
      <w:r w:rsidRPr="006217E6">
        <w:rPr>
          <w:rFonts w:ascii="Arial" w:hAnsi="Arial" w:cs="Arial"/>
          <w:spacing w:val="-3"/>
        </w:rPr>
        <w:t>la prima occasione di calcolo. Per alcuni di essi, in primo luogo molti indici di prezzo (sia al consumo, sia alla produzione), i dati sono già disponi</w:t>
      </w:r>
      <w:r>
        <w:rPr>
          <w:rFonts w:ascii="Arial" w:hAnsi="Arial" w:cs="Arial"/>
          <w:spacing w:val="-3"/>
        </w:rPr>
        <w:t>bili per l’intero trimestre a 30</w:t>
      </w:r>
      <w:r w:rsidRPr="006217E6">
        <w:rPr>
          <w:rFonts w:ascii="Arial" w:hAnsi="Arial" w:cs="Arial"/>
          <w:spacing w:val="-3"/>
        </w:rPr>
        <w:t xml:space="preserve"> giorni. In molti altri casi a quella data sono disponibili due indici mensili su tre (ciò vale ad esempio per parte dei dati di commercio estero o per la produzione delle costruzioni</w:t>
      </w:r>
      <w:r>
        <w:rPr>
          <w:rFonts w:ascii="Arial" w:hAnsi="Arial" w:cs="Arial"/>
          <w:spacing w:val="-3"/>
        </w:rPr>
        <w:t xml:space="preserve"> o per l’indice di fatturato</w:t>
      </w:r>
      <w:r w:rsidRPr="006217E6">
        <w:rPr>
          <w:rFonts w:ascii="Arial" w:hAnsi="Arial" w:cs="Arial"/>
          <w:spacing w:val="-3"/>
        </w:rPr>
        <w:t xml:space="preserve">) e il terzo mese deve essere estrapolato. </w:t>
      </w:r>
      <w:r>
        <w:rPr>
          <w:rFonts w:ascii="Arial" w:hAnsi="Arial" w:cs="Arial"/>
          <w:spacing w:val="-3"/>
        </w:rPr>
        <w:t xml:space="preserve">Soltanto per </w:t>
      </w:r>
      <w:r w:rsidRPr="00434194">
        <w:rPr>
          <w:rFonts w:ascii="Arial" w:hAnsi="Arial" w:cs="Arial"/>
          <w:spacing w:val="-3"/>
        </w:rPr>
        <w:t xml:space="preserve">gli indici della </w:t>
      </w:r>
      <w:r>
        <w:rPr>
          <w:rFonts w:ascii="Arial" w:hAnsi="Arial" w:cs="Arial"/>
          <w:spacing w:val="-3"/>
        </w:rPr>
        <w:t>produzione industriale i dati del terzo mese sono valutati dall’ISTAT in via preliminare sulla base di informazione incompleta di cui non è data diffusione. Per la stima preliminare, a</w:t>
      </w:r>
      <w:r w:rsidRPr="00B83527">
        <w:rPr>
          <w:rFonts w:ascii="Arial" w:hAnsi="Arial" w:cs="Arial"/>
          <w:spacing w:val="-3"/>
        </w:rPr>
        <w:t xml:space="preserve"> partire da aprile 2020, si sono resi disponibili altri indicatori come quelli di fatturazione elettronica (FE) forniti in via confidenziale </w:t>
      </w:r>
      <w:r>
        <w:rPr>
          <w:rFonts w:ascii="Arial" w:hAnsi="Arial" w:cs="Arial"/>
          <w:spacing w:val="-3"/>
        </w:rPr>
        <w:t xml:space="preserve">all’Istat </w:t>
      </w:r>
      <w:r w:rsidRPr="00B83527">
        <w:rPr>
          <w:rFonts w:ascii="Arial" w:hAnsi="Arial" w:cs="Arial"/>
          <w:spacing w:val="-3"/>
        </w:rPr>
        <w:t xml:space="preserve">da parte dell’Agenzia delle Entrate a cadenza mensile </w:t>
      </w:r>
      <w:r>
        <w:rPr>
          <w:rFonts w:ascii="Arial" w:hAnsi="Arial" w:cs="Arial"/>
          <w:spacing w:val="-3"/>
        </w:rPr>
        <w:t xml:space="preserve">e </w:t>
      </w:r>
      <w:r w:rsidRPr="00B83527">
        <w:rPr>
          <w:rFonts w:ascii="Arial" w:hAnsi="Arial" w:cs="Arial"/>
          <w:spacing w:val="-3"/>
        </w:rPr>
        <w:t>a circa 20 giorni dalla fine del mese di riferimento e i dati scanner (SD) elaborati in Istat nell’ambito della stima dei prezzi al consumo. Per FE</w:t>
      </w:r>
      <w:r>
        <w:rPr>
          <w:rFonts w:ascii="Arial" w:hAnsi="Arial" w:cs="Arial"/>
          <w:spacing w:val="-3"/>
        </w:rPr>
        <w:t>, ogni mese l’Istat riceve</w:t>
      </w:r>
      <w:r w:rsidRPr="00B83527">
        <w:rPr>
          <w:rFonts w:ascii="Arial" w:hAnsi="Arial" w:cs="Arial"/>
          <w:spacing w:val="-3"/>
        </w:rPr>
        <w:t xml:space="preserve"> il riepilogo giornaliero dell’imponibile delle fatture elettroniche</w:t>
      </w:r>
      <w:r>
        <w:rPr>
          <w:rFonts w:ascii="Arial" w:hAnsi="Arial" w:cs="Arial"/>
          <w:spacing w:val="-3"/>
        </w:rPr>
        <w:t xml:space="preserve"> degli anni più recenti,</w:t>
      </w:r>
      <w:r w:rsidRPr="00B83527">
        <w:rPr>
          <w:rFonts w:ascii="Arial" w:hAnsi="Arial" w:cs="Arial"/>
          <w:spacing w:val="-3"/>
        </w:rPr>
        <w:t xml:space="preserve"> distinto nei settori delle ATECO a due cifre a partire dal 2019. Per SD sono disponibili dati su fatturato e volume delle vendite per gruppi COICOP a partire dal 2017. </w:t>
      </w:r>
      <w:r w:rsidRPr="006217E6">
        <w:rPr>
          <w:rFonts w:ascii="Arial" w:hAnsi="Arial" w:cs="Arial"/>
          <w:spacing w:val="-3"/>
        </w:rPr>
        <w:t xml:space="preserve">Ci sono, </w:t>
      </w:r>
      <w:r>
        <w:rPr>
          <w:rFonts w:ascii="Arial" w:hAnsi="Arial" w:cs="Arial"/>
          <w:spacing w:val="-3"/>
        </w:rPr>
        <w:t>infine</w:t>
      </w:r>
      <w:r w:rsidRPr="006217E6">
        <w:rPr>
          <w:rFonts w:ascii="Arial" w:hAnsi="Arial" w:cs="Arial"/>
          <w:spacing w:val="-3"/>
        </w:rPr>
        <w:t xml:space="preserve">, indicatori trimestrali </w:t>
      </w:r>
      <w:r>
        <w:rPr>
          <w:rFonts w:ascii="Arial" w:hAnsi="Arial" w:cs="Arial"/>
          <w:spacing w:val="-3"/>
        </w:rPr>
        <w:t>per i quali a 30</w:t>
      </w:r>
      <w:r w:rsidRPr="006217E6">
        <w:rPr>
          <w:rFonts w:ascii="Arial" w:hAnsi="Arial" w:cs="Arial"/>
          <w:spacing w:val="-3"/>
        </w:rPr>
        <w:t xml:space="preserve"> giorni non è disponibile l’informazione relativa </w:t>
      </w:r>
      <w:r>
        <w:rPr>
          <w:rFonts w:ascii="Arial" w:hAnsi="Arial" w:cs="Arial"/>
          <w:spacing w:val="-3"/>
        </w:rPr>
        <w:t>al</w:t>
      </w:r>
      <w:r w:rsidRPr="006217E6">
        <w:rPr>
          <w:rFonts w:ascii="Arial" w:hAnsi="Arial" w:cs="Arial"/>
          <w:spacing w:val="-3"/>
        </w:rPr>
        <w:t xml:space="preserve"> trimestre più recente, che quindi deve essere prevista</w:t>
      </w:r>
      <w:r>
        <w:rPr>
          <w:rFonts w:ascii="Arial" w:hAnsi="Arial" w:cs="Arial"/>
          <w:spacing w:val="-3"/>
        </w:rPr>
        <w:t xml:space="preserve"> interamente</w:t>
      </w:r>
      <w:r w:rsidRPr="006217E6">
        <w:rPr>
          <w:rFonts w:ascii="Arial" w:hAnsi="Arial" w:cs="Arial"/>
          <w:spacing w:val="-3"/>
        </w:rPr>
        <w:t>, tipicamente</w:t>
      </w:r>
      <w:r>
        <w:rPr>
          <w:rFonts w:ascii="Arial" w:hAnsi="Arial" w:cs="Arial"/>
          <w:spacing w:val="-3"/>
        </w:rPr>
        <w:t xml:space="preserve"> attraverso modelli univariati su base trimestrale.</w:t>
      </w:r>
    </w:p>
    <w:p w14:paraId="2312B2BA" w14:textId="77777777" w:rsidR="00FF6E0B" w:rsidRDefault="00FF6E0B" w:rsidP="00FF6E0B">
      <w:pPr>
        <w:spacing w:before="0" w:after="120"/>
        <w:jc w:val="both"/>
        <w:rPr>
          <w:rFonts w:ascii="Arial" w:hAnsi="Arial" w:cs="Arial"/>
          <w:spacing w:val="-3"/>
        </w:rPr>
      </w:pPr>
    </w:p>
    <w:p w14:paraId="1F5F51E1" w14:textId="77777777" w:rsidR="00FF6E0B" w:rsidRPr="001E53C2" w:rsidRDefault="00FF6E0B" w:rsidP="00FF6E0B">
      <w:pPr>
        <w:spacing w:before="0" w:after="120"/>
        <w:jc w:val="both"/>
        <w:rPr>
          <w:rFonts w:ascii="Arial" w:hAnsi="Arial" w:cs="Arial"/>
          <w:b/>
          <w:spacing w:val="-3"/>
        </w:rPr>
      </w:pPr>
      <w:r w:rsidRPr="001E53C2">
        <w:rPr>
          <w:rFonts w:ascii="Arial" w:hAnsi="Arial" w:cs="Arial"/>
          <w:b/>
          <w:spacing w:val="-3"/>
        </w:rPr>
        <w:t>I principali indicatori utilizzati nella stima (fonti)</w:t>
      </w:r>
    </w:p>
    <w:p w14:paraId="26D4E315" w14:textId="77777777" w:rsidR="00FF6E0B" w:rsidRPr="00EC346D" w:rsidRDefault="00FF6E0B" w:rsidP="00FF6E0B">
      <w:pPr>
        <w:spacing w:before="0" w:after="120"/>
        <w:jc w:val="both"/>
        <w:rPr>
          <w:rFonts w:ascii="Arial" w:hAnsi="Arial" w:cs="Arial"/>
          <w:spacing w:val="-3"/>
        </w:rPr>
      </w:pPr>
      <w:r w:rsidRPr="00EC346D">
        <w:rPr>
          <w:rFonts w:ascii="Arial" w:hAnsi="Arial" w:cs="Arial"/>
          <w:spacing w:val="-3"/>
        </w:rPr>
        <w:t>Di seguito si presenta</w:t>
      </w:r>
      <w:r>
        <w:rPr>
          <w:rFonts w:ascii="Arial" w:hAnsi="Arial" w:cs="Arial"/>
          <w:spacing w:val="-3"/>
        </w:rPr>
        <w:t xml:space="preserve"> </w:t>
      </w:r>
      <w:r w:rsidRPr="00EC346D">
        <w:rPr>
          <w:rFonts w:ascii="Arial" w:hAnsi="Arial" w:cs="Arial"/>
          <w:spacing w:val="-3"/>
        </w:rPr>
        <w:t>una lista ragionata degli indicatori utilizzati per le principali categorie di variabili.</w:t>
      </w:r>
    </w:p>
    <w:p w14:paraId="501854E6" w14:textId="77777777" w:rsidR="00FF6E0B" w:rsidRPr="00EC346D" w:rsidRDefault="00FF6E0B" w:rsidP="00FF6E0B">
      <w:pPr>
        <w:spacing w:before="0" w:after="120"/>
        <w:jc w:val="both"/>
        <w:rPr>
          <w:rFonts w:ascii="Arial" w:hAnsi="Arial" w:cs="Arial"/>
          <w:spacing w:val="-3"/>
        </w:rPr>
      </w:pPr>
      <w:r w:rsidRPr="00EC346D">
        <w:rPr>
          <w:rFonts w:ascii="Arial" w:hAnsi="Arial" w:cs="Arial"/>
          <w:spacing w:val="-3"/>
          <w:u w:val="single"/>
        </w:rPr>
        <w:t>Produzione e valore aggiunto</w:t>
      </w:r>
      <w:r w:rsidRPr="00506DAD">
        <w:rPr>
          <w:rFonts w:ascii="Arial" w:hAnsi="Arial" w:cs="Arial"/>
          <w:spacing w:val="-3"/>
        </w:rPr>
        <w:t xml:space="preserve">. </w:t>
      </w:r>
      <w:r w:rsidRPr="003B1032">
        <w:rPr>
          <w:rFonts w:ascii="Arial" w:hAnsi="Arial" w:cs="Arial"/>
          <w:spacing w:val="-3"/>
        </w:rPr>
        <w:t xml:space="preserve">Per le attività industriali le fonti più importanti sono costituite dall’indice mensile del fatturato, utilizzato per la branca delle attività estrattive e per 12 branche delle attività manifatturiere, e l’indice della produzione industriale, utilizzato per le 3 branche relative a fabbricazione di autoveicoli, fabbricazione di altri mezzi di trasporto e fornitura di energia elettrica, gas, vapore ed aria. Per le industrie di acqua e rifiuti si utilizza un indice medio ponderato degli indici di produzione delle 16 branche industriali con pesi dedotti dai relativi consumi intermedi </w:t>
      </w:r>
      <w:r w:rsidRPr="00506DAD">
        <w:rPr>
          <w:rFonts w:ascii="Arial" w:hAnsi="Arial" w:cs="Arial"/>
          <w:spacing w:val="-3"/>
        </w:rPr>
        <w:t>a freq</w:t>
      </w:r>
      <w:r>
        <w:rPr>
          <w:rFonts w:ascii="Arial" w:hAnsi="Arial" w:cs="Arial"/>
          <w:spacing w:val="-3"/>
        </w:rPr>
        <w:t>uenza annuale</w:t>
      </w:r>
      <w:r w:rsidRPr="00AE22FE">
        <w:rPr>
          <w:rFonts w:ascii="Arial" w:hAnsi="Arial" w:cs="Arial"/>
          <w:spacing w:val="-3"/>
        </w:rPr>
        <w:t xml:space="preserve">. Per il settore delle costruzioni si dispone dell’indice mensile di produzione delle costruzioni. Gli indici </w:t>
      </w:r>
      <w:r w:rsidRPr="003B1032">
        <w:rPr>
          <w:rFonts w:ascii="Arial" w:hAnsi="Arial" w:cs="Arial"/>
          <w:spacing w:val="-3"/>
        </w:rPr>
        <w:t>mensili</w:t>
      </w:r>
      <w:r w:rsidRPr="00AE22FE">
        <w:rPr>
          <w:rFonts w:ascii="Arial" w:hAnsi="Arial" w:cs="Arial"/>
          <w:spacing w:val="-3"/>
        </w:rPr>
        <w:t xml:space="preserve"> di fatturato dei servizi</w:t>
      </w:r>
      <w:r>
        <w:rPr>
          <w:rFonts w:ascii="Arial" w:hAnsi="Arial" w:cs="Arial"/>
          <w:spacing w:val="-3"/>
        </w:rPr>
        <w:t xml:space="preserve"> </w:t>
      </w:r>
      <w:r w:rsidRPr="00EC346D">
        <w:rPr>
          <w:rFonts w:ascii="Arial" w:hAnsi="Arial" w:cs="Arial"/>
          <w:spacing w:val="-3"/>
        </w:rPr>
        <w:t>sono impiegati per le branche del commercio dei</w:t>
      </w:r>
      <w:r>
        <w:rPr>
          <w:rFonts w:ascii="Arial" w:hAnsi="Arial" w:cs="Arial"/>
          <w:spacing w:val="-3"/>
        </w:rPr>
        <w:t xml:space="preserve"> </w:t>
      </w:r>
      <w:r w:rsidRPr="00EC346D">
        <w:rPr>
          <w:rFonts w:ascii="Arial" w:hAnsi="Arial" w:cs="Arial"/>
          <w:spacing w:val="-3"/>
        </w:rPr>
        <w:t xml:space="preserve">mezzi di trasporto </w:t>
      </w:r>
      <w:r>
        <w:rPr>
          <w:rFonts w:ascii="Arial" w:hAnsi="Arial" w:cs="Arial"/>
          <w:spacing w:val="-3"/>
        </w:rPr>
        <w:t xml:space="preserve">e </w:t>
      </w:r>
      <w:r w:rsidRPr="00EC346D">
        <w:rPr>
          <w:rFonts w:ascii="Arial" w:hAnsi="Arial" w:cs="Arial"/>
          <w:spacing w:val="-3"/>
        </w:rPr>
        <w:t>all</w:t>
      </w:r>
      <w:r>
        <w:rPr>
          <w:rFonts w:ascii="Arial" w:hAnsi="Arial" w:cs="Arial"/>
          <w:spacing w:val="-3"/>
        </w:rPr>
        <w:t>’</w:t>
      </w:r>
      <w:r w:rsidRPr="00EC346D">
        <w:rPr>
          <w:rFonts w:ascii="Arial" w:hAnsi="Arial" w:cs="Arial"/>
          <w:spacing w:val="-3"/>
        </w:rPr>
        <w:t>ingrosso, trasporti, servizi postali,</w:t>
      </w:r>
      <w:r>
        <w:rPr>
          <w:rFonts w:ascii="Arial" w:hAnsi="Arial" w:cs="Arial"/>
          <w:spacing w:val="-3"/>
        </w:rPr>
        <w:t xml:space="preserve"> </w:t>
      </w:r>
      <w:r w:rsidRPr="00EC346D">
        <w:rPr>
          <w:rFonts w:ascii="Arial" w:hAnsi="Arial" w:cs="Arial"/>
          <w:spacing w:val="-3"/>
        </w:rPr>
        <w:t>serv</w:t>
      </w:r>
      <w:r>
        <w:rPr>
          <w:rFonts w:ascii="Arial" w:hAnsi="Arial" w:cs="Arial"/>
          <w:spacing w:val="-3"/>
        </w:rPr>
        <w:t>izi di alloggio e ristorazione, informazione e comunicazioni</w:t>
      </w:r>
      <w:r w:rsidRPr="00EC346D">
        <w:rPr>
          <w:rFonts w:ascii="Arial" w:hAnsi="Arial" w:cs="Arial"/>
          <w:spacing w:val="-3"/>
        </w:rPr>
        <w:t xml:space="preserve">, </w:t>
      </w:r>
      <w:r>
        <w:rPr>
          <w:rFonts w:ascii="Arial" w:hAnsi="Arial" w:cs="Arial"/>
          <w:spacing w:val="-3"/>
        </w:rPr>
        <w:t xml:space="preserve">attività immobiliari, </w:t>
      </w:r>
      <w:r w:rsidRPr="00EC346D">
        <w:rPr>
          <w:rFonts w:ascii="Arial" w:hAnsi="Arial" w:cs="Arial"/>
          <w:spacing w:val="-3"/>
        </w:rPr>
        <w:t>attivit</w:t>
      </w:r>
      <w:r>
        <w:rPr>
          <w:rFonts w:ascii="Arial" w:hAnsi="Arial" w:cs="Arial"/>
          <w:spacing w:val="-3"/>
        </w:rPr>
        <w:t>à</w:t>
      </w:r>
      <w:r w:rsidRPr="00EC346D">
        <w:rPr>
          <w:rFonts w:ascii="Arial" w:hAnsi="Arial" w:cs="Arial"/>
          <w:spacing w:val="-3"/>
        </w:rPr>
        <w:t xml:space="preserve"> legali,</w:t>
      </w:r>
      <w:r>
        <w:rPr>
          <w:rFonts w:ascii="Arial" w:hAnsi="Arial" w:cs="Arial"/>
          <w:spacing w:val="-3"/>
        </w:rPr>
        <w:t xml:space="preserve"> </w:t>
      </w:r>
      <w:r w:rsidRPr="00EC346D">
        <w:rPr>
          <w:rFonts w:ascii="Arial" w:hAnsi="Arial" w:cs="Arial"/>
          <w:spacing w:val="-3"/>
        </w:rPr>
        <w:t>di consulenza gestionale di ingegneria e ar</w:t>
      </w:r>
      <w:r>
        <w:rPr>
          <w:rFonts w:ascii="Arial" w:hAnsi="Arial" w:cs="Arial"/>
          <w:spacing w:val="-3"/>
        </w:rPr>
        <w:t>chitettura, pubblicità</w:t>
      </w:r>
      <w:r w:rsidRPr="00EC346D">
        <w:rPr>
          <w:rFonts w:ascii="Arial" w:hAnsi="Arial" w:cs="Arial"/>
          <w:spacing w:val="-3"/>
        </w:rPr>
        <w:t xml:space="preserve"> e ricerche di mercato</w:t>
      </w:r>
      <w:r>
        <w:rPr>
          <w:rFonts w:ascii="Arial" w:hAnsi="Arial" w:cs="Arial"/>
          <w:spacing w:val="-3"/>
        </w:rPr>
        <w:t xml:space="preserve"> e attività</w:t>
      </w:r>
      <w:r w:rsidRPr="00EC346D">
        <w:rPr>
          <w:rFonts w:ascii="Arial" w:hAnsi="Arial" w:cs="Arial"/>
          <w:spacing w:val="-3"/>
        </w:rPr>
        <w:t xml:space="preserve"> di ricerca del personale, agenzie di viaggio, vigilanza e altri servizi alle</w:t>
      </w:r>
      <w:r>
        <w:rPr>
          <w:rFonts w:ascii="Arial" w:hAnsi="Arial" w:cs="Arial"/>
          <w:spacing w:val="-3"/>
        </w:rPr>
        <w:t xml:space="preserve"> imprese</w:t>
      </w:r>
      <w:r w:rsidRPr="00EC346D">
        <w:rPr>
          <w:rFonts w:ascii="Arial" w:hAnsi="Arial" w:cs="Arial"/>
          <w:spacing w:val="-3"/>
        </w:rPr>
        <w:t>. Per la branca dell</w:t>
      </w:r>
      <w:r>
        <w:rPr>
          <w:rFonts w:ascii="Arial" w:hAnsi="Arial" w:cs="Arial"/>
          <w:spacing w:val="-3"/>
        </w:rPr>
        <w:t>’</w:t>
      </w:r>
      <w:r w:rsidRPr="00EC346D">
        <w:rPr>
          <w:rFonts w:ascii="Arial" w:hAnsi="Arial" w:cs="Arial"/>
          <w:spacing w:val="-3"/>
        </w:rPr>
        <w:t>agricoltura si utilizzano indicatori di produzione e raccolta agricola e di input (elaborati sulla base di dati I</w:t>
      </w:r>
      <w:r>
        <w:rPr>
          <w:rFonts w:ascii="Arial" w:hAnsi="Arial" w:cs="Arial"/>
          <w:spacing w:val="-3"/>
        </w:rPr>
        <w:t>smea</w:t>
      </w:r>
      <w:r w:rsidRPr="00EC346D">
        <w:rPr>
          <w:rFonts w:ascii="Arial" w:hAnsi="Arial" w:cs="Arial"/>
          <w:spacing w:val="-3"/>
        </w:rPr>
        <w:t xml:space="preserve"> e I</w:t>
      </w:r>
      <w:r>
        <w:rPr>
          <w:rFonts w:ascii="Arial" w:hAnsi="Arial" w:cs="Arial"/>
          <w:spacing w:val="-3"/>
        </w:rPr>
        <w:t>stat</w:t>
      </w:r>
      <w:r w:rsidRPr="00EC346D">
        <w:rPr>
          <w:rFonts w:ascii="Arial" w:hAnsi="Arial" w:cs="Arial"/>
          <w:spacing w:val="-3"/>
        </w:rPr>
        <w:t>); questi ultimi sono calcolati ipotizzando un calendario trimestrale fisso delle attivit</w:t>
      </w:r>
      <w:r>
        <w:rPr>
          <w:rFonts w:ascii="Arial" w:hAnsi="Arial" w:cs="Arial"/>
          <w:spacing w:val="-3"/>
        </w:rPr>
        <w:t>à</w:t>
      </w:r>
      <w:r w:rsidRPr="00EC346D">
        <w:rPr>
          <w:rFonts w:ascii="Arial" w:hAnsi="Arial" w:cs="Arial"/>
          <w:spacing w:val="-3"/>
        </w:rPr>
        <w:t>. Inolt</w:t>
      </w:r>
      <w:r>
        <w:rPr>
          <w:rFonts w:ascii="Arial" w:hAnsi="Arial" w:cs="Arial"/>
          <w:spacing w:val="-3"/>
        </w:rPr>
        <w:t>re, si usano dati sulla quantità</w:t>
      </w:r>
      <w:r w:rsidRPr="00EC346D">
        <w:rPr>
          <w:rFonts w:ascii="Arial" w:hAnsi="Arial" w:cs="Arial"/>
          <w:spacing w:val="-3"/>
        </w:rPr>
        <w:t xml:space="preserve"> di prodotti del pescato in transito press</w:t>
      </w:r>
      <w:r>
        <w:rPr>
          <w:rFonts w:ascii="Arial" w:hAnsi="Arial" w:cs="Arial"/>
          <w:spacing w:val="-3"/>
        </w:rPr>
        <w:t>o i porti nazionali (fonte Irepa</w:t>
      </w:r>
      <w:r w:rsidRPr="00EC346D">
        <w:rPr>
          <w:rFonts w:ascii="Arial" w:hAnsi="Arial" w:cs="Arial"/>
          <w:spacing w:val="-3"/>
        </w:rPr>
        <w:t>).</w:t>
      </w:r>
    </w:p>
    <w:p w14:paraId="507DE534" w14:textId="77777777" w:rsidR="00FF6E0B" w:rsidRPr="000E3389" w:rsidRDefault="00FF6E0B" w:rsidP="00FF6E0B">
      <w:pPr>
        <w:spacing w:before="0" w:after="120"/>
        <w:jc w:val="both"/>
        <w:rPr>
          <w:rFonts w:ascii="Arial" w:hAnsi="Arial" w:cs="Arial"/>
          <w:spacing w:val="-3"/>
        </w:rPr>
      </w:pPr>
      <w:r w:rsidRPr="00EC346D">
        <w:rPr>
          <w:rFonts w:ascii="Arial" w:hAnsi="Arial" w:cs="Arial"/>
          <w:spacing w:val="-3"/>
          <w:u w:val="single"/>
        </w:rPr>
        <w:t>Sistema di indicatori di prezzo per derivare la stima dei CET in volume</w:t>
      </w:r>
      <w:r w:rsidRPr="00EC346D">
        <w:rPr>
          <w:rFonts w:ascii="Arial" w:hAnsi="Arial" w:cs="Arial"/>
          <w:i/>
          <w:spacing w:val="-3"/>
        </w:rPr>
        <w:t xml:space="preserve">. </w:t>
      </w:r>
      <w:r w:rsidRPr="000E3389">
        <w:rPr>
          <w:rFonts w:ascii="Arial" w:hAnsi="Arial" w:cs="Arial"/>
          <w:spacing w:val="-3"/>
        </w:rPr>
        <w:t>Le principali fonti di informazione sono le indagini ISTAT sui prezzi. In particolare, si utilizzano: gli indici dei prezzi alla produzione dei prodotti industriali sul mercato interno ed estero, gli indici dei prezzi all</w:t>
      </w:r>
      <w:r>
        <w:rPr>
          <w:rFonts w:ascii="Arial" w:hAnsi="Arial" w:cs="Arial"/>
          <w:spacing w:val="-3"/>
        </w:rPr>
        <w:t>’</w:t>
      </w:r>
      <w:r w:rsidRPr="000E3389">
        <w:rPr>
          <w:rFonts w:ascii="Arial" w:hAnsi="Arial" w:cs="Arial"/>
          <w:spacing w:val="-3"/>
        </w:rPr>
        <w:t xml:space="preserve">importazione dei prodotti industriali, i valori medi unitari delle importazioni e delle esportazioni (ad integrazione degli indici dei prezzi dei prodotti industriali esportati e importati), gli indici armonizzati dei prezzi al consumo, gli indici dei prezzi dei prodotti agricoli, </w:t>
      </w:r>
      <w:r w:rsidRPr="003B1032">
        <w:rPr>
          <w:rFonts w:ascii="Arial" w:hAnsi="Arial" w:cs="Arial"/>
          <w:spacing w:val="-3"/>
        </w:rPr>
        <w:t xml:space="preserve">gli indici dei prezzi alla produzione delle costruzioni distinti in </w:t>
      </w:r>
      <w:r w:rsidRPr="003B1032">
        <w:rPr>
          <w:rFonts w:ascii="Arial" w:hAnsi="Arial" w:cs="Arial"/>
          <w:spacing w:val="-3"/>
        </w:rPr>
        <w:lastRenderedPageBreak/>
        <w:t>costruzione di edifici residenziali, costruzione di edifici non residenziali e costruzione di strade e ferrovie</w:t>
      </w:r>
      <w:r w:rsidRPr="000E3389">
        <w:rPr>
          <w:rFonts w:ascii="Arial" w:hAnsi="Arial" w:cs="Arial"/>
          <w:spacing w:val="-3"/>
        </w:rPr>
        <w:t xml:space="preserve">, </w:t>
      </w:r>
      <w:r w:rsidRPr="003B1032">
        <w:rPr>
          <w:rFonts w:ascii="Arial" w:hAnsi="Arial" w:cs="Arial"/>
          <w:spacing w:val="-3"/>
        </w:rPr>
        <w:t>i prezzi alla produzione dei servizi business to business elaborati dall’Istituto</w:t>
      </w:r>
      <w:r w:rsidRPr="00AE22FE">
        <w:rPr>
          <w:rFonts w:ascii="Arial" w:hAnsi="Arial" w:cs="Arial"/>
          <w:spacing w:val="-3"/>
        </w:rPr>
        <w:t xml:space="preserve">. </w:t>
      </w:r>
    </w:p>
    <w:p w14:paraId="08CEDA14" w14:textId="77777777" w:rsidR="00FF6E0B" w:rsidRPr="000E3389" w:rsidRDefault="00FF6E0B" w:rsidP="00FF6E0B">
      <w:pPr>
        <w:spacing w:before="0" w:after="120"/>
        <w:jc w:val="both"/>
        <w:rPr>
          <w:rFonts w:ascii="Arial" w:hAnsi="Arial" w:cs="Arial"/>
          <w:spacing w:val="-3"/>
        </w:rPr>
      </w:pPr>
      <w:r w:rsidRPr="000E3389">
        <w:rPr>
          <w:rFonts w:ascii="Arial" w:hAnsi="Arial" w:cs="Arial"/>
          <w:spacing w:val="-3"/>
        </w:rPr>
        <w:t>Dove possibile, gli indici di prezzo vengono acquisiti a un livello di disaggregazione elementare e aggregati utilizzando sistemi di ponderazione coerenti con i conti annuali. Da essi deriva un set completo di indicatori di prezzo per la stima in volume di tutti gli aggregati dei CET. In particolare, si elaborano i sotto-sistemi di seguito dettagliati.</w:t>
      </w:r>
      <w:r>
        <w:rPr>
          <w:rFonts w:ascii="Arial" w:hAnsi="Arial" w:cs="Arial"/>
          <w:spacing w:val="-3"/>
        </w:rPr>
        <w:t xml:space="preserve"> </w:t>
      </w:r>
    </w:p>
    <w:p w14:paraId="0290F11C" w14:textId="77777777" w:rsidR="00FF6E0B" w:rsidRPr="000A2EFD" w:rsidRDefault="00FF6E0B" w:rsidP="00FF6E0B">
      <w:pPr>
        <w:pStyle w:val="Paragrafoelenco"/>
        <w:numPr>
          <w:ilvl w:val="0"/>
          <w:numId w:val="21"/>
        </w:numPr>
        <w:tabs>
          <w:tab w:val="left" w:pos="426"/>
        </w:tabs>
        <w:overflowPunct/>
        <w:spacing w:before="0" w:after="120"/>
        <w:ind w:left="425" w:hanging="357"/>
        <w:contextualSpacing w:val="0"/>
        <w:jc w:val="both"/>
        <w:rPr>
          <w:rFonts w:ascii="Arial" w:eastAsia="Calibri" w:hAnsi="Arial" w:cs="Arial"/>
          <w:spacing w:val="-3"/>
          <w:lang w:eastAsia="en-US"/>
        </w:rPr>
      </w:pPr>
      <w:r w:rsidRPr="000A2EFD">
        <w:rPr>
          <w:rFonts w:ascii="Arial" w:eastAsia="Calibri" w:hAnsi="Arial" w:cs="Arial"/>
          <w:i/>
          <w:spacing w:val="-3"/>
          <w:lang w:eastAsia="en-US"/>
        </w:rPr>
        <w:t>Indicatori del prezzo dell’output e dell’input per branca di attività economica</w:t>
      </w:r>
      <w:r w:rsidRPr="000A2EFD">
        <w:rPr>
          <w:rFonts w:ascii="Arial" w:eastAsia="Calibri" w:hAnsi="Arial" w:cs="Arial"/>
          <w:spacing w:val="-3"/>
          <w:lang w:eastAsia="en-US"/>
        </w:rPr>
        <w:t>. Sono costruiti per la stima in volume di produzione e dei costi intermedi (e quindi del valore aggiunto mediante doppia deflazione) per branca di attività economica. I prezzi dell’output per branca di attività economica sono una media, a livello di branca, dei prezzi alla produzione dei prodotti venduti sul territorio economico e dei prezzi alla produzione dei prodotti esportati. I prezzi dell’input sono ottenuti, per branca, come media dei prezzi alla produzione dei prodotti utilizzati come bene intermedio e acquistati sul mercato interno ed estero (prezzi dei prodotti importati). Il sistema di pesi è derivato delle tavole input-output annuali secondo uno schema di aggregazione di tipo Paasche.</w:t>
      </w:r>
    </w:p>
    <w:p w14:paraId="0D7E695C" w14:textId="77777777" w:rsidR="00FF6E0B" w:rsidRPr="000A2EFD" w:rsidRDefault="00FF6E0B" w:rsidP="00FF6E0B">
      <w:pPr>
        <w:pStyle w:val="Paragrafoelenco"/>
        <w:numPr>
          <w:ilvl w:val="0"/>
          <w:numId w:val="21"/>
        </w:numPr>
        <w:tabs>
          <w:tab w:val="left" w:pos="426"/>
        </w:tabs>
        <w:overflowPunct/>
        <w:spacing w:before="0" w:after="120"/>
        <w:ind w:left="425" w:hanging="357"/>
        <w:contextualSpacing w:val="0"/>
        <w:jc w:val="both"/>
        <w:rPr>
          <w:rFonts w:ascii="Arial" w:eastAsia="Calibri" w:hAnsi="Arial" w:cs="Arial"/>
          <w:spacing w:val="-3"/>
          <w:lang w:eastAsia="en-US"/>
        </w:rPr>
      </w:pPr>
      <w:r w:rsidRPr="000A2EFD">
        <w:rPr>
          <w:rFonts w:ascii="Arial" w:eastAsia="Calibri" w:hAnsi="Arial" w:cs="Arial"/>
          <w:i/>
          <w:spacing w:val="-3"/>
          <w:lang w:eastAsia="en-US"/>
        </w:rPr>
        <w:t>Indicatori del prezzo dei consumi finali delle famiglie per funzione di consumo</w:t>
      </w:r>
      <w:r w:rsidRPr="000A2EFD">
        <w:rPr>
          <w:rFonts w:ascii="Arial" w:eastAsia="Calibri" w:hAnsi="Arial" w:cs="Arial"/>
          <w:spacing w:val="-3"/>
          <w:lang w:eastAsia="en-US"/>
        </w:rPr>
        <w:t xml:space="preserve">, mediante gli indici armonizzati dei prezzi al consumo. </w:t>
      </w:r>
    </w:p>
    <w:p w14:paraId="459CAC04" w14:textId="77777777" w:rsidR="00FF6E0B" w:rsidRPr="000A2EFD" w:rsidRDefault="00FF6E0B" w:rsidP="00FF6E0B">
      <w:pPr>
        <w:pStyle w:val="Paragrafoelenco"/>
        <w:numPr>
          <w:ilvl w:val="0"/>
          <w:numId w:val="21"/>
        </w:numPr>
        <w:tabs>
          <w:tab w:val="left" w:pos="426"/>
        </w:tabs>
        <w:overflowPunct/>
        <w:spacing w:before="0" w:after="120"/>
        <w:ind w:left="425" w:hanging="357"/>
        <w:contextualSpacing w:val="0"/>
        <w:jc w:val="both"/>
        <w:rPr>
          <w:rFonts w:ascii="Arial" w:eastAsia="Calibri" w:hAnsi="Arial" w:cs="Arial"/>
          <w:spacing w:val="-3"/>
          <w:lang w:eastAsia="en-US"/>
        </w:rPr>
      </w:pPr>
      <w:r w:rsidRPr="000A2EFD">
        <w:rPr>
          <w:rFonts w:ascii="Arial" w:eastAsia="Calibri" w:hAnsi="Arial" w:cs="Arial"/>
          <w:i/>
          <w:spacing w:val="-3"/>
          <w:lang w:eastAsia="en-US"/>
        </w:rPr>
        <w:t>Indicatori del prezzo delle importazioni e delle esportazioni di beni e servizi per prodotto</w:t>
      </w:r>
      <w:r w:rsidRPr="000A2EFD">
        <w:rPr>
          <w:rFonts w:ascii="Arial" w:eastAsia="Calibri" w:hAnsi="Arial" w:cs="Arial"/>
          <w:spacing w:val="-3"/>
          <w:lang w:eastAsia="en-US"/>
        </w:rPr>
        <w:t>, mediante i prezzi alla produzione dei prodotti esportati e i prezzi dell’import, integrati ove necessario con i valori medi unitari delle esp</w:t>
      </w:r>
      <w:r>
        <w:rPr>
          <w:rFonts w:ascii="Arial" w:eastAsia="Calibri" w:hAnsi="Arial" w:cs="Arial"/>
          <w:spacing w:val="-3"/>
          <w:lang w:eastAsia="en-US"/>
        </w:rPr>
        <w:t>ortazioni e delle importazioni.</w:t>
      </w:r>
    </w:p>
    <w:p w14:paraId="267FEBC6" w14:textId="77777777" w:rsidR="00FF6E0B" w:rsidRPr="000E3389" w:rsidRDefault="00FF6E0B" w:rsidP="00FF6E0B">
      <w:pPr>
        <w:spacing w:before="0" w:after="120"/>
        <w:jc w:val="both"/>
        <w:rPr>
          <w:rFonts w:ascii="Arial" w:hAnsi="Arial" w:cs="Arial"/>
          <w:spacing w:val="-3"/>
        </w:rPr>
      </w:pPr>
      <w:r w:rsidRPr="000E3389">
        <w:rPr>
          <w:rFonts w:ascii="Arial" w:hAnsi="Arial" w:cs="Arial"/>
          <w:spacing w:val="-3"/>
          <w:u w:val="single"/>
        </w:rPr>
        <w:t>Commercio con l’estero e bilancia dei pagamenti</w:t>
      </w:r>
      <w:r w:rsidRPr="000E3389">
        <w:rPr>
          <w:rFonts w:ascii="Arial" w:hAnsi="Arial" w:cs="Arial"/>
          <w:spacing w:val="-3"/>
        </w:rPr>
        <w:t>. I d</w:t>
      </w:r>
      <w:r>
        <w:rPr>
          <w:rFonts w:ascii="Arial" w:hAnsi="Arial" w:cs="Arial"/>
          <w:spacing w:val="-3"/>
        </w:rPr>
        <w:t>ati Istat</w:t>
      </w:r>
      <w:r w:rsidRPr="000E3389">
        <w:rPr>
          <w:rFonts w:ascii="Arial" w:hAnsi="Arial" w:cs="Arial"/>
          <w:spacing w:val="-3"/>
        </w:rPr>
        <w:t xml:space="preserve"> di commercio estero disponibili su base mensile costituiscono il sistema di indicatori per la stima indiretta dei flussi trimestrali di importazione ed esportazione di beni dei CET a prezzi correnti; </w:t>
      </w:r>
      <w:r>
        <w:rPr>
          <w:rFonts w:ascii="Arial" w:hAnsi="Arial" w:cs="Arial"/>
          <w:spacing w:val="-3"/>
        </w:rPr>
        <w:t>per i</w:t>
      </w:r>
      <w:r w:rsidRPr="000E3389">
        <w:rPr>
          <w:rFonts w:ascii="Arial" w:hAnsi="Arial" w:cs="Arial"/>
          <w:spacing w:val="-3"/>
        </w:rPr>
        <w:t xml:space="preserve"> servizi </w:t>
      </w:r>
      <w:r>
        <w:rPr>
          <w:rFonts w:ascii="Arial" w:hAnsi="Arial" w:cs="Arial"/>
          <w:spacing w:val="-3"/>
        </w:rPr>
        <w:t>si utilizzano</w:t>
      </w:r>
      <w:r w:rsidRPr="000E3389">
        <w:rPr>
          <w:rFonts w:ascii="Arial" w:hAnsi="Arial" w:cs="Arial"/>
          <w:spacing w:val="-3"/>
        </w:rPr>
        <w:t xml:space="preserve"> i dati della Bilancia dei Pagamenti (BdP).</w:t>
      </w:r>
    </w:p>
    <w:p w14:paraId="1484C800" w14:textId="77777777" w:rsidR="00FF6E0B" w:rsidRDefault="00FF6E0B" w:rsidP="00FF6E0B">
      <w:pPr>
        <w:spacing w:before="0" w:after="120"/>
        <w:jc w:val="both"/>
        <w:rPr>
          <w:rFonts w:ascii="Arial" w:hAnsi="Arial" w:cs="Arial"/>
          <w:spacing w:val="-3"/>
        </w:rPr>
      </w:pPr>
      <w:r w:rsidRPr="000E3389">
        <w:rPr>
          <w:rFonts w:ascii="Arial" w:hAnsi="Arial" w:cs="Arial"/>
          <w:spacing w:val="-3"/>
          <w:u w:val="single"/>
        </w:rPr>
        <w:t>Consumi delle famiglie</w:t>
      </w:r>
      <w:r w:rsidRPr="000E3389">
        <w:rPr>
          <w:rFonts w:ascii="Arial" w:hAnsi="Arial" w:cs="Arial"/>
          <w:spacing w:val="-3"/>
        </w:rPr>
        <w:t xml:space="preserve">. </w:t>
      </w:r>
      <w:r>
        <w:rPr>
          <w:rFonts w:ascii="Arial" w:hAnsi="Arial" w:cs="Arial"/>
          <w:spacing w:val="-3"/>
        </w:rPr>
        <w:t>S</w:t>
      </w:r>
      <w:r w:rsidRPr="000E3389">
        <w:rPr>
          <w:rFonts w:ascii="Arial" w:hAnsi="Arial" w:cs="Arial"/>
          <w:spacing w:val="-3"/>
        </w:rPr>
        <w:t>ono stimati sulla base dei dati trimestrali provenienti dall’indagine sulle spese delle famiglie condotta su base mensile, sottoposta a validazione statistica a cadenza trimestrale e pubblicata annualmente. Per i consumi di beni, vengono anche utilizzat</w:t>
      </w:r>
      <w:r>
        <w:rPr>
          <w:rFonts w:ascii="Arial" w:hAnsi="Arial" w:cs="Arial"/>
          <w:spacing w:val="-3"/>
        </w:rPr>
        <w:t>i</w:t>
      </w:r>
      <w:r w:rsidRPr="000E3389">
        <w:rPr>
          <w:rFonts w:ascii="Arial" w:hAnsi="Arial" w:cs="Arial"/>
          <w:spacing w:val="-3"/>
        </w:rPr>
        <w:t xml:space="preserve"> </w:t>
      </w:r>
      <w:r>
        <w:rPr>
          <w:rFonts w:ascii="Arial" w:hAnsi="Arial" w:cs="Arial"/>
          <w:spacing w:val="-3"/>
        </w:rPr>
        <w:t>indicatori</w:t>
      </w:r>
      <w:r w:rsidRPr="000E3389">
        <w:rPr>
          <w:rFonts w:ascii="Arial" w:hAnsi="Arial" w:cs="Arial"/>
          <w:spacing w:val="-3"/>
        </w:rPr>
        <w:t xml:space="preserve"> derivanti dal metodo della disponibilit</w:t>
      </w:r>
      <w:r>
        <w:rPr>
          <w:rFonts w:ascii="Arial" w:hAnsi="Arial" w:cs="Arial"/>
          <w:spacing w:val="-3"/>
        </w:rPr>
        <w:t>à che consiste nello stimare, per una specifica tipologia di prodotti, l’ammontare di beni disponibili per il consumo (così come per l’investimento) quale somma della relativa produzione nazionale e di quella importata a cui viene sottratto il flusso di beni esportati</w:t>
      </w:r>
      <w:r w:rsidRPr="000E3389">
        <w:rPr>
          <w:rFonts w:ascii="Arial" w:hAnsi="Arial" w:cs="Arial"/>
          <w:spacing w:val="-3"/>
        </w:rPr>
        <w:t>. Infine, si considerano altri indicatori d</w:t>
      </w:r>
      <w:r>
        <w:rPr>
          <w:rFonts w:ascii="Arial" w:hAnsi="Arial" w:cs="Arial"/>
          <w:spacing w:val="-3"/>
        </w:rPr>
        <w:t>i fonte Istat</w:t>
      </w:r>
      <w:r w:rsidRPr="000E3389">
        <w:rPr>
          <w:rFonts w:ascii="Arial" w:hAnsi="Arial" w:cs="Arial"/>
          <w:spacing w:val="-3"/>
        </w:rPr>
        <w:t xml:space="preserve"> (indici del fatturato dei servizi, </w:t>
      </w:r>
      <w:r>
        <w:rPr>
          <w:rFonts w:ascii="Arial" w:hAnsi="Arial" w:cs="Arial"/>
          <w:spacing w:val="-3"/>
        </w:rPr>
        <w:t xml:space="preserve">indice </w:t>
      </w:r>
      <w:r w:rsidRPr="000E3389">
        <w:rPr>
          <w:rFonts w:ascii="Arial" w:hAnsi="Arial" w:cs="Arial"/>
          <w:spacing w:val="-3"/>
        </w:rPr>
        <w:t>delle vendite</w:t>
      </w:r>
      <w:r>
        <w:rPr>
          <w:rFonts w:ascii="Arial" w:hAnsi="Arial" w:cs="Arial"/>
          <w:spacing w:val="-3"/>
        </w:rPr>
        <w:t xml:space="preserve"> al dettaglio</w:t>
      </w:r>
      <w:r w:rsidRPr="000E3389">
        <w:rPr>
          <w:rFonts w:ascii="Arial" w:hAnsi="Arial" w:cs="Arial"/>
          <w:spacing w:val="-3"/>
        </w:rPr>
        <w:t>, movimento clienti negli esercizi ricettivi</w:t>
      </w:r>
      <w:r>
        <w:rPr>
          <w:rFonts w:ascii="Arial" w:hAnsi="Arial" w:cs="Arial"/>
          <w:spacing w:val="-3"/>
        </w:rPr>
        <w:t>) e da fonti esterne quali Unrae</w:t>
      </w:r>
      <w:r w:rsidRPr="000E3389">
        <w:rPr>
          <w:rFonts w:ascii="Arial" w:hAnsi="Arial" w:cs="Arial"/>
          <w:spacing w:val="-3"/>
        </w:rPr>
        <w:t xml:space="preserve">, </w:t>
      </w:r>
      <w:r w:rsidR="00645DDB">
        <w:rPr>
          <w:rFonts w:ascii="Arial" w:hAnsi="Arial" w:cs="Arial"/>
          <w:spacing w:val="-3"/>
        </w:rPr>
        <w:t>Iqvia</w:t>
      </w:r>
      <w:r w:rsidRPr="000E3389">
        <w:rPr>
          <w:rFonts w:ascii="Arial" w:hAnsi="Arial" w:cs="Arial"/>
          <w:spacing w:val="-3"/>
        </w:rPr>
        <w:t xml:space="preserve">, Unione </w:t>
      </w:r>
      <w:r>
        <w:rPr>
          <w:rFonts w:ascii="Arial" w:hAnsi="Arial" w:cs="Arial"/>
          <w:spacing w:val="-3"/>
        </w:rPr>
        <w:t>Energie per la mobilità</w:t>
      </w:r>
      <w:r w:rsidRPr="000E3389">
        <w:rPr>
          <w:rFonts w:ascii="Arial" w:hAnsi="Arial" w:cs="Arial"/>
          <w:spacing w:val="-3"/>
        </w:rPr>
        <w:t>, Assaeroporti, Ferrovie dello Stato.</w:t>
      </w:r>
    </w:p>
    <w:p w14:paraId="44F95CE6" w14:textId="77777777" w:rsidR="00FF6E0B" w:rsidRDefault="00FF6E0B" w:rsidP="00FF6E0B">
      <w:pPr>
        <w:spacing w:after="120"/>
        <w:jc w:val="both"/>
        <w:rPr>
          <w:rFonts w:ascii="Arial" w:hAnsi="Arial" w:cs="Arial"/>
          <w:spacing w:val="-3"/>
        </w:rPr>
      </w:pPr>
      <w:r w:rsidRPr="004B3255">
        <w:rPr>
          <w:rFonts w:ascii="Arial" w:hAnsi="Arial" w:cs="Arial"/>
          <w:spacing w:val="-3"/>
          <w:u w:val="single"/>
        </w:rPr>
        <w:t>Investimenti</w:t>
      </w:r>
      <w:r w:rsidRPr="009614E9">
        <w:rPr>
          <w:rFonts w:ascii="Arial" w:hAnsi="Arial" w:cs="Arial"/>
          <w:spacing w:val="-3"/>
        </w:rPr>
        <w:t>.</w:t>
      </w:r>
      <w:r>
        <w:rPr>
          <w:rFonts w:ascii="Arial" w:hAnsi="Arial" w:cs="Arial"/>
          <w:spacing w:val="-3"/>
        </w:rPr>
        <w:t xml:space="preserve"> I principali indicatori sono ottenuti tramite il metodo della disponibilità. Altre fonti rilevanti sono i dati Unrae per la componente mezzi di trasporto e i dati del ministero della difesa per la spesa in armamenti.</w:t>
      </w:r>
    </w:p>
    <w:p w14:paraId="2D6DC689" w14:textId="77777777" w:rsidR="00FF6E0B" w:rsidRDefault="00FF6E0B" w:rsidP="00FF6E0B">
      <w:pPr>
        <w:spacing w:before="0" w:after="120"/>
        <w:jc w:val="both"/>
        <w:rPr>
          <w:rFonts w:ascii="Arial" w:hAnsi="Arial" w:cs="Arial"/>
          <w:spacing w:val="-3"/>
        </w:rPr>
      </w:pPr>
      <w:r>
        <w:rPr>
          <w:rFonts w:ascii="Arial" w:hAnsi="Arial" w:cs="Arial"/>
          <w:spacing w:val="-3"/>
          <w:u w:val="single"/>
        </w:rPr>
        <w:t>Altri indicatori economici</w:t>
      </w:r>
      <w:r w:rsidRPr="000E3389">
        <w:rPr>
          <w:rFonts w:ascii="Arial" w:hAnsi="Arial" w:cs="Arial"/>
          <w:spacing w:val="-3"/>
        </w:rPr>
        <w:t>. Per la stima degli aggregati relativi ad alberghi e pubblici esercizi vengono utilizzate le statistiche mensili sul movimento (volume) dei clienti negli e</w:t>
      </w:r>
      <w:r>
        <w:rPr>
          <w:rFonts w:ascii="Arial" w:hAnsi="Arial" w:cs="Arial"/>
          <w:spacing w:val="-3"/>
        </w:rPr>
        <w:t>sercizi ricettivi di fonte Istat</w:t>
      </w:r>
      <w:r w:rsidRPr="000E3389">
        <w:rPr>
          <w:rFonts w:ascii="Arial" w:hAnsi="Arial" w:cs="Arial"/>
          <w:spacing w:val="-3"/>
        </w:rPr>
        <w:t xml:space="preserve"> sia per gli aggregati della domanda (consumi delle famiglie), sia per quelli dell’offerta (produzione e valore aggiunto); per la produzione effettiva del credito si utilizzano i dati trimestrali dalla matrice dei conti (fonte Banca d’Italia); per la stima dei servizi di intermediazione finanziaria </w:t>
      </w:r>
      <w:r>
        <w:rPr>
          <w:rFonts w:ascii="Arial" w:hAnsi="Arial" w:cs="Arial"/>
          <w:spacing w:val="-3"/>
        </w:rPr>
        <w:t>indirettamente misurati (SIFIM)</w:t>
      </w:r>
      <w:r w:rsidRPr="000E3389">
        <w:rPr>
          <w:rFonts w:ascii="Arial" w:hAnsi="Arial" w:cs="Arial"/>
          <w:spacing w:val="-3"/>
        </w:rPr>
        <w:t xml:space="preserve"> si utilizzano i dati sullo stock di depositi e prestiti ed i relativi tassi di interesse applicati, distinti per singolo settore di contropartita delle istituzioni finanziarie e monetarie e degli altri intermediari finanziari</w:t>
      </w:r>
      <w:r>
        <w:rPr>
          <w:rFonts w:ascii="Arial" w:hAnsi="Arial" w:cs="Arial"/>
          <w:spacing w:val="-3"/>
        </w:rPr>
        <w:t xml:space="preserve"> di fonte </w:t>
      </w:r>
      <w:r w:rsidRPr="000E3389">
        <w:rPr>
          <w:rFonts w:ascii="Arial" w:hAnsi="Arial" w:cs="Arial"/>
          <w:spacing w:val="-3"/>
        </w:rPr>
        <w:t xml:space="preserve">Banca d’Italia; per la stima della produzione delle assicurazioni </w:t>
      </w:r>
      <w:r>
        <w:rPr>
          <w:rFonts w:ascii="Arial" w:hAnsi="Arial" w:cs="Arial"/>
          <w:spacing w:val="-3"/>
        </w:rPr>
        <w:t xml:space="preserve">si usa </w:t>
      </w:r>
      <w:r w:rsidRPr="000E3389">
        <w:rPr>
          <w:rFonts w:ascii="Arial" w:hAnsi="Arial" w:cs="Arial"/>
          <w:spacing w:val="-3"/>
        </w:rPr>
        <w:t xml:space="preserve">l’indicatore trimestrale dei premi </w:t>
      </w:r>
      <w:r>
        <w:rPr>
          <w:rFonts w:ascii="Arial" w:hAnsi="Arial" w:cs="Arial"/>
          <w:spacing w:val="-3"/>
        </w:rPr>
        <w:t>di fonte Ivass</w:t>
      </w:r>
      <w:r w:rsidRPr="000E3389">
        <w:rPr>
          <w:rFonts w:ascii="Arial" w:hAnsi="Arial" w:cs="Arial"/>
          <w:spacing w:val="-3"/>
        </w:rPr>
        <w:t>. Per la stima di componenti dei consumi delle famiglie e degli investimenti si utilizzano dati mensili sulle immatricolazion</w:t>
      </w:r>
      <w:r>
        <w:rPr>
          <w:rFonts w:ascii="Arial" w:hAnsi="Arial" w:cs="Arial"/>
          <w:spacing w:val="-3"/>
        </w:rPr>
        <w:t>i</w:t>
      </w:r>
      <w:r w:rsidRPr="000E3389">
        <w:rPr>
          <w:rFonts w:ascii="Arial" w:hAnsi="Arial" w:cs="Arial"/>
          <w:spacing w:val="-3"/>
        </w:rPr>
        <w:t xml:space="preserve"> di autovetture </w:t>
      </w:r>
      <w:r>
        <w:rPr>
          <w:rFonts w:ascii="Arial" w:hAnsi="Arial" w:cs="Arial"/>
          <w:spacing w:val="-3"/>
        </w:rPr>
        <w:t xml:space="preserve">di </w:t>
      </w:r>
      <w:r w:rsidRPr="000E3389">
        <w:rPr>
          <w:rFonts w:ascii="Arial" w:hAnsi="Arial" w:cs="Arial"/>
          <w:spacing w:val="-3"/>
        </w:rPr>
        <w:t>fonte U</w:t>
      </w:r>
      <w:r>
        <w:rPr>
          <w:rFonts w:ascii="Arial" w:hAnsi="Arial" w:cs="Arial"/>
          <w:spacing w:val="-3"/>
        </w:rPr>
        <w:t>nrae</w:t>
      </w:r>
      <w:r w:rsidRPr="000E3389">
        <w:rPr>
          <w:rFonts w:ascii="Arial" w:hAnsi="Arial" w:cs="Arial"/>
          <w:spacing w:val="-3"/>
        </w:rPr>
        <w:t xml:space="preserve">; per la stima delle spese alimentari l’indice mensile delle vendite al dettaglio </w:t>
      </w:r>
      <w:r>
        <w:rPr>
          <w:rFonts w:ascii="Arial" w:hAnsi="Arial" w:cs="Arial"/>
          <w:spacing w:val="-3"/>
        </w:rPr>
        <w:t xml:space="preserve">di </w:t>
      </w:r>
      <w:r w:rsidRPr="000E3389">
        <w:rPr>
          <w:rFonts w:ascii="Arial" w:hAnsi="Arial" w:cs="Arial"/>
          <w:spacing w:val="-3"/>
        </w:rPr>
        <w:t>fonte I</w:t>
      </w:r>
      <w:r>
        <w:rPr>
          <w:rFonts w:ascii="Arial" w:hAnsi="Arial" w:cs="Arial"/>
          <w:spacing w:val="-3"/>
        </w:rPr>
        <w:t>stat</w:t>
      </w:r>
      <w:r w:rsidRPr="000E3389">
        <w:rPr>
          <w:rFonts w:ascii="Arial" w:hAnsi="Arial" w:cs="Arial"/>
          <w:spacing w:val="-3"/>
        </w:rPr>
        <w:t xml:space="preserve"> in combinazione con l’indagine </w:t>
      </w:r>
      <w:r>
        <w:rPr>
          <w:rFonts w:ascii="Arial" w:hAnsi="Arial" w:cs="Arial"/>
          <w:spacing w:val="-3"/>
        </w:rPr>
        <w:t>sulle spese delle famiglie</w:t>
      </w:r>
      <w:r w:rsidRPr="000E3389">
        <w:rPr>
          <w:rFonts w:ascii="Arial" w:hAnsi="Arial" w:cs="Arial"/>
          <w:spacing w:val="-3"/>
        </w:rPr>
        <w:t xml:space="preserve">. Per le variabili relative alle attività </w:t>
      </w:r>
      <w:r w:rsidRPr="000E7A3D">
        <w:rPr>
          <w:rFonts w:ascii="Arial" w:hAnsi="Arial" w:cs="Arial"/>
          <w:i/>
          <w:spacing w:val="-3"/>
        </w:rPr>
        <w:t>non-market</w:t>
      </w:r>
      <w:r w:rsidRPr="000E3389">
        <w:rPr>
          <w:rFonts w:ascii="Arial" w:hAnsi="Arial" w:cs="Arial"/>
          <w:spacing w:val="-3"/>
        </w:rPr>
        <w:t xml:space="preserve"> si considerano: i dati di spesa dello </w:t>
      </w:r>
      <w:r>
        <w:rPr>
          <w:rFonts w:ascii="Arial" w:hAnsi="Arial" w:cs="Arial"/>
          <w:spacing w:val="-3"/>
        </w:rPr>
        <w:t>S</w:t>
      </w:r>
      <w:r w:rsidRPr="000E3389">
        <w:rPr>
          <w:rFonts w:ascii="Arial" w:hAnsi="Arial" w:cs="Arial"/>
          <w:spacing w:val="-3"/>
        </w:rPr>
        <w:t xml:space="preserve">tato </w:t>
      </w:r>
      <w:r>
        <w:rPr>
          <w:rFonts w:ascii="Arial" w:hAnsi="Arial" w:cs="Arial"/>
          <w:spacing w:val="-3"/>
        </w:rPr>
        <w:t xml:space="preserve">di </w:t>
      </w:r>
      <w:r w:rsidRPr="000E3389">
        <w:rPr>
          <w:rFonts w:ascii="Arial" w:hAnsi="Arial" w:cs="Arial"/>
          <w:spacing w:val="-3"/>
        </w:rPr>
        <w:t xml:space="preserve">fonte </w:t>
      </w:r>
      <w:r>
        <w:rPr>
          <w:rFonts w:ascii="Arial" w:hAnsi="Arial" w:cs="Arial"/>
          <w:spacing w:val="-3"/>
        </w:rPr>
        <w:t>ministero dell’economia (Mef)</w:t>
      </w:r>
      <w:r w:rsidRPr="000E3389">
        <w:rPr>
          <w:rFonts w:ascii="Arial" w:hAnsi="Arial" w:cs="Arial"/>
          <w:spacing w:val="-3"/>
        </w:rPr>
        <w:t>; i dati di bilancio della sanita pubblica</w:t>
      </w:r>
      <w:r>
        <w:rPr>
          <w:rFonts w:ascii="Arial" w:hAnsi="Arial" w:cs="Arial"/>
          <w:spacing w:val="-3"/>
        </w:rPr>
        <w:t xml:space="preserve"> di </w:t>
      </w:r>
      <w:r w:rsidRPr="000E3389">
        <w:rPr>
          <w:rFonts w:ascii="Arial" w:hAnsi="Arial" w:cs="Arial"/>
          <w:spacing w:val="-3"/>
        </w:rPr>
        <w:t>fonte Ministero della Sa</w:t>
      </w:r>
      <w:r>
        <w:rPr>
          <w:rFonts w:ascii="Arial" w:hAnsi="Arial" w:cs="Arial"/>
          <w:spacing w:val="-3"/>
        </w:rPr>
        <w:t>nità</w:t>
      </w:r>
      <w:r w:rsidRPr="000E3389">
        <w:rPr>
          <w:rFonts w:ascii="Arial" w:hAnsi="Arial" w:cs="Arial"/>
          <w:spacing w:val="-3"/>
        </w:rPr>
        <w:t>; i dati mensili e trimestrali di prelievo fiscale e cont</w:t>
      </w:r>
      <w:r>
        <w:rPr>
          <w:rFonts w:ascii="Arial" w:hAnsi="Arial" w:cs="Arial"/>
          <w:spacing w:val="-3"/>
        </w:rPr>
        <w:t>ributi ai prodotti di fonte Mef</w:t>
      </w:r>
      <w:r w:rsidRPr="000E3389">
        <w:rPr>
          <w:rFonts w:ascii="Arial" w:hAnsi="Arial" w:cs="Arial"/>
          <w:spacing w:val="-3"/>
        </w:rPr>
        <w:t xml:space="preserve">; </w:t>
      </w:r>
      <w:r>
        <w:rPr>
          <w:rFonts w:ascii="Arial" w:hAnsi="Arial" w:cs="Arial"/>
          <w:spacing w:val="-3"/>
        </w:rPr>
        <w:t xml:space="preserve">altri </w:t>
      </w:r>
      <w:r w:rsidRPr="000E3389">
        <w:rPr>
          <w:rFonts w:ascii="Arial" w:hAnsi="Arial" w:cs="Arial"/>
          <w:spacing w:val="-3"/>
        </w:rPr>
        <w:t>dati amministrativi.</w:t>
      </w:r>
    </w:p>
    <w:p w14:paraId="67664D95" w14:textId="77777777" w:rsidR="00FF6E0B" w:rsidRPr="00EB442E" w:rsidRDefault="00FF6E0B" w:rsidP="00FF6E0B">
      <w:pPr>
        <w:spacing w:before="0" w:after="120"/>
        <w:jc w:val="both"/>
        <w:rPr>
          <w:rFonts w:ascii="Arial" w:hAnsi="Arial" w:cs="Arial"/>
          <w:b/>
          <w:spacing w:val="-3"/>
          <w:sz w:val="12"/>
          <w:szCs w:val="12"/>
        </w:rPr>
      </w:pPr>
    </w:p>
    <w:p w14:paraId="5ABB48D6" w14:textId="77777777" w:rsidR="00FF6E0B" w:rsidRPr="00C53DB7" w:rsidRDefault="00FF6E0B" w:rsidP="00FF6E0B">
      <w:pPr>
        <w:spacing w:before="0" w:after="120"/>
        <w:rPr>
          <w:rFonts w:ascii="Arial" w:hAnsi="Arial" w:cs="Arial"/>
          <w:b/>
          <w:color w:val="000000"/>
          <w:sz w:val="22"/>
          <w:szCs w:val="22"/>
        </w:rPr>
      </w:pPr>
      <w:r w:rsidRPr="00C53DB7">
        <w:rPr>
          <w:rFonts w:ascii="Arial" w:hAnsi="Arial" w:cs="Arial"/>
          <w:b/>
          <w:color w:val="000000"/>
          <w:sz w:val="22"/>
          <w:szCs w:val="22"/>
        </w:rPr>
        <w:t>La politica di revisione dei dati</w:t>
      </w:r>
    </w:p>
    <w:p w14:paraId="5DE60F4F" w14:textId="77777777" w:rsidR="00FF6E0B" w:rsidRDefault="00FF6E0B" w:rsidP="00FF6E0B">
      <w:pPr>
        <w:spacing w:before="0" w:after="120"/>
        <w:jc w:val="both"/>
        <w:rPr>
          <w:rFonts w:ascii="Arial" w:hAnsi="Arial" w:cs="Arial"/>
        </w:rPr>
      </w:pPr>
      <w:r>
        <w:rPr>
          <w:rFonts w:ascii="Arial" w:hAnsi="Arial" w:cs="Arial"/>
        </w:rPr>
        <w:t>L’Istat</w:t>
      </w:r>
      <w:r w:rsidRPr="006217E6">
        <w:rPr>
          <w:rFonts w:ascii="Arial" w:hAnsi="Arial" w:cs="Arial"/>
        </w:rPr>
        <w:t xml:space="preserve"> adotta una politica di revisione per i conti economici trimestrali, che è del tutto allineata con le raccomandazion</w:t>
      </w:r>
      <w:r>
        <w:rPr>
          <w:rFonts w:ascii="Arial" w:hAnsi="Arial" w:cs="Arial"/>
        </w:rPr>
        <w:t>i</w:t>
      </w:r>
      <w:r w:rsidRPr="006217E6">
        <w:rPr>
          <w:rFonts w:ascii="Arial" w:hAnsi="Arial" w:cs="Arial"/>
        </w:rPr>
        <w:t xml:space="preserve"> europee riguardo al ciclo delle revisioni ordinarie, cioè quelle che derivano dal normale aggiornamento dei dati più recenti relat</w:t>
      </w:r>
      <w:r>
        <w:rPr>
          <w:rFonts w:ascii="Arial" w:hAnsi="Arial" w:cs="Arial"/>
        </w:rPr>
        <w:t>ivi agli indicatori utilizzati. Secondo queste linee guida, si rivedono i dati a partire da primo trimestre di quattro anni antecedenti la data di rilascio della stima preliminare del Pil.</w:t>
      </w:r>
    </w:p>
    <w:p w14:paraId="5DE6342C" w14:textId="77777777" w:rsidR="00FF6E0B" w:rsidRPr="00016E42" w:rsidRDefault="00FF6E0B" w:rsidP="00FF6E0B">
      <w:pPr>
        <w:spacing w:before="0" w:after="120"/>
        <w:jc w:val="both"/>
        <w:rPr>
          <w:rFonts w:ascii="Arial" w:hAnsi="Arial" w:cs="Arial"/>
        </w:rPr>
      </w:pPr>
      <w:r>
        <w:rPr>
          <w:rFonts w:ascii="Arial" w:hAnsi="Arial" w:cs="Arial"/>
        </w:rPr>
        <w:t>Diverso è il caso delle</w:t>
      </w:r>
      <w:r w:rsidRPr="006217E6">
        <w:rPr>
          <w:rFonts w:ascii="Arial" w:hAnsi="Arial" w:cs="Arial"/>
        </w:rPr>
        <w:t xml:space="preserve"> revisioni straordinarie</w:t>
      </w:r>
      <w:r>
        <w:rPr>
          <w:rFonts w:ascii="Arial" w:hAnsi="Arial" w:cs="Arial"/>
        </w:rPr>
        <w:t xml:space="preserve">, </w:t>
      </w:r>
      <w:r w:rsidRPr="006217E6">
        <w:rPr>
          <w:rFonts w:ascii="Arial" w:hAnsi="Arial" w:cs="Arial"/>
        </w:rPr>
        <w:t xml:space="preserve">che avvengono a seguito di modifiche più ampie e toccano l’intera serie storica delle stime, come nel caso delle revisioni generali della contabilità nazionale effettuate per </w:t>
      </w:r>
      <w:r w:rsidRPr="00016E42">
        <w:rPr>
          <w:rFonts w:ascii="Arial" w:hAnsi="Arial" w:cs="Arial"/>
        </w:rPr>
        <w:t>incorporare miglioramenti delle fonti e dei metodi.</w:t>
      </w:r>
      <w:r>
        <w:rPr>
          <w:rFonts w:ascii="Arial" w:hAnsi="Arial" w:cs="Arial"/>
        </w:rPr>
        <w:t xml:space="preserve"> In genere queste ultime avvengono ogni 5 anni.</w:t>
      </w:r>
    </w:p>
    <w:p w14:paraId="636C5A18" w14:textId="77777777" w:rsidR="00FF6E0B" w:rsidRPr="00EB442E" w:rsidRDefault="00FF6E0B" w:rsidP="00FF6E0B">
      <w:pPr>
        <w:pStyle w:val="Rientrocorpodeltesto31"/>
        <w:tabs>
          <w:tab w:val="clear" w:pos="0"/>
        </w:tabs>
        <w:spacing w:after="120" w:line="240" w:lineRule="auto"/>
        <w:ind w:left="0"/>
        <w:rPr>
          <w:rFonts w:ascii="Arial" w:hAnsi="Arial" w:cs="Arial"/>
          <w:b/>
          <w:color w:val="000000"/>
          <w:sz w:val="12"/>
          <w:szCs w:val="12"/>
        </w:rPr>
      </w:pPr>
    </w:p>
    <w:p w14:paraId="4EC929F4" w14:textId="77777777" w:rsidR="00FF6E0B" w:rsidRPr="006217E6" w:rsidRDefault="00FF6E0B" w:rsidP="00FF6E0B">
      <w:pPr>
        <w:pStyle w:val="Corpotesto"/>
        <w:tabs>
          <w:tab w:val="left" w:pos="720"/>
        </w:tabs>
        <w:spacing w:after="120" w:line="240" w:lineRule="auto"/>
        <w:ind w:right="106"/>
        <w:rPr>
          <w:rFonts w:ascii="Arial" w:hAnsi="Arial" w:cs="Arial"/>
          <w:b/>
          <w:sz w:val="22"/>
        </w:rPr>
      </w:pPr>
      <w:r w:rsidRPr="006217E6">
        <w:rPr>
          <w:rFonts w:ascii="Arial" w:hAnsi="Arial" w:cs="Arial"/>
          <w:b/>
          <w:color w:val="000000"/>
          <w:sz w:val="22"/>
        </w:rPr>
        <w:t>Copertura e dettaglio territoriale</w:t>
      </w:r>
    </w:p>
    <w:p w14:paraId="165B4A50" w14:textId="77777777" w:rsidR="00FF6E0B" w:rsidRDefault="00FF6E0B" w:rsidP="00FF6E0B">
      <w:pPr>
        <w:spacing w:before="0" w:after="120"/>
        <w:jc w:val="both"/>
        <w:rPr>
          <w:rFonts w:ascii="Arial" w:hAnsi="Arial" w:cs="Arial"/>
        </w:rPr>
      </w:pPr>
      <w:r w:rsidRPr="006217E6">
        <w:rPr>
          <w:rFonts w:ascii="Arial" w:hAnsi="Arial" w:cs="Arial"/>
        </w:rPr>
        <w:lastRenderedPageBreak/>
        <w:t>Le stime prelim</w:t>
      </w:r>
      <w:r>
        <w:rPr>
          <w:rFonts w:ascii="Arial" w:hAnsi="Arial" w:cs="Arial"/>
        </w:rPr>
        <w:t>inari del Pil</w:t>
      </w:r>
      <w:r w:rsidRPr="006217E6">
        <w:rPr>
          <w:rFonts w:ascii="Arial" w:hAnsi="Arial" w:cs="Arial"/>
        </w:rPr>
        <w:t xml:space="preserve"> riguardano, per definizione, l’intero territorio nazionale e sono presentate se</w:t>
      </w:r>
      <w:r>
        <w:rPr>
          <w:rFonts w:ascii="Arial" w:hAnsi="Arial" w:cs="Arial"/>
        </w:rPr>
        <w:t>nza alcun dettaglio settoriale.</w:t>
      </w:r>
    </w:p>
    <w:p w14:paraId="473E9C47" w14:textId="77777777" w:rsidR="00FF6E0B" w:rsidRPr="006217E6" w:rsidRDefault="00FF6E0B" w:rsidP="00FF6E0B">
      <w:pPr>
        <w:spacing w:before="0" w:after="120"/>
        <w:rPr>
          <w:rFonts w:ascii="Arial" w:hAnsi="Arial" w:cs="Arial"/>
        </w:rPr>
      </w:pPr>
    </w:p>
    <w:p w14:paraId="47FE38FE" w14:textId="77777777" w:rsidR="00FF6E0B" w:rsidRPr="006217E6" w:rsidRDefault="00FF6E0B" w:rsidP="00FF6E0B">
      <w:pPr>
        <w:pStyle w:val="Corpotesto"/>
        <w:tabs>
          <w:tab w:val="left" w:pos="720"/>
        </w:tabs>
        <w:spacing w:after="120" w:line="240" w:lineRule="auto"/>
        <w:ind w:right="106"/>
        <w:rPr>
          <w:rFonts w:ascii="Arial" w:hAnsi="Arial" w:cs="Arial"/>
          <w:b/>
          <w:sz w:val="22"/>
        </w:rPr>
      </w:pPr>
      <w:r w:rsidRPr="006217E6">
        <w:rPr>
          <w:rFonts w:ascii="Arial" w:hAnsi="Arial" w:cs="Arial"/>
          <w:b/>
          <w:color w:val="000000"/>
          <w:sz w:val="22"/>
        </w:rPr>
        <w:t>Tempestività</w:t>
      </w:r>
    </w:p>
    <w:p w14:paraId="7EDD4302" w14:textId="77777777" w:rsidR="00FF6E0B" w:rsidRPr="006217E6" w:rsidRDefault="00FF6E0B" w:rsidP="00FF6E0B">
      <w:pPr>
        <w:pStyle w:val="Corpotesto"/>
        <w:tabs>
          <w:tab w:val="left" w:pos="720"/>
        </w:tabs>
        <w:spacing w:after="120" w:line="240" w:lineRule="auto"/>
        <w:ind w:right="106"/>
        <w:jc w:val="both"/>
        <w:rPr>
          <w:rFonts w:ascii="Arial" w:hAnsi="Arial" w:cs="Arial"/>
          <w:spacing w:val="-3"/>
          <w:lang w:eastAsia="en-US"/>
        </w:rPr>
      </w:pPr>
      <w:r>
        <w:rPr>
          <w:rFonts w:ascii="Arial" w:hAnsi="Arial" w:cs="Arial"/>
          <w:spacing w:val="-3"/>
          <w:lang w:eastAsia="en-US"/>
        </w:rPr>
        <w:t>La stima preliminare del Pil</w:t>
      </w:r>
      <w:r w:rsidRPr="006217E6">
        <w:rPr>
          <w:rFonts w:ascii="Arial" w:hAnsi="Arial" w:cs="Arial"/>
          <w:spacing w:val="-3"/>
          <w:lang w:eastAsia="en-US"/>
        </w:rPr>
        <w:t xml:space="preserve"> a valori con</w:t>
      </w:r>
      <w:r>
        <w:rPr>
          <w:rFonts w:ascii="Arial" w:hAnsi="Arial" w:cs="Arial"/>
          <w:spacing w:val="-3"/>
          <w:lang w:eastAsia="en-US"/>
        </w:rPr>
        <w:t>catenati è pubblicata a circa 30</w:t>
      </w:r>
      <w:r w:rsidRPr="006217E6">
        <w:rPr>
          <w:rFonts w:ascii="Arial" w:hAnsi="Arial" w:cs="Arial"/>
          <w:spacing w:val="-3"/>
          <w:lang w:eastAsia="en-US"/>
        </w:rPr>
        <w:t xml:space="preserve"> giorni dalla fine del trimestre di riferimento,</w:t>
      </w:r>
      <w:r>
        <w:rPr>
          <w:rFonts w:ascii="Arial" w:hAnsi="Arial" w:cs="Arial"/>
          <w:spacing w:val="-3"/>
          <w:lang w:eastAsia="en-US"/>
        </w:rPr>
        <w:t xml:space="preserve"> </w:t>
      </w:r>
      <w:r w:rsidRPr="006217E6">
        <w:rPr>
          <w:rFonts w:ascii="Arial" w:hAnsi="Arial" w:cs="Arial"/>
          <w:spacing w:val="-3"/>
          <w:lang w:eastAsia="en-US"/>
        </w:rPr>
        <w:t>seguendo un calendari</w:t>
      </w:r>
      <w:r>
        <w:rPr>
          <w:rFonts w:ascii="Arial" w:hAnsi="Arial" w:cs="Arial"/>
          <w:spacing w:val="-3"/>
          <w:lang w:eastAsia="en-US"/>
        </w:rPr>
        <w:t>o coordinato a livello europeo.</w:t>
      </w:r>
    </w:p>
    <w:p w14:paraId="0960A2A9" w14:textId="77777777" w:rsidR="00FF6E0B" w:rsidRPr="00C53DB7" w:rsidRDefault="00FF6E0B" w:rsidP="00FF6E0B">
      <w:pPr>
        <w:pStyle w:val="Corpotesto"/>
        <w:tabs>
          <w:tab w:val="left" w:pos="720"/>
        </w:tabs>
        <w:spacing w:after="120" w:line="240" w:lineRule="auto"/>
        <w:ind w:right="106"/>
        <w:rPr>
          <w:rFonts w:ascii="Arial" w:hAnsi="Arial" w:cs="Arial"/>
          <w:b/>
          <w:color w:val="000000"/>
        </w:rPr>
      </w:pPr>
    </w:p>
    <w:p w14:paraId="5B4CD57B" w14:textId="77777777" w:rsidR="00FF6E0B" w:rsidRPr="006217E6" w:rsidRDefault="00FF6E0B" w:rsidP="00FF6E0B">
      <w:pPr>
        <w:pStyle w:val="Corpotesto"/>
        <w:tabs>
          <w:tab w:val="left" w:pos="720"/>
        </w:tabs>
        <w:spacing w:after="120" w:line="240" w:lineRule="auto"/>
        <w:ind w:right="106"/>
        <w:rPr>
          <w:rFonts w:ascii="Arial" w:hAnsi="Arial" w:cs="Arial"/>
          <w:b/>
          <w:color w:val="000000"/>
        </w:rPr>
      </w:pPr>
      <w:r w:rsidRPr="006217E6">
        <w:rPr>
          <w:rFonts w:ascii="Arial" w:hAnsi="Arial" w:cs="Arial"/>
          <w:b/>
          <w:color w:val="000000"/>
          <w:sz w:val="22"/>
        </w:rPr>
        <w:t>Diffusione</w:t>
      </w:r>
    </w:p>
    <w:p w14:paraId="6EC7DF95" w14:textId="75959617" w:rsidR="00FF6E0B" w:rsidRPr="00D257B1" w:rsidRDefault="00FF6E0B" w:rsidP="00FF6E0B">
      <w:pPr>
        <w:widowControl/>
        <w:overflowPunct/>
        <w:autoSpaceDE/>
        <w:autoSpaceDN/>
        <w:adjustRightInd/>
        <w:spacing w:before="0" w:after="120"/>
        <w:jc w:val="both"/>
        <w:rPr>
          <w:rFonts w:ascii="Arial" w:hAnsi="Arial" w:cs="Arial"/>
          <w:color w:val="333333"/>
          <w:kern w:val="0"/>
        </w:rPr>
      </w:pPr>
      <w:r>
        <w:rPr>
          <w:rFonts w:ascii="Arial" w:hAnsi="Arial" w:cs="Arial"/>
        </w:rPr>
        <w:t xml:space="preserve">La medesima serie </w:t>
      </w:r>
      <w:r w:rsidR="00587F3C">
        <w:rPr>
          <w:rFonts w:ascii="Arial" w:hAnsi="Arial" w:cs="Arial"/>
        </w:rPr>
        <w:t xml:space="preserve">storica </w:t>
      </w:r>
      <w:r>
        <w:rPr>
          <w:rFonts w:ascii="Arial" w:hAnsi="Arial" w:cs="Arial"/>
        </w:rPr>
        <w:t>è diffusa</w:t>
      </w:r>
      <w:r w:rsidRPr="006217E6">
        <w:rPr>
          <w:rFonts w:ascii="Arial" w:hAnsi="Arial" w:cs="Arial"/>
        </w:rPr>
        <w:t xml:space="preserve"> tramite il </w:t>
      </w:r>
      <w:r w:rsidRPr="00D257B1">
        <w:rPr>
          <w:rFonts w:ascii="Arial" w:hAnsi="Arial" w:cs="Arial"/>
        </w:rPr>
        <w:t>data wharehouse</w:t>
      </w:r>
      <w:r w:rsidRPr="00834397">
        <w:t xml:space="preserve"> </w:t>
      </w:r>
      <w:hyperlink r:id="rId29" w:anchor="/it/dw" w:history="1">
        <w:r w:rsidRPr="005A4622">
          <w:rPr>
            <w:rStyle w:val="Collegamentoipertestuale"/>
            <w:rFonts w:ascii="Arial" w:hAnsi="Arial" w:cs="Arial"/>
          </w:rPr>
          <w:t>IstatData</w:t>
        </w:r>
      </w:hyperlink>
      <w:r w:rsidRPr="00D257B1">
        <w:rPr>
          <w:rFonts w:ascii="Arial" w:hAnsi="Arial" w:cs="Arial"/>
        </w:rPr>
        <w:t xml:space="preserve"> alla sezione “</w:t>
      </w:r>
      <w:hyperlink r:id="rId30" w:anchor="/it/dw/categories/IT1,DATAWAREHOUSE,1.0/UP_ACC_TRIMES/IT1,163_156_DF_DCCN_SQCQ_3,1.0" w:history="1">
        <w:r w:rsidRPr="005A4622">
          <w:rPr>
            <w:rStyle w:val="Collegamentoipertestuale"/>
            <w:rFonts w:ascii="Arial" w:hAnsi="Arial" w:cs="Arial"/>
          </w:rPr>
          <w:t>Conti nazionali/Conti e aggregati economici nazionali trimestrali</w:t>
        </w:r>
        <w:r w:rsidRPr="009A2E8B">
          <w:rPr>
            <w:rStyle w:val="Collegamentoipertestuale"/>
            <w:rFonts w:ascii="Arial" w:hAnsi="Arial" w:cs="Arial"/>
          </w:rPr>
          <w:t>/</w:t>
        </w:r>
        <w:r w:rsidRPr="005A4622">
          <w:rPr>
            <w:rStyle w:val="Collegamentoipertestuale"/>
            <w:rFonts w:ascii="Arial" w:hAnsi="Arial" w:cs="Arial"/>
          </w:rPr>
          <w:t>Prodotto interno lordo e variazioni (stima preliminare)</w:t>
        </w:r>
      </w:hyperlink>
      <w:r w:rsidRPr="00D257B1">
        <w:rPr>
          <w:rFonts w:ascii="Arial" w:hAnsi="Arial" w:cs="Arial"/>
        </w:rPr>
        <w:t>” non appena il comunicato stampa viene esposto sul sito.</w:t>
      </w:r>
    </w:p>
    <w:p w14:paraId="04D93924" w14:textId="77777777" w:rsidR="00FF6E0B" w:rsidRDefault="00FF6E0B" w:rsidP="00FF6E0B"/>
    <w:p w14:paraId="1C71BDAC" w14:textId="77777777" w:rsidR="00267155" w:rsidRDefault="00267155" w:rsidP="00267155">
      <w:pPr>
        <w:pStyle w:val="Corpotesto"/>
        <w:tabs>
          <w:tab w:val="left" w:pos="720"/>
        </w:tabs>
        <w:spacing w:after="120" w:line="240" w:lineRule="auto"/>
        <w:ind w:right="106"/>
        <w:rPr>
          <w:rFonts w:ascii="Arial" w:hAnsi="Arial" w:cs="Arial"/>
        </w:rPr>
      </w:pPr>
    </w:p>
    <w:p w14:paraId="52862DAD" w14:textId="77777777" w:rsidR="00267155" w:rsidRDefault="00267155" w:rsidP="00267155">
      <w:pPr>
        <w:spacing w:after="120"/>
        <w:jc w:val="both"/>
        <w:rPr>
          <w:rFonts w:ascii="Arial" w:hAnsi="Arial" w:cs="Arial"/>
          <w:sz w:val="22"/>
          <w:szCs w:val="22"/>
        </w:rPr>
      </w:pPr>
    </w:p>
    <w:p w14:paraId="0093168D" w14:textId="77777777" w:rsidR="00267155" w:rsidRDefault="00267155" w:rsidP="00267155">
      <w:pPr>
        <w:spacing w:after="120"/>
        <w:jc w:val="both"/>
        <w:rPr>
          <w:rFonts w:ascii="Arial" w:hAnsi="Arial" w:cs="Arial"/>
          <w:sz w:val="22"/>
          <w:szCs w:val="22"/>
        </w:rPr>
      </w:pPr>
    </w:p>
    <w:p w14:paraId="25D4C464" w14:textId="77777777" w:rsidR="00267155" w:rsidRDefault="00267155" w:rsidP="00267155">
      <w:pPr>
        <w:spacing w:after="120"/>
        <w:jc w:val="both"/>
        <w:rPr>
          <w:rFonts w:ascii="Arial" w:hAnsi="Arial" w:cs="Arial"/>
          <w:sz w:val="22"/>
          <w:szCs w:val="22"/>
        </w:rPr>
      </w:pPr>
    </w:p>
    <w:p w14:paraId="6E7EE766" w14:textId="77777777" w:rsidR="00267155" w:rsidRDefault="00267155" w:rsidP="00267155">
      <w:pPr>
        <w:spacing w:after="120"/>
        <w:jc w:val="both"/>
        <w:rPr>
          <w:rFonts w:ascii="Arial" w:hAnsi="Arial" w:cs="Arial"/>
          <w:sz w:val="22"/>
          <w:szCs w:val="22"/>
        </w:rPr>
      </w:pPr>
    </w:p>
    <w:p w14:paraId="15802CCE" w14:textId="77777777" w:rsidR="00267155" w:rsidRDefault="00267155" w:rsidP="00267155">
      <w:pPr>
        <w:spacing w:after="120"/>
        <w:jc w:val="both"/>
        <w:rPr>
          <w:rFonts w:ascii="Arial" w:hAnsi="Arial" w:cs="Arial"/>
          <w:sz w:val="22"/>
          <w:szCs w:val="22"/>
        </w:rPr>
      </w:pPr>
    </w:p>
    <w:p w14:paraId="7143968D" w14:textId="77777777" w:rsidR="00267155" w:rsidRDefault="00267155" w:rsidP="00267155">
      <w:pPr>
        <w:spacing w:after="120"/>
        <w:jc w:val="both"/>
        <w:rPr>
          <w:rFonts w:ascii="Arial" w:hAnsi="Arial" w:cs="Arial"/>
          <w:sz w:val="22"/>
          <w:szCs w:val="22"/>
        </w:rPr>
      </w:pPr>
    </w:p>
    <w:p w14:paraId="48F39682" w14:textId="77777777" w:rsidR="00267155" w:rsidRDefault="00267155" w:rsidP="00267155">
      <w:pPr>
        <w:spacing w:after="120"/>
        <w:jc w:val="both"/>
        <w:rPr>
          <w:rFonts w:ascii="Arial" w:hAnsi="Arial" w:cs="Arial"/>
          <w:sz w:val="22"/>
          <w:szCs w:val="22"/>
        </w:rPr>
      </w:pPr>
    </w:p>
    <w:p w14:paraId="43E1D9A9" w14:textId="77777777" w:rsidR="00267155" w:rsidRDefault="00267155" w:rsidP="00267155">
      <w:pPr>
        <w:spacing w:after="120"/>
        <w:jc w:val="both"/>
        <w:rPr>
          <w:rFonts w:ascii="Arial" w:hAnsi="Arial" w:cs="Arial"/>
          <w:sz w:val="22"/>
          <w:szCs w:val="22"/>
        </w:rPr>
      </w:pPr>
    </w:p>
    <w:p w14:paraId="4A67F977" w14:textId="77777777" w:rsidR="00267155" w:rsidRDefault="00267155" w:rsidP="00267155">
      <w:pPr>
        <w:spacing w:after="120"/>
        <w:jc w:val="both"/>
        <w:rPr>
          <w:rFonts w:ascii="Arial" w:hAnsi="Arial" w:cs="Arial"/>
          <w:sz w:val="22"/>
          <w:szCs w:val="22"/>
        </w:rPr>
      </w:pPr>
    </w:p>
    <w:p w14:paraId="11DA389A" w14:textId="77777777" w:rsidR="00267155" w:rsidRDefault="00267155" w:rsidP="00267155">
      <w:pPr>
        <w:spacing w:after="120"/>
        <w:jc w:val="both"/>
        <w:rPr>
          <w:rFonts w:ascii="Arial" w:hAnsi="Arial" w:cs="Arial"/>
          <w:sz w:val="22"/>
          <w:szCs w:val="22"/>
        </w:rPr>
      </w:pPr>
    </w:p>
    <w:p w14:paraId="7BBA34C6" w14:textId="77777777" w:rsidR="00267155" w:rsidRDefault="00267155" w:rsidP="00267155">
      <w:pPr>
        <w:spacing w:after="120"/>
        <w:jc w:val="both"/>
        <w:rPr>
          <w:rFonts w:ascii="Arial" w:hAnsi="Arial" w:cs="Arial"/>
          <w:sz w:val="22"/>
          <w:szCs w:val="22"/>
        </w:rPr>
      </w:pPr>
    </w:p>
    <w:p w14:paraId="31877F0D" w14:textId="77777777" w:rsidR="00267155" w:rsidRDefault="00267155" w:rsidP="00267155">
      <w:pPr>
        <w:pStyle w:val="NormaleWeb"/>
        <w:spacing w:before="0" w:beforeAutospacing="0" w:after="120" w:afterAutospacing="0"/>
        <w:rPr>
          <w:rFonts w:ascii="Arial" w:hAnsi="Arial" w:cs="Arial"/>
          <w:bCs/>
          <w:color w:val="CD242F"/>
          <w:sz w:val="36"/>
          <w:szCs w:val="36"/>
        </w:rPr>
      </w:pPr>
      <w:r>
        <w:rPr>
          <w:rFonts w:ascii="Arial" w:hAnsi="Arial" w:cs="Arial"/>
          <w:bCs/>
          <w:color w:val="CD242F"/>
          <w:sz w:val="36"/>
          <w:szCs w:val="36"/>
        </w:rPr>
        <w:t xml:space="preserve">Per informazioni tecniche e metodologiche </w:t>
      </w:r>
    </w:p>
    <w:p w14:paraId="3621D796" w14:textId="77777777" w:rsidR="00267155" w:rsidRDefault="00267155" w:rsidP="00267155">
      <w:pPr>
        <w:pStyle w:val="NormaleWeb"/>
        <w:spacing w:before="0" w:beforeAutospacing="0" w:after="120" w:afterAutospacing="0"/>
        <w:rPr>
          <w:rFonts w:ascii="Arial" w:hAnsi="Arial" w:cs="Arial"/>
          <w:bCs/>
          <w:color w:val="CD242F"/>
          <w:sz w:val="36"/>
          <w:szCs w:val="36"/>
        </w:rPr>
      </w:pPr>
    </w:p>
    <w:tbl>
      <w:tblPr>
        <w:tblW w:w="4851" w:type="dxa"/>
        <w:tblBorders>
          <w:top w:val="dotted" w:sz="4" w:space="0" w:color="808080"/>
        </w:tblBorders>
        <w:tblLook w:val="04A0" w:firstRow="1" w:lastRow="0" w:firstColumn="1" w:lastColumn="0" w:noHBand="0" w:noVBand="1"/>
      </w:tblPr>
      <w:tblGrid>
        <w:gridCol w:w="4851"/>
      </w:tblGrid>
      <w:tr w:rsidR="00267155" w14:paraId="7C4B2886" w14:textId="77777777" w:rsidTr="00824394">
        <w:trPr>
          <w:trHeight w:val="1134"/>
        </w:trPr>
        <w:tc>
          <w:tcPr>
            <w:tcW w:w="4851" w:type="dxa"/>
            <w:tcBorders>
              <w:top w:val="dotted" w:sz="4" w:space="0" w:color="808080"/>
              <w:left w:val="nil"/>
              <w:bottom w:val="dotted" w:sz="4" w:space="0" w:color="808080"/>
              <w:right w:val="nil"/>
            </w:tcBorders>
            <w:tcMar>
              <w:top w:w="170" w:type="dxa"/>
              <w:left w:w="0" w:type="dxa"/>
              <w:bottom w:w="0" w:type="dxa"/>
              <w:right w:w="0" w:type="dxa"/>
            </w:tcMar>
            <w:hideMark/>
          </w:tcPr>
          <w:p w14:paraId="4B58625E" w14:textId="77777777" w:rsidR="00267155" w:rsidRPr="009E227F" w:rsidRDefault="00267155" w:rsidP="00824394">
            <w:pPr>
              <w:pStyle w:val="NormaleWeb"/>
              <w:spacing w:before="0" w:beforeAutospacing="0" w:after="120" w:afterAutospacing="0"/>
              <w:rPr>
                <w:rFonts w:ascii="Arial" w:hAnsi="Arial" w:cs="Arial"/>
                <w:b/>
                <w:bCs/>
                <w:color w:val="CD242F"/>
                <w:sz w:val="22"/>
                <w:szCs w:val="22"/>
              </w:rPr>
            </w:pPr>
            <w:r>
              <w:rPr>
                <w:rFonts w:ascii="Arial" w:hAnsi="Arial" w:cs="Arial"/>
                <w:b/>
                <w:bCs/>
                <w:color w:val="CD242F"/>
                <w:sz w:val="22"/>
                <w:szCs w:val="22"/>
              </w:rPr>
              <w:t>Filippo Moauro</w:t>
            </w:r>
          </w:p>
          <w:p w14:paraId="18C297ED" w14:textId="77777777" w:rsidR="00267155" w:rsidRDefault="00267155" w:rsidP="00824394">
            <w:pPr>
              <w:pStyle w:val="NormaleWeb"/>
              <w:spacing w:before="0" w:beforeAutospacing="0" w:after="0" w:afterAutospacing="0"/>
              <w:rPr>
                <w:rStyle w:val="Collegamentoipertestuale"/>
                <w:rFonts w:ascii="Arial" w:hAnsi="Arial" w:cs="Arial"/>
                <w:color w:val="000000"/>
              </w:rPr>
            </w:pPr>
            <w:r w:rsidRPr="009E227F">
              <w:rPr>
                <w:rFonts w:ascii="Arial" w:hAnsi="Arial" w:cs="Arial"/>
                <w:color w:val="000000"/>
              </w:rPr>
              <w:t>tel. +39 06 4673.</w:t>
            </w:r>
            <w:r>
              <w:rPr>
                <w:rFonts w:ascii="Arial" w:hAnsi="Arial" w:cs="Arial"/>
                <w:color w:val="000000"/>
              </w:rPr>
              <w:t>3188</w:t>
            </w:r>
            <w:r w:rsidRPr="009E227F">
              <w:rPr>
                <w:rFonts w:ascii="Arial" w:hAnsi="Arial" w:cs="Arial"/>
                <w:color w:val="000000"/>
              </w:rPr>
              <w:br/>
            </w:r>
            <w:hyperlink r:id="rId31" w:history="1">
              <w:r w:rsidRPr="00953436">
                <w:rPr>
                  <w:rStyle w:val="Collegamentoipertestuale"/>
                  <w:rFonts w:ascii="Arial" w:hAnsi="Arial" w:cs="Arial"/>
                </w:rPr>
                <w:t>moauro@istat.it</w:t>
              </w:r>
            </w:hyperlink>
          </w:p>
        </w:tc>
      </w:tr>
    </w:tbl>
    <w:p w14:paraId="6A5E9D2E" w14:textId="77777777" w:rsidR="00301A87" w:rsidRDefault="00301A87" w:rsidP="00C62BB3">
      <w:pPr>
        <w:pStyle w:val="Corpotesto"/>
        <w:tabs>
          <w:tab w:val="left" w:pos="720"/>
        </w:tabs>
        <w:spacing w:after="120" w:line="240" w:lineRule="auto"/>
        <w:ind w:right="106"/>
        <w:rPr>
          <w:rFonts w:ascii="Arial" w:hAnsi="Arial" w:cs="Arial"/>
        </w:rPr>
      </w:pPr>
    </w:p>
    <w:sectPr w:rsidR="00301A87" w:rsidSect="00B81D29">
      <w:headerReference w:type="default" r:id="rId32"/>
      <w:pgSz w:w="11907" w:h="16840" w:code="9"/>
      <w:pgMar w:top="1534" w:right="851" w:bottom="680" w:left="851" w:header="567"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24F3D" w14:textId="77777777" w:rsidR="009B209A" w:rsidRDefault="009B209A">
      <w:r>
        <w:separator/>
      </w:r>
    </w:p>
  </w:endnote>
  <w:endnote w:type="continuationSeparator" w:id="0">
    <w:p w14:paraId="680A3042" w14:textId="77777777" w:rsidR="009B209A" w:rsidRDefault="009B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Roman">
    <w:altName w:val="Courier New"/>
    <w:charset w:val="00"/>
    <w:family w:val="auto"/>
    <w:pitch w:val="variable"/>
    <w:sig w:usb0="00000001"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16917" w14:textId="77777777" w:rsidR="00A00693" w:rsidRDefault="00A00693" w:rsidP="009A5035">
    <w:pPr>
      <w:pStyle w:val="Pidipagina"/>
      <w:ind w:left="1418"/>
      <w:rPr>
        <w:rStyle w:val="Numeropagina"/>
        <w:rFonts w:ascii="Calibri" w:hAnsi="Calibri"/>
        <w:b/>
        <w:color w:val="E42218"/>
        <w:sz w:val="24"/>
        <w:szCs w:val="24"/>
      </w:rPr>
    </w:pPr>
  </w:p>
  <w:p w14:paraId="2CE94716" w14:textId="709F6E17" w:rsidR="009A5035" w:rsidRDefault="001E7914" w:rsidP="009A5035">
    <w:pPr>
      <w:pStyle w:val="Pidipagina"/>
      <w:ind w:left="1418"/>
    </w:pPr>
    <w:r w:rsidRPr="00A86143">
      <w:rPr>
        <w:rFonts w:ascii="Calibri" w:hAnsi="Calibri"/>
        <w:b/>
        <w:noProof/>
        <w:color w:val="E42218"/>
        <w:sz w:val="24"/>
        <w:szCs w:val="24"/>
      </w:rPr>
      <w:drawing>
        <wp:anchor distT="0" distB="0" distL="114300" distR="114300" simplePos="0" relativeHeight="251657216" behindDoc="0" locked="0" layoutInCell="1" allowOverlap="1" wp14:anchorId="24020405" wp14:editId="4CE49252">
          <wp:simplePos x="0" y="0"/>
          <wp:positionH relativeFrom="column">
            <wp:posOffset>-72390</wp:posOffset>
          </wp:positionH>
          <wp:positionV relativeFrom="paragraph">
            <wp:posOffset>-140970</wp:posOffset>
          </wp:positionV>
          <wp:extent cx="943610" cy="390525"/>
          <wp:effectExtent l="0" t="0" r="0" b="0"/>
          <wp:wrapNone/>
          <wp:docPr id="18" name="Immagine 8" descr="Descrizione: Logo a 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Descrizione: Logo a colo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5035" w:rsidRPr="00A86143">
      <w:rPr>
        <w:rStyle w:val="Numeropagina"/>
        <w:rFonts w:ascii="Calibri" w:hAnsi="Calibri"/>
        <w:b/>
        <w:color w:val="E42218"/>
        <w:sz w:val="24"/>
        <w:szCs w:val="24"/>
      </w:rPr>
      <w:t>|</w:t>
    </w:r>
    <w:r w:rsidR="009A5035">
      <w:rPr>
        <w:rStyle w:val="Numeropagina"/>
        <w:rFonts w:ascii="Calibri" w:hAnsi="Calibri"/>
        <w:color w:val="E31C18"/>
        <w:sz w:val="28"/>
        <w:szCs w:val="28"/>
      </w:rPr>
      <w:t xml:space="preserve"> </w:t>
    </w:r>
    <w:r w:rsidR="009A5035" w:rsidRPr="00A86143">
      <w:rPr>
        <w:rFonts w:ascii="Calibri" w:hAnsi="Calibri"/>
        <w:noProof/>
        <w:color w:val="5F5F5F"/>
        <w:sz w:val="24"/>
        <w:szCs w:val="24"/>
      </w:rPr>
      <w:fldChar w:fldCharType="begin"/>
    </w:r>
    <w:r w:rsidR="009A5035" w:rsidRPr="00A86143">
      <w:rPr>
        <w:rFonts w:ascii="Calibri" w:hAnsi="Calibri"/>
        <w:noProof/>
        <w:color w:val="5F5F5F"/>
        <w:sz w:val="24"/>
        <w:szCs w:val="24"/>
      </w:rPr>
      <w:instrText>PAGE   \* MERGEFORMAT</w:instrText>
    </w:r>
    <w:r w:rsidR="009A5035" w:rsidRPr="00A86143">
      <w:rPr>
        <w:rFonts w:ascii="Calibri" w:hAnsi="Calibri"/>
        <w:noProof/>
        <w:color w:val="5F5F5F"/>
        <w:sz w:val="24"/>
        <w:szCs w:val="24"/>
      </w:rPr>
      <w:fldChar w:fldCharType="separate"/>
    </w:r>
    <w:r w:rsidR="00FE2553">
      <w:rPr>
        <w:rFonts w:ascii="Calibri" w:hAnsi="Calibri"/>
        <w:noProof/>
        <w:color w:val="5F5F5F"/>
        <w:sz w:val="24"/>
        <w:szCs w:val="24"/>
      </w:rPr>
      <w:t>7</w:t>
    </w:r>
    <w:r w:rsidR="009A5035" w:rsidRPr="00A86143">
      <w:rPr>
        <w:rFonts w:ascii="Calibri" w:hAnsi="Calibri"/>
        <w:noProof/>
        <w:color w:val="5F5F5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D0838" w14:textId="77777777" w:rsidR="009B209A" w:rsidRDefault="009B209A">
      <w:r>
        <w:separator/>
      </w:r>
    </w:p>
  </w:footnote>
  <w:footnote w:type="continuationSeparator" w:id="0">
    <w:p w14:paraId="145419BC" w14:textId="77777777" w:rsidR="009B209A" w:rsidRDefault="009B2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8BFDC" w14:textId="2BB84857" w:rsidR="00347C78" w:rsidRPr="00347C78" w:rsidRDefault="001E7914" w:rsidP="009A46E9">
    <w:pPr>
      <w:pStyle w:val="Intestazione"/>
      <w:tabs>
        <w:tab w:val="left" w:pos="10065"/>
      </w:tabs>
    </w:pPr>
    <w:r>
      <w:rPr>
        <w:noProof/>
      </w:rPr>
      <w:drawing>
        <wp:anchor distT="0" distB="0" distL="114300" distR="114300" simplePos="0" relativeHeight="251661312" behindDoc="0" locked="0" layoutInCell="1" allowOverlap="1" wp14:anchorId="6A103E47" wp14:editId="01802280">
          <wp:simplePos x="0" y="0"/>
          <wp:positionH relativeFrom="column">
            <wp:posOffset>12700</wp:posOffset>
          </wp:positionH>
          <wp:positionV relativeFrom="paragraph">
            <wp:posOffset>-140335</wp:posOffset>
          </wp:positionV>
          <wp:extent cx="5332730" cy="1137920"/>
          <wp:effectExtent l="0" t="0" r="0" b="0"/>
          <wp:wrapNone/>
          <wp:docPr id="24" name="Immagine 6" descr="iconeComunicatiRosso-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6" descr="iconeComunicatiRosso-01"/>
                  <pic:cNvPicPr>
                    <a:picLocks noChangeArrowheads="1"/>
                  </pic:cNvPicPr>
                </pic:nvPicPr>
                <pic:blipFill>
                  <a:blip r:embed="rId1">
                    <a:extLst>
                      <a:ext uri="{28A0092B-C50C-407E-A947-70E740481C1C}">
                        <a14:useLocalDpi xmlns:a14="http://schemas.microsoft.com/office/drawing/2010/main" val="0"/>
                      </a:ext>
                    </a:extLst>
                  </a:blip>
                  <a:srcRect l="5" t="-12706" r="16052" b="7286"/>
                  <a:stretch>
                    <a:fillRect/>
                  </a:stretch>
                </pic:blipFill>
                <pic:spPr bwMode="auto">
                  <a:xfrm>
                    <a:off x="0" y="0"/>
                    <a:ext cx="5332730" cy="1137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0C320BCD" wp14:editId="2903F9AD">
              <wp:simplePos x="0" y="0"/>
              <wp:positionH relativeFrom="margin">
                <wp:posOffset>5435600</wp:posOffset>
              </wp:positionH>
              <wp:positionV relativeFrom="paragraph">
                <wp:posOffset>113665</wp:posOffset>
              </wp:positionV>
              <wp:extent cx="1073150" cy="901700"/>
              <wp:effectExtent l="0" t="0" r="0" b="0"/>
              <wp:wrapNone/>
              <wp:docPr id="9"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150" cy="901700"/>
                      </a:xfrm>
                      <a:prstGeom prst="rect">
                        <a:avLst/>
                      </a:prstGeom>
                      <a:solidFill>
                        <a:sysClr val="window" lastClr="FFFFFF"/>
                      </a:solidFill>
                      <a:ln w="6350">
                        <a:noFill/>
                      </a:ln>
                    </wps:spPr>
                    <wps:txbx>
                      <w:txbxContent>
                        <w:p w14:paraId="1A66A52B" w14:textId="77777777" w:rsidR="00B1436D" w:rsidRDefault="00FE2553" w:rsidP="00B1436D">
                          <w:pPr>
                            <w:spacing w:after="120" w:line="180" w:lineRule="exact"/>
                            <w:rPr>
                              <w:rFonts w:ascii="Arial Narrow" w:hAnsi="Arial Narrow"/>
                              <w:sz w:val="18"/>
                              <w:szCs w:val="18"/>
                            </w:rPr>
                          </w:pPr>
                          <w:hyperlink r:id="rId2" w:history="1">
                            <w:r w:rsidR="00B1436D" w:rsidRPr="00047296">
                              <w:rPr>
                                <w:rStyle w:val="Collegamentoipertestuale"/>
                                <w:rFonts w:ascii="Arial Narrow" w:hAnsi="Arial Narrow"/>
                                <w:sz w:val="18"/>
                                <w:szCs w:val="18"/>
                              </w:rPr>
                              <w:t>http://www.istat.it</w:t>
                            </w:r>
                          </w:hyperlink>
                        </w:p>
                        <w:p w14:paraId="6EDB2DD9" w14:textId="77777777" w:rsidR="00B1436D" w:rsidRPr="00246B19" w:rsidRDefault="00FE2553" w:rsidP="00B1436D">
                          <w:pPr>
                            <w:spacing w:after="120" w:line="180" w:lineRule="exact"/>
                            <w:rPr>
                              <w:rFonts w:ascii="Arial Narrow" w:hAnsi="Arial Narrow"/>
                              <w:sz w:val="18"/>
                              <w:szCs w:val="18"/>
                            </w:rPr>
                          </w:pPr>
                          <w:hyperlink r:id="rId3" w:history="1">
                            <w:r w:rsidR="00B1436D">
                              <w:rPr>
                                <w:rStyle w:val="Collegamentoipertestuale"/>
                                <w:rFonts w:ascii="Arial Narrow" w:hAnsi="Arial Narrow"/>
                                <w:bCs/>
                                <w:sz w:val="18"/>
                                <w:szCs w:val="18"/>
                              </w:rPr>
                              <w:t xml:space="preserve">Contact Centre </w:t>
                            </w:r>
                          </w:hyperlink>
                        </w:p>
                        <w:p w14:paraId="697AC5C1" w14:textId="77777777" w:rsidR="00B1436D" w:rsidRPr="00201686" w:rsidRDefault="00B1436D" w:rsidP="00B1436D">
                          <w:pPr>
                            <w:spacing w:after="120" w:line="180" w:lineRule="exact"/>
                            <w:rPr>
                              <w:rFonts w:ascii="Arial Narrow" w:hAnsi="Arial Narrow"/>
                              <w:b/>
                              <w:bCs/>
                              <w:sz w:val="18"/>
                              <w:szCs w:val="18"/>
                            </w:rPr>
                          </w:pPr>
                          <w:r w:rsidRPr="00246B19">
                            <w:rPr>
                              <w:rFonts w:ascii="Arial Narrow" w:hAnsi="Arial Narrow"/>
                              <w:b/>
                              <w:bCs/>
                              <w:sz w:val="18"/>
                              <w:szCs w:val="18"/>
                            </w:rPr>
                            <w:t>Ufficio Stampa</w:t>
                          </w:r>
                          <w:r w:rsidRPr="00246B19">
                            <w:rPr>
                              <w:rFonts w:ascii="Arial Narrow" w:hAnsi="Arial Narrow"/>
                              <w:b/>
                              <w:bCs/>
                              <w:sz w:val="18"/>
                              <w:szCs w:val="18"/>
                            </w:rPr>
                            <w:br/>
                          </w:r>
                          <w:r w:rsidRPr="00246B19">
                            <w:rPr>
                              <w:rFonts w:ascii="Arial Narrow" w:hAnsi="Arial Narrow"/>
                              <w:sz w:val="18"/>
                              <w:szCs w:val="18"/>
                            </w:rPr>
                            <w:t xml:space="preserve">tel. </w:t>
                          </w:r>
                          <w:r w:rsidRPr="00201686">
                            <w:rPr>
                              <w:rFonts w:ascii="Arial Narrow" w:hAnsi="Arial Narrow"/>
                              <w:sz w:val="18"/>
                              <w:szCs w:val="18"/>
                            </w:rPr>
                            <w:t>+39 06 4673.2243/4</w:t>
                          </w:r>
                        </w:p>
                        <w:p w14:paraId="26017AEB" w14:textId="77777777" w:rsidR="00B1436D" w:rsidRPr="00201686" w:rsidRDefault="00B1436D" w:rsidP="00B1436D">
                          <w:pPr>
                            <w:spacing w:after="120" w:line="180" w:lineRule="exact"/>
                            <w:rPr>
                              <w:rFonts w:ascii="Arial Narrow" w:hAnsi="Arial Narrow"/>
                              <w:b/>
                              <w:bCs/>
                              <w:color w:val="7F7F7F"/>
                              <w:sz w:val="18"/>
                              <w:szCs w:val="18"/>
                            </w:rPr>
                          </w:pPr>
                          <w:r w:rsidRPr="00201686">
                            <w:rPr>
                              <w:rFonts w:ascii="Arial Narrow" w:hAnsi="Arial Narrow"/>
                              <w:b/>
                              <w:bCs/>
                              <w:color w:val="7F7F7F"/>
                              <w:sz w:val="18"/>
                              <w:szCs w:val="18"/>
                            </w:rPr>
                            <w:t>ufficiostampa@istat.it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20BCD" id="_x0000_t202" coordsize="21600,21600" o:spt="202" path="m,l,21600r21600,l21600,xe">
              <v:stroke joinstyle="miter"/>
              <v:path gradientshapeok="t" o:connecttype="rect"/>
            </v:shapetype>
            <v:shape id="Casella di testo 8" o:spid="_x0000_s1027" type="#_x0000_t202" style="position:absolute;margin-left:428pt;margin-top:8.95pt;width:84.5pt;height:7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" fillcolor="window" stroked="f" strokeweight=".5pt">
              <v:path arrowok="t"/>
              <v:textbox inset="0,0,0,0">
                <w:txbxContent>
                  <w:p w14:paraId="1A66A52B" w14:textId="77777777" w:rsidR="00B1436D" w:rsidRDefault="00FE2553" w:rsidP="00B1436D">
                    <w:pPr>
                      <w:spacing w:after="120" w:line="180" w:lineRule="exact"/>
                      <w:rPr>
                        <w:rFonts w:ascii="Arial Narrow" w:hAnsi="Arial Narrow"/>
                        <w:sz w:val="18"/>
                        <w:szCs w:val="18"/>
                      </w:rPr>
                    </w:pPr>
                    <w:hyperlink r:id="rId4" w:history="1">
                      <w:r w:rsidR="00B1436D" w:rsidRPr="00047296">
                        <w:rPr>
                          <w:rStyle w:val="Collegamentoipertestuale"/>
                          <w:rFonts w:ascii="Arial Narrow" w:hAnsi="Arial Narrow"/>
                          <w:sz w:val="18"/>
                          <w:szCs w:val="18"/>
                        </w:rPr>
                        <w:t>http://www.istat.it</w:t>
                      </w:r>
                    </w:hyperlink>
                  </w:p>
                  <w:p w14:paraId="6EDB2DD9" w14:textId="77777777" w:rsidR="00B1436D" w:rsidRPr="00246B19" w:rsidRDefault="00FE2553" w:rsidP="00B1436D">
                    <w:pPr>
                      <w:spacing w:after="120" w:line="180" w:lineRule="exact"/>
                      <w:rPr>
                        <w:rFonts w:ascii="Arial Narrow" w:hAnsi="Arial Narrow"/>
                        <w:sz w:val="18"/>
                        <w:szCs w:val="18"/>
                      </w:rPr>
                    </w:pPr>
                    <w:hyperlink r:id="rId5" w:history="1">
                      <w:r w:rsidR="00B1436D">
                        <w:rPr>
                          <w:rStyle w:val="Collegamentoipertestuale"/>
                          <w:rFonts w:ascii="Arial Narrow" w:hAnsi="Arial Narrow"/>
                          <w:bCs/>
                          <w:sz w:val="18"/>
                          <w:szCs w:val="18"/>
                        </w:rPr>
                        <w:t xml:space="preserve">Contact Centre </w:t>
                      </w:r>
                    </w:hyperlink>
                  </w:p>
                  <w:p w14:paraId="697AC5C1" w14:textId="77777777" w:rsidR="00B1436D" w:rsidRPr="00201686" w:rsidRDefault="00B1436D" w:rsidP="00B1436D">
                    <w:pPr>
                      <w:spacing w:after="120" w:line="180" w:lineRule="exact"/>
                      <w:rPr>
                        <w:rFonts w:ascii="Arial Narrow" w:hAnsi="Arial Narrow"/>
                        <w:b/>
                        <w:bCs/>
                        <w:sz w:val="18"/>
                        <w:szCs w:val="18"/>
                      </w:rPr>
                    </w:pPr>
                    <w:r w:rsidRPr="00246B19">
                      <w:rPr>
                        <w:rFonts w:ascii="Arial Narrow" w:hAnsi="Arial Narrow"/>
                        <w:b/>
                        <w:bCs/>
                        <w:sz w:val="18"/>
                        <w:szCs w:val="18"/>
                      </w:rPr>
                      <w:t>Ufficio Stampa</w:t>
                    </w:r>
                    <w:r w:rsidRPr="00246B19">
                      <w:rPr>
                        <w:rFonts w:ascii="Arial Narrow" w:hAnsi="Arial Narrow"/>
                        <w:b/>
                        <w:bCs/>
                        <w:sz w:val="18"/>
                        <w:szCs w:val="18"/>
                      </w:rPr>
                      <w:br/>
                    </w:r>
                    <w:r w:rsidRPr="00246B19">
                      <w:rPr>
                        <w:rFonts w:ascii="Arial Narrow" w:hAnsi="Arial Narrow"/>
                        <w:sz w:val="18"/>
                        <w:szCs w:val="18"/>
                      </w:rPr>
                      <w:t xml:space="preserve">tel. </w:t>
                    </w:r>
                    <w:r w:rsidRPr="00201686">
                      <w:rPr>
                        <w:rFonts w:ascii="Arial Narrow" w:hAnsi="Arial Narrow"/>
                        <w:sz w:val="18"/>
                        <w:szCs w:val="18"/>
                      </w:rPr>
                      <w:t>+39 06 4673.2243/4</w:t>
                    </w:r>
                  </w:p>
                  <w:p w14:paraId="26017AEB" w14:textId="77777777" w:rsidR="00B1436D" w:rsidRPr="00201686" w:rsidRDefault="00B1436D" w:rsidP="00B1436D">
                    <w:pPr>
                      <w:spacing w:after="120" w:line="180" w:lineRule="exact"/>
                      <w:rPr>
                        <w:rFonts w:ascii="Arial Narrow" w:hAnsi="Arial Narrow"/>
                        <w:b/>
                        <w:bCs/>
                        <w:color w:val="7F7F7F"/>
                        <w:sz w:val="18"/>
                        <w:szCs w:val="18"/>
                      </w:rPr>
                    </w:pPr>
                    <w:r w:rsidRPr="00201686">
                      <w:rPr>
                        <w:rFonts w:ascii="Arial Narrow" w:hAnsi="Arial Narrow"/>
                        <w:b/>
                        <w:bCs/>
                        <w:color w:val="7F7F7F"/>
                        <w:sz w:val="18"/>
                        <w:szCs w:val="18"/>
                      </w:rPr>
                      <w:t>ufficiostampa@istat.it</w:t>
                    </w: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76FB816D" wp14:editId="0020C891">
              <wp:simplePos x="0" y="0"/>
              <wp:positionH relativeFrom="column">
                <wp:posOffset>55880</wp:posOffset>
              </wp:positionH>
              <wp:positionV relativeFrom="paragraph">
                <wp:posOffset>1102994</wp:posOffset>
              </wp:positionV>
              <wp:extent cx="6380480" cy="0"/>
              <wp:effectExtent l="0" t="0" r="0" b="0"/>
              <wp:wrapNone/>
              <wp:docPr id="37" name="Connettore 1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0480" cy="0"/>
                      </a:xfrm>
                      <a:prstGeom prst="line">
                        <a:avLst/>
                      </a:prstGeom>
                      <a:noFill/>
                      <a:ln w="9525"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0172899" id="Connettore 1 3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4pt,86.85pt" to="506.8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" strokecolor="#7f7f7f">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6E305" w14:textId="33DE044D" w:rsidR="0017508C" w:rsidRPr="006B27FD" w:rsidRDefault="001E7914" w:rsidP="009E5F03">
    <w:pPr>
      <w:pStyle w:val="Intestazione"/>
      <w:rPr>
        <w:b/>
      </w:rPr>
    </w:pPr>
    <w:r w:rsidRPr="006B27FD">
      <w:rPr>
        <w:b/>
        <w:noProof/>
      </w:rPr>
      <mc:AlternateContent>
        <mc:Choice Requires="wps">
          <w:drawing>
            <wp:anchor distT="0" distB="0" distL="114300" distR="114300" simplePos="0" relativeHeight="251656192" behindDoc="0" locked="0" layoutInCell="1" allowOverlap="1" wp14:anchorId="29A11727" wp14:editId="3418BB81">
              <wp:simplePos x="0" y="0"/>
              <wp:positionH relativeFrom="column">
                <wp:posOffset>532130</wp:posOffset>
              </wp:positionH>
              <wp:positionV relativeFrom="paragraph">
                <wp:posOffset>71120</wp:posOffset>
              </wp:positionV>
              <wp:extent cx="1247775" cy="263525"/>
              <wp:effectExtent l="13970" t="6985" r="5080" b="5715"/>
              <wp:wrapNone/>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63525"/>
                      </a:xfrm>
                      <a:prstGeom prst="rect">
                        <a:avLst/>
                      </a:prstGeom>
                      <a:solidFill>
                        <a:srgbClr val="FFFFFF"/>
                      </a:solidFill>
                      <a:ln w="9525">
                        <a:solidFill>
                          <a:srgbClr val="FFFFFF"/>
                        </a:solidFill>
                        <a:miter lim="800000"/>
                        <a:headEnd/>
                        <a:tailEnd/>
                      </a:ln>
                    </wps:spPr>
                    <wps:txbx>
                      <w:txbxContent>
                        <w:p w14:paraId="122681F9" w14:textId="77777777" w:rsidR="001570B0" w:rsidRPr="008748F4" w:rsidRDefault="001570B0" w:rsidP="001570B0">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 xml:space="preserve">STIMA PRELIMINARE </w:t>
                          </w:r>
                        </w:p>
                        <w:p w14:paraId="6A54EFB1" w14:textId="77777777" w:rsidR="001570B0" w:rsidRPr="008748F4" w:rsidRDefault="001570B0" w:rsidP="001570B0">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DEL PIL</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9A11727" id="_x0000_t202" coordsize="21600,21600" o:spt="202" path="m,l,21600r21600,l21600,xe">
              <v:stroke joinstyle="miter"/>
              <v:path gradientshapeok="t" o:connecttype="rect"/>
            </v:shapetype>
            <v:shape id="_x0000_s1028" type="#_x0000_t202" style="position:absolute;margin-left:41.9pt;margin-top:5.6pt;width:98.25pt;height:20.7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" strokecolor="white">
              <v:textbox style="mso-fit-shape-to-text:t" inset="0,0,0,0">
                <w:txbxContent>
                  <w:p w14:paraId="122681F9" w14:textId="77777777" w:rsidR="001570B0" w:rsidRPr="008748F4" w:rsidRDefault="001570B0" w:rsidP="001570B0">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 xml:space="preserve">STIMA PRELIMINARE </w:t>
                    </w:r>
                  </w:p>
                  <w:p w14:paraId="6A54EFB1" w14:textId="77777777" w:rsidR="001570B0" w:rsidRPr="008748F4" w:rsidRDefault="001570B0" w:rsidP="001570B0">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DEL PIL</w:t>
                    </w:r>
                  </w:p>
                </w:txbxContent>
              </v:textbox>
            </v:shape>
          </w:pict>
        </mc:Fallback>
      </mc:AlternateContent>
    </w:r>
    <w:r w:rsidRPr="006B27FD">
      <w:rPr>
        <w:b/>
        <w:noProof/>
      </w:rPr>
      <w:drawing>
        <wp:inline distT="0" distB="0" distL="0" distR="0" wp14:anchorId="0F720482" wp14:editId="0374B36E">
          <wp:extent cx="6481445" cy="59245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1445" cy="5924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9E094" w14:textId="3561C8BA" w:rsidR="00C82867" w:rsidRPr="009E5F03" w:rsidRDefault="001E7914" w:rsidP="009E5F03">
    <w:pPr>
      <w:pStyle w:val="Intestazione"/>
    </w:pPr>
    <w:r>
      <w:rPr>
        <w:noProof/>
      </w:rPr>
      <mc:AlternateContent>
        <mc:Choice Requires="wps">
          <w:drawing>
            <wp:anchor distT="0" distB="0" distL="114300" distR="114300" simplePos="0" relativeHeight="251658240" behindDoc="0" locked="0" layoutInCell="1" allowOverlap="1" wp14:anchorId="7C60E6EA" wp14:editId="6E0E4B0B">
              <wp:simplePos x="0" y="0"/>
              <wp:positionH relativeFrom="column">
                <wp:posOffset>532130</wp:posOffset>
              </wp:positionH>
              <wp:positionV relativeFrom="paragraph">
                <wp:posOffset>71120</wp:posOffset>
              </wp:positionV>
              <wp:extent cx="1247775" cy="263525"/>
              <wp:effectExtent l="13970" t="6985" r="5080" b="5715"/>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63525"/>
                      </a:xfrm>
                      <a:prstGeom prst="rect">
                        <a:avLst/>
                      </a:prstGeom>
                      <a:solidFill>
                        <a:srgbClr val="FFFFFF"/>
                      </a:solidFill>
                      <a:ln w="9525">
                        <a:solidFill>
                          <a:srgbClr val="FFFFFF"/>
                        </a:solidFill>
                        <a:miter lim="800000"/>
                        <a:headEnd/>
                        <a:tailEnd/>
                      </a:ln>
                    </wps:spPr>
                    <wps:txbx>
                      <w:txbxContent>
                        <w:p w14:paraId="560A17FC" w14:textId="77777777" w:rsidR="00C82867" w:rsidRPr="008748F4" w:rsidRDefault="00C82867" w:rsidP="001570B0">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STIMA PRELIMINARE</w:t>
                          </w:r>
                        </w:p>
                        <w:p w14:paraId="5C471036" w14:textId="77777777" w:rsidR="00C82867" w:rsidRPr="008748F4" w:rsidRDefault="00C82867" w:rsidP="001570B0">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DEL PIL</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60E6EA" id="_x0000_t202" coordsize="21600,21600" o:spt="202" path="m,l,21600r21600,l21600,xe">
              <v:stroke joinstyle="miter"/>
              <v:path gradientshapeok="t" o:connecttype="rect"/>
            </v:shapetype>
            <v:shape id="_x0000_s1029" type="#_x0000_t202" style="position:absolute;margin-left:41.9pt;margin-top:5.6pt;width:98.25pt;height:20.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" strokecolor="white">
              <v:textbox style="mso-fit-shape-to-text:t" inset="0,0,0,0">
                <w:txbxContent>
                  <w:p w14:paraId="560A17FC" w14:textId="77777777" w:rsidR="00C82867" w:rsidRPr="008748F4" w:rsidRDefault="00C82867" w:rsidP="001570B0">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STIMA PRELIMINARE</w:t>
                    </w:r>
                  </w:p>
                  <w:p w14:paraId="5C471036" w14:textId="77777777" w:rsidR="00C82867" w:rsidRPr="008748F4" w:rsidRDefault="00C82867" w:rsidP="001570B0">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DEL PIL</w:t>
                    </w:r>
                  </w:p>
                </w:txbxContent>
              </v:textbox>
            </v:shape>
          </w:pict>
        </mc:Fallback>
      </mc:AlternateContent>
    </w:r>
    <w:r>
      <w:rPr>
        <w:noProof/>
      </w:rPr>
      <w:drawing>
        <wp:inline distT="0" distB="0" distL="0" distR="0" wp14:anchorId="2423AFBE" wp14:editId="77973D67">
          <wp:extent cx="6517640" cy="59245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7640" cy="5924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C0925" w14:textId="6199B29C" w:rsidR="00584391" w:rsidRPr="009E5F03" w:rsidRDefault="001E7914" w:rsidP="009E5F03">
    <w:pPr>
      <w:pStyle w:val="Intestazione"/>
    </w:pPr>
    <w:r>
      <w:rPr>
        <w:noProof/>
      </w:rPr>
      <mc:AlternateContent>
        <mc:Choice Requires="wps">
          <w:drawing>
            <wp:anchor distT="0" distB="0" distL="114300" distR="114300" simplePos="0" relativeHeight="251654144" behindDoc="0" locked="0" layoutInCell="1" allowOverlap="1" wp14:anchorId="2C879A91" wp14:editId="6D5B4602">
              <wp:simplePos x="0" y="0"/>
              <wp:positionH relativeFrom="column">
                <wp:posOffset>534670</wp:posOffset>
              </wp:positionH>
              <wp:positionV relativeFrom="paragraph">
                <wp:posOffset>59690</wp:posOffset>
              </wp:positionV>
              <wp:extent cx="1202055" cy="390525"/>
              <wp:effectExtent l="9525" t="12700" r="7620" b="635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390525"/>
                      </a:xfrm>
                      <a:prstGeom prst="rect">
                        <a:avLst/>
                      </a:prstGeom>
                      <a:solidFill>
                        <a:srgbClr val="FFFFFF"/>
                      </a:solidFill>
                      <a:ln w="9525">
                        <a:solidFill>
                          <a:srgbClr val="FFFFFF"/>
                        </a:solidFill>
                        <a:miter lim="800000"/>
                        <a:headEnd/>
                        <a:tailEnd/>
                      </a:ln>
                    </wps:spPr>
                    <wps:txbx>
                      <w:txbxContent>
                        <w:p w14:paraId="6B4332D5" w14:textId="77777777" w:rsidR="000B233D" w:rsidRPr="008748F4" w:rsidRDefault="000B233D" w:rsidP="000B233D">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 xml:space="preserve">STIMA PRELIMINARE </w:t>
                          </w:r>
                        </w:p>
                        <w:p w14:paraId="0C020E04" w14:textId="77777777" w:rsidR="000B233D" w:rsidRPr="008748F4" w:rsidRDefault="000B233D" w:rsidP="000B233D">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DEL PIL</w:t>
                          </w:r>
                        </w:p>
                        <w:p w14:paraId="45E07403" w14:textId="77777777" w:rsidR="003923C9" w:rsidRPr="0017508C" w:rsidRDefault="003923C9" w:rsidP="00B249D0">
                          <w:pPr>
                            <w:pStyle w:val="Intestazione"/>
                            <w:overflowPunct/>
                            <w:autoSpaceDE/>
                            <w:autoSpaceDN/>
                            <w:adjustRightInd/>
                            <w:spacing w:before="0" w:after="0" w:line="200" w:lineRule="exact"/>
                            <w:rPr>
                              <w:rFonts w:ascii="Arial Narrow" w:hAnsi="Arial Narrow"/>
                              <w:b/>
                              <w:color w:val="999999"/>
                              <w:kern w:val="0"/>
                            </w:rPr>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C879A91" id="_x0000_t202" coordsize="21600,21600" o:spt="202" path="m,l,21600r21600,l21600,xe">
              <v:stroke joinstyle="miter"/>
              <v:path gradientshapeok="t" o:connecttype="rect"/>
            </v:shapetype>
            <v:shape id="_x0000_s1030" type="#_x0000_t202" style="position:absolute;margin-left:42.1pt;margin-top:4.7pt;width:94.65pt;height:30.7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" strokecolor="white">
              <v:textbox style="mso-fit-shape-to-text:t" inset="0,0,0,0">
                <w:txbxContent>
                  <w:p w14:paraId="6B4332D5" w14:textId="77777777" w:rsidR="000B233D" w:rsidRPr="008748F4" w:rsidRDefault="000B233D" w:rsidP="000B233D">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 xml:space="preserve">STIMA PRELIMINARE </w:t>
                    </w:r>
                  </w:p>
                  <w:p w14:paraId="0C020E04" w14:textId="77777777" w:rsidR="000B233D" w:rsidRPr="008748F4" w:rsidRDefault="000B233D" w:rsidP="000B233D">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DEL PIL</w:t>
                    </w:r>
                  </w:p>
                  <w:p w14:paraId="45E07403" w14:textId="77777777" w:rsidR="003923C9" w:rsidRPr="0017508C" w:rsidRDefault="003923C9" w:rsidP="00B249D0">
                    <w:pPr>
                      <w:pStyle w:val="Intestazione"/>
                      <w:overflowPunct/>
                      <w:autoSpaceDE/>
                      <w:autoSpaceDN/>
                      <w:adjustRightInd/>
                      <w:spacing w:before="0" w:after="0" w:line="200" w:lineRule="exact"/>
                      <w:rPr>
                        <w:rFonts w:ascii="Arial Narrow" w:hAnsi="Arial Narrow"/>
                        <w:b/>
                        <w:color w:val="999999"/>
                        <w:kern w:val="0"/>
                      </w:rPr>
                    </w:pPr>
                  </w:p>
                </w:txbxContent>
              </v:textbox>
            </v:shape>
          </w:pict>
        </mc:Fallback>
      </mc:AlternateContent>
    </w:r>
    <w:r>
      <w:rPr>
        <w:noProof/>
      </w:rPr>
      <w:drawing>
        <wp:inline distT="0" distB="0" distL="0" distR="0" wp14:anchorId="0819CE90" wp14:editId="4EEAAD25">
          <wp:extent cx="6517640" cy="59245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7640" cy="59245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6BF32" w14:textId="05AB210D" w:rsidR="00584391" w:rsidRPr="009E5F03" w:rsidRDefault="001E7914" w:rsidP="009E5F03">
    <w:pPr>
      <w:pStyle w:val="Intestazione"/>
    </w:pPr>
    <w:r>
      <w:rPr>
        <w:noProof/>
      </w:rPr>
      <mc:AlternateContent>
        <mc:Choice Requires="wps">
          <w:drawing>
            <wp:anchor distT="0" distB="0" distL="114300" distR="114300" simplePos="0" relativeHeight="251655168" behindDoc="0" locked="0" layoutInCell="1" allowOverlap="1" wp14:anchorId="69417461" wp14:editId="36696DEE">
              <wp:simplePos x="0" y="0"/>
              <wp:positionH relativeFrom="column">
                <wp:posOffset>536575</wp:posOffset>
              </wp:positionH>
              <wp:positionV relativeFrom="paragraph">
                <wp:posOffset>60960</wp:posOffset>
              </wp:positionV>
              <wp:extent cx="1276350" cy="390525"/>
              <wp:effectExtent l="13335" t="5715" r="5715" b="13335"/>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90525"/>
                      </a:xfrm>
                      <a:prstGeom prst="rect">
                        <a:avLst/>
                      </a:prstGeom>
                      <a:solidFill>
                        <a:srgbClr val="FFFFFF"/>
                      </a:solidFill>
                      <a:ln w="9525">
                        <a:solidFill>
                          <a:srgbClr val="FFFFFF"/>
                        </a:solidFill>
                        <a:miter lim="800000"/>
                        <a:headEnd/>
                        <a:tailEnd/>
                      </a:ln>
                    </wps:spPr>
                    <wps:txbx>
                      <w:txbxContent>
                        <w:p w14:paraId="08543ED1" w14:textId="77777777" w:rsidR="000B233D" w:rsidRPr="008748F4" w:rsidRDefault="000B233D" w:rsidP="000B233D">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 xml:space="preserve">STIMA PRELIMINARE </w:t>
                          </w:r>
                        </w:p>
                        <w:p w14:paraId="22FA887B" w14:textId="77777777" w:rsidR="000B233D" w:rsidRPr="008748F4" w:rsidRDefault="000B233D" w:rsidP="000B233D">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DEL PIL</w:t>
                          </w:r>
                        </w:p>
                        <w:p w14:paraId="0052A523" w14:textId="77777777" w:rsidR="003923C9" w:rsidRPr="00B81D29" w:rsidRDefault="003923C9" w:rsidP="00B249D0">
                          <w:pPr>
                            <w:pStyle w:val="Intestazione"/>
                            <w:overflowPunct/>
                            <w:autoSpaceDE/>
                            <w:autoSpaceDN/>
                            <w:adjustRightInd/>
                            <w:spacing w:before="0" w:after="0" w:line="200" w:lineRule="exact"/>
                            <w:rPr>
                              <w:rFonts w:ascii="Arial Narrow" w:hAnsi="Arial Narrow"/>
                              <w:b/>
                              <w:color w:val="808080"/>
                              <w:kern w:val="0"/>
                            </w:rPr>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9417461" id="_x0000_t202" coordsize="21600,21600" o:spt="202" path="m,l,21600r21600,l21600,xe">
              <v:stroke joinstyle="miter"/>
              <v:path gradientshapeok="t" o:connecttype="rect"/>
            </v:shapetype>
            <v:shape id="_x0000_s1031" type="#_x0000_t202" style="position:absolute;margin-left:42.25pt;margin-top:4.8pt;width:100.5pt;height:30.7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" strokecolor="white">
              <v:textbox style="mso-fit-shape-to-text:t" inset="0,0,0,0">
                <w:txbxContent>
                  <w:p w14:paraId="08543ED1" w14:textId="77777777" w:rsidR="000B233D" w:rsidRPr="008748F4" w:rsidRDefault="000B233D" w:rsidP="000B233D">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 xml:space="preserve">STIMA PRELIMINARE </w:t>
                    </w:r>
                  </w:p>
                  <w:p w14:paraId="22FA887B" w14:textId="77777777" w:rsidR="000B233D" w:rsidRPr="008748F4" w:rsidRDefault="000B233D" w:rsidP="000B233D">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DEL PIL</w:t>
                    </w:r>
                  </w:p>
                  <w:p w14:paraId="0052A523" w14:textId="77777777" w:rsidR="003923C9" w:rsidRPr="00B81D29" w:rsidRDefault="003923C9" w:rsidP="00B249D0">
                    <w:pPr>
                      <w:pStyle w:val="Intestazione"/>
                      <w:overflowPunct/>
                      <w:autoSpaceDE/>
                      <w:autoSpaceDN/>
                      <w:adjustRightInd/>
                      <w:spacing w:before="0" w:after="0" w:line="200" w:lineRule="exact"/>
                      <w:rPr>
                        <w:rFonts w:ascii="Arial Narrow" w:hAnsi="Arial Narrow"/>
                        <w:b/>
                        <w:color w:val="808080"/>
                        <w:kern w:val="0"/>
                      </w:rPr>
                    </w:pPr>
                  </w:p>
                </w:txbxContent>
              </v:textbox>
            </v:shape>
          </w:pict>
        </mc:Fallback>
      </mc:AlternateContent>
    </w:r>
    <w:r>
      <w:rPr>
        <w:noProof/>
      </w:rPr>
      <w:drawing>
        <wp:inline distT="0" distB="0" distL="0" distR="0" wp14:anchorId="6116292D" wp14:editId="6F0FBBD3">
          <wp:extent cx="6481445" cy="58547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1445" cy="5854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45pt;height:8.45pt" o:bullet="t">
        <v:imagedata r:id="rId1" o:title=""/>
      </v:shape>
    </w:pict>
  </w:numPicBullet>
  <w:numPicBullet w:numPicBulletId="1">
    <w:pict>
      <v:shape id="_x0000_i1028" type="#_x0000_t75" style="width:4.5pt;height:7.2pt" o:bullet="t">
        <v:imagedata r:id="rId2" o:title=""/>
      </v:shape>
    </w:pict>
  </w:numPicBullet>
  <w:abstractNum w:abstractNumId="0" w15:restartNumberingAfterBreak="0">
    <w:nsid w:val="FFFFFF1D"/>
    <w:multiLevelType w:val="multilevel"/>
    <w:tmpl w:val="F1A4DC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22D62"/>
    <w:multiLevelType w:val="hybridMultilevel"/>
    <w:tmpl w:val="2EA4AA2A"/>
    <w:lvl w:ilvl="0" w:tplc="7FE041A6">
      <w:start w:val="1"/>
      <w:numFmt w:val="bullet"/>
      <w:lvlText w:val=""/>
      <w:lvlJc w:val="left"/>
      <w:pPr>
        <w:ind w:left="720" w:hanging="360"/>
      </w:pPr>
      <w:rPr>
        <w:rFonts w:ascii="Wingdings" w:hAnsi="Wingdings" w:hint="default"/>
        <w:b/>
        <w:i w:val="0"/>
        <w:color w:val="FF000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6E56C4"/>
    <w:multiLevelType w:val="hybridMultilevel"/>
    <w:tmpl w:val="AB00ACB0"/>
    <w:lvl w:ilvl="0" w:tplc="723CD9BA">
      <w:start w:val="1"/>
      <w:numFmt w:val="bullet"/>
      <w:lvlText w:val=""/>
      <w:lvlPicBulletId w:val="1"/>
      <w:lvlJc w:val="left"/>
      <w:pPr>
        <w:ind w:left="2534" w:hanging="360"/>
      </w:pPr>
      <w:rPr>
        <w:rFonts w:ascii="Symbol" w:hAnsi="Symbol" w:hint="default"/>
      </w:rPr>
    </w:lvl>
    <w:lvl w:ilvl="1" w:tplc="04100003" w:tentative="1">
      <w:start w:val="1"/>
      <w:numFmt w:val="bullet"/>
      <w:lvlText w:val="o"/>
      <w:lvlJc w:val="left"/>
      <w:pPr>
        <w:ind w:left="3254" w:hanging="360"/>
      </w:pPr>
      <w:rPr>
        <w:rFonts w:ascii="Courier New" w:hAnsi="Courier New" w:cs="Courier New" w:hint="default"/>
      </w:rPr>
    </w:lvl>
    <w:lvl w:ilvl="2" w:tplc="04100005" w:tentative="1">
      <w:start w:val="1"/>
      <w:numFmt w:val="bullet"/>
      <w:lvlText w:val=""/>
      <w:lvlJc w:val="left"/>
      <w:pPr>
        <w:ind w:left="3974" w:hanging="360"/>
      </w:pPr>
      <w:rPr>
        <w:rFonts w:ascii="Wingdings" w:hAnsi="Wingdings" w:hint="default"/>
      </w:rPr>
    </w:lvl>
    <w:lvl w:ilvl="3" w:tplc="04100001" w:tentative="1">
      <w:start w:val="1"/>
      <w:numFmt w:val="bullet"/>
      <w:lvlText w:val=""/>
      <w:lvlJc w:val="left"/>
      <w:pPr>
        <w:ind w:left="4694" w:hanging="360"/>
      </w:pPr>
      <w:rPr>
        <w:rFonts w:ascii="Symbol" w:hAnsi="Symbol" w:hint="default"/>
      </w:rPr>
    </w:lvl>
    <w:lvl w:ilvl="4" w:tplc="04100003" w:tentative="1">
      <w:start w:val="1"/>
      <w:numFmt w:val="bullet"/>
      <w:lvlText w:val="o"/>
      <w:lvlJc w:val="left"/>
      <w:pPr>
        <w:ind w:left="5414" w:hanging="360"/>
      </w:pPr>
      <w:rPr>
        <w:rFonts w:ascii="Courier New" w:hAnsi="Courier New" w:cs="Courier New" w:hint="default"/>
      </w:rPr>
    </w:lvl>
    <w:lvl w:ilvl="5" w:tplc="04100005" w:tentative="1">
      <w:start w:val="1"/>
      <w:numFmt w:val="bullet"/>
      <w:lvlText w:val=""/>
      <w:lvlJc w:val="left"/>
      <w:pPr>
        <w:ind w:left="6134" w:hanging="360"/>
      </w:pPr>
      <w:rPr>
        <w:rFonts w:ascii="Wingdings" w:hAnsi="Wingdings" w:hint="default"/>
      </w:rPr>
    </w:lvl>
    <w:lvl w:ilvl="6" w:tplc="04100001" w:tentative="1">
      <w:start w:val="1"/>
      <w:numFmt w:val="bullet"/>
      <w:lvlText w:val=""/>
      <w:lvlJc w:val="left"/>
      <w:pPr>
        <w:ind w:left="6854" w:hanging="360"/>
      </w:pPr>
      <w:rPr>
        <w:rFonts w:ascii="Symbol" w:hAnsi="Symbol" w:hint="default"/>
      </w:rPr>
    </w:lvl>
    <w:lvl w:ilvl="7" w:tplc="04100003" w:tentative="1">
      <w:start w:val="1"/>
      <w:numFmt w:val="bullet"/>
      <w:lvlText w:val="o"/>
      <w:lvlJc w:val="left"/>
      <w:pPr>
        <w:ind w:left="7574" w:hanging="360"/>
      </w:pPr>
      <w:rPr>
        <w:rFonts w:ascii="Courier New" w:hAnsi="Courier New" w:cs="Courier New" w:hint="default"/>
      </w:rPr>
    </w:lvl>
    <w:lvl w:ilvl="8" w:tplc="04100005" w:tentative="1">
      <w:start w:val="1"/>
      <w:numFmt w:val="bullet"/>
      <w:lvlText w:val=""/>
      <w:lvlJc w:val="left"/>
      <w:pPr>
        <w:ind w:left="8294" w:hanging="360"/>
      </w:pPr>
      <w:rPr>
        <w:rFonts w:ascii="Wingdings" w:hAnsi="Wingdings" w:hint="default"/>
      </w:rPr>
    </w:lvl>
  </w:abstractNum>
  <w:abstractNum w:abstractNumId="3" w15:restartNumberingAfterBreak="0">
    <w:nsid w:val="056C3596"/>
    <w:multiLevelType w:val="multilevel"/>
    <w:tmpl w:val="98E2AEF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59315D3"/>
    <w:multiLevelType w:val="hybridMultilevel"/>
    <w:tmpl w:val="EF400274"/>
    <w:lvl w:ilvl="0" w:tplc="8CAC103E">
      <w:start w:val="1"/>
      <w:numFmt w:val="bullet"/>
      <w:lvlText w:val=""/>
      <w:lvlPicBulletId w:val="1"/>
      <w:lvlJc w:val="left"/>
      <w:pPr>
        <w:tabs>
          <w:tab w:val="num" w:pos="720"/>
        </w:tabs>
        <w:ind w:left="720" w:hanging="360"/>
      </w:pPr>
      <w:rPr>
        <w:rFonts w:ascii="Symbol" w:hAnsi="Symbol" w:hint="default"/>
      </w:rPr>
    </w:lvl>
    <w:lvl w:ilvl="1" w:tplc="950A23AE" w:tentative="1">
      <w:start w:val="1"/>
      <w:numFmt w:val="bullet"/>
      <w:lvlText w:val=""/>
      <w:lvlJc w:val="left"/>
      <w:pPr>
        <w:tabs>
          <w:tab w:val="num" w:pos="1440"/>
        </w:tabs>
        <w:ind w:left="1440" w:hanging="360"/>
      </w:pPr>
      <w:rPr>
        <w:rFonts w:ascii="Symbol" w:hAnsi="Symbol" w:hint="default"/>
      </w:rPr>
    </w:lvl>
    <w:lvl w:ilvl="2" w:tplc="10E0DD76" w:tentative="1">
      <w:start w:val="1"/>
      <w:numFmt w:val="bullet"/>
      <w:lvlText w:val=""/>
      <w:lvlJc w:val="left"/>
      <w:pPr>
        <w:tabs>
          <w:tab w:val="num" w:pos="2160"/>
        </w:tabs>
        <w:ind w:left="2160" w:hanging="360"/>
      </w:pPr>
      <w:rPr>
        <w:rFonts w:ascii="Symbol" w:hAnsi="Symbol" w:hint="default"/>
      </w:rPr>
    </w:lvl>
    <w:lvl w:ilvl="3" w:tplc="A5229CBE" w:tentative="1">
      <w:start w:val="1"/>
      <w:numFmt w:val="bullet"/>
      <w:lvlText w:val=""/>
      <w:lvlJc w:val="left"/>
      <w:pPr>
        <w:tabs>
          <w:tab w:val="num" w:pos="2880"/>
        </w:tabs>
        <w:ind w:left="2880" w:hanging="360"/>
      </w:pPr>
      <w:rPr>
        <w:rFonts w:ascii="Symbol" w:hAnsi="Symbol" w:hint="default"/>
      </w:rPr>
    </w:lvl>
    <w:lvl w:ilvl="4" w:tplc="BD863054" w:tentative="1">
      <w:start w:val="1"/>
      <w:numFmt w:val="bullet"/>
      <w:lvlText w:val=""/>
      <w:lvlJc w:val="left"/>
      <w:pPr>
        <w:tabs>
          <w:tab w:val="num" w:pos="3600"/>
        </w:tabs>
        <w:ind w:left="3600" w:hanging="360"/>
      </w:pPr>
      <w:rPr>
        <w:rFonts w:ascii="Symbol" w:hAnsi="Symbol" w:hint="default"/>
      </w:rPr>
    </w:lvl>
    <w:lvl w:ilvl="5" w:tplc="6046C154" w:tentative="1">
      <w:start w:val="1"/>
      <w:numFmt w:val="bullet"/>
      <w:lvlText w:val=""/>
      <w:lvlJc w:val="left"/>
      <w:pPr>
        <w:tabs>
          <w:tab w:val="num" w:pos="4320"/>
        </w:tabs>
        <w:ind w:left="4320" w:hanging="360"/>
      </w:pPr>
      <w:rPr>
        <w:rFonts w:ascii="Symbol" w:hAnsi="Symbol" w:hint="default"/>
      </w:rPr>
    </w:lvl>
    <w:lvl w:ilvl="6" w:tplc="377ACC06" w:tentative="1">
      <w:start w:val="1"/>
      <w:numFmt w:val="bullet"/>
      <w:lvlText w:val=""/>
      <w:lvlJc w:val="left"/>
      <w:pPr>
        <w:tabs>
          <w:tab w:val="num" w:pos="5040"/>
        </w:tabs>
        <w:ind w:left="5040" w:hanging="360"/>
      </w:pPr>
      <w:rPr>
        <w:rFonts w:ascii="Symbol" w:hAnsi="Symbol" w:hint="default"/>
      </w:rPr>
    </w:lvl>
    <w:lvl w:ilvl="7" w:tplc="8D744430" w:tentative="1">
      <w:start w:val="1"/>
      <w:numFmt w:val="bullet"/>
      <w:lvlText w:val=""/>
      <w:lvlJc w:val="left"/>
      <w:pPr>
        <w:tabs>
          <w:tab w:val="num" w:pos="5760"/>
        </w:tabs>
        <w:ind w:left="5760" w:hanging="360"/>
      </w:pPr>
      <w:rPr>
        <w:rFonts w:ascii="Symbol" w:hAnsi="Symbol" w:hint="default"/>
      </w:rPr>
    </w:lvl>
    <w:lvl w:ilvl="8" w:tplc="49A80EF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8BF3BFF"/>
    <w:multiLevelType w:val="hybridMultilevel"/>
    <w:tmpl w:val="625CFFF6"/>
    <w:lvl w:ilvl="0" w:tplc="723CD9BA">
      <w:start w:val="1"/>
      <w:numFmt w:val="bullet"/>
      <w:lvlText w:val=""/>
      <w:lvlPicBulletId w:val="1"/>
      <w:lvlJc w:val="left"/>
      <w:pPr>
        <w:ind w:left="2534" w:hanging="360"/>
      </w:pPr>
      <w:rPr>
        <w:rFonts w:ascii="Symbol" w:hAnsi="Symbol" w:hint="default"/>
      </w:rPr>
    </w:lvl>
    <w:lvl w:ilvl="1" w:tplc="04100003" w:tentative="1">
      <w:start w:val="1"/>
      <w:numFmt w:val="bullet"/>
      <w:lvlText w:val="o"/>
      <w:lvlJc w:val="left"/>
      <w:pPr>
        <w:ind w:left="3254" w:hanging="360"/>
      </w:pPr>
      <w:rPr>
        <w:rFonts w:ascii="Courier New" w:hAnsi="Courier New" w:cs="Courier New" w:hint="default"/>
      </w:rPr>
    </w:lvl>
    <w:lvl w:ilvl="2" w:tplc="04100005" w:tentative="1">
      <w:start w:val="1"/>
      <w:numFmt w:val="bullet"/>
      <w:lvlText w:val=""/>
      <w:lvlJc w:val="left"/>
      <w:pPr>
        <w:ind w:left="3974" w:hanging="360"/>
      </w:pPr>
      <w:rPr>
        <w:rFonts w:ascii="Wingdings" w:hAnsi="Wingdings" w:hint="default"/>
      </w:rPr>
    </w:lvl>
    <w:lvl w:ilvl="3" w:tplc="04100001" w:tentative="1">
      <w:start w:val="1"/>
      <w:numFmt w:val="bullet"/>
      <w:lvlText w:val=""/>
      <w:lvlJc w:val="left"/>
      <w:pPr>
        <w:ind w:left="4694" w:hanging="360"/>
      </w:pPr>
      <w:rPr>
        <w:rFonts w:ascii="Symbol" w:hAnsi="Symbol" w:hint="default"/>
      </w:rPr>
    </w:lvl>
    <w:lvl w:ilvl="4" w:tplc="04100003" w:tentative="1">
      <w:start w:val="1"/>
      <w:numFmt w:val="bullet"/>
      <w:lvlText w:val="o"/>
      <w:lvlJc w:val="left"/>
      <w:pPr>
        <w:ind w:left="5414" w:hanging="360"/>
      </w:pPr>
      <w:rPr>
        <w:rFonts w:ascii="Courier New" w:hAnsi="Courier New" w:cs="Courier New" w:hint="default"/>
      </w:rPr>
    </w:lvl>
    <w:lvl w:ilvl="5" w:tplc="04100005" w:tentative="1">
      <w:start w:val="1"/>
      <w:numFmt w:val="bullet"/>
      <w:lvlText w:val=""/>
      <w:lvlJc w:val="left"/>
      <w:pPr>
        <w:ind w:left="6134" w:hanging="360"/>
      </w:pPr>
      <w:rPr>
        <w:rFonts w:ascii="Wingdings" w:hAnsi="Wingdings" w:hint="default"/>
      </w:rPr>
    </w:lvl>
    <w:lvl w:ilvl="6" w:tplc="04100001" w:tentative="1">
      <w:start w:val="1"/>
      <w:numFmt w:val="bullet"/>
      <w:lvlText w:val=""/>
      <w:lvlJc w:val="left"/>
      <w:pPr>
        <w:ind w:left="6854" w:hanging="360"/>
      </w:pPr>
      <w:rPr>
        <w:rFonts w:ascii="Symbol" w:hAnsi="Symbol" w:hint="default"/>
      </w:rPr>
    </w:lvl>
    <w:lvl w:ilvl="7" w:tplc="04100003" w:tentative="1">
      <w:start w:val="1"/>
      <w:numFmt w:val="bullet"/>
      <w:lvlText w:val="o"/>
      <w:lvlJc w:val="left"/>
      <w:pPr>
        <w:ind w:left="7574" w:hanging="360"/>
      </w:pPr>
      <w:rPr>
        <w:rFonts w:ascii="Courier New" w:hAnsi="Courier New" w:cs="Courier New" w:hint="default"/>
      </w:rPr>
    </w:lvl>
    <w:lvl w:ilvl="8" w:tplc="04100005" w:tentative="1">
      <w:start w:val="1"/>
      <w:numFmt w:val="bullet"/>
      <w:lvlText w:val=""/>
      <w:lvlJc w:val="left"/>
      <w:pPr>
        <w:ind w:left="8294" w:hanging="360"/>
      </w:pPr>
      <w:rPr>
        <w:rFonts w:ascii="Wingdings" w:hAnsi="Wingdings" w:hint="default"/>
      </w:rPr>
    </w:lvl>
  </w:abstractNum>
  <w:abstractNum w:abstractNumId="6" w15:restartNumberingAfterBreak="0">
    <w:nsid w:val="0AB86367"/>
    <w:multiLevelType w:val="hybridMultilevel"/>
    <w:tmpl w:val="4FFCC8FE"/>
    <w:lvl w:ilvl="0" w:tplc="723CD9BA">
      <w:start w:val="1"/>
      <w:numFmt w:val="bullet"/>
      <w:lvlText w:val=""/>
      <w:lvlPicBulletId w:val="1"/>
      <w:lvlJc w:val="left"/>
      <w:pPr>
        <w:ind w:left="2534" w:hanging="360"/>
      </w:pPr>
      <w:rPr>
        <w:rFonts w:ascii="Symbol" w:hAnsi="Symbol" w:hint="default"/>
      </w:rPr>
    </w:lvl>
    <w:lvl w:ilvl="1" w:tplc="04100003" w:tentative="1">
      <w:start w:val="1"/>
      <w:numFmt w:val="bullet"/>
      <w:lvlText w:val="o"/>
      <w:lvlJc w:val="left"/>
      <w:pPr>
        <w:ind w:left="3254" w:hanging="360"/>
      </w:pPr>
      <w:rPr>
        <w:rFonts w:ascii="Courier New" w:hAnsi="Courier New" w:cs="Courier New" w:hint="default"/>
      </w:rPr>
    </w:lvl>
    <w:lvl w:ilvl="2" w:tplc="04100005" w:tentative="1">
      <w:start w:val="1"/>
      <w:numFmt w:val="bullet"/>
      <w:lvlText w:val=""/>
      <w:lvlJc w:val="left"/>
      <w:pPr>
        <w:ind w:left="3974" w:hanging="360"/>
      </w:pPr>
      <w:rPr>
        <w:rFonts w:ascii="Wingdings" w:hAnsi="Wingdings" w:hint="default"/>
      </w:rPr>
    </w:lvl>
    <w:lvl w:ilvl="3" w:tplc="04100001" w:tentative="1">
      <w:start w:val="1"/>
      <w:numFmt w:val="bullet"/>
      <w:lvlText w:val=""/>
      <w:lvlJc w:val="left"/>
      <w:pPr>
        <w:ind w:left="4694" w:hanging="360"/>
      </w:pPr>
      <w:rPr>
        <w:rFonts w:ascii="Symbol" w:hAnsi="Symbol" w:hint="default"/>
      </w:rPr>
    </w:lvl>
    <w:lvl w:ilvl="4" w:tplc="04100003" w:tentative="1">
      <w:start w:val="1"/>
      <w:numFmt w:val="bullet"/>
      <w:lvlText w:val="o"/>
      <w:lvlJc w:val="left"/>
      <w:pPr>
        <w:ind w:left="5414" w:hanging="360"/>
      </w:pPr>
      <w:rPr>
        <w:rFonts w:ascii="Courier New" w:hAnsi="Courier New" w:cs="Courier New" w:hint="default"/>
      </w:rPr>
    </w:lvl>
    <w:lvl w:ilvl="5" w:tplc="04100005" w:tentative="1">
      <w:start w:val="1"/>
      <w:numFmt w:val="bullet"/>
      <w:lvlText w:val=""/>
      <w:lvlJc w:val="left"/>
      <w:pPr>
        <w:ind w:left="6134" w:hanging="360"/>
      </w:pPr>
      <w:rPr>
        <w:rFonts w:ascii="Wingdings" w:hAnsi="Wingdings" w:hint="default"/>
      </w:rPr>
    </w:lvl>
    <w:lvl w:ilvl="6" w:tplc="04100001" w:tentative="1">
      <w:start w:val="1"/>
      <w:numFmt w:val="bullet"/>
      <w:lvlText w:val=""/>
      <w:lvlJc w:val="left"/>
      <w:pPr>
        <w:ind w:left="6854" w:hanging="360"/>
      </w:pPr>
      <w:rPr>
        <w:rFonts w:ascii="Symbol" w:hAnsi="Symbol" w:hint="default"/>
      </w:rPr>
    </w:lvl>
    <w:lvl w:ilvl="7" w:tplc="04100003" w:tentative="1">
      <w:start w:val="1"/>
      <w:numFmt w:val="bullet"/>
      <w:lvlText w:val="o"/>
      <w:lvlJc w:val="left"/>
      <w:pPr>
        <w:ind w:left="7574" w:hanging="360"/>
      </w:pPr>
      <w:rPr>
        <w:rFonts w:ascii="Courier New" w:hAnsi="Courier New" w:cs="Courier New" w:hint="default"/>
      </w:rPr>
    </w:lvl>
    <w:lvl w:ilvl="8" w:tplc="04100005" w:tentative="1">
      <w:start w:val="1"/>
      <w:numFmt w:val="bullet"/>
      <w:lvlText w:val=""/>
      <w:lvlJc w:val="left"/>
      <w:pPr>
        <w:ind w:left="8294" w:hanging="360"/>
      </w:pPr>
      <w:rPr>
        <w:rFonts w:ascii="Wingdings" w:hAnsi="Wingdings" w:hint="default"/>
      </w:rPr>
    </w:lvl>
  </w:abstractNum>
  <w:abstractNum w:abstractNumId="7" w15:restartNumberingAfterBreak="0">
    <w:nsid w:val="0CE739D6"/>
    <w:multiLevelType w:val="hybridMultilevel"/>
    <w:tmpl w:val="2C004114"/>
    <w:lvl w:ilvl="0" w:tplc="FFFFFFFF">
      <w:start w:val="1"/>
      <w:numFmt w:val="bullet"/>
      <w:lvlText w:val=""/>
      <w:lvlJc w:val="left"/>
      <w:pPr>
        <w:tabs>
          <w:tab w:val="num" w:pos="340"/>
        </w:tabs>
        <w:ind w:left="0" w:firstLine="0"/>
      </w:pPr>
      <w:rPr>
        <w:rFonts w:ascii="Wingdings" w:hAnsi="Wingdings" w:hint="default"/>
        <w:b w:val="0"/>
        <w:i w:val="0"/>
        <w:color w:val="FF0000"/>
        <w:spacing w:val="0"/>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172E02"/>
    <w:multiLevelType w:val="hybridMultilevel"/>
    <w:tmpl w:val="98E2AEF0"/>
    <w:lvl w:ilvl="0" w:tplc="A8762A92">
      <w:start w:val="1"/>
      <w:numFmt w:val="bullet"/>
      <w:lvlText w:val=""/>
      <w:lvlPicBulletId w:val="0"/>
      <w:lvlJc w:val="left"/>
      <w:pPr>
        <w:tabs>
          <w:tab w:val="num" w:pos="720"/>
        </w:tabs>
        <w:ind w:left="720" w:hanging="360"/>
      </w:pPr>
      <w:rPr>
        <w:rFonts w:ascii="Symbol" w:hAnsi="Symbol" w:hint="default"/>
      </w:rPr>
    </w:lvl>
    <w:lvl w:ilvl="1" w:tplc="6D6EAF6E">
      <w:start w:val="1"/>
      <w:numFmt w:val="bullet"/>
      <w:lvlText w:val=""/>
      <w:lvlJc w:val="left"/>
      <w:pPr>
        <w:tabs>
          <w:tab w:val="num" w:pos="1440"/>
        </w:tabs>
        <w:ind w:left="1440" w:hanging="360"/>
      </w:pPr>
      <w:rPr>
        <w:rFonts w:ascii="Symbol" w:hAnsi="Symbol" w:hint="default"/>
      </w:rPr>
    </w:lvl>
    <w:lvl w:ilvl="2" w:tplc="7A64CB7E" w:tentative="1">
      <w:start w:val="1"/>
      <w:numFmt w:val="bullet"/>
      <w:lvlText w:val=""/>
      <w:lvlJc w:val="left"/>
      <w:pPr>
        <w:tabs>
          <w:tab w:val="num" w:pos="2160"/>
        </w:tabs>
        <w:ind w:left="2160" w:hanging="360"/>
      </w:pPr>
      <w:rPr>
        <w:rFonts w:ascii="Symbol" w:hAnsi="Symbol" w:hint="default"/>
      </w:rPr>
    </w:lvl>
    <w:lvl w:ilvl="3" w:tplc="19A2BEA6" w:tentative="1">
      <w:start w:val="1"/>
      <w:numFmt w:val="bullet"/>
      <w:lvlText w:val=""/>
      <w:lvlJc w:val="left"/>
      <w:pPr>
        <w:tabs>
          <w:tab w:val="num" w:pos="2880"/>
        </w:tabs>
        <w:ind w:left="2880" w:hanging="360"/>
      </w:pPr>
      <w:rPr>
        <w:rFonts w:ascii="Symbol" w:hAnsi="Symbol" w:hint="default"/>
      </w:rPr>
    </w:lvl>
    <w:lvl w:ilvl="4" w:tplc="7A906554" w:tentative="1">
      <w:start w:val="1"/>
      <w:numFmt w:val="bullet"/>
      <w:lvlText w:val=""/>
      <w:lvlJc w:val="left"/>
      <w:pPr>
        <w:tabs>
          <w:tab w:val="num" w:pos="3600"/>
        </w:tabs>
        <w:ind w:left="3600" w:hanging="360"/>
      </w:pPr>
      <w:rPr>
        <w:rFonts w:ascii="Symbol" w:hAnsi="Symbol" w:hint="default"/>
      </w:rPr>
    </w:lvl>
    <w:lvl w:ilvl="5" w:tplc="DF94CC1E" w:tentative="1">
      <w:start w:val="1"/>
      <w:numFmt w:val="bullet"/>
      <w:lvlText w:val=""/>
      <w:lvlJc w:val="left"/>
      <w:pPr>
        <w:tabs>
          <w:tab w:val="num" w:pos="4320"/>
        </w:tabs>
        <w:ind w:left="4320" w:hanging="360"/>
      </w:pPr>
      <w:rPr>
        <w:rFonts w:ascii="Symbol" w:hAnsi="Symbol" w:hint="default"/>
      </w:rPr>
    </w:lvl>
    <w:lvl w:ilvl="6" w:tplc="10AAB236" w:tentative="1">
      <w:start w:val="1"/>
      <w:numFmt w:val="bullet"/>
      <w:lvlText w:val=""/>
      <w:lvlJc w:val="left"/>
      <w:pPr>
        <w:tabs>
          <w:tab w:val="num" w:pos="5040"/>
        </w:tabs>
        <w:ind w:left="5040" w:hanging="360"/>
      </w:pPr>
      <w:rPr>
        <w:rFonts w:ascii="Symbol" w:hAnsi="Symbol" w:hint="default"/>
      </w:rPr>
    </w:lvl>
    <w:lvl w:ilvl="7" w:tplc="387E825A" w:tentative="1">
      <w:start w:val="1"/>
      <w:numFmt w:val="bullet"/>
      <w:lvlText w:val=""/>
      <w:lvlJc w:val="left"/>
      <w:pPr>
        <w:tabs>
          <w:tab w:val="num" w:pos="5760"/>
        </w:tabs>
        <w:ind w:left="5760" w:hanging="360"/>
      </w:pPr>
      <w:rPr>
        <w:rFonts w:ascii="Symbol" w:hAnsi="Symbol" w:hint="default"/>
      </w:rPr>
    </w:lvl>
    <w:lvl w:ilvl="8" w:tplc="4A64336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C424650"/>
    <w:multiLevelType w:val="hybridMultilevel"/>
    <w:tmpl w:val="3472861A"/>
    <w:lvl w:ilvl="0" w:tplc="6888BADE">
      <w:start w:val="1"/>
      <w:numFmt w:val="bullet"/>
      <w:lvlText w:val=""/>
      <w:lvlJc w:val="left"/>
      <w:pPr>
        <w:tabs>
          <w:tab w:val="num" w:pos="340"/>
        </w:tabs>
        <w:ind w:left="0" w:firstLine="0"/>
      </w:pPr>
      <w:rPr>
        <w:rFonts w:ascii="Webdings" w:hAnsi="Webdings" w:hint="default"/>
        <w:b w:val="0"/>
        <w:i w:val="0"/>
        <w:color w:val="E42618"/>
        <w:spacing w:val="0"/>
        <w:sz w:val="24"/>
        <w:szCs w:val="1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343AE3"/>
    <w:multiLevelType w:val="hybridMultilevel"/>
    <w:tmpl w:val="6EC29A46"/>
    <w:lvl w:ilvl="0" w:tplc="DB7A5FB8">
      <w:start w:val="1"/>
      <w:numFmt w:val="lowerLetter"/>
      <w:lvlText w:val="%1)"/>
      <w:lvlJc w:val="left"/>
      <w:pPr>
        <w:ind w:left="2174" w:hanging="360"/>
      </w:pPr>
      <w:rPr>
        <w:rFonts w:hint="default"/>
      </w:rPr>
    </w:lvl>
    <w:lvl w:ilvl="1" w:tplc="04100019" w:tentative="1">
      <w:start w:val="1"/>
      <w:numFmt w:val="lowerLetter"/>
      <w:lvlText w:val="%2."/>
      <w:lvlJc w:val="left"/>
      <w:pPr>
        <w:ind w:left="2894" w:hanging="360"/>
      </w:pPr>
    </w:lvl>
    <w:lvl w:ilvl="2" w:tplc="0410001B" w:tentative="1">
      <w:start w:val="1"/>
      <w:numFmt w:val="lowerRoman"/>
      <w:lvlText w:val="%3."/>
      <w:lvlJc w:val="right"/>
      <w:pPr>
        <w:ind w:left="3614" w:hanging="180"/>
      </w:pPr>
    </w:lvl>
    <w:lvl w:ilvl="3" w:tplc="0410000F" w:tentative="1">
      <w:start w:val="1"/>
      <w:numFmt w:val="decimal"/>
      <w:lvlText w:val="%4."/>
      <w:lvlJc w:val="left"/>
      <w:pPr>
        <w:ind w:left="4334" w:hanging="360"/>
      </w:pPr>
    </w:lvl>
    <w:lvl w:ilvl="4" w:tplc="04100019" w:tentative="1">
      <w:start w:val="1"/>
      <w:numFmt w:val="lowerLetter"/>
      <w:lvlText w:val="%5."/>
      <w:lvlJc w:val="left"/>
      <w:pPr>
        <w:ind w:left="5054" w:hanging="360"/>
      </w:pPr>
    </w:lvl>
    <w:lvl w:ilvl="5" w:tplc="0410001B" w:tentative="1">
      <w:start w:val="1"/>
      <w:numFmt w:val="lowerRoman"/>
      <w:lvlText w:val="%6."/>
      <w:lvlJc w:val="right"/>
      <w:pPr>
        <w:ind w:left="5774" w:hanging="180"/>
      </w:pPr>
    </w:lvl>
    <w:lvl w:ilvl="6" w:tplc="0410000F" w:tentative="1">
      <w:start w:val="1"/>
      <w:numFmt w:val="decimal"/>
      <w:lvlText w:val="%7."/>
      <w:lvlJc w:val="left"/>
      <w:pPr>
        <w:ind w:left="6494" w:hanging="360"/>
      </w:pPr>
    </w:lvl>
    <w:lvl w:ilvl="7" w:tplc="04100019" w:tentative="1">
      <w:start w:val="1"/>
      <w:numFmt w:val="lowerLetter"/>
      <w:lvlText w:val="%8."/>
      <w:lvlJc w:val="left"/>
      <w:pPr>
        <w:ind w:left="7214" w:hanging="360"/>
      </w:pPr>
    </w:lvl>
    <w:lvl w:ilvl="8" w:tplc="0410001B" w:tentative="1">
      <w:start w:val="1"/>
      <w:numFmt w:val="lowerRoman"/>
      <w:lvlText w:val="%9."/>
      <w:lvlJc w:val="right"/>
      <w:pPr>
        <w:ind w:left="7934" w:hanging="180"/>
      </w:pPr>
    </w:lvl>
  </w:abstractNum>
  <w:abstractNum w:abstractNumId="11" w15:restartNumberingAfterBreak="0">
    <w:nsid w:val="227D531E"/>
    <w:multiLevelType w:val="hybridMultilevel"/>
    <w:tmpl w:val="73003C7A"/>
    <w:lvl w:ilvl="0" w:tplc="7FE041A6">
      <w:start w:val="1"/>
      <w:numFmt w:val="bullet"/>
      <w:lvlText w:val=""/>
      <w:lvlJc w:val="left"/>
      <w:pPr>
        <w:ind w:left="2534" w:hanging="360"/>
      </w:pPr>
      <w:rPr>
        <w:rFonts w:ascii="Wingdings" w:hAnsi="Wingdings" w:hint="default"/>
        <w:b/>
        <w:i w:val="0"/>
        <w:color w:val="FF0000"/>
        <w:sz w:val="18"/>
      </w:rPr>
    </w:lvl>
    <w:lvl w:ilvl="1" w:tplc="04100003" w:tentative="1">
      <w:start w:val="1"/>
      <w:numFmt w:val="bullet"/>
      <w:lvlText w:val="o"/>
      <w:lvlJc w:val="left"/>
      <w:pPr>
        <w:ind w:left="3254" w:hanging="360"/>
      </w:pPr>
      <w:rPr>
        <w:rFonts w:ascii="Courier New" w:hAnsi="Courier New" w:cs="Courier New" w:hint="default"/>
      </w:rPr>
    </w:lvl>
    <w:lvl w:ilvl="2" w:tplc="04100005" w:tentative="1">
      <w:start w:val="1"/>
      <w:numFmt w:val="bullet"/>
      <w:lvlText w:val=""/>
      <w:lvlJc w:val="left"/>
      <w:pPr>
        <w:ind w:left="3974" w:hanging="360"/>
      </w:pPr>
      <w:rPr>
        <w:rFonts w:ascii="Wingdings" w:hAnsi="Wingdings" w:hint="default"/>
      </w:rPr>
    </w:lvl>
    <w:lvl w:ilvl="3" w:tplc="04100001" w:tentative="1">
      <w:start w:val="1"/>
      <w:numFmt w:val="bullet"/>
      <w:lvlText w:val=""/>
      <w:lvlJc w:val="left"/>
      <w:pPr>
        <w:ind w:left="4694" w:hanging="360"/>
      </w:pPr>
      <w:rPr>
        <w:rFonts w:ascii="Symbol" w:hAnsi="Symbol" w:hint="default"/>
      </w:rPr>
    </w:lvl>
    <w:lvl w:ilvl="4" w:tplc="04100003" w:tentative="1">
      <w:start w:val="1"/>
      <w:numFmt w:val="bullet"/>
      <w:lvlText w:val="o"/>
      <w:lvlJc w:val="left"/>
      <w:pPr>
        <w:ind w:left="5414" w:hanging="360"/>
      </w:pPr>
      <w:rPr>
        <w:rFonts w:ascii="Courier New" w:hAnsi="Courier New" w:cs="Courier New" w:hint="default"/>
      </w:rPr>
    </w:lvl>
    <w:lvl w:ilvl="5" w:tplc="04100005" w:tentative="1">
      <w:start w:val="1"/>
      <w:numFmt w:val="bullet"/>
      <w:lvlText w:val=""/>
      <w:lvlJc w:val="left"/>
      <w:pPr>
        <w:ind w:left="6134" w:hanging="360"/>
      </w:pPr>
      <w:rPr>
        <w:rFonts w:ascii="Wingdings" w:hAnsi="Wingdings" w:hint="default"/>
      </w:rPr>
    </w:lvl>
    <w:lvl w:ilvl="6" w:tplc="04100001" w:tentative="1">
      <w:start w:val="1"/>
      <w:numFmt w:val="bullet"/>
      <w:lvlText w:val=""/>
      <w:lvlJc w:val="left"/>
      <w:pPr>
        <w:ind w:left="6854" w:hanging="360"/>
      </w:pPr>
      <w:rPr>
        <w:rFonts w:ascii="Symbol" w:hAnsi="Symbol" w:hint="default"/>
      </w:rPr>
    </w:lvl>
    <w:lvl w:ilvl="7" w:tplc="04100003" w:tentative="1">
      <w:start w:val="1"/>
      <w:numFmt w:val="bullet"/>
      <w:lvlText w:val="o"/>
      <w:lvlJc w:val="left"/>
      <w:pPr>
        <w:ind w:left="7574" w:hanging="360"/>
      </w:pPr>
      <w:rPr>
        <w:rFonts w:ascii="Courier New" w:hAnsi="Courier New" w:cs="Courier New" w:hint="default"/>
      </w:rPr>
    </w:lvl>
    <w:lvl w:ilvl="8" w:tplc="04100005" w:tentative="1">
      <w:start w:val="1"/>
      <w:numFmt w:val="bullet"/>
      <w:lvlText w:val=""/>
      <w:lvlJc w:val="left"/>
      <w:pPr>
        <w:ind w:left="8294" w:hanging="360"/>
      </w:pPr>
      <w:rPr>
        <w:rFonts w:ascii="Wingdings" w:hAnsi="Wingdings" w:hint="default"/>
      </w:rPr>
    </w:lvl>
  </w:abstractNum>
  <w:abstractNum w:abstractNumId="12" w15:restartNumberingAfterBreak="0">
    <w:nsid w:val="29FC5E71"/>
    <w:multiLevelType w:val="multilevel"/>
    <w:tmpl w:val="98E2AEF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2534E50"/>
    <w:multiLevelType w:val="hybridMultilevel"/>
    <w:tmpl w:val="143823E6"/>
    <w:lvl w:ilvl="0" w:tplc="D72441C4">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34CC2B15"/>
    <w:multiLevelType w:val="hybridMultilevel"/>
    <w:tmpl w:val="968862AE"/>
    <w:lvl w:ilvl="0" w:tplc="723CD9BA">
      <w:start w:val="1"/>
      <w:numFmt w:val="bullet"/>
      <w:lvlText w:val=""/>
      <w:lvlPicBulletId w:val="1"/>
      <w:lvlJc w:val="left"/>
      <w:pPr>
        <w:ind w:left="2534" w:hanging="360"/>
      </w:pPr>
      <w:rPr>
        <w:rFonts w:ascii="Symbol" w:hAnsi="Symbol" w:hint="default"/>
      </w:rPr>
    </w:lvl>
    <w:lvl w:ilvl="1" w:tplc="04100003" w:tentative="1">
      <w:start w:val="1"/>
      <w:numFmt w:val="bullet"/>
      <w:lvlText w:val="o"/>
      <w:lvlJc w:val="left"/>
      <w:pPr>
        <w:ind w:left="3254" w:hanging="360"/>
      </w:pPr>
      <w:rPr>
        <w:rFonts w:ascii="Courier New" w:hAnsi="Courier New" w:cs="Courier New" w:hint="default"/>
      </w:rPr>
    </w:lvl>
    <w:lvl w:ilvl="2" w:tplc="04100005" w:tentative="1">
      <w:start w:val="1"/>
      <w:numFmt w:val="bullet"/>
      <w:lvlText w:val=""/>
      <w:lvlJc w:val="left"/>
      <w:pPr>
        <w:ind w:left="3974" w:hanging="360"/>
      </w:pPr>
      <w:rPr>
        <w:rFonts w:ascii="Wingdings" w:hAnsi="Wingdings" w:hint="default"/>
      </w:rPr>
    </w:lvl>
    <w:lvl w:ilvl="3" w:tplc="04100001" w:tentative="1">
      <w:start w:val="1"/>
      <w:numFmt w:val="bullet"/>
      <w:lvlText w:val=""/>
      <w:lvlJc w:val="left"/>
      <w:pPr>
        <w:ind w:left="4694" w:hanging="360"/>
      </w:pPr>
      <w:rPr>
        <w:rFonts w:ascii="Symbol" w:hAnsi="Symbol" w:hint="default"/>
      </w:rPr>
    </w:lvl>
    <w:lvl w:ilvl="4" w:tplc="04100003" w:tentative="1">
      <w:start w:val="1"/>
      <w:numFmt w:val="bullet"/>
      <w:lvlText w:val="o"/>
      <w:lvlJc w:val="left"/>
      <w:pPr>
        <w:ind w:left="5414" w:hanging="360"/>
      </w:pPr>
      <w:rPr>
        <w:rFonts w:ascii="Courier New" w:hAnsi="Courier New" w:cs="Courier New" w:hint="default"/>
      </w:rPr>
    </w:lvl>
    <w:lvl w:ilvl="5" w:tplc="04100005" w:tentative="1">
      <w:start w:val="1"/>
      <w:numFmt w:val="bullet"/>
      <w:lvlText w:val=""/>
      <w:lvlJc w:val="left"/>
      <w:pPr>
        <w:ind w:left="6134" w:hanging="360"/>
      </w:pPr>
      <w:rPr>
        <w:rFonts w:ascii="Wingdings" w:hAnsi="Wingdings" w:hint="default"/>
      </w:rPr>
    </w:lvl>
    <w:lvl w:ilvl="6" w:tplc="04100001" w:tentative="1">
      <w:start w:val="1"/>
      <w:numFmt w:val="bullet"/>
      <w:lvlText w:val=""/>
      <w:lvlJc w:val="left"/>
      <w:pPr>
        <w:ind w:left="6854" w:hanging="360"/>
      </w:pPr>
      <w:rPr>
        <w:rFonts w:ascii="Symbol" w:hAnsi="Symbol" w:hint="default"/>
      </w:rPr>
    </w:lvl>
    <w:lvl w:ilvl="7" w:tplc="04100003" w:tentative="1">
      <w:start w:val="1"/>
      <w:numFmt w:val="bullet"/>
      <w:lvlText w:val="o"/>
      <w:lvlJc w:val="left"/>
      <w:pPr>
        <w:ind w:left="7574" w:hanging="360"/>
      </w:pPr>
      <w:rPr>
        <w:rFonts w:ascii="Courier New" w:hAnsi="Courier New" w:cs="Courier New" w:hint="default"/>
      </w:rPr>
    </w:lvl>
    <w:lvl w:ilvl="8" w:tplc="04100005" w:tentative="1">
      <w:start w:val="1"/>
      <w:numFmt w:val="bullet"/>
      <w:lvlText w:val=""/>
      <w:lvlJc w:val="left"/>
      <w:pPr>
        <w:ind w:left="8294" w:hanging="360"/>
      </w:pPr>
      <w:rPr>
        <w:rFonts w:ascii="Wingdings" w:hAnsi="Wingdings" w:hint="default"/>
      </w:rPr>
    </w:lvl>
  </w:abstractNum>
  <w:abstractNum w:abstractNumId="15" w15:restartNumberingAfterBreak="0">
    <w:nsid w:val="3B126581"/>
    <w:multiLevelType w:val="hybridMultilevel"/>
    <w:tmpl w:val="3EDCEA5C"/>
    <w:lvl w:ilvl="0" w:tplc="723CD9BA">
      <w:start w:val="1"/>
      <w:numFmt w:val="bullet"/>
      <w:lvlText w:val=""/>
      <w:lvlPicBulletId w:val="1"/>
      <w:lvlJc w:val="left"/>
      <w:pPr>
        <w:tabs>
          <w:tab w:val="num" w:pos="720"/>
        </w:tabs>
        <w:ind w:left="720" w:hanging="360"/>
      </w:pPr>
      <w:rPr>
        <w:rFonts w:ascii="Symbol" w:hAnsi="Symbol" w:hint="default"/>
      </w:rPr>
    </w:lvl>
    <w:lvl w:ilvl="1" w:tplc="F08261B2" w:tentative="1">
      <w:start w:val="1"/>
      <w:numFmt w:val="bullet"/>
      <w:lvlText w:val=""/>
      <w:lvlJc w:val="left"/>
      <w:pPr>
        <w:tabs>
          <w:tab w:val="num" w:pos="1440"/>
        </w:tabs>
        <w:ind w:left="1440" w:hanging="360"/>
      </w:pPr>
      <w:rPr>
        <w:rFonts w:ascii="Symbol" w:hAnsi="Symbol" w:hint="default"/>
      </w:rPr>
    </w:lvl>
    <w:lvl w:ilvl="2" w:tplc="6414E90C" w:tentative="1">
      <w:start w:val="1"/>
      <w:numFmt w:val="bullet"/>
      <w:lvlText w:val=""/>
      <w:lvlJc w:val="left"/>
      <w:pPr>
        <w:tabs>
          <w:tab w:val="num" w:pos="2160"/>
        </w:tabs>
        <w:ind w:left="2160" w:hanging="360"/>
      </w:pPr>
      <w:rPr>
        <w:rFonts w:ascii="Symbol" w:hAnsi="Symbol" w:hint="default"/>
      </w:rPr>
    </w:lvl>
    <w:lvl w:ilvl="3" w:tplc="35F41C48" w:tentative="1">
      <w:start w:val="1"/>
      <w:numFmt w:val="bullet"/>
      <w:lvlText w:val=""/>
      <w:lvlJc w:val="left"/>
      <w:pPr>
        <w:tabs>
          <w:tab w:val="num" w:pos="2880"/>
        </w:tabs>
        <w:ind w:left="2880" w:hanging="360"/>
      </w:pPr>
      <w:rPr>
        <w:rFonts w:ascii="Symbol" w:hAnsi="Symbol" w:hint="default"/>
      </w:rPr>
    </w:lvl>
    <w:lvl w:ilvl="4" w:tplc="76DC5C08" w:tentative="1">
      <w:start w:val="1"/>
      <w:numFmt w:val="bullet"/>
      <w:lvlText w:val=""/>
      <w:lvlJc w:val="left"/>
      <w:pPr>
        <w:tabs>
          <w:tab w:val="num" w:pos="3600"/>
        </w:tabs>
        <w:ind w:left="3600" w:hanging="360"/>
      </w:pPr>
      <w:rPr>
        <w:rFonts w:ascii="Symbol" w:hAnsi="Symbol" w:hint="default"/>
      </w:rPr>
    </w:lvl>
    <w:lvl w:ilvl="5" w:tplc="078CC066" w:tentative="1">
      <w:start w:val="1"/>
      <w:numFmt w:val="bullet"/>
      <w:lvlText w:val=""/>
      <w:lvlJc w:val="left"/>
      <w:pPr>
        <w:tabs>
          <w:tab w:val="num" w:pos="4320"/>
        </w:tabs>
        <w:ind w:left="4320" w:hanging="360"/>
      </w:pPr>
      <w:rPr>
        <w:rFonts w:ascii="Symbol" w:hAnsi="Symbol" w:hint="default"/>
      </w:rPr>
    </w:lvl>
    <w:lvl w:ilvl="6" w:tplc="993C39C0" w:tentative="1">
      <w:start w:val="1"/>
      <w:numFmt w:val="bullet"/>
      <w:lvlText w:val=""/>
      <w:lvlJc w:val="left"/>
      <w:pPr>
        <w:tabs>
          <w:tab w:val="num" w:pos="5040"/>
        </w:tabs>
        <w:ind w:left="5040" w:hanging="360"/>
      </w:pPr>
      <w:rPr>
        <w:rFonts w:ascii="Symbol" w:hAnsi="Symbol" w:hint="default"/>
      </w:rPr>
    </w:lvl>
    <w:lvl w:ilvl="7" w:tplc="0EB0D25C" w:tentative="1">
      <w:start w:val="1"/>
      <w:numFmt w:val="bullet"/>
      <w:lvlText w:val=""/>
      <w:lvlJc w:val="left"/>
      <w:pPr>
        <w:tabs>
          <w:tab w:val="num" w:pos="5760"/>
        </w:tabs>
        <w:ind w:left="5760" w:hanging="360"/>
      </w:pPr>
      <w:rPr>
        <w:rFonts w:ascii="Symbol" w:hAnsi="Symbol" w:hint="default"/>
      </w:rPr>
    </w:lvl>
    <w:lvl w:ilvl="8" w:tplc="B874B23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F8F0948"/>
    <w:multiLevelType w:val="multilevel"/>
    <w:tmpl w:val="98E2AEF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6526AED"/>
    <w:multiLevelType w:val="hybridMultilevel"/>
    <w:tmpl w:val="32BCBFD0"/>
    <w:lvl w:ilvl="0" w:tplc="6888BADE">
      <w:start w:val="1"/>
      <w:numFmt w:val="bullet"/>
      <w:lvlText w:val=""/>
      <w:lvlJc w:val="left"/>
      <w:pPr>
        <w:tabs>
          <w:tab w:val="num" w:pos="360"/>
        </w:tabs>
        <w:ind w:left="360" w:hanging="360"/>
      </w:pPr>
      <w:rPr>
        <w:rFonts w:ascii="Webdings" w:hAnsi="Webdings" w:hint="default"/>
        <w:b w:val="0"/>
        <w:i w:val="0"/>
        <w:color w:val="E42618"/>
        <w:sz w:val="24"/>
        <w:szCs w:val="18"/>
      </w:rPr>
    </w:lvl>
    <w:lvl w:ilvl="1" w:tplc="E7AC5A20">
      <w:start w:val="1"/>
      <w:numFmt w:val="bullet"/>
      <w:lvlText w:val=""/>
      <w:lvlJc w:val="left"/>
      <w:pPr>
        <w:tabs>
          <w:tab w:val="num" w:pos="1440"/>
        </w:tabs>
        <w:ind w:left="1440" w:hanging="360"/>
      </w:pPr>
      <w:rPr>
        <w:rFonts w:ascii="Symbol" w:hAnsi="Symbol"/>
      </w:rPr>
    </w:lvl>
    <w:lvl w:ilvl="2" w:tplc="050AAA86">
      <w:start w:val="1"/>
      <w:numFmt w:val="bullet"/>
      <w:lvlText w:val=""/>
      <w:lvlJc w:val="left"/>
      <w:pPr>
        <w:tabs>
          <w:tab w:val="num" w:pos="2160"/>
        </w:tabs>
        <w:ind w:left="2160" w:hanging="360"/>
      </w:pPr>
      <w:rPr>
        <w:rFonts w:ascii="Symbol" w:hAnsi="Symbol"/>
      </w:rPr>
    </w:lvl>
    <w:lvl w:ilvl="3" w:tplc="8B3E2E4E">
      <w:start w:val="1"/>
      <w:numFmt w:val="bullet"/>
      <w:lvlText w:val=""/>
      <w:lvlJc w:val="left"/>
      <w:pPr>
        <w:tabs>
          <w:tab w:val="num" w:pos="2880"/>
        </w:tabs>
        <w:ind w:left="2880" w:hanging="360"/>
      </w:pPr>
      <w:rPr>
        <w:rFonts w:ascii="Symbol" w:hAnsi="Symbol"/>
      </w:rPr>
    </w:lvl>
    <w:lvl w:ilvl="4" w:tplc="D36450B0">
      <w:start w:val="1"/>
      <w:numFmt w:val="bullet"/>
      <w:lvlText w:val=""/>
      <w:lvlJc w:val="left"/>
      <w:pPr>
        <w:tabs>
          <w:tab w:val="num" w:pos="3600"/>
        </w:tabs>
        <w:ind w:left="3600" w:hanging="360"/>
      </w:pPr>
      <w:rPr>
        <w:rFonts w:ascii="Symbol" w:hAnsi="Symbol"/>
      </w:rPr>
    </w:lvl>
    <w:lvl w:ilvl="5" w:tplc="EB62B692">
      <w:start w:val="1"/>
      <w:numFmt w:val="bullet"/>
      <w:lvlText w:val=""/>
      <w:lvlJc w:val="left"/>
      <w:pPr>
        <w:tabs>
          <w:tab w:val="num" w:pos="4320"/>
        </w:tabs>
        <w:ind w:left="4320" w:hanging="360"/>
      </w:pPr>
      <w:rPr>
        <w:rFonts w:ascii="Symbol" w:hAnsi="Symbol"/>
      </w:rPr>
    </w:lvl>
    <w:lvl w:ilvl="6" w:tplc="A796B456">
      <w:start w:val="1"/>
      <w:numFmt w:val="bullet"/>
      <w:lvlText w:val=""/>
      <w:lvlJc w:val="left"/>
      <w:pPr>
        <w:tabs>
          <w:tab w:val="num" w:pos="5040"/>
        </w:tabs>
        <w:ind w:left="5040" w:hanging="360"/>
      </w:pPr>
      <w:rPr>
        <w:rFonts w:ascii="Symbol" w:hAnsi="Symbol"/>
      </w:rPr>
    </w:lvl>
    <w:lvl w:ilvl="7" w:tplc="F144444C">
      <w:start w:val="1"/>
      <w:numFmt w:val="bullet"/>
      <w:lvlText w:val=""/>
      <w:lvlJc w:val="left"/>
      <w:pPr>
        <w:tabs>
          <w:tab w:val="num" w:pos="5760"/>
        </w:tabs>
        <w:ind w:left="5760" w:hanging="360"/>
      </w:pPr>
      <w:rPr>
        <w:rFonts w:ascii="Symbol" w:hAnsi="Symbol"/>
      </w:rPr>
    </w:lvl>
    <w:lvl w:ilvl="8" w:tplc="AC58295C">
      <w:start w:val="1"/>
      <w:numFmt w:val="bullet"/>
      <w:lvlText w:val=""/>
      <w:lvlJc w:val="left"/>
      <w:pPr>
        <w:tabs>
          <w:tab w:val="num" w:pos="6480"/>
        </w:tabs>
        <w:ind w:left="6480" w:hanging="360"/>
      </w:pPr>
      <w:rPr>
        <w:rFonts w:ascii="Symbol" w:hAnsi="Symbol"/>
      </w:rPr>
    </w:lvl>
  </w:abstractNum>
  <w:abstractNum w:abstractNumId="18" w15:restartNumberingAfterBreak="0">
    <w:nsid w:val="4B7641BD"/>
    <w:multiLevelType w:val="hybridMultilevel"/>
    <w:tmpl w:val="6ADE222C"/>
    <w:lvl w:ilvl="0" w:tplc="723CD9BA">
      <w:start w:val="1"/>
      <w:numFmt w:val="bullet"/>
      <w:lvlText w:val=""/>
      <w:lvlPicBulletId w:val="1"/>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9" w15:restartNumberingAfterBreak="0">
    <w:nsid w:val="66D53A64"/>
    <w:multiLevelType w:val="hybridMultilevel"/>
    <w:tmpl w:val="E73EDCB6"/>
    <w:lvl w:ilvl="0" w:tplc="723CD9BA">
      <w:start w:val="1"/>
      <w:numFmt w:val="bullet"/>
      <w:lvlText w:val=""/>
      <w:lvlPicBulletId w:val="1"/>
      <w:lvlJc w:val="left"/>
      <w:pPr>
        <w:tabs>
          <w:tab w:val="num" w:pos="720"/>
        </w:tabs>
        <w:ind w:left="720" w:hanging="360"/>
      </w:pPr>
      <w:rPr>
        <w:rFonts w:ascii="Symbol" w:hAnsi="Symbol" w:hint="default"/>
      </w:rPr>
    </w:lvl>
    <w:lvl w:ilvl="1" w:tplc="58A4F34A" w:tentative="1">
      <w:start w:val="1"/>
      <w:numFmt w:val="bullet"/>
      <w:lvlText w:val=""/>
      <w:lvlJc w:val="left"/>
      <w:pPr>
        <w:tabs>
          <w:tab w:val="num" w:pos="1440"/>
        </w:tabs>
        <w:ind w:left="1440" w:hanging="360"/>
      </w:pPr>
      <w:rPr>
        <w:rFonts w:ascii="Symbol" w:hAnsi="Symbol" w:hint="default"/>
      </w:rPr>
    </w:lvl>
    <w:lvl w:ilvl="2" w:tplc="10282158" w:tentative="1">
      <w:start w:val="1"/>
      <w:numFmt w:val="bullet"/>
      <w:lvlText w:val=""/>
      <w:lvlJc w:val="left"/>
      <w:pPr>
        <w:tabs>
          <w:tab w:val="num" w:pos="2160"/>
        </w:tabs>
        <w:ind w:left="2160" w:hanging="360"/>
      </w:pPr>
      <w:rPr>
        <w:rFonts w:ascii="Symbol" w:hAnsi="Symbol" w:hint="default"/>
      </w:rPr>
    </w:lvl>
    <w:lvl w:ilvl="3" w:tplc="9C6C8776" w:tentative="1">
      <w:start w:val="1"/>
      <w:numFmt w:val="bullet"/>
      <w:lvlText w:val=""/>
      <w:lvlJc w:val="left"/>
      <w:pPr>
        <w:tabs>
          <w:tab w:val="num" w:pos="2880"/>
        </w:tabs>
        <w:ind w:left="2880" w:hanging="360"/>
      </w:pPr>
      <w:rPr>
        <w:rFonts w:ascii="Symbol" w:hAnsi="Symbol" w:hint="default"/>
      </w:rPr>
    </w:lvl>
    <w:lvl w:ilvl="4" w:tplc="539C2334" w:tentative="1">
      <w:start w:val="1"/>
      <w:numFmt w:val="bullet"/>
      <w:lvlText w:val=""/>
      <w:lvlJc w:val="left"/>
      <w:pPr>
        <w:tabs>
          <w:tab w:val="num" w:pos="3600"/>
        </w:tabs>
        <w:ind w:left="3600" w:hanging="360"/>
      </w:pPr>
      <w:rPr>
        <w:rFonts w:ascii="Symbol" w:hAnsi="Symbol" w:hint="default"/>
      </w:rPr>
    </w:lvl>
    <w:lvl w:ilvl="5" w:tplc="E6ECA502" w:tentative="1">
      <w:start w:val="1"/>
      <w:numFmt w:val="bullet"/>
      <w:lvlText w:val=""/>
      <w:lvlJc w:val="left"/>
      <w:pPr>
        <w:tabs>
          <w:tab w:val="num" w:pos="4320"/>
        </w:tabs>
        <w:ind w:left="4320" w:hanging="360"/>
      </w:pPr>
      <w:rPr>
        <w:rFonts w:ascii="Symbol" w:hAnsi="Symbol" w:hint="default"/>
      </w:rPr>
    </w:lvl>
    <w:lvl w:ilvl="6" w:tplc="BF40799E" w:tentative="1">
      <w:start w:val="1"/>
      <w:numFmt w:val="bullet"/>
      <w:lvlText w:val=""/>
      <w:lvlJc w:val="left"/>
      <w:pPr>
        <w:tabs>
          <w:tab w:val="num" w:pos="5040"/>
        </w:tabs>
        <w:ind w:left="5040" w:hanging="360"/>
      </w:pPr>
      <w:rPr>
        <w:rFonts w:ascii="Symbol" w:hAnsi="Symbol" w:hint="default"/>
      </w:rPr>
    </w:lvl>
    <w:lvl w:ilvl="7" w:tplc="3502FF1A" w:tentative="1">
      <w:start w:val="1"/>
      <w:numFmt w:val="bullet"/>
      <w:lvlText w:val=""/>
      <w:lvlJc w:val="left"/>
      <w:pPr>
        <w:tabs>
          <w:tab w:val="num" w:pos="5760"/>
        </w:tabs>
        <w:ind w:left="5760" w:hanging="360"/>
      </w:pPr>
      <w:rPr>
        <w:rFonts w:ascii="Symbol" w:hAnsi="Symbol" w:hint="default"/>
      </w:rPr>
    </w:lvl>
    <w:lvl w:ilvl="8" w:tplc="3312820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2F1680C"/>
    <w:multiLevelType w:val="hybridMultilevel"/>
    <w:tmpl w:val="D9427482"/>
    <w:lvl w:ilvl="0" w:tplc="723CD9BA">
      <w:start w:val="1"/>
      <w:numFmt w:val="bullet"/>
      <w:lvlText w:val=""/>
      <w:lvlPicBulletId w:val="1"/>
      <w:lvlJc w:val="left"/>
      <w:pPr>
        <w:ind w:left="2534" w:hanging="360"/>
      </w:pPr>
      <w:rPr>
        <w:rFonts w:ascii="Symbol" w:hAnsi="Symbol" w:hint="default"/>
      </w:rPr>
    </w:lvl>
    <w:lvl w:ilvl="1" w:tplc="04100003" w:tentative="1">
      <w:start w:val="1"/>
      <w:numFmt w:val="bullet"/>
      <w:lvlText w:val="o"/>
      <w:lvlJc w:val="left"/>
      <w:pPr>
        <w:ind w:left="3254" w:hanging="360"/>
      </w:pPr>
      <w:rPr>
        <w:rFonts w:ascii="Courier New" w:hAnsi="Courier New" w:cs="Courier New" w:hint="default"/>
      </w:rPr>
    </w:lvl>
    <w:lvl w:ilvl="2" w:tplc="04100005" w:tentative="1">
      <w:start w:val="1"/>
      <w:numFmt w:val="bullet"/>
      <w:lvlText w:val=""/>
      <w:lvlJc w:val="left"/>
      <w:pPr>
        <w:ind w:left="3974" w:hanging="360"/>
      </w:pPr>
      <w:rPr>
        <w:rFonts w:ascii="Wingdings" w:hAnsi="Wingdings" w:hint="default"/>
      </w:rPr>
    </w:lvl>
    <w:lvl w:ilvl="3" w:tplc="04100001" w:tentative="1">
      <w:start w:val="1"/>
      <w:numFmt w:val="bullet"/>
      <w:lvlText w:val=""/>
      <w:lvlJc w:val="left"/>
      <w:pPr>
        <w:ind w:left="4694" w:hanging="360"/>
      </w:pPr>
      <w:rPr>
        <w:rFonts w:ascii="Symbol" w:hAnsi="Symbol" w:hint="default"/>
      </w:rPr>
    </w:lvl>
    <w:lvl w:ilvl="4" w:tplc="04100003" w:tentative="1">
      <w:start w:val="1"/>
      <w:numFmt w:val="bullet"/>
      <w:lvlText w:val="o"/>
      <w:lvlJc w:val="left"/>
      <w:pPr>
        <w:ind w:left="5414" w:hanging="360"/>
      </w:pPr>
      <w:rPr>
        <w:rFonts w:ascii="Courier New" w:hAnsi="Courier New" w:cs="Courier New" w:hint="default"/>
      </w:rPr>
    </w:lvl>
    <w:lvl w:ilvl="5" w:tplc="04100005" w:tentative="1">
      <w:start w:val="1"/>
      <w:numFmt w:val="bullet"/>
      <w:lvlText w:val=""/>
      <w:lvlJc w:val="left"/>
      <w:pPr>
        <w:ind w:left="6134" w:hanging="360"/>
      </w:pPr>
      <w:rPr>
        <w:rFonts w:ascii="Wingdings" w:hAnsi="Wingdings" w:hint="default"/>
      </w:rPr>
    </w:lvl>
    <w:lvl w:ilvl="6" w:tplc="04100001" w:tentative="1">
      <w:start w:val="1"/>
      <w:numFmt w:val="bullet"/>
      <w:lvlText w:val=""/>
      <w:lvlJc w:val="left"/>
      <w:pPr>
        <w:ind w:left="6854" w:hanging="360"/>
      </w:pPr>
      <w:rPr>
        <w:rFonts w:ascii="Symbol" w:hAnsi="Symbol" w:hint="default"/>
      </w:rPr>
    </w:lvl>
    <w:lvl w:ilvl="7" w:tplc="04100003" w:tentative="1">
      <w:start w:val="1"/>
      <w:numFmt w:val="bullet"/>
      <w:lvlText w:val="o"/>
      <w:lvlJc w:val="left"/>
      <w:pPr>
        <w:ind w:left="7574" w:hanging="360"/>
      </w:pPr>
      <w:rPr>
        <w:rFonts w:ascii="Courier New" w:hAnsi="Courier New" w:cs="Courier New" w:hint="default"/>
      </w:rPr>
    </w:lvl>
    <w:lvl w:ilvl="8" w:tplc="04100005" w:tentative="1">
      <w:start w:val="1"/>
      <w:numFmt w:val="bullet"/>
      <w:lvlText w:val=""/>
      <w:lvlJc w:val="left"/>
      <w:pPr>
        <w:ind w:left="8294" w:hanging="360"/>
      </w:pPr>
      <w:rPr>
        <w:rFonts w:ascii="Wingdings" w:hAnsi="Wingdings" w:hint="default"/>
      </w:rPr>
    </w:lvl>
  </w:abstractNum>
  <w:num w:numId="1">
    <w:abstractNumId w:val="8"/>
  </w:num>
  <w:num w:numId="2">
    <w:abstractNumId w:val="15"/>
  </w:num>
  <w:num w:numId="3">
    <w:abstractNumId w:val="18"/>
  </w:num>
  <w:num w:numId="4">
    <w:abstractNumId w:val="4"/>
  </w:num>
  <w:num w:numId="5">
    <w:abstractNumId w:val="11"/>
  </w:num>
  <w:num w:numId="6">
    <w:abstractNumId w:val="3"/>
  </w:num>
  <w:num w:numId="7">
    <w:abstractNumId w:val="0"/>
  </w:num>
  <w:num w:numId="8">
    <w:abstractNumId w:val="12"/>
  </w:num>
  <w:num w:numId="9">
    <w:abstractNumId w:val="16"/>
  </w:num>
  <w:num w:numId="10">
    <w:abstractNumId w:val="6"/>
  </w:num>
  <w:num w:numId="11">
    <w:abstractNumId w:val="14"/>
  </w:num>
  <w:num w:numId="12">
    <w:abstractNumId w:val="2"/>
  </w:num>
  <w:num w:numId="13">
    <w:abstractNumId w:val="19"/>
  </w:num>
  <w:num w:numId="14">
    <w:abstractNumId w:val="5"/>
  </w:num>
  <w:num w:numId="15">
    <w:abstractNumId w:val="20"/>
  </w:num>
  <w:num w:numId="16">
    <w:abstractNumId w:val="7"/>
  </w:num>
  <w:num w:numId="17">
    <w:abstractNumId w:val="13"/>
  </w:num>
  <w:num w:numId="18">
    <w:abstractNumId w:val="1"/>
  </w:num>
  <w:num w:numId="19">
    <w:abstractNumId w:val="9"/>
  </w:num>
  <w:num w:numId="20">
    <w:abstractNumId w:val="17"/>
  </w:num>
  <w:num w:numId="2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SpellingErrors/>
  <w:hideGrammaticalErrors/>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activeWritingStyle w:appName="MSWord" w:lang="it-IT"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49" style="mso-position-horizontal:center;mso-width-percent:400;mso-height-percent:200;mso-width-relative:margin;mso-height-relative:margin" fillcolor="white">
      <v:fill color="white"/>
      <v:textbox style="mso-fit-shape-to-text:t"/>
      <o:colormru v:ext="edit" colors="#bd1f2b,#cf1e24,#d90b13,#e31c1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C7E"/>
    <w:rsid w:val="00000148"/>
    <w:rsid w:val="00001C85"/>
    <w:rsid w:val="000020B7"/>
    <w:rsid w:val="0000242C"/>
    <w:rsid w:val="000026DF"/>
    <w:rsid w:val="00002F2D"/>
    <w:rsid w:val="000034C8"/>
    <w:rsid w:val="000034E3"/>
    <w:rsid w:val="00003834"/>
    <w:rsid w:val="000039B0"/>
    <w:rsid w:val="00003AAA"/>
    <w:rsid w:val="00003AB5"/>
    <w:rsid w:val="00003AD9"/>
    <w:rsid w:val="00003F46"/>
    <w:rsid w:val="000041BD"/>
    <w:rsid w:val="000043D5"/>
    <w:rsid w:val="00004794"/>
    <w:rsid w:val="000049DD"/>
    <w:rsid w:val="00004DDD"/>
    <w:rsid w:val="00004DF3"/>
    <w:rsid w:val="00004E38"/>
    <w:rsid w:val="00005A6B"/>
    <w:rsid w:val="0000683C"/>
    <w:rsid w:val="00006DB7"/>
    <w:rsid w:val="00007042"/>
    <w:rsid w:val="0000740E"/>
    <w:rsid w:val="00010041"/>
    <w:rsid w:val="000101B6"/>
    <w:rsid w:val="000102D5"/>
    <w:rsid w:val="00010573"/>
    <w:rsid w:val="0001089C"/>
    <w:rsid w:val="000108ED"/>
    <w:rsid w:val="00010957"/>
    <w:rsid w:val="000109E3"/>
    <w:rsid w:val="00010A46"/>
    <w:rsid w:val="00010B15"/>
    <w:rsid w:val="00010B3C"/>
    <w:rsid w:val="000113F8"/>
    <w:rsid w:val="00011610"/>
    <w:rsid w:val="000119A0"/>
    <w:rsid w:val="00011A51"/>
    <w:rsid w:val="00011F76"/>
    <w:rsid w:val="00012364"/>
    <w:rsid w:val="0001283C"/>
    <w:rsid w:val="00012A11"/>
    <w:rsid w:val="000134A3"/>
    <w:rsid w:val="000135AB"/>
    <w:rsid w:val="00013751"/>
    <w:rsid w:val="00013995"/>
    <w:rsid w:val="00013A1E"/>
    <w:rsid w:val="00013F41"/>
    <w:rsid w:val="00014269"/>
    <w:rsid w:val="00014927"/>
    <w:rsid w:val="00015D22"/>
    <w:rsid w:val="00015EAD"/>
    <w:rsid w:val="00016B13"/>
    <w:rsid w:val="00017353"/>
    <w:rsid w:val="000205CA"/>
    <w:rsid w:val="0002065A"/>
    <w:rsid w:val="000211AD"/>
    <w:rsid w:val="000213E2"/>
    <w:rsid w:val="000215D1"/>
    <w:rsid w:val="00021652"/>
    <w:rsid w:val="0002181D"/>
    <w:rsid w:val="00021B34"/>
    <w:rsid w:val="00022197"/>
    <w:rsid w:val="00022763"/>
    <w:rsid w:val="000228CB"/>
    <w:rsid w:val="000241B7"/>
    <w:rsid w:val="00024BDA"/>
    <w:rsid w:val="00025294"/>
    <w:rsid w:val="000254AC"/>
    <w:rsid w:val="0002574E"/>
    <w:rsid w:val="000257C6"/>
    <w:rsid w:val="00025822"/>
    <w:rsid w:val="00025AA7"/>
    <w:rsid w:val="000266A7"/>
    <w:rsid w:val="00027FBC"/>
    <w:rsid w:val="00030BEE"/>
    <w:rsid w:val="0003114F"/>
    <w:rsid w:val="00031258"/>
    <w:rsid w:val="00031864"/>
    <w:rsid w:val="00031934"/>
    <w:rsid w:val="00031C2E"/>
    <w:rsid w:val="000320B7"/>
    <w:rsid w:val="00032A4E"/>
    <w:rsid w:val="00033432"/>
    <w:rsid w:val="000350E3"/>
    <w:rsid w:val="00035164"/>
    <w:rsid w:val="00035837"/>
    <w:rsid w:val="0003629C"/>
    <w:rsid w:val="000363D3"/>
    <w:rsid w:val="0003704B"/>
    <w:rsid w:val="0004002D"/>
    <w:rsid w:val="00040033"/>
    <w:rsid w:val="000402DE"/>
    <w:rsid w:val="00041081"/>
    <w:rsid w:val="0004186A"/>
    <w:rsid w:val="00041DD2"/>
    <w:rsid w:val="00041DDD"/>
    <w:rsid w:val="00041DEF"/>
    <w:rsid w:val="0004257E"/>
    <w:rsid w:val="00042B16"/>
    <w:rsid w:val="00042D21"/>
    <w:rsid w:val="00042F77"/>
    <w:rsid w:val="000433C2"/>
    <w:rsid w:val="0004346C"/>
    <w:rsid w:val="00043C67"/>
    <w:rsid w:val="00044806"/>
    <w:rsid w:val="00044BA2"/>
    <w:rsid w:val="000455A6"/>
    <w:rsid w:val="000457A7"/>
    <w:rsid w:val="00045BC9"/>
    <w:rsid w:val="000462ED"/>
    <w:rsid w:val="00046668"/>
    <w:rsid w:val="00046881"/>
    <w:rsid w:val="000468D3"/>
    <w:rsid w:val="00046950"/>
    <w:rsid w:val="00046AF5"/>
    <w:rsid w:val="000474A3"/>
    <w:rsid w:val="000478E6"/>
    <w:rsid w:val="000479D4"/>
    <w:rsid w:val="00047CCE"/>
    <w:rsid w:val="00047E42"/>
    <w:rsid w:val="00050117"/>
    <w:rsid w:val="00050441"/>
    <w:rsid w:val="00050489"/>
    <w:rsid w:val="00050496"/>
    <w:rsid w:val="000508D1"/>
    <w:rsid w:val="000512D1"/>
    <w:rsid w:val="0005182E"/>
    <w:rsid w:val="00051D92"/>
    <w:rsid w:val="00051E6A"/>
    <w:rsid w:val="00051FC2"/>
    <w:rsid w:val="00053471"/>
    <w:rsid w:val="000537BB"/>
    <w:rsid w:val="000538A1"/>
    <w:rsid w:val="000541C7"/>
    <w:rsid w:val="00054645"/>
    <w:rsid w:val="0005548D"/>
    <w:rsid w:val="000557ED"/>
    <w:rsid w:val="00055E26"/>
    <w:rsid w:val="000565A3"/>
    <w:rsid w:val="00056612"/>
    <w:rsid w:val="00056635"/>
    <w:rsid w:val="000567BC"/>
    <w:rsid w:val="00056892"/>
    <w:rsid w:val="000569E0"/>
    <w:rsid w:val="00057588"/>
    <w:rsid w:val="00057640"/>
    <w:rsid w:val="000578A2"/>
    <w:rsid w:val="00060194"/>
    <w:rsid w:val="00060769"/>
    <w:rsid w:val="000607A6"/>
    <w:rsid w:val="0006148E"/>
    <w:rsid w:val="000617FF"/>
    <w:rsid w:val="00061BEA"/>
    <w:rsid w:val="00061DC7"/>
    <w:rsid w:val="00061E48"/>
    <w:rsid w:val="00061E67"/>
    <w:rsid w:val="000620FB"/>
    <w:rsid w:val="000621DF"/>
    <w:rsid w:val="00062437"/>
    <w:rsid w:val="000629AB"/>
    <w:rsid w:val="00062C7C"/>
    <w:rsid w:val="00062E45"/>
    <w:rsid w:val="000635F7"/>
    <w:rsid w:val="00063D28"/>
    <w:rsid w:val="000643F7"/>
    <w:rsid w:val="00064404"/>
    <w:rsid w:val="00064E2A"/>
    <w:rsid w:val="0006537C"/>
    <w:rsid w:val="00065467"/>
    <w:rsid w:val="000657E2"/>
    <w:rsid w:val="000662FB"/>
    <w:rsid w:val="0006665B"/>
    <w:rsid w:val="00067AB5"/>
    <w:rsid w:val="00067F81"/>
    <w:rsid w:val="00070718"/>
    <w:rsid w:val="0007076D"/>
    <w:rsid w:val="000708D3"/>
    <w:rsid w:val="00071EFA"/>
    <w:rsid w:val="000720F5"/>
    <w:rsid w:val="000720F8"/>
    <w:rsid w:val="00072142"/>
    <w:rsid w:val="00072711"/>
    <w:rsid w:val="00072728"/>
    <w:rsid w:val="00072B3F"/>
    <w:rsid w:val="00072BE2"/>
    <w:rsid w:val="00073205"/>
    <w:rsid w:val="000732DF"/>
    <w:rsid w:val="0007358E"/>
    <w:rsid w:val="00073872"/>
    <w:rsid w:val="00073F42"/>
    <w:rsid w:val="00074665"/>
    <w:rsid w:val="000746D5"/>
    <w:rsid w:val="00074709"/>
    <w:rsid w:val="000749B9"/>
    <w:rsid w:val="000755F9"/>
    <w:rsid w:val="00075941"/>
    <w:rsid w:val="00075CC6"/>
    <w:rsid w:val="0007650D"/>
    <w:rsid w:val="00076C27"/>
    <w:rsid w:val="00077534"/>
    <w:rsid w:val="0007754A"/>
    <w:rsid w:val="00077592"/>
    <w:rsid w:val="00077E7D"/>
    <w:rsid w:val="00080263"/>
    <w:rsid w:val="000803AD"/>
    <w:rsid w:val="00080F62"/>
    <w:rsid w:val="000811D8"/>
    <w:rsid w:val="000817F5"/>
    <w:rsid w:val="000818DD"/>
    <w:rsid w:val="000819D4"/>
    <w:rsid w:val="000828E6"/>
    <w:rsid w:val="000829B6"/>
    <w:rsid w:val="00082A62"/>
    <w:rsid w:val="00082E1E"/>
    <w:rsid w:val="00083173"/>
    <w:rsid w:val="00083429"/>
    <w:rsid w:val="00083FE3"/>
    <w:rsid w:val="00084387"/>
    <w:rsid w:val="00084761"/>
    <w:rsid w:val="00084AF6"/>
    <w:rsid w:val="00084E02"/>
    <w:rsid w:val="00084EE6"/>
    <w:rsid w:val="0008506C"/>
    <w:rsid w:val="0008527C"/>
    <w:rsid w:val="0008545A"/>
    <w:rsid w:val="00085AC2"/>
    <w:rsid w:val="00085AFD"/>
    <w:rsid w:val="00085BC7"/>
    <w:rsid w:val="00085C51"/>
    <w:rsid w:val="00085E26"/>
    <w:rsid w:val="0008600B"/>
    <w:rsid w:val="00086154"/>
    <w:rsid w:val="000868F5"/>
    <w:rsid w:val="00086C83"/>
    <w:rsid w:val="000873CD"/>
    <w:rsid w:val="000876FA"/>
    <w:rsid w:val="00087774"/>
    <w:rsid w:val="00087BB3"/>
    <w:rsid w:val="0009016A"/>
    <w:rsid w:val="000909B9"/>
    <w:rsid w:val="00090A07"/>
    <w:rsid w:val="00090B9F"/>
    <w:rsid w:val="00090D41"/>
    <w:rsid w:val="00090DE6"/>
    <w:rsid w:val="0009127D"/>
    <w:rsid w:val="000917CD"/>
    <w:rsid w:val="00092391"/>
    <w:rsid w:val="000924D4"/>
    <w:rsid w:val="00092C29"/>
    <w:rsid w:val="00094B3C"/>
    <w:rsid w:val="00094CB4"/>
    <w:rsid w:val="00095213"/>
    <w:rsid w:val="00095303"/>
    <w:rsid w:val="00095ABF"/>
    <w:rsid w:val="00096313"/>
    <w:rsid w:val="00096371"/>
    <w:rsid w:val="0009657B"/>
    <w:rsid w:val="00096954"/>
    <w:rsid w:val="00096C13"/>
    <w:rsid w:val="00096DB8"/>
    <w:rsid w:val="00097158"/>
    <w:rsid w:val="000972EF"/>
    <w:rsid w:val="000977C6"/>
    <w:rsid w:val="000A085E"/>
    <w:rsid w:val="000A0936"/>
    <w:rsid w:val="000A09E7"/>
    <w:rsid w:val="000A0AC7"/>
    <w:rsid w:val="000A0D76"/>
    <w:rsid w:val="000A1070"/>
    <w:rsid w:val="000A123E"/>
    <w:rsid w:val="000A169F"/>
    <w:rsid w:val="000A2640"/>
    <w:rsid w:val="000A27BB"/>
    <w:rsid w:val="000A32BD"/>
    <w:rsid w:val="000A3E31"/>
    <w:rsid w:val="000A3EBA"/>
    <w:rsid w:val="000A4087"/>
    <w:rsid w:val="000A40FD"/>
    <w:rsid w:val="000A4E9A"/>
    <w:rsid w:val="000A5314"/>
    <w:rsid w:val="000A5D8F"/>
    <w:rsid w:val="000A5D99"/>
    <w:rsid w:val="000A63AD"/>
    <w:rsid w:val="000A6591"/>
    <w:rsid w:val="000A677A"/>
    <w:rsid w:val="000A69D2"/>
    <w:rsid w:val="000A77D6"/>
    <w:rsid w:val="000A78EC"/>
    <w:rsid w:val="000A7B77"/>
    <w:rsid w:val="000A7CF9"/>
    <w:rsid w:val="000B01FA"/>
    <w:rsid w:val="000B022B"/>
    <w:rsid w:val="000B02ED"/>
    <w:rsid w:val="000B0B4A"/>
    <w:rsid w:val="000B0DCE"/>
    <w:rsid w:val="000B115F"/>
    <w:rsid w:val="000B14E7"/>
    <w:rsid w:val="000B1BA4"/>
    <w:rsid w:val="000B1F20"/>
    <w:rsid w:val="000B1F2B"/>
    <w:rsid w:val="000B233D"/>
    <w:rsid w:val="000B27E0"/>
    <w:rsid w:val="000B2A82"/>
    <w:rsid w:val="000B2AAC"/>
    <w:rsid w:val="000B32C5"/>
    <w:rsid w:val="000B32E4"/>
    <w:rsid w:val="000B3304"/>
    <w:rsid w:val="000B38EA"/>
    <w:rsid w:val="000B3AD8"/>
    <w:rsid w:val="000B3EAD"/>
    <w:rsid w:val="000B3F89"/>
    <w:rsid w:val="000B4ACD"/>
    <w:rsid w:val="000B51E7"/>
    <w:rsid w:val="000B56C0"/>
    <w:rsid w:val="000B5A90"/>
    <w:rsid w:val="000B5B83"/>
    <w:rsid w:val="000B5DC1"/>
    <w:rsid w:val="000B6575"/>
    <w:rsid w:val="000B6A87"/>
    <w:rsid w:val="000B6C6C"/>
    <w:rsid w:val="000B6D0F"/>
    <w:rsid w:val="000B6E6D"/>
    <w:rsid w:val="000B72E0"/>
    <w:rsid w:val="000B7989"/>
    <w:rsid w:val="000C0226"/>
    <w:rsid w:val="000C076E"/>
    <w:rsid w:val="000C099C"/>
    <w:rsid w:val="000C0F55"/>
    <w:rsid w:val="000C1097"/>
    <w:rsid w:val="000C1C3E"/>
    <w:rsid w:val="000C2090"/>
    <w:rsid w:val="000C233C"/>
    <w:rsid w:val="000C25D8"/>
    <w:rsid w:val="000C267B"/>
    <w:rsid w:val="000C2971"/>
    <w:rsid w:val="000C2980"/>
    <w:rsid w:val="000C2FB7"/>
    <w:rsid w:val="000C35FB"/>
    <w:rsid w:val="000C3630"/>
    <w:rsid w:val="000C3830"/>
    <w:rsid w:val="000C39B4"/>
    <w:rsid w:val="000C3DA5"/>
    <w:rsid w:val="000C4457"/>
    <w:rsid w:val="000C4689"/>
    <w:rsid w:val="000C4D5C"/>
    <w:rsid w:val="000C5202"/>
    <w:rsid w:val="000C53F5"/>
    <w:rsid w:val="000C5564"/>
    <w:rsid w:val="000C5602"/>
    <w:rsid w:val="000C59C4"/>
    <w:rsid w:val="000C5B36"/>
    <w:rsid w:val="000C627A"/>
    <w:rsid w:val="000C6F05"/>
    <w:rsid w:val="000C71C5"/>
    <w:rsid w:val="000C727A"/>
    <w:rsid w:val="000C7697"/>
    <w:rsid w:val="000C789E"/>
    <w:rsid w:val="000C7B4C"/>
    <w:rsid w:val="000C7EF4"/>
    <w:rsid w:val="000D072A"/>
    <w:rsid w:val="000D0F51"/>
    <w:rsid w:val="000D1221"/>
    <w:rsid w:val="000D1B06"/>
    <w:rsid w:val="000D1E54"/>
    <w:rsid w:val="000D24E2"/>
    <w:rsid w:val="000D2BA7"/>
    <w:rsid w:val="000D3A7C"/>
    <w:rsid w:val="000D3CAE"/>
    <w:rsid w:val="000D4568"/>
    <w:rsid w:val="000D4EE8"/>
    <w:rsid w:val="000D4FE9"/>
    <w:rsid w:val="000D5383"/>
    <w:rsid w:val="000D53B8"/>
    <w:rsid w:val="000D68E4"/>
    <w:rsid w:val="000D70FA"/>
    <w:rsid w:val="000D7279"/>
    <w:rsid w:val="000D7679"/>
    <w:rsid w:val="000E0D71"/>
    <w:rsid w:val="000E0FC9"/>
    <w:rsid w:val="000E1054"/>
    <w:rsid w:val="000E1473"/>
    <w:rsid w:val="000E1562"/>
    <w:rsid w:val="000E162A"/>
    <w:rsid w:val="000E177D"/>
    <w:rsid w:val="000E19F0"/>
    <w:rsid w:val="000E1E6F"/>
    <w:rsid w:val="000E2098"/>
    <w:rsid w:val="000E237E"/>
    <w:rsid w:val="000E23BF"/>
    <w:rsid w:val="000E23EF"/>
    <w:rsid w:val="000E2664"/>
    <w:rsid w:val="000E2BE0"/>
    <w:rsid w:val="000E2E1B"/>
    <w:rsid w:val="000E327D"/>
    <w:rsid w:val="000E32BE"/>
    <w:rsid w:val="000E32CD"/>
    <w:rsid w:val="000E3886"/>
    <w:rsid w:val="000E3CFC"/>
    <w:rsid w:val="000E40CB"/>
    <w:rsid w:val="000E420F"/>
    <w:rsid w:val="000E44A9"/>
    <w:rsid w:val="000E4A6D"/>
    <w:rsid w:val="000E5429"/>
    <w:rsid w:val="000E62CE"/>
    <w:rsid w:val="000E63BC"/>
    <w:rsid w:val="000E649F"/>
    <w:rsid w:val="000E66DF"/>
    <w:rsid w:val="000E6B08"/>
    <w:rsid w:val="000E70A5"/>
    <w:rsid w:val="000E73E5"/>
    <w:rsid w:val="000E7523"/>
    <w:rsid w:val="000E78BC"/>
    <w:rsid w:val="000E7F42"/>
    <w:rsid w:val="000F039B"/>
    <w:rsid w:val="000F0888"/>
    <w:rsid w:val="000F0DEA"/>
    <w:rsid w:val="000F0DFE"/>
    <w:rsid w:val="000F1394"/>
    <w:rsid w:val="000F1519"/>
    <w:rsid w:val="000F1538"/>
    <w:rsid w:val="000F18A3"/>
    <w:rsid w:val="000F19B4"/>
    <w:rsid w:val="000F19CA"/>
    <w:rsid w:val="000F1A51"/>
    <w:rsid w:val="000F1CEF"/>
    <w:rsid w:val="000F25EE"/>
    <w:rsid w:val="000F269A"/>
    <w:rsid w:val="000F26C0"/>
    <w:rsid w:val="000F2873"/>
    <w:rsid w:val="000F2BE7"/>
    <w:rsid w:val="000F2FB2"/>
    <w:rsid w:val="000F32AC"/>
    <w:rsid w:val="000F370D"/>
    <w:rsid w:val="000F3856"/>
    <w:rsid w:val="000F3E1E"/>
    <w:rsid w:val="000F4698"/>
    <w:rsid w:val="000F4D00"/>
    <w:rsid w:val="000F4FE7"/>
    <w:rsid w:val="000F5E41"/>
    <w:rsid w:val="000F5EC4"/>
    <w:rsid w:val="000F6161"/>
    <w:rsid w:val="000F7786"/>
    <w:rsid w:val="000F7AD5"/>
    <w:rsid w:val="000F7CB4"/>
    <w:rsid w:val="000F7F64"/>
    <w:rsid w:val="000F7FAE"/>
    <w:rsid w:val="00100058"/>
    <w:rsid w:val="00100268"/>
    <w:rsid w:val="00100472"/>
    <w:rsid w:val="00100B0C"/>
    <w:rsid w:val="00101A55"/>
    <w:rsid w:val="00101F21"/>
    <w:rsid w:val="0010203F"/>
    <w:rsid w:val="00102B37"/>
    <w:rsid w:val="00102E12"/>
    <w:rsid w:val="001030AE"/>
    <w:rsid w:val="0010327A"/>
    <w:rsid w:val="00103356"/>
    <w:rsid w:val="00103433"/>
    <w:rsid w:val="001035FC"/>
    <w:rsid w:val="00103A48"/>
    <w:rsid w:val="00104168"/>
    <w:rsid w:val="00104E68"/>
    <w:rsid w:val="00104EC6"/>
    <w:rsid w:val="00105774"/>
    <w:rsid w:val="00105B08"/>
    <w:rsid w:val="0010607E"/>
    <w:rsid w:val="0010642A"/>
    <w:rsid w:val="0010687A"/>
    <w:rsid w:val="00106AA3"/>
    <w:rsid w:val="00107126"/>
    <w:rsid w:val="001075A8"/>
    <w:rsid w:val="001079C3"/>
    <w:rsid w:val="00107B24"/>
    <w:rsid w:val="00110856"/>
    <w:rsid w:val="001112CB"/>
    <w:rsid w:val="00111347"/>
    <w:rsid w:val="00111823"/>
    <w:rsid w:val="00111D49"/>
    <w:rsid w:val="001124E6"/>
    <w:rsid w:val="00112A83"/>
    <w:rsid w:val="00112FD6"/>
    <w:rsid w:val="00113BDB"/>
    <w:rsid w:val="00113E20"/>
    <w:rsid w:val="00113E61"/>
    <w:rsid w:val="00113F0D"/>
    <w:rsid w:val="00114045"/>
    <w:rsid w:val="001143AE"/>
    <w:rsid w:val="001143D0"/>
    <w:rsid w:val="001146BF"/>
    <w:rsid w:val="001148C3"/>
    <w:rsid w:val="0011562D"/>
    <w:rsid w:val="001156D5"/>
    <w:rsid w:val="00116DD5"/>
    <w:rsid w:val="00117309"/>
    <w:rsid w:val="00117AF1"/>
    <w:rsid w:val="00117BB0"/>
    <w:rsid w:val="0012011D"/>
    <w:rsid w:val="00120457"/>
    <w:rsid w:val="00120D7F"/>
    <w:rsid w:val="00120F89"/>
    <w:rsid w:val="00121177"/>
    <w:rsid w:val="001216FA"/>
    <w:rsid w:val="00121F1E"/>
    <w:rsid w:val="00122912"/>
    <w:rsid w:val="00122976"/>
    <w:rsid w:val="0012380F"/>
    <w:rsid w:val="00123A77"/>
    <w:rsid w:val="001248B9"/>
    <w:rsid w:val="001249B2"/>
    <w:rsid w:val="001254C6"/>
    <w:rsid w:val="00125651"/>
    <w:rsid w:val="00125958"/>
    <w:rsid w:val="00125AC1"/>
    <w:rsid w:val="00125C51"/>
    <w:rsid w:val="00125D56"/>
    <w:rsid w:val="00125FC1"/>
    <w:rsid w:val="001261E2"/>
    <w:rsid w:val="00126235"/>
    <w:rsid w:val="0012664B"/>
    <w:rsid w:val="001267F9"/>
    <w:rsid w:val="00126876"/>
    <w:rsid w:val="001273DA"/>
    <w:rsid w:val="00127CCE"/>
    <w:rsid w:val="0013060B"/>
    <w:rsid w:val="001306A7"/>
    <w:rsid w:val="00131084"/>
    <w:rsid w:val="0013114E"/>
    <w:rsid w:val="001315D4"/>
    <w:rsid w:val="001315EA"/>
    <w:rsid w:val="0013171C"/>
    <w:rsid w:val="001319AE"/>
    <w:rsid w:val="00132098"/>
    <w:rsid w:val="0013239A"/>
    <w:rsid w:val="00132674"/>
    <w:rsid w:val="00132A09"/>
    <w:rsid w:val="00132D0E"/>
    <w:rsid w:val="00132F27"/>
    <w:rsid w:val="001334D9"/>
    <w:rsid w:val="001335FA"/>
    <w:rsid w:val="0013399B"/>
    <w:rsid w:val="0013455F"/>
    <w:rsid w:val="00135207"/>
    <w:rsid w:val="001358CD"/>
    <w:rsid w:val="00135D93"/>
    <w:rsid w:val="00135EC9"/>
    <w:rsid w:val="00136C00"/>
    <w:rsid w:val="001376AE"/>
    <w:rsid w:val="00137940"/>
    <w:rsid w:val="00137B50"/>
    <w:rsid w:val="00137FEB"/>
    <w:rsid w:val="0014041C"/>
    <w:rsid w:val="001419EF"/>
    <w:rsid w:val="00141A37"/>
    <w:rsid w:val="00141B4A"/>
    <w:rsid w:val="00141C42"/>
    <w:rsid w:val="001421E4"/>
    <w:rsid w:val="00142F44"/>
    <w:rsid w:val="00143151"/>
    <w:rsid w:val="001431DB"/>
    <w:rsid w:val="00143799"/>
    <w:rsid w:val="00143A49"/>
    <w:rsid w:val="00143C18"/>
    <w:rsid w:val="001440DD"/>
    <w:rsid w:val="00144AEB"/>
    <w:rsid w:val="00144DF8"/>
    <w:rsid w:val="00145A1D"/>
    <w:rsid w:val="001463B3"/>
    <w:rsid w:val="00147253"/>
    <w:rsid w:val="0014748A"/>
    <w:rsid w:val="00147559"/>
    <w:rsid w:val="001478BA"/>
    <w:rsid w:val="00147CF6"/>
    <w:rsid w:val="001511A4"/>
    <w:rsid w:val="0015128D"/>
    <w:rsid w:val="00151343"/>
    <w:rsid w:val="001516DB"/>
    <w:rsid w:val="00151BB3"/>
    <w:rsid w:val="00152E56"/>
    <w:rsid w:val="001532E5"/>
    <w:rsid w:val="001538D3"/>
    <w:rsid w:val="00153A3C"/>
    <w:rsid w:val="00154850"/>
    <w:rsid w:val="0015485C"/>
    <w:rsid w:val="00154B63"/>
    <w:rsid w:val="00154CB3"/>
    <w:rsid w:val="00155117"/>
    <w:rsid w:val="001555D0"/>
    <w:rsid w:val="001559AA"/>
    <w:rsid w:val="00156C7D"/>
    <w:rsid w:val="00156D13"/>
    <w:rsid w:val="001570B0"/>
    <w:rsid w:val="00157260"/>
    <w:rsid w:val="001575D8"/>
    <w:rsid w:val="00157664"/>
    <w:rsid w:val="001600DF"/>
    <w:rsid w:val="00160180"/>
    <w:rsid w:val="00160503"/>
    <w:rsid w:val="00161148"/>
    <w:rsid w:val="001611C8"/>
    <w:rsid w:val="00161230"/>
    <w:rsid w:val="00161444"/>
    <w:rsid w:val="0016149C"/>
    <w:rsid w:val="001614D8"/>
    <w:rsid w:val="00161A69"/>
    <w:rsid w:val="00161AEE"/>
    <w:rsid w:val="00161BFF"/>
    <w:rsid w:val="00162056"/>
    <w:rsid w:val="001622D3"/>
    <w:rsid w:val="00162C0B"/>
    <w:rsid w:val="0016323D"/>
    <w:rsid w:val="001632FB"/>
    <w:rsid w:val="0016343C"/>
    <w:rsid w:val="00163540"/>
    <w:rsid w:val="001645B6"/>
    <w:rsid w:val="00164938"/>
    <w:rsid w:val="00164DAA"/>
    <w:rsid w:val="00165947"/>
    <w:rsid w:val="00165C76"/>
    <w:rsid w:val="00165E0A"/>
    <w:rsid w:val="001661D3"/>
    <w:rsid w:val="00166288"/>
    <w:rsid w:val="00166316"/>
    <w:rsid w:val="00166319"/>
    <w:rsid w:val="001663DB"/>
    <w:rsid w:val="001664CA"/>
    <w:rsid w:val="001671CF"/>
    <w:rsid w:val="00167687"/>
    <w:rsid w:val="00167757"/>
    <w:rsid w:val="00167891"/>
    <w:rsid w:val="00167A99"/>
    <w:rsid w:val="00167FAA"/>
    <w:rsid w:val="00167FBE"/>
    <w:rsid w:val="00167FDD"/>
    <w:rsid w:val="001703A0"/>
    <w:rsid w:val="00170967"/>
    <w:rsid w:val="00170991"/>
    <w:rsid w:val="00170A4B"/>
    <w:rsid w:val="00170E15"/>
    <w:rsid w:val="00170E70"/>
    <w:rsid w:val="0017188E"/>
    <w:rsid w:val="00172E48"/>
    <w:rsid w:val="00173151"/>
    <w:rsid w:val="001747FB"/>
    <w:rsid w:val="00174879"/>
    <w:rsid w:val="0017489B"/>
    <w:rsid w:val="00174B36"/>
    <w:rsid w:val="00174D35"/>
    <w:rsid w:val="0017508C"/>
    <w:rsid w:val="00175120"/>
    <w:rsid w:val="00175364"/>
    <w:rsid w:val="00175897"/>
    <w:rsid w:val="00175B59"/>
    <w:rsid w:val="00175DBA"/>
    <w:rsid w:val="00175FBA"/>
    <w:rsid w:val="0017600F"/>
    <w:rsid w:val="00176F23"/>
    <w:rsid w:val="001770F1"/>
    <w:rsid w:val="001772A7"/>
    <w:rsid w:val="001774A3"/>
    <w:rsid w:val="0018016F"/>
    <w:rsid w:val="00180464"/>
    <w:rsid w:val="00180A46"/>
    <w:rsid w:val="00180B4B"/>
    <w:rsid w:val="00180F58"/>
    <w:rsid w:val="00181180"/>
    <w:rsid w:val="00181353"/>
    <w:rsid w:val="00181555"/>
    <w:rsid w:val="00181A1C"/>
    <w:rsid w:val="00182103"/>
    <w:rsid w:val="001823B9"/>
    <w:rsid w:val="00182A18"/>
    <w:rsid w:val="00182B9D"/>
    <w:rsid w:val="001836BE"/>
    <w:rsid w:val="00183ACA"/>
    <w:rsid w:val="00184632"/>
    <w:rsid w:val="00184694"/>
    <w:rsid w:val="00185048"/>
    <w:rsid w:val="001857BC"/>
    <w:rsid w:val="00185DEC"/>
    <w:rsid w:val="00185F1A"/>
    <w:rsid w:val="00186029"/>
    <w:rsid w:val="001871F1"/>
    <w:rsid w:val="00187799"/>
    <w:rsid w:val="00190077"/>
    <w:rsid w:val="00190333"/>
    <w:rsid w:val="001906DB"/>
    <w:rsid w:val="0019079B"/>
    <w:rsid w:val="001910F4"/>
    <w:rsid w:val="00191237"/>
    <w:rsid w:val="0019150C"/>
    <w:rsid w:val="00191515"/>
    <w:rsid w:val="00192293"/>
    <w:rsid w:val="001927F0"/>
    <w:rsid w:val="00192880"/>
    <w:rsid w:val="00192E69"/>
    <w:rsid w:val="00192E96"/>
    <w:rsid w:val="00192F98"/>
    <w:rsid w:val="00193A14"/>
    <w:rsid w:val="00193A4B"/>
    <w:rsid w:val="00193CF7"/>
    <w:rsid w:val="00193D54"/>
    <w:rsid w:val="00194384"/>
    <w:rsid w:val="00194DAF"/>
    <w:rsid w:val="0019511A"/>
    <w:rsid w:val="00195940"/>
    <w:rsid w:val="001959E9"/>
    <w:rsid w:val="001967B2"/>
    <w:rsid w:val="00196C94"/>
    <w:rsid w:val="00196D70"/>
    <w:rsid w:val="001971CB"/>
    <w:rsid w:val="0019720C"/>
    <w:rsid w:val="001977AD"/>
    <w:rsid w:val="00197AD3"/>
    <w:rsid w:val="001A047F"/>
    <w:rsid w:val="001A065C"/>
    <w:rsid w:val="001A0668"/>
    <w:rsid w:val="001A0D3B"/>
    <w:rsid w:val="001A11E5"/>
    <w:rsid w:val="001A13B6"/>
    <w:rsid w:val="001A14D5"/>
    <w:rsid w:val="001A19E6"/>
    <w:rsid w:val="001A20C6"/>
    <w:rsid w:val="001A22C1"/>
    <w:rsid w:val="001A2616"/>
    <w:rsid w:val="001A28FB"/>
    <w:rsid w:val="001A2902"/>
    <w:rsid w:val="001A34D7"/>
    <w:rsid w:val="001A3A0A"/>
    <w:rsid w:val="001A3F3F"/>
    <w:rsid w:val="001A41BF"/>
    <w:rsid w:val="001A4D76"/>
    <w:rsid w:val="001A5199"/>
    <w:rsid w:val="001A57C1"/>
    <w:rsid w:val="001A5AFA"/>
    <w:rsid w:val="001A75C9"/>
    <w:rsid w:val="001A7AAD"/>
    <w:rsid w:val="001A7EAD"/>
    <w:rsid w:val="001B000F"/>
    <w:rsid w:val="001B01CB"/>
    <w:rsid w:val="001B07B9"/>
    <w:rsid w:val="001B0ADE"/>
    <w:rsid w:val="001B10B4"/>
    <w:rsid w:val="001B1426"/>
    <w:rsid w:val="001B15BA"/>
    <w:rsid w:val="001B1A43"/>
    <w:rsid w:val="001B20F5"/>
    <w:rsid w:val="001B28C7"/>
    <w:rsid w:val="001B2A8B"/>
    <w:rsid w:val="001B3221"/>
    <w:rsid w:val="001B3507"/>
    <w:rsid w:val="001B3775"/>
    <w:rsid w:val="001B39D1"/>
    <w:rsid w:val="001B3AD8"/>
    <w:rsid w:val="001B4695"/>
    <w:rsid w:val="001B4EA0"/>
    <w:rsid w:val="001B52C9"/>
    <w:rsid w:val="001B5337"/>
    <w:rsid w:val="001B53BC"/>
    <w:rsid w:val="001B57BC"/>
    <w:rsid w:val="001B599E"/>
    <w:rsid w:val="001B5A78"/>
    <w:rsid w:val="001B5CAF"/>
    <w:rsid w:val="001B6B0B"/>
    <w:rsid w:val="001B7735"/>
    <w:rsid w:val="001B7B68"/>
    <w:rsid w:val="001C061E"/>
    <w:rsid w:val="001C0F4B"/>
    <w:rsid w:val="001C0FBC"/>
    <w:rsid w:val="001C129F"/>
    <w:rsid w:val="001C1F72"/>
    <w:rsid w:val="001C218A"/>
    <w:rsid w:val="001C2213"/>
    <w:rsid w:val="001C2C8A"/>
    <w:rsid w:val="001C2E71"/>
    <w:rsid w:val="001C3C7A"/>
    <w:rsid w:val="001C51E1"/>
    <w:rsid w:val="001C5236"/>
    <w:rsid w:val="001C5F64"/>
    <w:rsid w:val="001C6181"/>
    <w:rsid w:val="001C6347"/>
    <w:rsid w:val="001C736C"/>
    <w:rsid w:val="001C78BB"/>
    <w:rsid w:val="001D07C1"/>
    <w:rsid w:val="001D0D4A"/>
    <w:rsid w:val="001D0DC3"/>
    <w:rsid w:val="001D1045"/>
    <w:rsid w:val="001D2416"/>
    <w:rsid w:val="001D2592"/>
    <w:rsid w:val="001D26FF"/>
    <w:rsid w:val="001D2C5F"/>
    <w:rsid w:val="001D3155"/>
    <w:rsid w:val="001D35C0"/>
    <w:rsid w:val="001D3A08"/>
    <w:rsid w:val="001D4279"/>
    <w:rsid w:val="001D447C"/>
    <w:rsid w:val="001D4AD4"/>
    <w:rsid w:val="001D4E3C"/>
    <w:rsid w:val="001D5006"/>
    <w:rsid w:val="001D58AB"/>
    <w:rsid w:val="001D5E51"/>
    <w:rsid w:val="001D6B45"/>
    <w:rsid w:val="001D744B"/>
    <w:rsid w:val="001D74F6"/>
    <w:rsid w:val="001E079A"/>
    <w:rsid w:val="001E081F"/>
    <w:rsid w:val="001E08DA"/>
    <w:rsid w:val="001E0EDB"/>
    <w:rsid w:val="001E12C1"/>
    <w:rsid w:val="001E15E8"/>
    <w:rsid w:val="001E1B40"/>
    <w:rsid w:val="001E1EA1"/>
    <w:rsid w:val="001E24EA"/>
    <w:rsid w:val="001E2F57"/>
    <w:rsid w:val="001E4755"/>
    <w:rsid w:val="001E4804"/>
    <w:rsid w:val="001E4F73"/>
    <w:rsid w:val="001E51F7"/>
    <w:rsid w:val="001E531B"/>
    <w:rsid w:val="001E54C0"/>
    <w:rsid w:val="001E551F"/>
    <w:rsid w:val="001E5D07"/>
    <w:rsid w:val="001E5DAC"/>
    <w:rsid w:val="001E6089"/>
    <w:rsid w:val="001E67C4"/>
    <w:rsid w:val="001E7779"/>
    <w:rsid w:val="001E779F"/>
    <w:rsid w:val="001E7914"/>
    <w:rsid w:val="001E79F6"/>
    <w:rsid w:val="001F0235"/>
    <w:rsid w:val="001F0698"/>
    <w:rsid w:val="001F0D54"/>
    <w:rsid w:val="001F1597"/>
    <w:rsid w:val="001F1ABF"/>
    <w:rsid w:val="001F1DAA"/>
    <w:rsid w:val="001F21EC"/>
    <w:rsid w:val="001F3366"/>
    <w:rsid w:val="001F352E"/>
    <w:rsid w:val="001F38D3"/>
    <w:rsid w:val="001F3E90"/>
    <w:rsid w:val="001F3EF9"/>
    <w:rsid w:val="001F53EF"/>
    <w:rsid w:val="001F573B"/>
    <w:rsid w:val="001F5C37"/>
    <w:rsid w:val="001F5EA0"/>
    <w:rsid w:val="001F60A2"/>
    <w:rsid w:val="001F6302"/>
    <w:rsid w:val="001F64D7"/>
    <w:rsid w:val="001F66D3"/>
    <w:rsid w:val="001F7077"/>
    <w:rsid w:val="001F70B7"/>
    <w:rsid w:val="001F7282"/>
    <w:rsid w:val="001F7D1B"/>
    <w:rsid w:val="002000D5"/>
    <w:rsid w:val="002000EB"/>
    <w:rsid w:val="002005F7"/>
    <w:rsid w:val="00200A45"/>
    <w:rsid w:val="00200C03"/>
    <w:rsid w:val="00200EAC"/>
    <w:rsid w:val="00201686"/>
    <w:rsid w:val="0020169C"/>
    <w:rsid w:val="00201D2E"/>
    <w:rsid w:val="002023EE"/>
    <w:rsid w:val="00202FBE"/>
    <w:rsid w:val="002034BA"/>
    <w:rsid w:val="0020368C"/>
    <w:rsid w:val="002039D7"/>
    <w:rsid w:val="00203B8B"/>
    <w:rsid w:val="00203C61"/>
    <w:rsid w:val="00204871"/>
    <w:rsid w:val="00204C24"/>
    <w:rsid w:val="00204C6A"/>
    <w:rsid w:val="002057AA"/>
    <w:rsid w:val="00205C76"/>
    <w:rsid w:val="002068C9"/>
    <w:rsid w:val="00206BBF"/>
    <w:rsid w:val="00206E6F"/>
    <w:rsid w:val="00207188"/>
    <w:rsid w:val="002073C2"/>
    <w:rsid w:val="0020766F"/>
    <w:rsid w:val="00207BBC"/>
    <w:rsid w:val="00207EF4"/>
    <w:rsid w:val="00210DD3"/>
    <w:rsid w:val="00211045"/>
    <w:rsid w:val="00211212"/>
    <w:rsid w:val="00211448"/>
    <w:rsid w:val="00211886"/>
    <w:rsid w:val="00211EC0"/>
    <w:rsid w:val="00211EF1"/>
    <w:rsid w:val="00212661"/>
    <w:rsid w:val="0021357B"/>
    <w:rsid w:val="002142A5"/>
    <w:rsid w:val="0021442F"/>
    <w:rsid w:val="00214777"/>
    <w:rsid w:val="00215554"/>
    <w:rsid w:val="00215733"/>
    <w:rsid w:val="0021595C"/>
    <w:rsid w:val="00215F0B"/>
    <w:rsid w:val="00215FC4"/>
    <w:rsid w:val="002161F6"/>
    <w:rsid w:val="002165F4"/>
    <w:rsid w:val="00217777"/>
    <w:rsid w:val="00217C10"/>
    <w:rsid w:val="00217F9A"/>
    <w:rsid w:val="002210D5"/>
    <w:rsid w:val="00221BAA"/>
    <w:rsid w:val="00221EF9"/>
    <w:rsid w:val="002222B9"/>
    <w:rsid w:val="002227FF"/>
    <w:rsid w:val="0022293C"/>
    <w:rsid w:val="00222B53"/>
    <w:rsid w:val="00223A96"/>
    <w:rsid w:val="00223EEC"/>
    <w:rsid w:val="002244F6"/>
    <w:rsid w:val="002244FD"/>
    <w:rsid w:val="0022476B"/>
    <w:rsid w:val="00224A5E"/>
    <w:rsid w:val="00224BE7"/>
    <w:rsid w:val="00224DC1"/>
    <w:rsid w:val="00224E8B"/>
    <w:rsid w:val="00225129"/>
    <w:rsid w:val="0022535F"/>
    <w:rsid w:val="00225B5B"/>
    <w:rsid w:val="00226403"/>
    <w:rsid w:val="00226461"/>
    <w:rsid w:val="00226679"/>
    <w:rsid w:val="00226782"/>
    <w:rsid w:val="00226932"/>
    <w:rsid w:val="002272AB"/>
    <w:rsid w:val="002274CB"/>
    <w:rsid w:val="00227555"/>
    <w:rsid w:val="002300AE"/>
    <w:rsid w:val="00230515"/>
    <w:rsid w:val="00230ABF"/>
    <w:rsid w:val="00230E55"/>
    <w:rsid w:val="002311C5"/>
    <w:rsid w:val="00231891"/>
    <w:rsid w:val="00231899"/>
    <w:rsid w:val="002320ED"/>
    <w:rsid w:val="002328F7"/>
    <w:rsid w:val="0023361F"/>
    <w:rsid w:val="002338C4"/>
    <w:rsid w:val="00233B11"/>
    <w:rsid w:val="002344A7"/>
    <w:rsid w:val="00234B37"/>
    <w:rsid w:val="00234D9F"/>
    <w:rsid w:val="00234F0F"/>
    <w:rsid w:val="002351CB"/>
    <w:rsid w:val="00235A66"/>
    <w:rsid w:val="00235EFE"/>
    <w:rsid w:val="0023612D"/>
    <w:rsid w:val="0023622A"/>
    <w:rsid w:val="002363B1"/>
    <w:rsid w:val="0023707F"/>
    <w:rsid w:val="00237263"/>
    <w:rsid w:val="00237837"/>
    <w:rsid w:val="00240C21"/>
    <w:rsid w:val="002417D6"/>
    <w:rsid w:val="002417F9"/>
    <w:rsid w:val="00241BE0"/>
    <w:rsid w:val="00242210"/>
    <w:rsid w:val="00242376"/>
    <w:rsid w:val="00242CF9"/>
    <w:rsid w:val="00243133"/>
    <w:rsid w:val="00243660"/>
    <w:rsid w:val="00243A79"/>
    <w:rsid w:val="00243B1E"/>
    <w:rsid w:val="00244133"/>
    <w:rsid w:val="002443A9"/>
    <w:rsid w:val="00244441"/>
    <w:rsid w:val="002447BE"/>
    <w:rsid w:val="00244C69"/>
    <w:rsid w:val="002450DB"/>
    <w:rsid w:val="00245E94"/>
    <w:rsid w:val="00245ECC"/>
    <w:rsid w:val="00246CF4"/>
    <w:rsid w:val="002471C5"/>
    <w:rsid w:val="002473BB"/>
    <w:rsid w:val="0024768D"/>
    <w:rsid w:val="00247D0F"/>
    <w:rsid w:val="002500FB"/>
    <w:rsid w:val="00250697"/>
    <w:rsid w:val="00250829"/>
    <w:rsid w:val="00251722"/>
    <w:rsid w:val="00251A3F"/>
    <w:rsid w:val="00251B16"/>
    <w:rsid w:val="0025254B"/>
    <w:rsid w:val="00252594"/>
    <w:rsid w:val="00252F1D"/>
    <w:rsid w:val="002534FD"/>
    <w:rsid w:val="002538CC"/>
    <w:rsid w:val="00253E7F"/>
    <w:rsid w:val="002546FF"/>
    <w:rsid w:val="00254781"/>
    <w:rsid w:val="002548DD"/>
    <w:rsid w:val="00255B2E"/>
    <w:rsid w:val="0025636A"/>
    <w:rsid w:val="00256443"/>
    <w:rsid w:val="002564F9"/>
    <w:rsid w:val="00256A69"/>
    <w:rsid w:val="00256C8A"/>
    <w:rsid w:val="00256E1E"/>
    <w:rsid w:val="0025771E"/>
    <w:rsid w:val="00257EA6"/>
    <w:rsid w:val="00257F9D"/>
    <w:rsid w:val="0026018C"/>
    <w:rsid w:val="00260508"/>
    <w:rsid w:val="00260A10"/>
    <w:rsid w:val="00260A19"/>
    <w:rsid w:val="00260B0F"/>
    <w:rsid w:val="00260C44"/>
    <w:rsid w:val="00261067"/>
    <w:rsid w:val="002610AB"/>
    <w:rsid w:val="0026158D"/>
    <w:rsid w:val="00261836"/>
    <w:rsid w:val="00261967"/>
    <w:rsid w:val="0026196A"/>
    <w:rsid w:val="002619F6"/>
    <w:rsid w:val="002621B0"/>
    <w:rsid w:val="0026234A"/>
    <w:rsid w:val="0026240F"/>
    <w:rsid w:val="00262636"/>
    <w:rsid w:val="00262C3B"/>
    <w:rsid w:val="002639B6"/>
    <w:rsid w:val="00263B9E"/>
    <w:rsid w:val="0026417C"/>
    <w:rsid w:val="002645E0"/>
    <w:rsid w:val="002646BC"/>
    <w:rsid w:val="00264C3C"/>
    <w:rsid w:val="00264D1C"/>
    <w:rsid w:val="002651C4"/>
    <w:rsid w:val="002652E2"/>
    <w:rsid w:val="0026533A"/>
    <w:rsid w:val="00265594"/>
    <w:rsid w:val="002656E7"/>
    <w:rsid w:val="00265A7E"/>
    <w:rsid w:val="002660E7"/>
    <w:rsid w:val="00266427"/>
    <w:rsid w:val="0026698A"/>
    <w:rsid w:val="00266A37"/>
    <w:rsid w:val="00266A4E"/>
    <w:rsid w:val="00267155"/>
    <w:rsid w:val="0026788C"/>
    <w:rsid w:val="002703EE"/>
    <w:rsid w:val="00270486"/>
    <w:rsid w:val="00270BA6"/>
    <w:rsid w:val="00271495"/>
    <w:rsid w:val="00271BB0"/>
    <w:rsid w:val="00272239"/>
    <w:rsid w:val="0027254B"/>
    <w:rsid w:val="0027257D"/>
    <w:rsid w:val="0027278D"/>
    <w:rsid w:val="002727F1"/>
    <w:rsid w:val="0027284A"/>
    <w:rsid w:val="002733D4"/>
    <w:rsid w:val="0027349E"/>
    <w:rsid w:val="00273798"/>
    <w:rsid w:val="0027381D"/>
    <w:rsid w:val="0027386A"/>
    <w:rsid w:val="002743FA"/>
    <w:rsid w:val="00274620"/>
    <w:rsid w:val="00274BBB"/>
    <w:rsid w:val="0027566E"/>
    <w:rsid w:val="00275A35"/>
    <w:rsid w:val="00275D3C"/>
    <w:rsid w:val="00275D68"/>
    <w:rsid w:val="00276171"/>
    <w:rsid w:val="00276900"/>
    <w:rsid w:val="00276C62"/>
    <w:rsid w:val="0027710B"/>
    <w:rsid w:val="0027752A"/>
    <w:rsid w:val="00277C1C"/>
    <w:rsid w:val="00277D4A"/>
    <w:rsid w:val="00277E37"/>
    <w:rsid w:val="00277E82"/>
    <w:rsid w:val="00280061"/>
    <w:rsid w:val="00280377"/>
    <w:rsid w:val="002804AC"/>
    <w:rsid w:val="002804EB"/>
    <w:rsid w:val="00281059"/>
    <w:rsid w:val="00281554"/>
    <w:rsid w:val="00281A05"/>
    <w:rsid w:val="00281C4A"/>
    <w:rsid w:val="00282236"/>
    <w:rsid w:val="002828FD"/>
    <w:rsid w:val="00283AE9"/>
    <w:rsid w:val="002840A3"/>
    <w:rsid w:val="00284AB7"/>
    <w:rsid w:val="00284D53"/>
    <w:rsid w:val="002850DB"/>
    <w:rsid w:val="00285D73"/>
    <w:rsid w:val="00285F5C"/>
    <w:rsid w:val="002862AB"/>
    <w:rsid w:val="002862DE"/>
    <w:rsid w:val="002865EA"/>
    <w:rsid w:val="00286CFA"/>
    <w:rsid w:val="00287290"/>
    <w:rsid w:val="0028777D"/>
    <w:rsid w:val="00290211"/>
    <w:rsid w:val="00290DD8"/>
    <w:rsid w:val="0029200F"/>
    <w:rsid w:val="00292686"/>
    <w:rsid w:val="00292729"/>
    <w:rsid w:val="00292E42"/>
    <w:rsid w:val="002930F0"/>
    <w:rsid w:val="0029317C"/>
    <w:rsid w:val="00293972"/>
    <w:rsid w:val="002939A1"/>
    <w:rsid w:val="00293E11"/>
    <w:rsid w:val="00294271"/>
    <w:rsid w:val="0029428F"/>
    <w:rsid w:val="002943C8"/>
    <w:rsid w:val="002943D6"/>
    <w:rsid w:val="00294795"/>
    <w:rsid w:val="00294CC4"/>
    <w:rsid w:val="00294DB4"/>
    <w:rsid w:val="00294E55"/>
    <w:rsid w:val="00294E58"/>
    <w:rsid w:val="002957D8"/>
    <w:rsid w:val="0029661E"/>
    <w:rsid w:val="00296AA9"/>
    <w:rsid w:val="00296BFD"/>
    <w:rsid w:val="00296CA0"/>
    <w:rsid w:val="00296E94"/>
    <w:rsid w:val="0029700A"/>
    <w:rsid w:val="00297699"/>
    <w:rsid w:val="00297761"/>
    <w:rsid w:val="002978BE"/>
    <w:rsid w:val="002A0347"/>
    <w:rsid w:val="002A0A1D"/>
    <w:rsid w:val="002A373D"/>
    <w:rsid w:val="002A3DE5"/>
    <w:rsid w:val="002A3E42"/>
    <w:rsid w:val="002A3EE0"/>
    <w:rsid w:val="002A44A4"/>
    <w:rsid w:val="002A4657"/>
    <w:rsid w:val="002A484E"/>
    <w:rsid w:val="002A629A"/>
    <w:rsid w:val="002A670F"/>
    <w:rsid w:val="002A6EF8"/>
    <w:rsid w:val="002A7D91"/>
    <w:rsid w:val="002A7EC9"/>
    <w:rsid w:val="002B0249"/>
    <w:rsid w:val="002B03F7"/>
    <w:rsid w:val="002B0CB4"/>
    <w:rsid w:val="002B113A"/>
    <w:rsid w:val="002B130B"/>
    <w:rsid w:val="002B1735"/>
    <w:rsid w:val="002B1812"/>
    <w:rsid w:val="002B1B82"/>
    <w:rsid w:val="002B25FB"/>
    <w:rsid w:val="002B3064"/>
    <w:rsid w:val="002B323E"/>
    <w:rsid w:val="002B3352"/>
    <w:rsid w:val="002B34FF"/>
    <w:rsid w:val="002B3890"/>
    <w:rsid w:val="002B3C30"/>
    <w:rsid w:val="002B3EB9"/>
    <w:rsid w:val="002B487A"/>
    <w:rsid w:val="002B4B86"/>
    <w:rsid w:val="002B4EA8"/>
    <w:rsid w:val="002B596F"/>
    <w:rsid w:val="002B5A11"/>
    <w:rsid w:val="002B5B1A"/>
    <w:rsid w:val="002B5BCB"/>
    <w:rsid w:val="002B5D56"/>
    <w:rsid w:val="002B5EAA"/>
    <w:rsid w:val="002B645E"/>
    <w:rsid w:val="002B6831"/>
    <w:rsid w:val="002B6F8C"/>
    <w:rsid w:val="002B706E"/>
    <w:rsid w:val="002B745C"/>
    <w:rsid w:val="002B7529"/>
    <w:rsid w:val="002B75CB"/>
    <w:rsid w:val="002B7983"/>
    <w:rsid w:val="002C0080"/>
    <w:rsid w:val="002C03CE"/>
    <w:rsid w:val="002C0E2C"/>
    <w:rsid w:val="002C0ECE"/>
    <w:rsid w:val="002C112A"/>
    <w:rsid w:val="002C13AE"/>
    <w:rsid w:val="002C1564"/>
    <w:rsid w:val="002C17A3"/>
    <w:rsid w:val="002C1BD4"/>
    <w:rsid w:val="002C1C92"/>
    <w:rsid w:val="002C1FF9"/>
    <w:rsid w:val="002C2097"/>
    <w:rsid w:val="002C28FB"/>
    <w:rsid w:val="002C29DD"/>
    <w:rsid w:val="002C2BAC"/>
    <w:rsid w:val="002C2FD9"/>
    <w:rsid w:val="002C3122"/>
    <w:rsid w:val="002C362C"/>
    <w:rsid w:val="002C3714"/>
    <w:rsid w:val="002C421F"/>
    <w:rsid w:val="002C4478"/>
    <w:rsid w:val="002C44A8"/>
    <w:rsid w:val="002C4BCB"/>
    <w:rsid w:val="002C4F15"/>
    <w:rsid w:val="002C63C4"/>
    <w:rsid w:val="002C64C2"/>
    <w:rsid w:val="002C6AB6"/>
    <w:rsid w:val="002C6C39"/>
    <w:rsid w:val="002C702C"/>
    <w:rsid w:val="002C77D8"/>
    <w:rsid w:val="002C78C2"/>
    <w:rsid w:val="002C7905"/>
    <w:rsid w:val="002C7A4F"/>
    <w:rsid w:val="002D0179"/>
    <w:rsid w:val="002D07EA"/>
    <w:rsid w:val="002D2C89"/>
    <w:rsid w:val="002D2D74"/>
    <w:rsid w:val="002D33FA"/>
    <w:rsid w:val="002D3487"/>
    <w:rsid w:val="002D377F"/>
    <w:rsid w:val="002D37B7"/>
    <w:rsid w:val="002D3D34"/>
    <w:rsid w:val="002D40B9"/>
    <w:rsid w:val="002D44D5"/>
    <w:rsid w:val="002D45C1"/>
    <w:rsid w:val="002D45DD"/>
    <w:rsid w:val="002D6341"/>
    <w:rsid w:val="002D66F4"/>
    <w:rsid w:val="002D7C26"/>
    <w:rsid w:val="002E0647"/>
    <w:rsid w:val="002E09D6"/>
    <w:rsid w:val="002E0A17"/>
    <w:rsid w:val="002E0BFA"/>
    <w:rsid w:val="002E0E0F"/>
    <w:rsid w:val="002E167C"/>
    <w:rsid w:val="002E1E79"/>
    <w:rsid w:val="002E223A"/>
    <w:rsid w:val="002E27E0"/>
    <w:rsid w:val="002E35E0"/>
    <w:rsid w:val="002E4450"/>
    <w:rsid w:val="002E478E"/>
    <w:rsid w:val="002E4DA4"/>
    <w:rsid w:val="002E525F"/>
    <w:rsid w:val="002E52A5"/>
    <w:rsid w:val="002E54A7"/>
    <w:rsid w:val="002E5E0C"/>
    <w:rsid w:val="002E60B7"/>
    <w:rsid w:val="002E62E9"/>
    <w:rsid w:val="002E6345"/>
    <w:rsid w:val="002E6375"/>
    <w:rsid w:val="002E6590"/>
    <w:rsid w:val="002E663C"/>
    <w:rsid w:val="002E69CC"/>
    <w:rsid w:val="002E6B6F"/>
    <w:rsid w:val="002E6E59"/>
    <w:rsid w:val="002E7887"/>
    <w:rsid w:val="002F03F0"/>
    <w:rsid w:val="002F0F72"/>
    <w:rsid w:val="002F119D"/>
    <w:rsid w:val="002F1260"/>
    <w:rsid w:val="002F1774"/>
    <w:rsid w:val="002F17CD"/>
    <w:rsid w:val="002F1EC3"/>
    <w:rsid w:val="002F1F01"/>
    <w:rsid w:val="002F204E"/>
    <w:rsid w:val="002F2215"/>
    <w:rsid w:val="002F2678"/>
    <w:rsid w:val="002F27B8"/>
    <w:rsid w:val="002F2916"/>
    <w:rsid w:val="002F2DB7"/>
    <w:rsid w:val="002F3222"/>
    <w:rsid w:val="002F37DE"/>
    <w:rsid w:val="002F3B21"/>
    <w:rsid w:val="002F3DA7"/>
    <w:rsid w:val="002F4141"/>
    <w:rsid w:val="002F498C"/>
    <w:rsid w:val="002F53DF"/>
    <w:rsid w:val="002F57F2"/>
    <w:rsid w:val="002F5CD6"/>
    <w:rsid w:val="002F5E1F"/>
    <w:rsid w:val="002F68A4"/>
    <w:rsid w:val="002F69F8"/>
    <w:rsid w:val="002F7122"/>
    <w:rsid w:val="002F72FC"/>
    <w:rsid w:val="002F7538"/>
    <w:rsid w:val="002F799B"/>
    <w:rsid w:val="002F7D08"/>
    <w:rsid w:val="002F7D8B"/>
    <w:rsid w:val="002F7ED7"/>
    <w:rsid w:val="00300040"/>
    <w:rsid w:val="0030043E"/>
    <w:rsid w:val="0030088A"/>
    <w:rsid w:val="0030190B"/>
    <w:rsid w:val="00301A87"/>
    <w:rsid w:val="00301DD8"/>
    <w:rsid w:val="0030234B"/>
    <w:rsid w:val="003026B2"/>
    <w:rsid w:val="00302A3F"/>
    <w:rsid w:val="00302FF0"/>
    <w:rsid w:val="00303350"/>
    <w:rsid w:val="00303393"/>
    <w:rsid w:val="00303555"/>
    <w:rsid w:val="003037E8"/>
    <w:rsid w:val="00303A28"/>
    <w:rsid w:val="00303AD6"/>
    <w:rsid w:val="00303B74"/>
    <w:rsid w:val="003048AB"/>
    <w:rsid w:val="00304B86"/>
    <w:rsid w:val="00304EC3"/>
    <w:rsid w:val="003051F6"/>
    <w:rsid w:val="0030522F"/>
    <w:rsid w:val="003055A0"/>
    <w:rsid w:val="003057A5"/>
    <w:rsid w:val="00305F64"/>
    <w:rsid w:val="0030729E"/>
    <w:rsid w:val="003075F3"/>
    <w:rsid w:val="00307B6D"/>
    <w:rsid w:val="00307D3C"/>
    <w:rsid w:val="00307EA9"/>
    <w:rsid w:val="00307F9B"/>
    <w:rsid w:val="00310271"/>
    <w:rsid w:val="0031082C"/>
    <w:rsid w:val="0031090A"/>
    <w:rsid w:val="00310C18"/>
    <w:rsid w:val="00311741"/>
    <w:rsid w:val="00311FF1"/>
    <w:rsid w:val="003122C6"/>
    <w:rsid w:val="00312636"/>
    <w:rsid w:val="0031271D"/>
    <w:rsid w:val="00312A54"/>
    <w:rsid w:val="003137B8"/>
    <w:rsid w:val="003138A5"/>
    <w:rsid w:val="00313A64"/>
    <w:rsid w:val="00313B75"/>
    <w:rsid w:val="00313E32"/>
    <w:rsid w:val="003143E5"/>
    <w:rsid w:val="00314DE9"/>
    <w:rsid w:val="00314E9E"/>
    <w:rsid w:val="003155AC"/>
    <w:rsid w:val="00315C41"/>
    <w:rsid w:val="00315EBD"/>
    <w:rsid w:val="00316068"/>
    <w:rsid w:val="0031766A"/>
    <w:rsid w:val="003201D6"/>
    <w:rsid w:val="00320550"/>
    <w:rsid w:val="00320DF2"/>
    <w:rsid w:val="00321E0F"/>
    <w:rsid w:val="003227AE"/>
    <w:rsid w:val="00322CF8"/>
    <w:rsid w:val="003230EF"/>
    <w:rsid w:val="00323185"/>
    <w:rsid w:val="003231D1"/>
    <w:rsid w:val="0032400C"/>
    <w:rsid w:val="00324153"/>
    <w:rsid w:val="003241B5"/>
    <w:rsid w:val="00324B8F"/>
    <w:rsid w:val="00326311"/>
    <w:rsid w:val="003266E3"/>
    <w:rsid w:val="003267AB"/>
    <w:rsid w:val="00326ED5"/>
    <w:rsid w:val="0032779B"/>
    <w:rsid w:val="003277C6"/>
    <w:rsid w:val="0032797F"/>
    <w:rsid w:val="003279B1"/>
    <w:rsid w:val="00330CD1"/>
    <w:rsid w:val="00330F96"/>
    <w:rsid w:val="00331402"/>
    <w:rsid w:val="00331564"/>
    <w:rsid w:val="00331C83"/>
    <w:rsid w:val="00331F43"/>
    <w:rsid w:val="00332085"/>
    <w:rsid w:val="00332258"/>
    <w:rsid w:val="00332651"/>
    <w:rsid w:val="00332C71"/>
    <w:rsid w:val="00332E1C"/>
    <w:rsid w:val="00332FE7"/>
    <w:rsid w:val="0033326F"/>
    <w:rsid w:val="00334216"/>
    <w:rsid w:val="00334FEC"/>
    <w:rsid w:val="00335234"/>
    <w:rsid w:val="003357A5"/>
    <w:rsid w:val="003358AC"/>
    <w:rsid w:val="00335A67"/>
    <w:rsid w:val="00335ACF"/>
    <w:rsid w:val="00335DFC"/>
    <w:rsid w:val="003369E9"/>
    <w:rsid w:val="00336AF8"/>
    <w:rsid w:val="00336D82"/>
    <w:rsid w:val="00336E00"/>
    <w:rsid w:val="00336FCE"/>
    <w:rsid w:val="003406FA"/>
    <w:rsid w:val="00340943"/>
    <w:rsid w:val="00340D6C"/>
    <w:rsid w:val="00341201"/>
    <w:rsid w:val="0034151E"/>
    <w:rsid w:val="00341652"/>
    <w:rsid w:val="003417A1"/>
    <w:rsid w:val="00341F7B"/>
    <w:rsid w:val="0034221D"/>
    <w:rsid w:val="003428A8"/>
    <w:rsid w:val="00342971"/>
    <w:rsid w:val="00342CDD"/>
    <w:rsid w:val="003433E1"/>
    <w:rsid w:val="0034376F"/>
    <w:rsid w:val="0034379A"/>
    <w:rsid w:val="00343C4C"/>
    <w:rsid w:val="003444EA"/>
    <w:rsid w:val="00344820"/>
    <w:rsid w:val="00345DA7"/>
    <w:rsid w:val="00345E28"/>
    <w:rsid w:val="00345F3F"/>
    <w:rsid w:val="003466C2"/>
    <w:rsid w:val="00346AE9"/>
    <w:rsid w:val="00346CD9"/>
    <w:rsid w:val="0034755D"/>
    <w:rsid w:val="0034781D"/>
    <w:rsid w:val="00347A7B"/>
    <w:rsid w:val="00347C78"/>
    <w:rsid w:val="003506A3"/>
    <w:rsid w:val="0035073E"/>
    <w:rsid w:val="003508F5"/>
    <w:rsid w:val="00350969"/>
    <w:rsid w:val="00350ED6"/>
    <w:rsid w:val="00351508"/>
    <w:rsid w:val="003516AB"/>
    <w:rsid w:val="00351791"/>
    <w:rsid w:val="003520F2"/>
    <w:rsid w:val="00352478"/>
    <w:rsid w:val="00352844"/>
    <w:rsid w:val="00352DD2"/>
    <w:rsid w:val="00352F42"/>
    <w:rsid w:val="00353066"/>
    <w:rsid w:val="003530D0"/>
    <w:rsid w:val="003534F2"/>
    <w:rsid w:val="00353A33"/>
    <w:rsid w:val="00354081"/>
    <w:rsid w:val="00354271"/>
    <w:rsid w:val="00354501"/>
    <w:rsid w:val="003552DE"/>
    <w:rsid w:val="003552EC"/>
    <w:rsid w:val="00355346"/>
    <w:rsid w:val="0035597C"/>
    <w:rsid w:val="0035733C"/>
    <w:rsid w:val="00357450"/>
    <w:rsid w:val="00357726"/>
    <w:rsid w:val="00357DB0"/>
    <w:rsid w:val="0036024D"/>
    <w:rsid w:val="003602E7"/>
    <w:rsid w:val="00360878"/>
    <w:rsid w:val="00361487"/>
    <w:rsid w:val="003617E9"/>
    <w:rsid w:val="00361AD2"/>
    <w:rsid w:val="00362655"/>
    <w:rsid w:val="00362B31"/>
    <w:rsid w:val="00363320"/>
    <w:rsid w:val="00363362"/>
    <w:rsid w:val="0036364D"/>
    <w:rsid w:val="00363751"/>
    <w:rsid w:val="00363892"/>
    <w:rsid w:val="00363BA9"/>
    <w:rsid w:val="003645AF"/>
    <w:rsid w:val="003646B0"/>
    <w:rsid w:val="00364B65"/>
    <w:rsid w:val="00364C67"/>
    <w:rsid w:val="003656F1"/>
    <w:rsid w:val="003662D4"/>
    <w:rsid w:val="0036650E"/>
    <w:rsid w:val="0036682B"/>
    <w:rsid w:val="0036699E"/>
    <w:rsid w:val="00366D2A"/>
    <w:rsid w:val="00366D35"/>
    <w:rsid w:val="003672B7"/>
    <w:rsid w:val="00367842"/>
    <w:rsid w:val="00370778"/>
    <w:rsid w:val="00370DCA"/>
    <w:rsid w:val="003715A2"/>
    <w:rsid w:val="00372319"/>
    <w:rsid w:val="00372368"/>
    <w:rsid w:val="003739FC"/>
    <w:rsid w:val="00373ED7"/>
    <w:rsid w:val="003742E8"/>
    <w:rsid w:val="003749B0"/>
    <w:rsid w:val="00374C56"/>
    <w:rsid w:val="00375811"/>
    <w:rsid w:val="0037600D"/>
    <w:rsid w:val="003760B4"/>
    <w:rsid w:val="0037686F"/>
    <w:rsid w:val="00376C06"/>
    <w:rsid w:val="00377031"/>
    <w:rsid w:val="00377691"/>
    <w:rsid w:val="003779B7"/>
    <w:rsid w:val="00377ACB"/>
    <w:rsid w:val="00377BBF"/>
    <w:rsid w:val="00377D23"/>
    <w:rsid w:val="0038003F"/>
    <w:rsid w:val="00380240"/>
    <w:rsid w:val="00380684"/>
    <w:rsid w:val="003812BA"/>
    <w:rsid w:val="003812C2"/>
    <w:rsid w:val="0038131C"/>
    <w:rsid w:val="00381419"/>
    <w:rsid w:val="00381751"/>
    <w:rsid w:val="003825B1"/>
    <w:rsid w:val="00382C4F"/>
    <w:rsid w:val="00382DFD"/>
    <w:rsid w:val="003830F2"/>
    <w:rsid w:val="003831BB"/>
    <w:rsid w:val="00383416"/>
    <w:rsid w:val="0038342A"/>
    <w:rsid w:val="0038386C"/>
    <w:rsid w:val="00383AEB"/>
    <w:rsid w:val="003847F8"/>
    <w:rsid w:val="00384DCF"/>
    <w:rsid w:val="0038543F"/>
    <w:rsid w:val="0038587C"/>
    <w:rsid w:val="003858E3"/>
    <w:rsid w:val="00385B90"/>
    <w:rsid w:val="003865B4"/>
    <w:rsid w:val="00386C51"/>
    <w:rsid w:val="003870C7"/>
    <w:rsid w:val="00387279"/>
    <w:rsid w:val="003873EC"/>
    <w:rsid w:val="0038758C"/>
    <w:rsid w:val="003877FA"/>
    <w:rsid w:val="00387B14"/>
    <w:rsid w:val="0039050A"/>
    <w:rsid w:val="00390BBB"/>
    <w:rsid w:val="00391051"/>
    <w:rsid w:val="00391722"/>
    <w:rsid w:val="003918C2"/>
    <w:rsid w:val="003923C9"/>
    <w:rsid w:val="003929B9"/>
    <w:rsid w:val="0039302C"/>
    <w:rsid w:val="003930E4"/>
    <w:rsid w:val="00393B51"/>
    <w:rsid w:val="00393D4D"/>
    <w:rsid w:val="0039486E"/>
    <w:rsid w:val="00394B0D"/>
    <w:rsid w:val="00395136"/>
    <w:rsid w:val="00395D05"/>
    <w:rsid w:val="00395D07"/>
    <w:rsid w:val="0039625A"/>
    <w:rsid w:val="00396DE8"/>
    <w:rsid w:val="00396E03"/>
    <w:rsid w:val="00397213"/>
    <w:rsid w:val="003974F3"/>
    <w:rsid w:val="0039772E"/>
    <w:rsid w:val="003977A3"/>
    <w:rsid w:val="00397B3F"/>
    <w:rsid w:val="00397E52"/>
    <w:rsid w:val="003A050D"/>
    <w:rsid w:val="003A0C00"/>
    <w:rsid w:val="003A0E36"/>
    <w:rsid w:val="003A1006"/>
    <w:rsid w:val="003A117A"/>
    <w:rsid w:val="003A13A2"/>
    <w:rsid w:val="003A1870"/>
    <w:rsid w:val="003A2214"/>
    <w:rsid w:val="003A2282"/>
    <w:rsid w:val="003A2290"/>
    <w:rsid w:val="003A2350"/>
    <w:rsid w:val="003A265D"/>
    <w:rsid w:val="003A36FC"/>
    <w:rsid w:val="003A3841"/>
    <w:rsid w:val="003A3DF1"/>
    <w:rsid w:val="003A3F86"/>
    <w:rsid w:val="003A3FE5"/>
    <w:rsid w:val="003A518A"/>
    <w:rsid w:val="003A577F"/>
    <w:rsid w:val="003A5977"/>
    <w:rsid w:val="003A61A8"/>
    <w:rsid w:val="003A6CD3"/>
    <w:rsid w:val="003A7FE6"/>
    <w:rsid w:val="003B030F"/>
    <w:rsid w:val="003B0761"/>
    <w:rsid w:val="003B076F"/>
    <w:rsid w:val="003B0AB5"/>
    <w:rsid w:val="003B0BEE"/>
    <w:rsid w:val="003B0C3B"/>
    <w:rsid w:val="003B0E7D"/>
    <w:rsid w:val="003B1525"/>
    <w:rsid w:val="003B1CD3"/>
    <w:rsid w:val="003B1D7D"/>
    <w:rsid w:val="003B1EF7"/>
    <w:rsid w:val="003B220C"/>
    <w:rsid w:val="003B2492"/>
    <w:rsid w:val="003B2805"/>
    <w:rsid w:val="003B2C01"/>
    <w:rsid w:val="003B2C2C"/>
    <w:rsid w:val="003B2F20"/>
    <w:rsid w:val="003B2F26"/>
    <w:rsid w:val="003B384A"/>
    <w:rsid w:val="003B40B4"/>
    <w:rsid w:val="003B4338"/>
    <w:rsid w:val="003B4529"/>
    <w:rsid w:val="003B4643"/>
    <w:rsid w:val="003B4C8E"/>
    <w:rsid w:val="003B53D3"/>
    <w:rsid w:val="003B573B"/>
    <w:rsid w:val="003B574D"/>
    <w:rsid w:val="003B5B18"/>
    <w:rsid w:val="003B5E91"/>
    <w:rsid w:val="003B635A"/>
    <w:rsid w:val="003B6BED"/>
    <w:rsid w:val="003B6C70"/>
    <w:rsid w:val="003B6EA9"/>
    <w:rsid w:val="003B7026"/>
    <w:rsid w:val="003B7C67"/>
    <w:rsid w:val="003B7D50"/>
    <w:rsid w:val="003B7E52"/>
    <w:rsid w:val="003C017E"/>
    <w:rsid w:val="003C06C4"/>
    <w:rsid w:val="003C1208"/>
    <w:rsid w:val="003C1441"/>
    <w:rsid w:val="003C1443"/>
    <w:rsid w:val="003C14F9"/>
    <w:rsid w:val="003C1B9D"/>
    <w:rsid w:val="003C1BBD"/>
    <w:rsid w:val="003C25CD"/>
    <w:rsid w:val="003C292B"/>
    <w:rsid w:val="003C33D1"/>
    <w:rsid w:val="003C3836"/>
    <w:rsid w:val="003C3B3F"/>
    <w:rsid w:val="003C44CC"/>
    <w:rsid w:val="003C47CE"/>
    <w:rsid w:val="003C48A9"/>
    <w:rsid w:val="003C48AB"/>
    <w:rsid w:val="003C4BDA"/>
    <w:rsid w:val="003C4DED"/>
    <w:rsid w:val="003C4EEE"/>
    <w:rsid w:val="003C56AF"/>
    <w:rsid w:val="003C5803"/>
    <w:rsid w:val="003C6B1B"/>
    <w:rsid w:val="003C6D66"/>
    <w:rsid w:val="003C7D1B"/>
    <w:rsid w:val="003D17D8"/>
    <w:rsid w:val="003D1848"/>
    <w:rsid w:val="003D1C2B"/>
    <w:rsid w:val="003D21BE"/>
    <w:rsid w:val="003D25ED"/>
    <w:rsid w:val="003D2CD5"/>
    <w:rsid w:val="003D2D9F"/>
    <w:rsid w:val="003D30AC"/>
    <w:rsid w:val="003D33F5"/>
    <w:rsid w:val="003D4770"/>
    <w:rsid w:val="003D52BE"/>
    <w:rsid w:val="003D560D"/>
    <w:rsid w:val="003D615C"/>
    <w:rsid w:val="003D64AC"/>
    <w:rsid w:val="003D6539"/>
    <w:rsid w:val="003D6F1B"/>
    <w:rsid w:val="003D6F97"/>
    <w:rsid w:val="003D7233"/>
    <w:rsid w:val="003D77A5"/>
    <w:rsid w:val="003D78BB"/>
    <w:rsid w:val="003E05F3"/>
    <w:rsid w:val="003E06FC"/>
    <w:rsid w:val="003E14E7"/>
    <w:rsid w:val="003E17C2"/>
    <w:rsid w:val="003E18FD"/>
    <w:rsid w:val="003E2081"/>
    <w:rsid w:val="003E2087"/>
    <w:rsid w:val="003E22BD"/>
    <w:rsid w:val="003E2BD1"/>
    <w:rsid w:val="003E399B"/>
    <w:rsid w:val="003E3B7C"/>
    <w:rsid w:val="003E3B8B"/>
    <w:rsid w:val="003E42DF"/>
    <w:rsid w:val="003E457C"/>
    <w:rsid w:val="003E477B"/>
    <w:rsid w:val="003E50B6"/>
    <w:rsid w:val="003E5238"/>
    <w:rsid w:val="003E5560"/>
    <w:rsid w:val="003E5695"/>
    <w:rsid w:val="003E584F"/>
    <w:rsid w:val="003E5B51"/>
    <w:rsid w:val="003E5D2A"/>
    <w:rsid w:val="003E5E29"/>
    <w:rsid w:val="003E6417"/>
    <w:rsid w:val="003E6717"/>
    <w:rsid w:val="003E6E80"/>
    <w:rsid w:val="003E7764"/>
    <w:rsid w:val="003E7F5A"/>
    <w:rsid w:val="003F0B3C"/>
    <w:rsid w:val="003F0C5A"/>
    <w:rsid w:val="003F14CC"/>
    <w:rsid w:val="003F1B38"/>
    <w:rsid w:val="003F1DD9"/>
    <w:rsid w:val="003F223B"/>
    <w:rsid w:val="003F22A7"/>
    <w:rsid w:val="003F361C"/>
    <w:rsid w:val="003F3CEC"/>
    <w:rsid w:val="003F3D11"/>
    <w:rsid w:val="003F3F99"/>
    <w:rsid w:val="003F4863"/>
    <w:rsid w:val="003F4893"/>
    <w:rsid w:val="003F49EB"/>
    <w:rsid w:val="003F4E7B"/>
    <w:rsid w:val="003F5639"/>
    <w:rsid w:val="003F56A8"/>
    <w:rsid w:val="003F5E6C"/>
    <w:rsid w:val="003F614A"/>
    <w:rsid w:val="003F6511"/>
    <w:rsid w:val="003F6BDC"/>
    <w:rsid w:val="003F6CD8"/>
    <w:rsid w:val="003F6D10"/>
    <w:rsid w:val="003F734A"/>
    <w:rsid w:val="003F7809"/>
    <w:rsid w:val="00400F9C"/>
    <w:rsid w:val="00401933"/>
    <w:rsid w:val="00401A73"/>
    <w:rsid w:val="00401D27"/>
    <w:rsid w:val="00401ED6"/>
    <w:rsid w:val="00402141"/>
    <w:rsid w:val="00402420"/>
    <w:rsid w:val="004025BF"/>
    <w:rsid w:val="00402C58"/>
    <w:rsid w:val="0040329B"/>
    <w:rsid w:val="0040359C"/>
    <w:rsid w:val="00403783"/>
    <w:rsid w:val="00404B2C"/>
    <w:rsid w:val="00404BA0"/>
    <w:rsid w:val="0040523B"/>
    <w:rsid w:val="00405905"/>
    <w:rsid w:val="00405963"/>
    <w:rsid w:val="00405A4B"/>
    <w:rsid w:val="00405D4C"/>
    <w:rsid w:val="004065D7"/>
    <w:rsid w:val="0040672B"/>
    <w:rsid w:val="00406E02"/>
    <w:rsid w:val="00406F3C"/>
    <w:rsid w:val="004077BD"/>
    <w:rsid w:val="00407978"/>
    <w:rsid w:val="00407D29"/>
    <w:rsid w:val="004106ED"/>
    <w:rsid w:val="00410977"/>
    <w:rsid w:val="00410B07"/>
    <w:rsid w:val="00410BEC"/>
    <w:rsid w:val="0041103D"/>
    <w:rsid w:val="0041201D"/>
    <w:rsid w:val="004120EB"/>
    <w:rsid w:val="00412449"/>
    <w:rsid w:val="004124B7"/>
    <w:rsid w:val="00412A73"/>
    <w:rsid w:val="00413355"/>
    <w:rsid w:val="004135B3"/>
    <w:rsid w:val="00414462"/>
    <w:rsid w:val="00414553"/>
    <w:rsid w:val="004158A8"/>
    <w:rsid w:val="00415C52"/>
    <w:rsid w:val="00415DE2"/>
    <w:rsid w:val="0041602E"/>
    <w:rsid w:val="0041679A"/>
    <w:rsid w:val="00416911"/>
    <w:rsid w:val="004169B9"/>
    <w:rsid w:val="00416A32"/>
    <w:rsid w:val="004175B6"/>
    <w:rsid w:val="00417714"/>
    <w:rsid w:val="00417BB4"/>
    <w:rsid w:val="00417C33"/>
    <w:rsid w:val="00417D16"/>
    <w:rsid w:val="00417E1D"/>
    <w:rsid w:val="00417ECD"/>
    <w:rsid w:val="00420545"/>
    <w:rsid w:val="00420620"/>
    <w:rsid w:val="00420AA9"/>
    <w:rsid w:val="00420CB5"/>
    <w:rsid w:val="00420F56"/>
    <w:rsid w:val="00421675"/>
    <w:rsid w:val="00421A7F"/>
    <w:rsid w:val="00421ED1"/>
    <w:rsid w:val="00422146"/>
    <w:rsid w:val="00422ED6"/>
    <w:rsid w:val="004239FF"/>
    <w:rsid w:val="00423A39"/>
    <w:rsid w:val="00423C08"/>
    <w:rsid w:val="004243F9"/>
    <w:rsid w:val="004244D4"/>
    <w:rsid w:val="00424647"/>
    <w:rsid w:val="00424965"/>
    <w:rsid w:val="00425437"/>
    <w:rsid w:val="00425724"/>
    <w:rsid w:val="00425AC0"/>
    <w:rsid w:val="00425AED"/>
    <w:rsid w:val="00425DA0"/>
    <w:rsid w:val="00425E97"/>
    <w:rsid w:val="0042609B"/>
    <w:rsid w:val="00426210"/>
    <w:rsid w:val="00426B1C"/>
    <w:rsid w:val="00426B82"/>
    <w:rsid w:val="00426F10"/>
    <w:rsid w:val="004279EA"/>
    <w:rsid w:val="00427ED8"/>
    <w:rsid w:val="00427FF2"/>
    <w:rsid w:val="00430489"/>
    <w:rsid w:val="004309C8"/>
    <w:rsid w:val="00430B6C"/>
    <w:rsid w:val="00430B7F"/>
    <w:rsid w:val="00430EA4"/>
    <w:rsid w:val="00430F36"/>
    <w:rsid w:val="00431975"/>
    <w:rsid w:val="00431E54"/>
    <w:rsid w:val="004323D0"/>
    <w:rsid w:val="00432932"/>
    <w:rsid w:val="00432A85"/>
    <w:rsid w:val="00432A8E"/>
    <w:rsid w:val="00432B6E"/>
    <w:rsid w:val="00432E67"/>
    <w:rsid w:val="00432E68"/>
    <w:rsid w:val="00433B94"/>
    <w:rsid w:val="00434015"/>
    <w:rsid w:val="00434325"/>
    <w:rsid w:val="0043456C"/>
    <w:rsid w:val="00434932"/>
    <w:rsid w:val="004349F7"/>
    <w:rsid w:val="00434D0D"/>
    <w:rsid w:val="004350BA"/>
    <w:rsid w:val="00435802"/>
    <w:rsid w:val="004358FA"/>
    <w:rsid w:val="00435A1B"/>
    <w:rsid w:val="00435B17"/>
    <w:rsid w:val="00435D51"/>
    <w:rsid w:val="00436758"/>
    <w:rsid w:val="00436860"/>
    <w:rsid w:val="00436BBA"/>
    <w:rsid w:val="00436D25"/>
    <w:rsid w:val="00437253"/>
    <w:rsid w:val="004375A1"/>
    <w:rsid w:val="004404A2"/>
    <w:rsid w:val="00440F98"/>
    <w:rsid w:val="004416A0"/>
    <w:rsid w:val="00441AF8"/>
    <w:rsid w:val="00441B06"/>
    <w:rsid w:val="004423DE"/>
    <w:rsid w:val="00442A1A"/>
    <w:rsid w:val="00442C1F"/>
    <w:rsid w:val="00442DCC"/>
    <w:rsid w:val="00443AEA"/>
    <w:rsid w:val="0044408A"/>
    <w:rsid w:val="00444495"/>
    <w:rsid w:val="00444508"/>
    <w:rsid w:val="00444509"/>
    <w:rsid w:val="00445096"/>
    <w:rsid w:val="0044536C"/>
    <w:rsid w:val="00445DEB"/>
    <w:rsid w:val="00445FBF"/>
    <w:rsid w:val="004461DD"/>
    <w:rsid w:val="0044666B"/>
    <w:rsid w:val="0044694C"/>
    <w:rsid w:val="00446A13"/>
    <w:rsid w:val="00446AD8"/>
    <w:rsid w:val="00446CDF"/>
    <w:rsid w:val="004474D4"/>
    <w:rsid w:val="00447576"/>
    <w:rsid w:val="00447A29"/>
    <w:rsid w:val="00447EA3"/>
    <w:rsid w:val="00447F84"/>
    <w:rsid w:val="00450DD9"/>
    <w:rsid w:val="00450FD5"/>
    <w:rsid w:val="00451137"/>
    <w:rsid w:val="0045113B"/>
    <w:rsid w:val="004514A2"/>
    <w:rsid w:val="00451FAA"/>
    <w:rsid w:val="00452296"/>
    <w:rsid w:val="00452F7A"/>
    <w:rsid w:val="004535F3"/>
    <w:rsid w:val="00453AA8"/>
    <w:rsid w:val="004541FD"/>
    <w:rsid w:val="0045489F"/>
    <w:rsid w:val="00454AF8"/>
    <w:rsid w:val="00454BC1"/>
    <w:rsid w:val="00454D1F"/>
    <w:rsid w:val="0045558E"/>
    <w:rsid w:val="0045580C"/>
    <w:rsid w:val="004559EF"/>
    <w:rsid w:val="00455B62"/>
    <w:rsid w:val="004567AC"/>
    <w:rsid w:val="00457730"/>
    <w:rsid w:val="00457ACC"/>
    <w:rsid w:val="004600F6"/>
    <w:rsid w:val="00460457"/>
    <w:rsid w:val="00460B08"/>
    <w:rsid w:val="00460D19"/>
    <w:rsid w:val="00461421"/>
    <w:rsid w:val="004617BA"/>
    <w:rsid w:val="00461E39"/>
    <w:rsid w:val="0046299E"/>
    <w:rsid w:val="00462C08"/>
    <w:rsid w:val="004639FB"/>
    <w:rsid w:val="00463A4F"/>
    <w:rsid w:val="00464124"/>
    <w:rsid w:val="004643BC"/>
    <w:rsid w:val="0046482D"/>
    <w:rsid w:val="00464EF5"/>
    <w:rsid w:val="00464F80"/>
    <w:rsid w:val="00464FF5"/>
    <w:rsid w:val="00464FFD"/>
    <w:rsid w:val="004651F3"/>
    <w:rsid w:val="004656C0"/>
    <w:rsid w:val="00465DD3"/>
    <w:rsid w:val="00465E50"/>
    <w:rsid w:val="00465FDA"/>
    <w:rsid w:val="00466BDF"/>
    <w:rsid w:val="004676F6"/>
    <w:rsid w:val="00467A80"/>
    <w:rsid w:val="0047006B"/>
    <w:rsid w:val="00470488"/>
    <w:rsid w:val="0047052B"/>
    <w:rsid w:val="00470865"/>
    <w:rsid w:val="00470A44"/>
    <w:rsid w:val="00470E31"/>
    <w:rsid w:val="00470EB6"/>
    <w:rsid w:val="0047136E"/>
    <w:rsid w:val="004713E7"/>
    <w:rsid w:val="00471561"/>
    <w:rsid w:val="00471613"/>
    <w:rsid w:val="00471A4D"/>
    <w:rsid w:val="00471AB2"/>
    <w:rsid w:val="00471E45"/>
    <w:rsid w:val="00471E6F"/>
    <w:rsid w:val="00472254"/>
    <w:rsid w:val="004723FC"/>
    <w:rsid w:val="00472862"/>
    <w:rsid w:val="004730F6"/>
    <w:rsid w:val="004732E0"/>
    <w:rsid w:val="00473874"/>
    <w:rsid w:val="00474027"/>
    <w:rsid w:val="004742D9"/>
    <w:rsid w:val="00474822"/>
    <w:rsid w:val="004748AB"/>
    <w:rsid w:val="00474E36"/>
    <w:rsid w:val="004756C6"/>
    <w:rsid w:val="00475B31"/>
    <w:rsid w:val="00475CE1"/>
    <w:rsid w:val="00476048"/>
    <w:rsid w:val="0047614F"/>
    <w:rsid w:val="00476711"/>
    <w:rsid w:val="00477A5B"/>
    <w:rsid w:val="004802FA"/>
    <w:rsid w:val="00480FF9"/>
    <w:rsid w:val="004810CF"/>
    <w:rsid w:val="00481340"/>
    <w:rsid w:val="004814B3"/>
    <w:rsid w:val="004818A1"/>
    <w:rsid w:val="004818D5"/>
    <w:rsid w:val="00482465"/>
    <w:rsid w:val="004826CF"/>
    <w:rsid w:val="004828B2"/>
    <w:rsid w:val="00482C3D"/>
    <w:rsid w:val="00482DD6"/>
    <w:rsid w:val="00482DFE"/>
    <w:rsid w:val="00482FFB"/>
    <w:rsid w:val="004830AA"/>
    <w:rsid w:val="004835A5"/>
    <w:rsid w:val="00483858"/>
    <w:rsid w:val="00483AF3"/>
    <w:rsid w:val="00483E9E"/>
    <w:rsid w:val="00484066"/>
    <w:rsid w:val="00484A4E"/>
    <w:rsid w:val="00484ABB"/>
    <w:rsid w:val="00484F00"/>
    <w:rsid w:val="00485453"/>
    <w:rsid w:val="0048546D"/>
    <w:rsid w:val="00485A12"/>
    <w:rsid w:val="00485CF8"/>
    <w:rsid w:val="0048614A"/>
    <w:rsid w:val="00486649"/>
    <w:rsid w:val="00486F36"/>
    <w:rsid w:val="004871D6"/>
    <w:rsid w:val="004903B1"/>
    <w:rsid w:val="00490A4A"/>
    <w:rsid w:val="00490BD2"/>
    <w:rsid w:val="0049192C"/>
    <w:rsid w:val="00491BE4"/>
    <w:rsid w:val="00491D4B"/>
    <w:rsid w:val="00491F82"/>
    <w:rsid w:val="0049220C"/>
    <w:rsid w:val="00492783"/>
    <w:rsid w:val="0049283C"/>
    <w:rsid w:val="00493428"/>
    <w:rsid w:val="0049365E"/>
    <w:rsid w:val="00493A19"/>
    <w:rsid w:val="00493C5A"/>
    <w:rsid w:val="00493FBF"/>
    <w:rsid w:val="004942B5"/>
    <w:rsid w:val="00494DAD"/>
    <w:rsid w:val="004959DC"/>
    <w:rsid w:val="00495A78"/>
    <w:rsid w:val="00495FFC"/>
    <w:rsid w:val="0049623F"/>
    <w:rsid w:val="004964F6"/>
    <w:rsid w:val="0049652D"/>
    <w:rsid w:val="004967C5"/>
    <w:rsid w:val="004973CB"/>
    <w:rsid w:val="004975D3"/>
    <w:rsid w:val="004A13A5"/>
    <w:rsid w:val="004A2072"/>
    <w:rsid w:val="004A211E"/>
    <w:rsid w:val="004A294B"/>
    <w:rsid w:val="004A2E90"/>
    <w:rsid w:val="004A3338"/>
    <w:rsid w:val="004A3B43"/>
    <w:rsid w:val="004A4236"/>
    <w:rsid w:val="004A446A"/>
    <w:rsid w:val="004A52D6"/>
    <w:rsid w:val="004A5940"/>
    <w:rsid w:val="004A627E"/>
    <w:rsid w:val="004A6374"/>
    <w:rsid w:val="004A6626"/>
    <w:rsid w:val="004A6663"/>
    <w:rsid w:val="004A6853"/>
    <w:rsid w:val="004A68A5"/>
    <w:rsid w:val="004A6D0F"/>
    <w:rsid w:val="004A6FC8"/>
    <w:rsid w:val="004A753E"/>
    <w:rsid w:val="004A764F"/>
    <w:rsid w:val="004A7B47"/>
    <w:rsid w:val="004A7B8D"/>
    <w:rsid w:val="004B022E"/>
    <w:rsid w:val="004B062D"/>
    <w:rsid w:val="004B07E8"/>
    <w:rsid w:val="004B0CFF"/>
    <w:rsid w:val="004B0EA3"/>
    <w:rsid w:val="004B111F"/>
    <w:rsid w:val="004B2CA3"/>
    <w:rsid w:val="004B35E9"/>
    <w:rsid w:val="004B36DA"/>
    <w:rsid w:val="004B3A98"/>
    <w:rsid w:val="004B3BF8"/>
    <w:rsid w:val="004B4155"/>
    <w:rsid w:val="004B4635"/>
    <w:rsid w:val="004B49EC"/>
    <w:rsid w:val="004B5039"/>
    <w:rsid w:val="004B561B"/>
    <w:rsid w:val="004B5A8F"/>
    <w:rsid w:val="004B60B9"/>
    <w:rsid w:val="004B6FB0"/>
    <w:rsid w:val="004B72C1"/>
    <w:rsid w:val="004C02EE"/>
    <w:rsid w:val="004C0362"/>
    <w:rsid w:val="004C0BCE"/>
    <w:rsid w:val="004C0C66"/>
    <w:rsid w:val="004C0D32"/>
    <w:rsid w:val="004C0F9B"/>
    <w:rsid w:val="004C120F"/>
    <w:rsid w:val="004C1282"/>
    <w:rsid w:val="004C1AC5"/>
    <w:rsid w:val="004C1E26"/>
    <w:rsid w:val="004C2078"/>
    <w:rsid w:val="004C23A0"/>
    <w:rsid w:val="004C2741"/>
    <w:rsid w:val="004C28FA"/>
    <w:rsid w:val="004C30CB"/>
    <w:rsid w:val="004C3D63"/>
    <w:rsid w:val="004C412C"/>
    <w:rsid w:val="004C4C21"/>
    <w:rsid w:val="004C525C"/>
    <w:rsid w:val="004C5631"/>
    <w:rsid w:val="004C5984"/>
    <w:rsid w:val="004C61A1"/>
    <w:rsid w:val="004C6290"/>
    <w:rsid w:val="004C66C7"/>
    <w:rsid w:val="004C6F2C"/>
    <w:rsid w:val="004C75F5"/>
    <w:rsid w:val="004C77EE"/>
    <w:rsid w:val="004D0A7A"/>
    <w:rsid w:val="004D0A7F"/>
    <w:rsid w:val="004D11BC"/>
    <w:rsid w:val="004D1C28"/>
    <w:rsid w:val="004D1ED3"/>
    <w:rsid w:val="004D1F46"/>
    <w:rsid w:val="004D2648"/>
    <w:rsid w:val="004D273F"/>
    <w:rsid w:val="004D291C"/>
    <w:rsid w:val="004D2CF9"/>
    <w:rsid w:val="004D34CA"/>
    <w:rsid w:val="004D3724"/>
    <w:rsid w:val="004D4106"/>
    <w:rsid w:val="004D4529"/>
    <w:rsid w:val="004D487E"/>
    <w:rsid w:val="004D4ACB"/>
    <w:rsid w:val="004D55F2"/>
    <w:rsid w:val="004D5867"/>
    <w:rsid w:val="004D587F"/>
    <w:rsid w:val="004D5BB2"/>
    <w:rsid w:val="004D5D1A"/>
    <w:rsid w:val="004D5D79"/>
    <w:rsid w:val="004D600D"/>
    <w:rsid w:val="004D6A6F"/>
    <w:rsid w:val="004D6AEA"/>
    <w:rsid w:val="004D7464"/>
    <w:rsid w:val="004D79B1"/>
    <w:rsid w:val="004D7D67"/>
    <w:rsid w:val="004E0357"/>
    <w:rsid w:val="004E0770"/>
    <w:rsid w:val="004E0A8C"/>
    <w:rsid w:val="004E0EA4"/>
    <w:rsid w:val="004E111C"/>
    <w:rsid w:val="004E1867"/>
    <w:rsid w:val="004E18AB"/>
    <w:rsid w:val="004E276C"/>
    <w:rsid w:val="004E27A6"/>
    <w:rsid w:val="004E3690"/>
    <w:rsid w:val="004E427E"/>
    <w:rsid w:val="004E4484"/>
    <w:rsid w:val="004E4626"/>
    <w:rsid w:val="004E46F6"/>
    <w:rsid w:val="004E4733"/>
    <w:rsid w:val="004E4797"/>
    <w:rsid w:val="004E49C7"/>
    <w:rsid w:val="004E4FE5"/>
    <w:rsid w:val="004E50E3"/>
    <w:rsid w:val="004E5438"/>
    <w:rsid w:val="004E5B05"/>
    <w:rsid w:val="004E5BE2"/>
    <w:rsid w:val="004E6686"/>
    <w:rsid w:val="004E6C70"/>
    <w:rsid w:val="004E71BF"/>
    <w:rsid w:val="004E7DDD"/>
    <w:rsid w:val="004E7E80"/>
    <w:rsid w:val="004F0402"/>
    <w:rsid w:val="004F0475"/>
    <w:rsid w:val="004F0EA3"/>
    <w:rsid w:val="004F0F5F"/>
    <w:rsid w:val="004F1036"/>
    <w:rsid w:val="004F1721"/>
    <w:rsid w:val="004F1952"/>
    <w:rsid w:val="004F1B8E"/>
    <w:rsid w:val="004F2160"/>
    <w:rsid w:val="004F236E"/>
    <w:rsid w:val="004F275E"/>
    <w:rsid w:val="004F2EEE"/>
    <w:rsid w:val="004F44F5"/>
    <w:rsid w:val="004F4635"/>
    <w:rsid w:val="004F466B"/>
    <w:rsid w:val="004F47B9"/>
    <w:rsid w:val="004F48D3"/>
    <w:rsid w:val="004F4C5B"/>
    <w:rsid w:val="004F4D38"/>
    <w:rsid w:val="004F52EC"/>
    <w:rsid w:val="004F5506"/>
    <w:rsid w:val="004F5B9D"/>
    <w:rsid w:val="004F5DAA"/>
    <w:rsid w:val="004F5F3C"/>
    <w:rsid w:val="004F61B7"/>
    <w:rsid w:val="004F6307"/>
    <w:rsid w:val="004F6D60"/>
    <w:rsid w:val="004F6FE6"/>
    <w:rsid w:val="004F7698"/>
    <w:rsid w:val="004F7981"/>
    <w:rsid w:val="004F7AF8"/>
    <w:rsid w:val="00500993"/>
    <w:rsid w:val="005009E7"/>
    <w:rsid w:val="00500A9D"/>
    <w:rsid w:val="00500AED"/>
    <w:rsid w:val="00500BCA"/>
    <w:rsid w:val="005019C1"/>
    <w:rsid w:val="00501A5B"/>
    <w:rsid w:val="00501C42"/>
    <w:rsid w:val="00501FAE"/>
    <w:rsid w:val="005029EA"/>
    <w:rsid w:val="00502B83"/>
    <w:rsid w:val="00502C39"/>
    <w:rsid w:val="0050352B"/>
    <w:rsid w:val="00504CBF"/>
    <w:rsid w:val="005052E6"/>
    <w:rsid w:val="005054CE"/>
    <w:rsid w:val="00505513"/>
    <w:rsid w:val="005055AD"/>
    <w:rsid w:val="00505A02"/>
    <w:rsid w:val="00505A25"/>
    <w:rsid w:val="00505C93"/>
    <w:rsid w:val="00506C0D"/>
    <w:rsid w:val="005071B5"/>
    <w:rsid w:val="00507891"/>
    <w:rsid w:val="005078A9"/>
    <w:rsid w:val="00507D67"/>
    <w:rsid w:val="005100B9"/>
    <w:rsid w:val="005104E5"/>
    <w:rsid w:val="00510E9E"/>
    <w:rsid w:val="00511695"/>
    <w:rsid w:val="0051193F"/>
    <w:rsid w:val="00511D35"/>
    <w:rsid w:val="00511D69"/>
    <w:rsid w:val="00512064"/>
    <w:rsid w:val="0051213E"/>
    <w:rsid w:val="00512229"/>
    <w:rsid w:val="00512C7E"/>
    <w:rsid w:val="00513571"/>
    <w:rsid w:val="00513577"/>
    <w:rsid w:val="005144CB"/>
    <w:rsid w:val="005147EC"/>
    <w:rsid w:val="00514CC4"/>
    <w:rsid w:val="00514DE6"/>
    <w:rsid w:val="00515AA5"/>
    <w:rsid w:val="00516615"/>
    <w:rsid w:val="00516959"/>
    <w:rsid w:val="005169B9"/>
    <w:rsid w:val="005169FE"/>
    <w:rsid w:val="00517372"/>
    <w:rsid w:val="005177D9"/>
    <w:rsid w:val="005203BD"/>
    <w:rsid w:val="00520D81"/>
    <w:rsid w:val="00520EA3"/>
    <w:rsid w:val="00521000"/>
    <w:rsid w:val="00521384"/>
    <w:rsid w:val="00521472"/>
    <w:rsid w:val="00521AA6"/>
    <w:rsid w:val="0052214D"/>
    <w:rsid w:val="005226FB"/>
    <w:rsid w:val="00522C59"/>
    <w:rsid w:val="00522E13"/>
    <w:rsid w:val="0052427A"/>
    <w:rsid w:val="005243CA"/>
    <w:rsid w:val="00524881"/>
    <w:rsid w:val="00524EF6"/>
    <w:rsid w:val="00526407"/>
    <w:rsid w:val="0052642A"/>
    <w:rsid w:val="005264A6"/>
    <w:rsid w:val="005266AC"/>
    <w:rsid w:val="00526ACD"/>
    <w:rsid w:val="00526DCA"/>
    <w:rsid w:val="0053046D"/>
    <w:rsid w:val="0053075E"/>
    <w:rsid w:val="00530E63"/>
    <w:rsid w:val="00531B2A"/>
    <w:rsid w:val="00531E8E"/>
    <w:rsid w:val="0053256F"/>
    <w:rsid w:val="005328FE"/>
    <w:rsid w:val="00532C0D"/>
    <w:rsid w:val="005335A3"/>
    <w:rsid w:val="005337BB"/>
    <w:rsid w:val="005339F1"/>
    <w:rsid w:val="00533FC9"/>
    <w:rsid w:val="00534409"/>
    <w:rsid w:val="005346DF"/>
    <w:rsid w:val="0053524F"/>
    <w:rsid w:val="005359C9"/>
    <w:rsid w:val="00536101"/>
    <w:rsid w:val="00536135"/>
    <w:rsid w:val="005362EC"/>
    <w:rsid w:val="00536602"/>
    <w:rsid w:val="00536978"/>
    <w:rsid w:val="005370CE"/>
    <w:rsid w:val="0053731C"/>
    <w:rsid w:val="0053731D"/>
    <w:rsid w:val="00537340"/>
    <w:rsid w:val="00537574"/>
    <w:rsid w:val="00540326"/>
    <w:rsid w:val="0054037E"/>
    <w:rsid w:val="00540397"/>
    <w:rsid w:val="00541120"/>
    <w:rsid w:val="00541B8B"/>
    <w:rsid w:val="00541C8C"/>
    <w:rsid w:val="00541EE6"/>
    <w:rsid w:val="00542C96"/>
    <w:rsid w:val="00542D7D"/>
    <w:rsid w:val="00543451"/>
    <w:rsid w:val="005436DD"/>
    <w:rsid w:val="00543A24"/>
    <w:rsid w:val="00543A6E"/>
    <w:rsid w:val="005445B1"/>
    <w:rsid w:val="005445FE"/>
    <w:rsid w:val="0054464D"/>
    <w:rsid w:val="00544853"/>
    <w:rsid w:val="00544C51"/>
    <w:rsid w:val="005453D3"/>
    <w:rsid w:val="005455AE"/>
    <w:rsid w:val="00545DA7"/>
    <w:rsid w:val="00545FB1"/>
    <w:rsid w:val="005460F4"/>
    <w:rsid w:val="005462CD"/>
    <w:rsid w:val="00546304"/>
    <w:rsid w:val="005466E7"/>
    <w:rsid w:val="005468A8"/>
    <w:rsid w:val="00546C96"/>
    <w:rsid w:val="00546D8B"/>
    <w:rsid w:val="00547374"/>
    <w:rsid w:val="00547531"/>
    <w:rsid w:val="0054757D"/>
    <w:rsid w:val="0054762D"/>
    <w:rsid w:val="00547BE3"/>
    <w:rsid w:val="00547CA8"/>
    <w:rsid w:val="00547CC6"/>
    <w:rsid w:val="00550236"/>
    <w:rsid w:val="00550287"/>
    <w:rsid w:val="0055059F"/>
    <w:rsid w:val="005514CC"/>
    <w:rsid w:val="005518A0"/>
    <w:rsid w:val="00551954"/>
    <w:rsid w:val="00551AAC"/>
    <w:rsid w:val="0055270E"/>
    <w:rsid w:val="00552FB7"/>
    <w:rsid w:val="005531E1"/>
    <w:rsid w:val="005533E7"/>
    <w:rsid w:val="005539F0"/>
    <w:rsid w:val="00553C86"/>
    <w:rsid w:val="00553F99"/>
    <w:rsid w:val="00554C9E"/>
    <w:rsid w:val="005556C6"/>
    <w:rsid w:val="00555EF9"/>
    <w:rsid w:val="005561B1"/>
    <w:rsid w:val="00556490"/>
    <w:rsid w:val="00556E69"/>
    <w:rsid w:val="0055730B"/>
    <w:rsid w:val="005574A0"/>
    <w:rsid w:val="00557931"/>
    <w:rsid w:val="00557C08"/>
    <w:rsid w:val="00557C0C"/>
    <w:rsid w:val="00557CC0"/>
    <w:rsid w:val="00557CC8"/>
    <w:rsid w:val="005601CC"/>
    <w:rsid w:val="00560CE7"/>
    <w:rsid w:val="005614DB"/>
    <w:rsid w:val="00562072"/>
    <w:rsid w:val="00563272"/>
    <w:rsid w:val="00563469"/>
    <w:rsid w:val="005637CE"/>
    <w:rsid w:val="005639EE"/>
    <w:rsid w:val="00563A79"/>
    <w:rsid w:val="00563C1C"/>
    <w:rsid w:val="00563D5A"/>
    <w:rsid w:val="00563D88"/>
    <w:rsid w:val="0056464C"/>
    <w:rsid w:val="00564A5B"/>
    <w:rsid w:val="00564E6B"/>
    <w:rsid w:val="005654C9"/>
    <w:rsid w:val="0056555F"/>
    <w:rsid w:val="00565EE7"/>
    <w:rsid w:val="005661E3"/>
    <w:rsid w:val="0056632A"/>
    <w:rsid w:val="00566DFE"/>
    <w:rsid w:val="005675A6"/>
    <w:rsid w:val="005675C6"/>
    <w:rsid w:val="0056782D"/>
    <w:rsid w:val="005679BA"/>
    <w:rsid w:val="00567F2B"/>
    <w:rsid w:val="00570020"/>
    <w:rsid w:val="005701C2"/>
    <w:rsid w:val="005704F0"/>
    <w:rsid w:val="00570C08"/>
    <w:rsid w:val="00570C7E"/>
    <w:rsid w:val="00571242"/>
    <w:rsid w:val="0057162B"/>
    <w:rsid w:val="005716D4"/>
    <w:rsid w:val="00572550"/>
    <w:rsid w:val="0057292F"/>
    <w:rsid w:val="00572A47"/>
    <w:rsid w:val="00572D62"/>
    <w:rsid w:val="00572E69"/>
    <w:rsid w:val="00572EA3"/>
    <w:rsid w:val="00573016"/>
    <w:rsid w:val="00573BAC"/>
    <w:rsid w:val="00573E5F"/>
    <w:rsid w:val="00573F4E"/>
    <w:rsid w:val="00573F76"/>
    <w:rsid w:val="00574441"/>
    <w:rsid w:val="0057454F"/>
    <w:rsid w:val="00574AB0"/>
    <w:rsid w:val="00574C3C"/>
    <w:rsid w:val="00575956"/>
    <w:rsid w:val="00576354"/>
    <w:rsid w:val="00576826"/>
    <w:rsid w:val="00576895"/>
    <w:rsid w:val="005771E7"/>
    <w:rsid w:val="005779B1"/>
    <w:rsid w:val="005800AF"/>
    <w:rsid w:val="005801FE"/>
    <w:rsid w:val="00581337"/>
    <w:rsid w:val="005816BC"/>
    <w:rsid w:val="00581858"/>
    <w:rsid w:val="0058195D"/>
    <w:rsid w:val="00581DB5"/>
    <w:rsid w:val="00581F34"/>
    <w:rsid w:val="00582346"/>
    <w:rsid w:val="00582646"/>
    <w:rsid w:val="00582805"/>
    <w:rsid w:val="005830D0"/>
    <w:rsid w:val="00583169"/>
    <w:rsid w:val="00583190"/>
    <w:rsid w:val="005838F8"/>
    <w:rsid w:val="00583C20"/>
    <w:rsid w:val="00583DA9"/>
    <w:rsid w:val="00583EED"/>
    <w:rsid w:val="00584391"/>
    <w:rsid w:val="00584585"/>
    <w:rsid w:val="00584EED"/>
    <w:rsid w:val="0058509F"/>
    <w:rsid w:val="005853DA"/>
    <w:rsid w:val="0058559D"/>
    <w:rsid w:val="00585B3C"/>
    <w:rsid w:val="00585FB4"/>
    <w:rsid w:val="00586C8D"/>
    <w:rsid w:val="0058705F"/>
    <w:rsid w:val="00587264"/>
    <w:rsid w:val="00587A4F"/>
    <w:rsid w:val="00587BB0"/>
    <w:rsid w:val="00587CCF"/>
    <w:rsid w:val="00587F3C"/>
    <w:rsid w:val="0059033A"/>
    <w:rsid w:val="005905D1"/>
    <w:rsid w:val="005905E0"/>
    <w:rsid w:val="005908DD"/>
    <w:rsid w:val="00591818"/>
    <w:rsid w:val="00591F9B"/>
    <w:rsid w:val="00592224"/>
    <w:rsid w:val="005923EC"/>
    <w:rsid w:val="00592801"/>
    <w:rsid w:val="005933C1"/>
    <w:rsid w:val="00593F10"/>
    <w:rsid w:val="005942FC"/>
    <w:rsid w:val="0059435E"/>
    <w:rsid w:val="00594AA5"/>
    <w:rsid w:val="00594B0B"/>
    <w:rsid w:val="00595312"/>
    <w:rsid w:val="00595A23"/>
    <w:rsid w:val="005968FD"/>
    <w:rsid w:val="00596E06"/>
    <w:rsid w:val="00597F7B"/>
    <w:rsid w:val="005A023F"/>
    <w:rsid w:val="005A08EA"/>
    <w:rsid w:val="005A0F92"/>
    <w:rsid w:val="005A11ED"/>
    <w:rsid w:val="005A1483"/>
    <w:rsid w:val="005A1C99"/>
    <w:rsid w:val="005A1DFE"/>
    <w:rsid w:val="005A2CBF"/>
    <w:rsid w:val="005A3318"/>
    <w:rsid w:val="005A3340"/>
    <w:rsid w:val="005A36A9"/>
    <w:rsid w:val="005A3C94"/>
    <w:rsid w:val="005A4647"/>
    <w:rsid w:val="005A4D17"/>
    <w:rsid w:val="005A5553"/>
    <w:rsid w:val="005A5759"/>
    <w:rsid w:val="005A6164"/>
    <w:rsid w:val="005A6943"/>
    <w:rsid w:val="005A6A4A"/>
    <w:rsid w:val="005A6F96"/>
    <w:rsid w:val="005A73AC"/>
    <w:rsid w:val="005A7610"/>
    <w:rsid w:val="005A766C"/>
    <w:rsid w:val="005A7678"/>
    <w:rsid w:val="005A77E4"/>
    <w:rsid w:val="005A7BFA"/>
    <w:rsid w:val="005A7FD1"/>
    <w:rsid w:val="005B0566"/>
    <w:rsid w:val="005B057D"/>
    <w:rsid w:val="005B09DA"/>
    <w:rsid w:val="005B1EEB"/>
    <w:rsid w:val="005B25A9"/>
    <w:rsid w:val="005B26D6"/>
    <w:rsid w:val="005B2DE4"/>
    <w:rsid w:val="005B3189"/>
    <w:rsid w:val="005B31E3"/>
    <w:rsid w:val="005B4515"/>
    <w:rsid w:val="005B4B35"/>
    <w:rsid w:val="005B4EE2"/>
    <w:rsid w:val="005B5222"/>
    <w:rsid w:val="005B548A"/>
    <w:rsid w:val="005B5731"/>
    <w:rsid w:val="005B5A68"/>
    <w:rsid w:val="005B5E13"/>
    <w:rsid w:val="005B6258"/>
    <w:rsid w:val="005B62D5"/>
    <w:rsid w:val="005B7489"/>
    <w:rsid w:val="005B79E3"/>
    <w:rsid w:val="005B7DBB"/>
    <w:rsid w:val="005C0587"/>
    <w:rsid w:val="005C07A8"/>
    <w:rsid w:val="005C193F"/>
    <w:rsid w:val="005C1C27"/>
    <w:rsid w:val="005C1FB8"/>
    <w:rsid w:val="005C2014"/>
    <w:rsid w:val="005C25B2"/>
    <w:rsid w:val="005C2955"/>
    <w:rsid w:val="005C2A35"/>
    <w:rsid w:val="005C2CC3"/>
    <w:rsid w:val="005C3863"/>
    <w:rsid w:val="005C396B"/>
    <w:rsid w:val="005C3FDB"/>
    <w:rsid w:val="005C46FB"/>
    <w:rsid w:val="005C506B"/>
    <w:rsid w:val="005C53BC"/>
    <w:rsid w:val="005C54E7"/>
    <w:rsid w:val="005C55C4"/>
    <w:rsid w:val="005C5751"/>
    <w:rsid w:val="005C5C12"/>
    <w:rsid w:val="005C60B1"/>
    <w:rsid w:val="005C656B"/>
    <w:rsid w:val="005C68D8"/>
    <w:rsid w:val="005C6DAD"/>
    <w:rsid w:val="005C71BC"/>
    <w:rsid w:val="005C72B4"/>
    <w:rsid w:val="005C75E1"/>
    <w:rsid w:val="005C7C1A"/>
    <w:rsid w:val="005D06C7"/>
    <w:rsid w:val="005D0970"/>
    <w:rsid w:val="005D1014"/>
    <w:rsid w:val="005D1077"/>
    <w:rsid w:val="005D1145"/>
    <w:rsid w:val="005D1252"/>
    <w:rsid w:val="005D132E"/>
    <w:rsid w:val="005D1A79"/>
    <w:rsid w:val="005D1A98"/>
    <w:rsid w:val="005D1B7A"/>
    <w:rsid w:val="005D2232"/>
    <w:rsid w:val="005D2496"/>
    <w:rsid w:val="005D2525"/>
    <w:rsid w:val="005D26B6"/>
    <w:rsid w:val="005D2A4D"/>
    <w:rsid w:val="005D30AD"/>
    <w:rsid w:val="005D3301"/>
    <w:rsid w:val="005D3FD1"/>
    <w:rsid w:val="005D4478"/>
    <w:rsid w:val="005D4893"/>
    <w:rsid w:val="005D48D7"/>
    <w:rsid w:val="005D4DDA"/>
    <w:rsid w:val="005D4F94"/>
    <w:rsid w:val="005D57C0"/>
    <w:rsid w:val="005D5828"/>
    <w:rsid w:val="005D5957"/>
    <w:rsid w:val="005D5B3C"/>
    <w:rsid w:val="005D5BCF"/>
    <w:rsid w:val="005D64E1"/>
    <w:rsid w:val="005D64F4"/>
    <w:rsid w:val="005D6BBA"/>
    <w:rsid w:val="005D712C"/>
    <w:rsid w:val="005D73B5"/>
    <w:rsid w:val="005D7644"/>
    <w:rsid w:val="005D7699"/>
    <w:rsid w:val="005D7BC9"/>
    <w:rsid w:val="005D7C11"/>
    <w:rsid w:val="005D7DB8"/>
    <w:rsid w:val="005E0350"/>
    <w:rsid w:val="005E06D1"/>
    <w:rsid w:val="005E15F6"/>
    <w:rsid w:val="005E16DE"/>
    <w:rsid w:val="005E19AF"/>
    <w:rsid w:val="005E1D39"/>
    <w:rsid w:val="005E1F66"/>
    <w:rsid w:val="005E2863"/>
    <w:rsid w:val="005E2D34"/>
    <w:rsid w:val="005E2DD5"/>
    <w:rsid w:val="005E30AB"/>
    <w:rsid w:val="005E3537"/>
    <w:rsid w:val="005E36E1"/>
    <w:rsid w:val="005E3787"/>
    <w:rsid w:val="005E45FC"/>
    <w:rsid w:val="005E46BE"/>
    <w:rsid w:val="005E493E"/>
    <w:rsid w:val="005E4A8B"/>
    <w:rsid w:val="005E51E7"/>
    <w:rsid w:val="005E5BC9"/>
    <w:rsid w:val="005E601A"/>
    <w:rsid w:val="005E675A"/>
    <w:rsid w:val="005E7A42"/>
    <w:rsid w:val="005E7DD7"/>
    <w:rsid w:val="005F095B"/>
    <w:rsid w:val="005F0A50"/>
    <w:rsid w:val="005F0CCF"/>
    <w:rsid w:val="005F106A"/>
    <w:rsid w:val="005F1784"/>
    <w:rsid w:val="005F1862"/>
    <w:rsid w:val="005F191C"/>
    <w:rsid w:val="005F1A18"/>
    <w:rsid w:val="005F1CC6"/>
    <w:rsid w:val="005F24DF"/>
    <w:rsid w:val="005F29EE"/>
    <w:rsid w:val="005F35D0"/>
    <w:rsid w:val="005F4065"/>
    <w:rsid w:val="005F4540"/>
    <w:rsid w:val="005F4825"/>
    <w:rsid w:val="005F4C1D"/>
    <w:rsid w:val="005F4E3A"/>
    <w:rsid w:val="005F51CE"/>
    <w:rsid w:val="005F5450"/>
    <w:rsid w:val="005F5915"/>
    <w:rsid w:val="005F59C3"/>
    <w:rsid w:val="005F5D0B"/>
    <w:rsid w:val="005F5E88"/>
    <w:rsid w:val="005F5EA8"/>
    <w:rsid w:val="005F62C8"/>
    <w:rsid w:val="005F690F"/>
    <w:rsid w:val="005F6B06"/>
    <w:rsid w:val="005F6DC4"/>
    <w:rsid w:val="005F7279"/>
    <w:rsid w:val="005F7A00"/>
    <w:rsid w:val="005F7C4B"/>
    <w:rsid w:val="005F7CCD"/>
    <w:rsid w:val="0060014F"/>
    <w:rsid w:val="00600636"/>
    <w:rsid w:val="00600895"/>
    <w:rsid w:val="00600913"/>
    <w:rsid w:val="00600CDA"/>
    <w:rsid w:val="00600D05"/>
    <w:rsid w:val="00601018"/>
    <w:rsid w:val="006014B9"/>
    <w:rsid w:val="00601C56"/>
    <w:rsid w:val="00601E0F"/>
    <w:rsid w:val="0060265A"/>
    <w:rsid w:val="00602A02"/>
    <w:rsid w:val="00602BAC"/>
    <w:rsid w:val="006033D1"/>
    <w:rsid w:val="0060350B"/>
    <w:rsid w:val="00603728"/>
    <w:rsid w:val="00603C58"/>
    <w:rsid w:val="00603CEC"/>
    <w:rsid w:val="0060458B"/>
    <w:rsid w:val="0060485B"/>
    <w:rsid w:val="00604A07"/>
    <w:rsid w:val="00604AE2"/>
    <w:rsid w:val="00604B99"/>
    <w:rsid w:val="00604C2B"/>
    <w:rsid w:val="00606892"/>
    <w:rsid w:val="0060788F"/>
    <w:rsid w:val="00607A72"/>
    <w:rsid w:val="00607B4B"/>
    <w:rsid w:val="00607B86"/>
    <w:rsid w:val="00607EFD"/>
    <w:rsid w:val="0061043C"/>
    <w:rsid w:val="00610C0E"/>
    <w:rsid w:val="00610D3C"/>
    <w:rsid w:val="00611920"/>
    <w:rsid w:val="00611D83"/>
    <w:rsid w:val="00611FCD"/>
    <w:rsid w:val="00612BC0"/>
    <w:rsid w:val="00612C6B"/>
    <w:rsid w:val="006137C7"/>
    <w:rsid w:val="00613926"/>
    <w:rsid w:val="00613E8C"/>
    <w:rsid w:val="00614BDC"/>
    <w:rsid w:val="00614E13"/>
    <w:rsid w:val="00615390"/>
    <w:rsid w:val="0061551E"/>
    <w:rsid w:val="0061640F"/>
    <w:rsid w:val="006166D3"/>
    <w:rsid w:val="006169B4"/>
    <w:rsid w:val="00617183"/>
    <w:rsid w:val="006174DB"/>
    <w:rsid w:val="00617671"/>
    <w:rsid w:val="00617726"/>
    <w:rsid w:val="00617CE5"/>
    <w:rsid w:val="00617EFF"/>
    <w:rsid w:val="00620233"/>
    <w:rsid w:val="006202FD"/>
    <w:rsid w:val="006203BA"/>
    <w:rsid w:val="00620BE8"/>
    <w:rsid w:val="00620E26"/>
    <w:rsid w:val="00620E54"/>
    <w:rsid w:val="00620EE5"/>
    <w:rsid w:val="00621257"/>
    <w:rsid w:val="0062130B"/>
    <w:rsid w:val="006217A7"/>
    <w:rsid w:val="00621C3A"/>
    <w:rsid w:val="00622700"/>
    <w:rsid w:val="00622D1B"/>
    <w:rsid w:val="00623584"/>
    <w:rsid w:val="00623676"/>
    <w:rsid w:val="00623B19"/>
    <w:rsid w:val="00623E20"/>
    <w:rsid w:val="00624B0B"/>
    <w:rsid w:val="00625608"/>
    <w:rsid w:val="00625693"/>
    <w:rsid w:val="0062588E"/>
    <w:rsid w:val="006268B9"/>
    <w:rsid w:val="00626B95"/>
    <w:rsid w:val="006272BF"/>
    <w:rsid w:val="00627403"/>
    <w:rsid w:val="00627936"/>
    <w:rsid w:val="00627DCC"/>
    <w:rsid w:val="00630122"/>
    <w:rsid w:val="00630242"/>
    <w:rsid w:val="00630ABA"/>
    <w:rsid w:val="00631127"/>
    <w:rsid w:val="006312AC"/>
    <w:rsid w:val="006318DC"/>
    <w:rsid w:val="006321A3"/>
    <w:rsid w:val="00632261"/>
    <w:rsid w:val="006325F8"/>
    <w:rsid w:val="00632785"/>
    <w:rsid w:val="0063331B"/>
    <w:rsid w:val="00633463"/>
    <w:rsid w:val="00633C81"/>
    <w:rsid w:val="006344FA"/>
    <w:rsid w:val="00634D42"/>
    <w:rsid w:val="006354F3"/>
    <w:rsid w:val="00635ACA"/>
    <w:rsid w:val="00635B21"/>
    <w:rsid w:val="00635C6A"/>
    <w:rsid w:val="0063691E"/>
    <w:rsid w:val="00636B8B"/>
    <w:rsid w:val="006377B6"/>
    <w:rsid w:val="006379AD"/>
    <w:rsid w:val="00637D45"/>
    <w:rsid w:val="00637FAC"/>
    <w:rsid w:val="00640DAB"/>
    <w:rsid w:val="006417B1"/>
    <w:rsid w:val="00641FBB"/>
    <w:rsid w:val="00642219"/>
    <w:rsid w:val="00642256"/>
    <w:rsid w:val="006423FD"/>
    <w:rsid w:val="00642D0C"/>
    <w:rsid w:val="006430A2"/>
    <w:rsid w:val="00643520"/>
    <w:rsid w:val="006446F6"/>
    <w:rsid w:val="006448B6"/>
    <w:rsid w:val="00644CE0"/>
    <w:rsid w:val="00644E81"/>
    <w:rsid w:val="00645811"/>
    <w:rsid w:val="00645DDB"/>
    <w:rsid w:val="00646836"/>
    <w:rsid w:val="00646FBB"/>
    <w:rsid w:val="00647448"/>
    <w:rsid w:val="00647558"/>
    <w:rsid w:val="0064782C"/>
    <w:rsid w:val="00647ED2"/>
    <w:rsid w:val="0065006D"/>
    <w:rsid w:val="00650A10"/>
    <w:rsid w:val="00650AE3"/>
    <w:rsid w:val="00650CB5"/>
    <w:rsid w:val="00651564"/>
    <w:rsid w:val="0065175B"/>
    <w:rsid w:val="00651773"/>
    <w:rsid w:val="00651D79"/>
    <w:rsid w:val="00652056"/>
    <w:rsid w:val="00652520"/>
    <w:rsid w:val="006527BB"/>
    <w:rsid w:val="00652C6C"/>
    <w:rsid w:val="00653BA1"/>
    <w:rsid w:val="00653F80"/>
    <w:rsid w:val="00653FA3"/>
    <w:rsid w:val="00654083"/>
    <w:rsid w:val="00654534"/>
    <w:rsid w:val="00654AA3"/>
    <w:rsid w:val="00654B25"/>
    <w:rsid w:val="00654BC4"/>
    <w:rsid w:val="00654E13"/>
    <w:rsid w:val="00654EE1"/>
    <w:rsid w:val="0065525E"/>
    <w:rsid w:val="006556B5"/>
    <w:rsid w:val="00655C54"/>
    <w:rsid w:val="00655CE8"/>
    <w:rsid w:val="00655E22"/>
    <w:rsid w:val="00655F70"/>
    <w:rsid w:val="006563EC"/>
    <w:rsid w:val="00656714"/>
    <w:rsid w:val="006569B7"/>
    <w:rsid w:val="0065794F"/>
    <w:rsid w:val="00660477"/>
    <w:rsid w:val="0066087F"/>
    <w:rsid w:val="00660CDC"/>
    <w:rsid w:val="00661005"/>
    <w:rsid w:val="006612EB"/>
    <w:rsid w:val="00661569"/>
    <w:rsid w:val="0066164E"/>
    <w:rsid w:val="0066198F"/>
    <w:rsid w:val="006619D1"/>
    <w:rsid w:val="00661FBD"/>
    <w:rsid w:val="006630CF"/>
    <w:rsid w:val="006634A5"/>
    <w:rsid w:val="00663612"/>
    <w:rsid w:val="00663C65"/>
    <w:rsid w:val="00663FB4"/>
    <w:rsid w:val="00664035"/>
    <w:rsid w:val="00664229"/>
    <w:rsid w:val="00664A6E"/>
    <w:rsid w:val="00664D05"/>
    <w:rsid w:val="00664F1A"/>
    <w:rsid w:val="006655F5"/>
    <w:rsid w:val="00665662"/>
    <w:rsid w:val="00665995"/>
    <w:rsid w:val="00665A05"/>
    <w:rsid w:val="00666490"/>
    <w:rsid w:val="0066677D"/>
    <w:rsid w:val="00666D8F"/>
    <w:rsid w:val="00666DAA"/>
    <w:rsid w:val="006670F1"/>
    <w:rsid w:val="006675E5"/>
    <w:rsid w:val="00667837"/>
    <w:rsid w:val="00667B96"/>
    <w:rsid w:val="00667CC3"/>
    <w:rsid w:val="00670787"/>
    <w:rsid w:val="00670B97"/>
    <w:rsid w:val="00670CFF"/>
    <w:rsid w:val="006710B7"/>
    <w:rsid w:val="00671281"/>
    <w:rsid w:val="00671A8E"/>
    <w:rsid w:val="00672B02"/>
    <w:rsid w:val="00673203"/>
    <w:rsid w:val="00673AA4"/>
    <w:rsid w:val="00673C33"/>
    <w:rsid w:val="00673E27"/>
    <w:rsid w:val="00674272"/>
    <w:rsid w:val="006744F2"/>
    <w:rsid w:val="006748BB"/>
    <w:rsid w:val="00674E3E"/>
    <w:rsid w:val="006756C6"/>
    <w:rsid w:val="00676A30"/>
    <w:rsid w:val="00676ACF"/>
    <w:rsid w:val="00676B77"/>
    <w:rsid w:val="00676E00"/>
    <w:rsid w:val="00676F19"/>
    <w:rsid w:val="006770AC"/>
    <w:rsid w:val="00677365"/>
    <w:rsid w:val="00677E0B"/>
    <w:rsid w:val="00680393"/>
    <w:rsid w:val="006817BA"/>
    <w:rsid w:val="00681971"/>
    <w:rsid w:val="00681CD5"/>
    <w:rsid w:val="00681EF8"/>
    <w:rsid w:val="00681F10"/>
    <w:rsid w:val="00682035"/>
    <w:rsid w:val="00683452"/>
    <w:rsid w:val="00683482"/>
    <w:rsid w:val="0068400B"/>
    <w:rsid w:val="0068411F"/>
    <w:rsid w:val="006842A8"/>
    <w:rsid w:val="006849BB"/>
    <w:rsid w:val="006851DD"/>
    <w:rsid w:val="00685288"/>
    <w:rsid w:val="00685950"/>
    <w:rsid w:val="00685BF8"/>
    <w:rsid w:val="00685CC7"/>
    <w:rsid w:val="0068616E"/>
    <w:rsid w:val="006862A6"/>
    <w:rsid w:val="00686A19"/>
    <w:rsid w:val="006871B1"/>
    <w:rsid w:val="00690365"/>
    <w:rsid w:val="00690755"/>
    <w:rsid w:val="00690829"/>
    <w:rsid w:val="00690DF3"/>
    <w:rsid w:val="006914D2"/>
    <w:rsid w:val="00691523"/>
    <w:rsid w:val="00691A16"/>
    <w:rsid w:val="00691B02"/>
    <w:rsid w:val="00691D58"/>
    <w:rsid w:val="00691D7A"/>
    <w:rsid w:val="00692183"/>
    <w:rsid w:val="006939EC"/>
    <w:rsid w:val="00694804"/>
    <w:rsid w:val="00694EC6"/>
    <w:rsid w:val="00694F8F"/>
    <w:rsid w:val="00695937"/>
    <w:rsid w:val="0069597C"/>
    <w:rsid w:val="00695D95"/>
    <w:rsid w:val="006960B9"/>
    <w:rsid w:val="00696258"/>
    <w:rsid w:val="00696326"/>
    <w:rsid w:val="00696736"/>
    <w:rsid w:val="006970D5"/>
    <w:rsid w:val="00697118"/>
    <w:rsid w:val="0069739D"/>
    <w:rsid w:val="00697CDE"/>
    <w:rsid w:val="006A0293"/>
    <w:rsid w:val="006A08C1"/>
    <w:rsid w:val="006A0BE2"/>
    <w:rsid w:val="006A0D51"/>
    <w:rsid w:val="006A0DCB"/>
    <w:rsid w:val="006A1186"/>
    <w:rsid w:val="006A1E83"/>
    <w:rsid w:val="006A1EE1"/>
    <w:rsid w:val="006A1F2C"/>
    <w:rsid w:val="006A2159"/>
    <w:rsid w:val="006A249B"/>
    <w:rsid w:val="006A3897"/>
    <w:rsid w:val="006A38F6"/>
    <w:rsid w:val="006A3E16"/>
    <w:rsid w:val="006A4211"/>
    <w:rsid w:val="006A4AE2"/>
    <w:rsid w:val="006A4D8A"/>
    <w:rsid w:val="006A4F99"/>
    <w:rsid w:val="006A50C8"/>
    <w:rsid w:val="006A5EE5"/>
    <w:rsid w:val="006A625E"/>
    <w:rsid w:val="006A64A9"/>
    <w:rsid w:val="006A661F"/>
    <w:rsid w:val="006A6AF9"/>
    <w:rsid w:val="006A6B52"/>
    <w:rsid w:val="006A7AD0"/>
    <w:rsid w:val="006A7D66"/>
    <w:rsid w:val="006A7DFF"/>
    <w:rsid w:val="006B0469"/>
    <w:rsid w:val="006B0925"/>
    <w:rsid w:val="006B1C87"/>
    <w:rsid w:val="006B24E1"/>
    <w:rsid w:val="006B277A"/>
    <w:rsid w:val="006B27FD"/>
    <w:rsid w:val="006B2C28"/>
    <w:rsid w:val="006B311C"/>
    <w:rsid w:val="006B38A8"/>
    <w:rsid w:val="006B3B09"/>
    <w:rsid w:val="006B3F25"/>
    <w:rsid w:val="006B4785"/>
    <w:rsid w:val="006B4949"/>
    <w:rsid w:val="006B4C57"/>
    <w:rsid w:val="006B52D9"/>
    <w:rsid w:val="006B556C"/>
    <w:rsid w:val="006B55EC"/>
    <w:rsid w:val="006B56EC"/>
    <w:rsid w:val="006B5A06"/>
    <w:rsid w:val="006B5ADB"/>
    <w:rsid w:val="006B69D2"/>
    <w:rsid w:val="006B6B5B"/>
    <w:rsid w:val="006B6CB4"/>
    <w:rsid w:val="006B73B9"/>
    <w:rsid w:val="006B741B"/>
    <w:rsid w:val="006B7642"/>
    <w:rsid w:val="006B792A"/>
    <w:rsid w:val="006B7EFE"/>
    <w:rsid w:val="006C0070"/>
    <w:rsid w:val="006C0522"/>
    <w:rsid w:val="006C06D7"/>
    <w:rsid w:val="006C0CF3"/>
    <w:rsid w:val="006C0DBD"/>
    <w:rsid w:val="006C1021"/>
    <w:rsid w:val="006C13CB"/>
    <w:rsid w:val="006C145B"/>
    <w:rsid w:val="006C1A1F"/>
    <w:rsid w:val="006C25F1"/>
    <w:rsid w:val="006C2626"/>
    <w:rsid w:val="006C2966"/>
    <w:rsid w:val="006C2C29"/>
    <w:rsid w:val="006C2EF3"/>
    <w:rsid w:val="006C355C"/>
    <w:rsid w:val="006C3E91"/>
    <w:rsid w:val="006C44CD"/>
    <w:rsid w:val="006C4FD2"/>
    <w:rsid w:val="006C5448"/>
    <w:rsid w:val="006C567D"/>
    <w:rsid w:val="006C56B8"/>
    <w:rsid w:val="006C6FE4"/>
    <w:rsid w:val="006C746C"/>
    <w:rsid w:val="006C758D"/>
    <w:rsid w:val="006C7693"/>
    <w:rsid w:val="006D103A"/>
    <w:rsid w:val="006D1DE1"/>
    <w:rsid w:val="006D2317"/>
    <w:rsid w:val="006D266D"/>
    <w:rsid w:val="006D2C7E"/>
    <w:rsid w:val="006D2F68"/>
    <w:rsid w:val="006D31EC"/>
    <w:rsid w:val="006D32CD"/>
    <w:rsid w:val="006D3749"/>
    <w:rsid w:val="006D37B0"/>
    <w:rsid w:val="006D3A92"/>
    <w:rsid w:val="006D489D"/>
    <w:rsid w:val="006D4BE0"/>
    <w:rsid w:val="006D4D7F"/>
    <w:rsid w:val="006D4FD3"/>
    <w:rsid w:val="006D51B1"/>
    <w:rsid w:val="006D5A15"/>
    <w:rsid w:val="006D5D7E"/>
    <w:rsid w:val="006D5FF2"/>
    <w:rsid w:val="006D6048"/>
    <w:rsid w:val="006D65CA"/>
    <w:rsid w:val="006D6C3A"/>
    <w:rsid w:val="006D6F55"/>
    <w:rsid w:val="006D6F58"/>
    <w:rsid w:val="006D73BB"/>
    <w:rsid w:val="006D76B9"/>
    <w:rsid w:val="006D7FD1"/>
    <w:rsid w:val="006E0448"/>
    <w:rsid w:val="006E09DE"/>
    <w:rsid w:val="006E0CC6"/>
    <w:rsid w:val="006E0E9C"/>
    <w:rsid w:val="006E1377"/>
    <w:rsid w:val="006E143C"/>
    <w:rsid w:val="006E1582"/>
    <w:rsid w:val="006E165D"/>
    <w:rsid w:val="006E1938"/>
    <w:rsid w:val="006E1970"/>
    <w:rsid w:val="006E1DDE"/>
    <w:rsid w:val="006E1F27"/>
    <w:rsid w:val="006E2136"/>
    <w:rsid w:val="006E2191"/>
    <w:rsid w:val="006E2329"/>
    <w:rsid w:val="006E24B2"/>
    <w:rsid w:val="006E2816"/>
    <w:rsid w:val="006E2AF2"/>
    <w:rsid w:val="006E3280"/>
    <w:rsid w:val="006E44D9"/>
    <w:rsid w:val="006E47C7"/>
    <w:rsid w:val="006E50A3"/>
    <w:rsid w:val="006E53B4"/>
    <w:rsid w:val="006E53F3"/>
    <w:rsid w:val="006E5E48"/>
    <w:rsid w:val="006E6220"/>
    <w:rsid w:val="006E62EB"/>
    <w:rsid w:val="006E64C8"/>
    <w:rsid w:val="006E6607"/>
    <w:rsid w:val="006E6CFE"/>
    <w:rsid w:val="006E6E11"/>
    <w:rsid w:val="006E71C1"/>
    <w:rsid w:val="006E71F3"/>
    <w:rsid w:val="006E7410"/>
    <w:rsid w:val="006E778C"/>
    <w:rsid w:val="006E7AC2"/>
    <w:rsid w:val="006F00FD"/>
    <w:rsid w:val="006F0854"/>
    <w:rsid w:val="006F0AB0"/>
    <w:rsid w:val="006F0C20"/>
    <w:rsid w:val="006F13A7"/>
    <w:rsid w:val="006F144F"/>
    <w:rsid w:val="006F155C"/>
    <w:rsid w:val="006F1A01"/>
    <w:rsid w:val="006F2800"/>
    <w:rsid w:val="006F28B2"/>
    <w:rsid w:val="006F3306"/>
    <w:rsid w:val="006F3DA0"/>
    <w:rsid w:val="006F43CD"/>
    <w:rsid w:val="006F46D2"/>
    <w:rsid w:val="006F4717"/>
    <w:rsid w:val="006F513C"/>
    <w:rsid w:val="006F5E2D"/>
    <w:rsid w:val="006F5E70"/>
    <w:rsid w:val="006F61F8"/>
    <w:rsid w:val="006F6789"/>
    <w:rsid w:val="006F68F6"/>
    <w:rsid w:val="006F70DB"/>
    <w:rsid w:val="006F74EA"/>
    <w:rsid w:val="006F77E7"/>
    <w:rsid w:val="006F7CC6"/>
    <w:rsid w:val="006F7D2B"/>
    <w:rsid w:val="00700017"/>
    <w:rsid w:val="007004C2"/>
    <w:rsid w:val="007007E6"/>
    <w:rsid w:val="00700A01"/>
    <w:rsid w:val="00701027"/>
    <w:rsid w:val="007012C0"/>
    <w:rsid w:val="007016AF"/>
    <w:rsid w:val="00701A74"/>
    <w:rsid w:val="00702372"/>
    <w:rsid w:val="007023B6"/>
    <w:rsid w:val="0070283F"/>
    <w:rsid w:val="00702E7F"/>
    <w:rsid w:val="00703056"/>
    <w:rsid w:val="00703459"/>
    <w:rsid w:val="00703BB5"/>
    <w:rsid w:val="00703C0D"/>
    <w:rsid w:val="00703E31"/>
    <w:rsid w:val="00704676"/>
    <w:rsid w:val="007047E3"/>
    <w:rsid w:val="00704883"/>
    <w:rsid w:val="00704935"/>
    <w:rsid w:val="00704CB9"/>
    <w:rsid w:val="00704CBD"/>
    <w:rsid w:val="00704F4B"/>
    <w:rsid w:val="00705322"/>
    <w:rsid w:val="00706065"/>
    <w:rsid w:val="0070635D"/>
    <w:rsid w:val="00706390"/>
    <w:rsid w:val="007067A8"/>
    <w:rsid w:val="00706A36"/>
    <w:rsid w:val="00706E83"/>
    <w:rsid w:val="00707489"/>
    <w:rsid w:val="007075CD"/>
    <w:rsid w:val="00707882"/>
    <w:rsid w:val="007078B4"/>
    <w:rsid w:val="007079E1"/>
    <w:rsid w:val="00707AAA"/>
    <w:rsid w:val="00707B1D"/>
    <w:rsid w:val="00707B2B"/>
    <w:rsid w:val="00707CC9"/>
    <w:rsid w:val="00707DCB"/>
    <w:rsid w:val="007105D2"/>
    <w:rsid w:val="0071073E"/>
    <w:rsid w:val="00710855"/>
    <w:rsid w:val="007112C8"/>
    <w:rsid w:val="007113AF"/>
    <w:rsid w:val="00711462"/>
    <w:rsid w:val="00711875"/>
    <w:rsid w:val="00711CB6"/>
    <w:rsid w:val="00712148"/>
    <w:rsid w:val="00712FE6"/>
    <w:rsid w:val="00713110"/>
    <w:rsid w:val="007134AA"/>
    <w:rsid w:val="007138A3"/>
    <w:rsid w:val="00713D54"/>
    <w:rsid w:val="00713EEF"/>
    <w:rsid w:val="00714433"/>
    <w:rsid w:val="00714FEA"/>
    <w:rsid w:val="007150C5"/>
    <w:rsid w:val="00715B06"/>
    <w:rsid w:val="00715CED"/>
    <w:rsid w:val="00715DED"/>
    <w:rsid w:val="0071687A"/>
    <w:rsid w:val="00716ADF"/>
    <w:rsid w:val="00716D12"/>
    <w:rsid w:val="00716E53"/>
    <w:rsid w:val="00720335"/>
    <w:rsid w:val="00720DE0"/>
    <w:rsid w:val="00720F78"/>
    <w:rsid w:val="00721627"/>
    <w:rsid w:val="00722509"/>
    <w:rsid w:val="00722834"/>
    <w:rsid w:val="00722986"/>
    <w:rsid w:val="0072298E"/>
    <w:rsid w:val="00722E20"/>
    <w:rsid w:val="007232BF"/>
    <w:rsid w:val="007236C8"/>
    <w:rsid w:val="00723718"/>
    <w:rsid w:val="00723918"/>
    <w:rsid w:val="00723961"/>
    <w:rsid w:val="00723E17"/>
    <w:rsid w:val="0072437F"/>
    <w:rsid w:val="00724530"/>
    <w:rsid w:val="007245EF"/>
    <w:rsid w:val="007247D2"/>
    <w:rsid w:val="00724F70"/>
    <w:rsid w:val="007251C7"/>
    <w:rsid w:val="007258C6"/>
    <w:rsid w:val="007258F9"/>
    <w:rsid w:val="00725E74"/>
    <w:rsid w:val="00725F82"/>
    <w:rsid w:val="00726714"/>
    <w:rsid w:val="0072784A"/>
    <w:rsid w:val="0073050E"/>
    <w:rsid w:val="00730824"/>
    <w:rsid w:val="007309FE"/>
    <w:rsid w:val="00731273"/>
    <w:rsid w:val="0073150E"/>
    <w:rsid w:val="007315C2"/>
    <w:rsid w:val="007315FD"/>
    <w:rsid w:val="007316EF"/>
    <w:rsid w:val="00731A34"/>
    <w:rsid w:val="00731CFE"/>
    <w:rsid w:val="00731E22"/>
    <w:rsid w:val="00731EE5"/>
    <w:rsid w:val="00732307"/>
    <w:rsid w:val="00732999"/>
    <w:rsid w:val="00732E97"/>
    <w:rsid w:val="0073358D"/>
    <w:rsid w:val="0073369D"/>
    <w:rsid w:val="007343B2"/>
    <w:rsid w:val="0073441B"/>
    <w:rsid w:val="007346A0"/>
    <w:rsid w:val="007348EF"/>
    <w:rsid w:val="007350D1"/>
    <w:rsid w:val="00735462"/>
    <w:rsid w:val="007356E3"/>
    <w:rsid w:val="007358D2"/>
    <w:rsid w:val="00735CCB"/>
    <w:rsid w:val="007368F9"/>
    <w:rsid w:val="00736BF9"/>
    <w:rsid w:val="00736F63"/>
    <w:rsid w:val="007370A6"/>
    <w:rsid w:val="007371A5"/>
    <w:rsid w:val="00737A30"/>
    <w:rsid w:val="00737C75"/>
    <w:rsid w:val="0074018D"/>
    <w:rsid w:val="00740AA1"/>
    <w:rsid w:val="00741BCC"/>
    <w:rsid w:val="0074295A"/>
    <w:rsid w:val="00742B99"/>
    <w:rsid w:val="00742C38"/>
    <w:rsid w:val="00742DA3"/>
    <w:rsid w:val="0074315D"/>
    <w:rsid w:val="007448E2"/>
    <w:rsid w:val="00744F0A"/>
    <w:rsid w:val="007451C7"/>
    <w:rsid w:val="0074537E"/>
    <w:rsid w:val="0074547C"/>
    <w:rsid w:val="00745967"/>
    <w:rsid w:val="00746346"/>
    <w:rsid w:val="00746716"/>
    <w:rsid w:val="0074771B"/>
    <w:rsid w:val="00747C06"/>
    <w:rsid w:val="00750DD0"/>
    <w:rsid w:val="0075126E"/>
    <w:rsid w:val="00751707"/>
    <w:rsid w:val="00751752"/>
    <w:rsid w:val="007517EE"/>
    <w:rsid w:val="0075201C"/>
    <w:rsid w:val="007520EF"/>
    <w:rsid w:val="007522AF"/>
    <w:rsid w:val="007522C7"/>
    <w:rsid w:val="0075269C"/>
    <w:rsid w:val="00752D88"/>
    <w:rsid w:val="00753027"/>
    <w:rsid w:val="00753C16"/>
    <w:rsid w:val="00754993"/>
    <w:rsid w:val="00754D82"/>
    <w:rsid w:val="00754DE8"/>
    <w:rsid w:val="00755432"/>
    <w:rsid w:val="007556FD"/>
    <w:rsid w:val="00755C06"/>
    <w:rsid w:val="00755DB0"/>
    <w:rsid w:val="00756547"/>
    <w:rsid w:val="00756B09"/>
    <w:rsid w:val="00756F1A"/>
    <w:rsid w:val="007571EA"/>
    <w:rsid w:val="007571FF"/>
    <w:rsid w:val="00757678"/>
    <w:rsid w:val="0075772A"/>
    <w:rsid w:val="007600F8"/>
    <w:rsid w:val="0076010A"/>
    <w:rsid w:val="0076020B"/>
    <w:rsid w:val="00760B48"/>
    <w:rsid w:val="00760C7B"/>
    <w:rsid w:val="00760F46"/>
    <w:rsid w:val="007611B5"/>
    <w:rsid w:val="007613B7"/>
    <w:rsid w:val="00761810"/>
    <w:rsid w:val="007619D0"/>
    <w:rsid w:val="00761CD9"/>
    <w:rsid w:val="00761EDE"/>
    <w:rsid w:val="00762164"/>
    <w:rsid w:val="0076233F"/>
    <w:rsid w:val="00762442"/>
    <w:rsid w:val="0076249D"/>
    <w:rsid w:val="007626A1"/>
    <w:rsid w:val="00762BE7"/>
    <w:rsid w:val="00762D9F"/>
    <w:rsid w:val="00762FE0"/>
    <w:rsid w:val="007631AF"/>
    <w:rsid w:val="0076339A"/>
    <w:rsid w:val="00763873"/>
    <w:rsid w:val="0076399F"/>
    <w:rsid w:val="00763EA4"/>
    <w:rsid w:val="00764AA1"/>
    <w:rsid w:val="0076545E"/>
    <w:rsid w:val="0076565B"/>
    <w:rsid w:val="00765BCF"/>
    <w:rsid w:val="0076609F"/>
    <w:rsid w:val="0076664B"/>
    <w:rsid w:val="00766AF8"/>
    <w:rsid w:val="00766FA4"/>
    <w:rsid w:val="00767202"/>
    <w:rsid w:val="00770A1C"/>
    <w:rsid w:val="00771A7F"/>
    <w:rsid w:val="00771B1C"/>
    <w:rsid w:val="00771B52"/>
    <w:rsid w:val="00771C84"/>
    <w:rsid w:val="007724DE"/>
    <w:rsid w:val="00772522"/>
    <w:rsid w:val="00772561"/>
    <w:rsid w:val="00772E18"/>
    <w:rsid w:val="00773314"/>
    <w:rsid w:val="00773DD3"/>
    <w:rsid w:val="007742B8"/>
    <w:rsid w:val="00774DF7"/>
    <w:rsid w:val="00775433"/>
    <w:rsid w:val="0077553B"/>
    <w:rsid w:val="00777086"/>
    <w:rsid w:val="00777463"/>
    <w:rsid w:val="007775D7"/>
    <w:rsid w:val="00777D4F"/>
    <w:rsid w:val="007801AC"/>
    <w:rsid w:val="00780314"/>
    <w:rsid w:val="0078044D"/>
    <w:rsid w:val="007806A7"/>
    <w:rsid w:val="00780BA7"/>
    <w:rsid w:val="00780CA2"/>
    <w:rsid w:val="00781240"/>
    <w:rsid w:val="0078144F"/>
    <w:rsid w:val="0078170C"/>
    <w:rsid w:val="0078173E"/>
    <w:rsid w:val="0078173F"/>
    <w:rsid w:val="00781AC4"/>
    <w:rsid w:val="00781CFE"/>
    <w:rsid w:val="007823F9"/>
    <w:rsid w:val="007824AA"/>
    <w:rsid w:val="007824C2"/>
    <w:rsid w:val="007825C1"/>
    <w:rsid w:val="007826EF"/>
    <w:rsid w:val="007827A0"/>
    <w:rsid w:val="00782875"/>
    <w:rsid w:val="00782A52"/>
    <w:rsid w:val="00782B0E"/>
    <w:rsid w:val="00783331"/>
    <w:rsid w:val="00783366"/>
    <w:rsid w:val="0078366B"/>
    <w:rsid w:val="00783D4D"/>
    <w:rsid w:val="0078468E"/>
    <w:rsid w:val="00784BB6"/>
    <w:rsid w:val="007855CC"/>
    <w:rsid w:val="00785C47"/>
    <w:rsid w:val="007865C5"/>
    <w:rsid w:val="0078689A"/>
    <w:rsid w:val="00786E0E"/>
    <w:rsid w:val="00790436"/>
    <w:rsid w:val="00790754"/>
    <w:rsid w:val="00790E3B"/>
    <w:rsid w:val="00791223"/>
    <w:rsid w:val="007913B5"/>
    <w:rsid w:val="00791504"/>
    <w:rsid w:val="00791923"/>
    <w:rsid w:val="00791C30"/>
    <w:rsid w:val="007928D6"/>
    <w:rsid w:val="00793099"/>
    <w:rsid w:val="007932A5"/>
    <w:rsid w:val="00793877"/>
    <w:rsid w:val="00793D17"/>
    <w:rsid w:val="00794A31"/>
    <w:rsid w:val="00794B7C"/>
    <w:rsid w:val="007951C7"/>
    <w:rsid w:val="007954DA"/>
    <w:rsid w:val="00795726"/>
    <w:rsid w:val="00796150"/>
    <w:rsid w:val="00796678"/>
    <w:rsid w:val="0079690E"/>
    <w:rsid w:val="00796A2B"/>
    <w:rsid w:val="00796E22"/>
    <w:rsid w:val="00797567"/>
    <w:rsid w:val="00797972"/>
    <w:rsid w:val="007A00ED"/>
    <w:rsid w:val="007A05CB"/>
    <w:rsid w:val="007A06FB"/>
    <w:rsid w:val="007A0CBD"/>
    <w:rsid w:val="007A0CED"/>
    <w:rsid w:val="007A0E94"/>
    <w:rsid w:val="007A1246"/>
    <w:rsid w:val="007A181C"/>
    <w:rsid w:val="007A1ADA"/>
    <w:rsid w:val="007A1D64"/>
    <w:rsid w:val="007A1F9C"/>
    <w:rsid w:val="007A205C"/>
    <w:rsid w:val="007A2384"/>
    <w:rsid w:val="007A2AA3"/>
    <w:rsid w:val="007A2CF4"/>
    <w:rsid w:val="007A3104"/>
    <w:rsid w:val="007A31C0"/>
    <w:rsid w:val="007A31F5"/>
    <w:rsid w:val="007A3796"/>
    <w:rsid w:val="007A3D3B"/>
    <w:rsid w:val="007A4A95"/>
    <w:rsid w:val="007A4FD8"/>
    <w:rsid w:val="007A5281"/>
    <w:rsid w:val="007A55DB"/>
    <w:rsid w:val="007A5D16"/>
    <w:rsid w:val="007A62C1"/>
    <w:rsid w:val="007A7172"/>
    <w:rsid w:val="007A71DC"/>
    <w:rsid w:val="007A738A"/>
    <w:rsid w:val="007A77DA"/>
    <w:rsid w:val="007A7CC0"/>
    <w:rsid w:val="007B07D4"/>
    <w:rsid w:val="007B0A8F"/>
    <w:rsid w:val="007B1355"/>
    <w:rsid w:val="007B136F"/>
    <w:rsid w:val="007B137E"/>
    <w:rsid w:val="007B1592"/>
    <w:rsid w:val="007B1D51"/>
    <w:rsid w:val="007B1F60"/>
    <w:rsid w:val="007B23C8"/>
    <w:rsid w:val="007B26CA"/>
    <w:rsid w:val="007B26FA"/>
    <w:rsid w:val="007B27AB"/>
    <w:rsid w:val="007B2B7E"/>
    <w:rsid w:val="007B2D58"/>
    <w:rsid w:val="007B30F3"/>
    <w:rsid w:val="007B37B2"/>
    <w:rsid w:val="007B4161"/>
    <w:rsid w:val="007B666C"/>
    <w:rsid w:val="007B6A7C"/>
    <w:rsid w:val="007B6A99"/>
    <w:rsid w:val="007B6CF6"/>
    <w:rsid w:val="007B755C"/>
    <w:rsid w:val="007B7860"/>
    <w:rsid w:val="007B7C64"/>
    <w:rsid w:val="007B7D7F"/>
    <w:rsid w:val="007C0026"/>
    <w:rsid w:val="007C0730"/>
    <w:rsid w:val="007C096A"/>
    <w:rsid w:val="007C1068"/>
    <w:rsid w:val="007C1905"/>
    <w:rsid w:val="007C1B9A"/>
    <w:rsid w:val="007C1E2B"/>
    <w:rsid w:val="007C29C9"/>
    <w:rsid w:val="007C335F"/>
    <w:rsid w:val="007C3D9B"/>
    <w:rsid w:val="007C4751"/>
    <w:rsid w:val="007C4CD1"/>
    <w:rsid w:val="007C51A5"/>
    <w:rsid w:val="007C58A8"/>
    <w:rsid w:val="007C5E69"/>
    <w:rsid w:val="007C62BF"/>
    <w:rsid w:val="007C62DB"/>
    <w:rsid w:val="007C751A"/>
    <w:rsid w:val="007C75ED"/>
    <w:rsid w:val="007C7E63"/>
    <w:rsid w:val="007D01EE"/>
    <w:rsid w:val="007D0D63"/>
    <w:rsid w:val="007D1164"/>
    <w:rsid w:val="007D13D5"/>
    <w:rsid w:val="007D174D"/>
    <w:rsid w:val="007D1B4F"/>
    <w:rsid w:val="007D1CF3"/>
    <w:rsid w:val="007D1E1D"/>
    <w:rsid w:val="007D210C"/>
    <w:rsid w:val="007D26A3"/>
    <w:rsid w:val="007D282C"/>
    <w:rsid w:val="007D2FC1"/>
    <w:rsid w:val="007D302F"/>
    <w:rsid w:val="007D34E9"/>
    <w:rsid w:val="007D358F"/>
    <w:rsid w:val="007D3F94"/>
    <w:rsid w:val="007D45D6"/>
    <w:rsid w:val="007D53D5"/>
    <w:rsid w:val="007D56E5"/>
    <w:rsid w:val="007D575E"/>
    <w:rsid w:val="007D58AA"/>
    <w:rsid w:val="007D59B1"/>
    <w:rsid w:val="007D59D7"/>
    <w:rsid w:val="007D5B21"/>
    <w:rsid w:val="007D5F07"/>
    <w:rsid w:val="007D63E1"/>
    <w:rsid w:val="007D67C3"/>
    <w:rsid w:val="007D68C3"/>
    <w:rsid w:val="007D68F6"/>
    <w:rsid w:val="007D70A1"/>
    <w:rsid w:val="007D7590"/>
    <w:rsid w:val="007E0048"/>
    <w:rsid w:val="007E05D3"/>
    <w:rsid w:val="007E07EC"/>
    <w:rsid w:val="007E1A7F"/>
    <w:rsid w:val="007E1B21"/>
    <w:rsid w:val="007E2AB7"/>
    <w:rsid w:val="007E3776"/>
    <w:rsid w:val="007E3896"/>
    <w:rsid w:val="007E395A"/>
    <w:rsid w:val="007E3B5F"/>
    <w:rsid w:val="007E3D1B"/>
    <w:rsid w:val="007E3FED"/>
    <w:rsid w:val="007E40B3"/>
    <w:rsid w:val="007E45E1"/>
    <w:rsid w:val="007E4D23"/>
    <w:rsid w:val="007E5235"/>
    <w:rsid w:val="007E5326"/>
    <w:rsid w:val="007E53F4"/>
    <w:rsid w:val="007E55F6"/>
    <w:rsid w:val="007E57BC"/>
    <w:rsid w:val="007E5AA7"/>
    <w:rsid w:val="007E5DFD"/>
    <w:rsid w:val="007E5E8D"/>
    <w:rsid w:val="007E7329"/>
    <w:rsid w:val="007E751D"/>
    <w:rsid w:val="007E771A"/>
    <w:rsid w:val="007E7ABA"/>
    <w:rsid w:val="007E7EB1"/>
    <w:rsid w:val="007E7FBB"/>
    <w:rsid w:val="007F0233"/>
    <w:rsid w:val="007F09C3"/>
    <w:rsid w:val="007F0E42"/>
    <w:rsid w:val="007F189B"/>
    <w:rsid w:val="007F1CD1"/>
    <w:rsid w:val="007F24E3"/>
    <w:rsid w:val="007F28F6"/>
    <w:rsid w:val="007F2A61"/>
    <w:rsid w:val="007F2C5C"/>
    <w:rsid w:val="007F2CAD"/>
    <w:rsid w:val="007F30F3"/>
    <w:rsid w:val="007F34E6"/>
    <w:rsid w:val="007F3764"/>
    <w:rsid w:val="007F3BE7"/>
    <w:rsid w:val="007F3F5A"/>
    <w:rsid w:val="007F40F2"/>
    <w:rsid w:val="007F4590"/>
    <w:rsid w:val="007F4F0C"/>
    <w:rsid w:val="007F5573"/>
    <w:rsid w:val="007F5B9A"/>
    <w:rsid w:val="007F6477"/>
    <w:rsid w:val="007F69E3"/>
    <w:rsid w:val="007F6AE1"/>
    <w:rsid w:val="007F723D"/>
    <w:rsid w:val="007F7644"/>
    <w:rsid w:val="007F76F8"/>
    <w:rsid w:val="007F7F94"/>
    <w:rsid w:val="0080079C"/>
    <w:rsid w:val="008008FC"/>
    <w:rsid w:val="008014EA"/>
    <w:rsid w:val="00801C24"/>
    <w:rsid w:val="00801D98"/>
    <w:rsid w:val="00802752"/>
    <w:rsid w:val="00802C86"/>
    <w:rsid w:val="00802E93"/>
    <w:rsid w:val="008030E7"/>
    <w:rsid w:val="0080328F"/>
    <w:rsid w:val="00803615"/>
    <w:rsid w:val="00803DC4"/>
    <w:rsid w:val="00803E8C"/>
    <w:rsid w:val="00804CAB"/>
    <w:rsid w:val="00806291"/>
    <w:rsid w:val="008062CA"/>
    <w:rsid w:val="008065DF"/>
    <w:rsid w:val="008068C2"/>
    <w:rsid w:val="00807133"/>
    <w:rsid w:val="00807170"/>
    <w:rsid w:val="00807F2F"/>
    <w:rsid w:val="00810093"/>
    <w:rsid w:val="0081054C"/>
    <w:rsid w:val="00810933"/>
    <w:rsid w:val="00810C38"/>
    <w:rsid w:val="00811265"/>
    <w:rsid w:val="0081163A"/>
    <w:rsid w:val="00811BAF"/>
    <w:rsid w:val="0081217E"/>
    <w:rsid w:val="008121FF"/>
    <w:rsid w:val="008124D9"/>
    <w:rsid w:val="008126AB"/>
    <w:rsid w:val="00812766"/>
    <w:rsid w:val="00812961"/>
    <w:rsid w:val="00812E29"/>
    <w:rsid w:val="0081423A"/>
    <w:rsid w:val="00814313"/>
    <w:rsid w:val="008147A3"/>
    <w:rsid w:val="008147EC"/>
    <w:rsid w:val="00814C2B"/>
    <w:rsid w:val="00814D64"/>
    <w:rsid w:val="008152AC"/>
    <w:rsid w:val="008154D4"/>
    <w:rsid w:val="008158DF"/>
    <w:rsid w:val="00815AD3"/>
    <w:rsid w:val="00816721"/>
    <w:rsid w:val="00816AB7"/>
    <w:rsid w:val="00817414"/>
    <w:rsid w:val="00817744"/>
    <w:rsid w:val="0082006A"/>
    <w:rsid w:val="0082014E"/>
    <w:rsid w:val="0082055E"/>
    <w:rsid w:val="008205EF"/>
    <w:rsid w:val="00820973"/>
    <w:rsid w:val="00820BAB"/>
    <w:rsid w:val="00820FFE"/>
    <w:rsid w:val="00821972"/>
    <w:rsid w:val="00821DC8"/>
    <w:rsid w:val="00821F62"/>
    <w:rsid w:val="00822071"/>
    <w:rsid w:val="008221F9"/>
    <w:rsid w:val="00823F27"/>
    <w:rsid w:val="0082412B"/>
    <w:rsid w:val="0082424A"/>
    <w:rsid w:val="008242B6"/>
    <w:rsid w:val="00824394"/>
    <w:rsid w:val="008243F6"/>
    <w:rsid w:val="00824F90"/>
    <w:rsid w:val="008259B7"/>
    <w:rsid w:val="00825F59"/>
    <w:rsid w:val="00826056"/>
    <w:rsid w:val="00826B7A"/>
    <w:rsid w:val="00826BF3"/>
    <w:rsid w:val="00826C2D"/>
    <w:rsid w:val="00826F9A"/>
    <w:rsid w:val="00827005"/>
    <w:rsid w:val="0083034E"/>
    <w:rsid w:val="00830526"/>
    <w:rsid w:val="008305F8"/>
    <w:rsid w:val="00830979"/>
    <w:rsid w:val="00830B95"/>
    <w:rsid w:val="00830D58"/>
    <w:rsid w:val="0083121B"/>
    <w:rsid w:val="0083155A"/>
    <w:rsid w:val="00831BD1"/>
    <w:rsid w:val="00831C72"/>
    <w:rsid w:val="00832366"/>
    <w:rsid w:val="008323FF"/>
    <w:rsid w:val="00833962"/>
    <w:rsid w:val="00834467"/>
    <w:rsid w:val="00834951"/>
    <w:rsid w:val="008349CC"/>
    <w:rsid w:val="00834DFE"/>
    <w:rsid w:val="0083511B"/>
    <w:rsid w:val="008364A3"/>
    <w:rsid w:val="00836812"/>
    <w:rsid w:val="008368BB"/>
    <w:rsid w:val="00836B42"/>
    <w:rsid w:val="00837477"/>
    <w:rsid w:val="00837B10"/>
    <w:rsid w:val="00837CD0"/>
    <w:rsid w:val="0084004E"/>
    <w:rsid w:val="0084034D"/>
    <w:rsid w:val="008409FF"/>
    <w:rsid w:val="00840F84"/>
    <w:rsid w:val="00841349"/>
    <w:rsid w:val="008413E7"/>
    <w:rsid w:val="008415C9"/>
    <w:rsid w:val="00842390"/>
    <w:rsid w:val="00842413"/>
    <w:rsid w:val="00842501"/>
    <w:rsid w:val="00842F58"/>
    <w:rsid w:val="00843BEA"/>
    <w:rsid w:val="00844390"/>
    <w:rsid w:val="00844498"/>
    <w:rsid w:val="00844A96"/>
    <w:rsid w:val="00844DE4"/>
    <w:rsid w:val="008459B4"/>
    <w:rsid w:val="008459DC"/>
    <w:rsid w:val="00845A4B"/>
    <w:rsid w:val="00845FE8"/>
    <w:rsid w:val="008461E0"/>
    <w:rsid w:val="008463DD"/>
    <w:rsid w:val="008464B2"/>
    <w:rsid w:val="008464CA"/>
    <w:rsid w:val="00847E69"/>
    <w:rsid w:val="00850148"/>
    <w:rsid w:val="008501F3"/>
    <w:rsid w:val="008502F6"/>
    <w:rsid w:val="00850458"/>
    <w:rsid w:val="00850839"/>
    <w:rsid w:val="00850A76"/>
    <w:rsid w:val="00850C40"/>
    <w:rsid w:val="0085133B"/>
    <w:rsid w:val="008513DD"/>
    <w:rsid w:val="008516B7"/>
    <w:rsid w:val="0085190E"/>
    <w:rsid w:val="0085198C"/>
    <w:rsid w:val="00851B2E"/>
    <w:rsid w:val="00852214"/>
    <w:rsid w:val="00852344"/>
    <w:rsid w:val="0085281F"/>
    <w:rsid w:val="00852944"/>
    <w:rsid w:val="00852B35"/>
    <w:rsid w:val="00852DD4"/>
    <w:rsid w:val="00853373"/>
    <w:rsid w:val="00853B35"/>
    <w:rsid w:val="00853C96"/>
    <w:rsid w:val="008547B0"/>
    <w:rsid w:val="00854B57"/>
    <w:rsid w:val="00854BB8"/>
    <w:rsid w:val="00854DB2"/>
    <w:rsid w:val="00855E2E"/>
    <w:rsid w:val="00856167"/>
    <w:rsid w:val="008563A7"/>
    <w:rsid w:val="008563D4"/>
    <w:rsid w:val="0085692D"/>
    <w:rsid w:val="00857024"/>
    <w:rsid w:val="0085782F"/>
    <w:rsid w:val="00857995"/>
    <w:rsid w:val="0086011A"/>
    <w:rsid w:val="008607B6"/>
    <w:rsid w:val="00860A42"/>
    <w:rsid w:val="00860C5C"/>
    <w:rsid w:val="00861CAC"/>
    <w:rsid w:val="00861E55"/>
    <w:rsid w:val="0086266C"/>
    <w:rsid w:val="00862F14"/>
    <w:rsid w:val="008634C3"/>
    <w:rsid w:val="00863517"/>
    <w:rsid w:val="00863BA8"/>
    <w:rsid w:val="00863E9C"/>
    <w:rsid w:val="008644AF"/>
    <w:rsid w:val="00864827"/>
    <w:rsid w:val="00864910"/>
    <w:rsid w:val="00865052"/>
    <w:rsid w:val="00865594"/>
    <w:rsid w:val="00865A4D"/>
    <w:rsid w:val="00865CF8"/>
    <w:rsid w:val="00867360"/>
    <w:rsid w:val="0086747C"/>
    <w:rsid w:val="008675D9"/>
    <w:rsid w:val="008677C6"/>
    <w:rsid w:val="00867B5B"/>
    <w:rsid w:val="0087081C"/>
    <w:rsid w:val="00870DEA"/>
    <w:rsid w:val="0087173D"/>
    <w:rsid w:val="00871C2E"/>
    <w:rsid w:val="008720CB"/>
    <w:rsid w:val="008723CD"/>
    <w:rsid w:val="008723F8"/>
    <w:rsid w:val="00872659"/>
    <w:rsid w:val="008726CC"/>
    <w:rsid w:val="008727DD"/>
    <w:rsid w:val="00873478"/>
    <w:rsid w:val="008736F2"/>
    <w:rsid w:val="00873D60"/>
    <w:rsid w:val="00873EFF"/>
    <w:rsid w:val="00874331"/>
    <w:rsid w:val="008748F4"/>
    <w:rsid w:val="00874BDC"/>
    <w:rsid w:val="00874C04"/>
    <w:rsid w:val="00875158"/>
    <w:rsid w:val="008752D8"/>
    <w:rsid w:val="00875714"/>
    <w:rsid w:val="00875BC5"/>
    <w:rsid w:val="00875DBE"/>
    <w:rsid w:val="00875E74"/>
    <w:rsid w:val="00875F00"/>
    <w:rsid w:val="00876250"/>
    <w:rsid w:val="008762FE"/>
    <w:rsid w:val="008771C1"/>
    <w:rsid w:val="008774DE"/>
    <w:rsid w:val="00877B1A"/>
    <w:rsid w:val="00880262"/>
    <w:rsid w:val="008805CA"/>
    <w:rsid w:val="0088111D"/>
    <w:rsid w:val="008812C6"/>
    <w:rsid w:val="008822D0"/>
    <w:rsid w:val="008822FA"/>
    <w:rsid w:val="008829BA"/>
    <w:rsid w:val="00883B6D"/>
    <w:rsid w:val="0088435E"/>
    <w:rsid w:val="00884E33"/>
    <w:rsid w:val="008851A5"/>
    <w:rsid w:val="00885284"/>
    <w:rsid w:val="0088537B"/>
    <w:rsid w:val="00885527"/>
    <w:rsid w:val="00885824"/>
    <w:rsid w:val="008859F7"/>
    <w:rsid w:val="00885BD8"/>
    <w:rsid w:val="00885E0A"/>
    <w:rsid w:val="00885F5E"/>
    <w:rsid w:val="00886073"/>
    <w:rsid w:val="0088746E"/>
    <w:rsid w:val="00891F05"/>
    <w:rsid w:val="00891FFD"/>
    <w:rsid w:val="00892450"/>
    <w:rsid w:val="008926F9"/>
    <w:rsid w:val="0089335D"/>
    <w:rsid w:val="0089338C"/>
    <w:rsid w:val="00893814"/>
    <w:rsid w:val="0089438A"/>
    <w:rsid w:val="00894398"/>
    <w:rsid w:val="00894E81"/>
    <w:rsid w:val="008950FD"/>
    <w:rsid w:val="008956C6"/>
    <w:rsid w:val="008957F0"/>
    <w:rsid w:val="00895FEE"/>
    <w:rsid w:val="0089606E"/>
    <w:rsid w:val="0089616F"/>
    <w:rsid w:val="00896424"/>
    <w:rsid w:val="00896887"/>
    <w:rsid w:val="00896DFD"/>
    <w:rsid w:val="00896E4E"/>
    <w:rsid w:val="00896F82"/>
    <w:rsid w:val="00896FC8"/>
    <w:rsid w:val="008A0204"/>
    <w:rsid w:val="008A03E5"/>
    <w:rsid w:val="008A0AB9"/>
    <w:rsid w:val="008A1621"/>
    <w:rsid w:val="008A1666"/>
    <w:rsid w:val="008A17F3"/>
    <w:rsid w:val="008A1B7E"/>
    <w:rsid w:val="008A2015"/>
    <w:rsid w:val="008A2249"/>
    <w:rsid w:val="008A25A5"/>
    <w:rsid w:val="008A25B9"/>
    <w:rsid w:val="008A2C3C"/>
    <w:rsid w:val="008A2FE5"/>
    <w:rsid w:val="008A324A"/>
    <w:rsid w:val="008A35BC"/>
    <w:rsid w:val="008A38C3"/>
    <w:rsid w:val="008A3998"/>
    <w:rsid w:val="008A3AA8"/>
    <w:rsid w:val="008A3B00"/>
    <w:rsid w:val="008A3B78"/>
    <w:rsid w:val="008A4523"/>
    <w:rsid w:val="008A4A19"/>
    <w:rsid w:val="008A4CCF"/>
    <w:rsid w:val="008A5ABA"/>
    <w:rsid w:val="008A5C12"/>
    <w:rsid w:val="008A5F6F"/>
    <w:rsid w:val="008A5F89"/>
    <w:rsid w:val="008A6502"/>
    <w:rsid w:val="008A6AFA"/>
    <w:rsid w:val="008A6B74"/>
    <w:rsid w:val="008A6EB1"/>
    <w:rsid w:val="008B01D4"/>
    <w:rsid w:val="008B0292"/>
    <w:rsid w:val="008B03C8"/>
    <w:rsid w:val="008B0660"/>
    <w:rsid w:val="008B1296"/>
    <w:rsid w:val="008B1311"/>
    <w:rsid w:val="008B1370"/>
    <w:rsid w:val="008B1D08"/>
    <w:rsid w:val="008B1E63"/>
    <w:rsid w:val="008B2356"/>
    <w:rsid w:val="008B28CF"/>
    <w:rsid w:val="008B2903"/>
    <w:rsid w:val="008B2956"/>
    <w:rsid w:val="008B45BA"/>
    <w:rsid w:val="008B51C0"/>
    <w:rsid w:val="008B5382"/>
    <w:rsid w:val="008B561D"/>
    <w:rsid w:val="008B568F"/>
    <w:rsid w:val="008B574C"/>
    <w:rsid w:val="008B5DD8"/>
    <w:rsid w:val="008B64E9"/>
    <w:rsid w:val="008B6663"/>
    <w:rsid w:val="008B6CE1"/>
    <w:rsid w:val="008B71E0"/>
    <w:rsid w:val="008B7302"/>
    <w:rsid w:val="008B7D50"/>
    <w:rsid w:val="008B7DC4"/>
    <w:rsid w:val="008C0182"/>
    <w:rsid w:val="008C1567"/>
    <w:rsid w:val="008C1868"/>
    <w:rsid w:val="008C258F"/>
    <w:rsid w:val="008C2B30"/>
    <w:rsid w:val="008C2BEA"/>
    <w:rsid w:val="008C2DF8"/>
    <w:rsid w:val="008C30D6"/>
    <w:rsid w:val="008C320F"/>
    <w:rsid w:val="008C3475"/>
    <w:rsid w:val="008C3E19"/>
    <w:rsid w:val="008C4196"/>
    <w:rsid w:val="008C48D4"/>
    <w:rsid w:val="008C4B36"/>
    <w:rsid w:val="008C5056"/>
    <w:rsid w:val="008C569E"/>
    <w:rsid w:val="008C580D"/>
    <w:rsid w:val="008C6067"/>
    <w:rsid w:val="008C60AC"/>
    <w:rsid w:val="008C6988"/>
    <w:rsid w:val="008C6EAA"/>
    <w:rsid w:val="008C7112"/>
    <w:rsid w:val="008C7126"/>
    <w:rsid w:val="008C7653"/>
    <w:rsid w:val="008C7822"/>
    <w:rsid w:val="008C7AAA"/>
    <w:rsid w:val="008C7DAA"/>
    <w:rsid w:val="008C7ECE"/>
    <w:rsid w:val="008D00AB"/>
    <w:rsid w:val="008D0501"/>
    <w:rsid w:val="008D07A0"/>
    <w:rsid w:val="008D0B43"/>
    <w:rsid w:val="008D1628"/>
    <w:rsid w:val="008D1941"/>
    <w:rsid w:val="008D1CBE"/>
    <w:rsid w:val="008D1DFE"/>
    <w:rsid w:val="008D1EDF"/>
    <w:rsid w:val="008D28F0"/>
    <w:rsid w:val="008D3504"/>
    <w:rsid w:val="008D3893"/>
    <w:rsid w:val="008D413B"/>
    <w:rsid w:val="008D47A3"/>
    <w:rsid w:val="008D4B6E"/>
    <w:rsid w:val="008D4EE3"/>
    <w:rsid w:val="008D548C"/>
    <w:rsid w:val="008D579A"/>
    <w:rsid w:val="008D669E"/>
    <w:rsid w:val="008D6CAC"/>
    <w:rsid w:val="008D73BF"/>
    <w:rsid w:val="008D7436"/>
    <w:rsid w:val="008D75C5"/>
    <w:rsid w:val="008D7C94"/>
    <w:rsid w:val="008E0925"/>
    <w:rsid w:val="008E0E12"/>
    <w:rsid w:val="008E1301"/>
    <w:rsid w:val="008E1394"/>
    <w:rsid w:val="008E1894"/>
    <w:rsid w:val="008E1A18"/>
    <w:rsid w:val="008E1C4C"/>
    <w:rsid w:val="008E1CFF"/>
    <w:rsid w:val="008E1D3D"/>
    <w:rsid w:val="008E1FFA"/>
    <w:rsid w:val="008E21CA"/>
    <w:rsid w:val="008E28A3"/>
    <w:rsid w:val="008E28F8"/>
    <w:rsid w:val="008E29E4"/>
    <w:rsid w:val="008E2D4E"/>
    <w:rsid w:val="008E30EF"/>
    <w:rsid w:val="008E3971"/>
    <w:rsid w:val="008E3BE8"/>
    <w:rsid w:val="008E3CE4"/>
    <w:rsid w:val="008E432B"/>
    <w:rsid w:val="008E4D8C"/>
    <w:rsid w:val="008E4F22"/>
    <w:rsid w:val="008E527F"/>
    <w:rsid w:val="008E52FD"/>
    <w:rsid w:val="008E5B64"/>
    <w:rsid w:val="008E5E59"/>
    <w:rsid w:val="008E5F71"/>
    <w:rsid w:val="008E6525"/>
    <w:rsid w:val="008E6A9A"/>
    <w:rsid w:val="008E6D97"/>
    <w:rsid w:val="008E7E70"/>
    <w:rsid w:val="008F000C"/>
    <w:rsid w:val="008F05E2"/>
    <w:rsid w:val="008F07F5"/>
    <w:rsid w:val="008F13F1"/>
    <w:rsid w:val="008F26C8"/>
    <w:rsid w:val="008F3187"/>
    <w:rsid w:val="008F3841"/>
    <w:rsid w:val="008F3999"/>
    <w:rsid w:val="008F3B69"/>
    <w:rsid w:val="008F41F7"/>
    <w:rsid w:val="008F453A"/>
    <w:rsid w:val="008F48FC"/>
    <w:rsid w:val="008F4F60"/>
    <w:rsid w:val="008F51EF"/>
    <w:rsid w:val="008F53E4"/>
    <w:rsid w:val="008F5901"/>
    <w:rsid w:val="008F59A0"/>
    <w:rsid w:val="008F5C8A"/>
    <w:rsid w:val="008F5F40"/>
    <w:rsid w:val="008F68B2"/>
    <w:rsid w:val="008F6B68"/>
    <w:rsid w:val="009001DF"/>
    <w:rsid w:val="0090024F"/>
    <w:rsid w:val="009002D2"/>
    <w:rsid w:val="00900C1F"/>
    <w:rsid w:val="00900FCF"/>
    <w:rsid w:val="00901902"/>
    <w:rsid w:val="009019AA"/>
    <w:rsid w:val="00901D3C"/>
    <w:rsid w:val="009020B9"/>
    <w:rsid w:val="009020F5"/>
    <w:rsid w:val="00902833"/>
    <w:rsid w:val="00903121"/>
    <w:rsid w:val="00904556"/>
    <w:rsid w:val="00904564"/>
    <w:rsid w:val="00904A60"/>
    <w:rsid w:val="00904B9A"/>
    <w:rsid w:val="009050CE"/>
    <w:rsid w:val="0090541B"/>
    <w:rsid w:val="00905A07"/>
    <w:rsid w:val="00905A7E"/>
    <w:rsid w:val="00905EBD"/>
    <w:rsid w:val="0090609A"/>
    <w:rsid w:val="00906113"/>
    <w:rsid w:val="00906749"/>
    <w:rsid w:val="00906C67"/>
    <w:rsid w:val="009070A6"/>
    <w:rsid w:val="009077E5"/>
    <w:rsid w:val="00907AD1"/>
    <w:rsid w:val="00910498"/>
    <w:rsid w:val="0091081B"/>
    <w:rsid w:val="00910C10"/>
    <w:rsid w:val="00911ADD"/>
    <w:rsid w:val="00911E8C"/>
    <w:rsid w:val="009126C8"/>
    <w:rsid w:val="00912B74"/>
    <w:rsid w:val="00912B86"/>
    <w:rsid w:val="00912C9E"/>
    <w:rsid w:val="00913081"/>
    <w:rsid w:val="00913DF4"/>
    <w:rsid w:val="00914B20"/>
    <w:rsid w:val="00914DC5"/>
    <w:rsid w:val="00915408"/>
    <w:rsid w:val="009154B0"/>
    <w:rsid w:val="00915E0E"/>
    <w:rsid w:val="00915F88"/>
    <w:rsid w:val="00916886"/>
    <w:rsid w:val="00916B03"/>
    <w:rsid w:val="009170CE"/>
    <w:rsid w:val="0091712F"/>
    <w:rsid w:val="00917AA5"/>
    <w:rsid w:val="00917DB1"/>
    <w:rsid w:val="00920004"/>
    <w:rsid w:val="00920AF7"/>
    <w:rsid w:val="00921094"/>
    <w:rsid w:val="009219A0"/>
    <w:rsid w:val="00922030"/>
    <w:rsid w:val="00922F37"/>
    <w:rsid w:val="0092319A"/>
    <w:rsid w:val="00923D78"/>
    <w:rsid w:val="00923D8D"/>
    <w:rsid w:val="00923DE9"/>
    <w:rsid w:val="00923EEE"/>
    <w:rsid w:val="009247AD"/>
    <w:rsid w:val="009248AD"/>
    <w:rsid w:val="00924907"/>
    <w:rsid w:val="009249CE"/>
    <w:rsid w:val="00924EA8"/>
    <w:rsid w:val="009250C0"/>
    <w:rsid w:val="0092511E"/>
    <w:rsid w:val="00925521"/>
    <w:rsid w:val="009257CF"/>
    <w:rsid w:val="00925EDA"/>
    <w:rsid w:val="00925F87"/>
    <w:rsid w:val="00926139"/>
    <w:rsid w:val="00926B7F"/>
    <w:rsid w:val="00927595"/>
    <w:rsid w:val="00927695"/>
    <w:rsid w:val="00927B80"/>
    <w:rsid w:val="00927E16"/>
    <w:rsid w:val="00927F2F"/>
    <w:rsid w:val="009303FB"/>
    <w:rsid w:val="00930419"/>
    <w:rsid w:val="009304C8"/>
    <w:rsid w:val="00930BC0"/>
    <w:rsid w:val="00930F75"/>
    <w:rsid w:val="0093116B"/>
    <w:rsid w:val="00931F77"/>
    <w:rsid w:val="00932205"/>
    <w:rsid w:val="00932883"/>
    <w:rsid w:val="00932B09"/>
    <w:rsid w:val="00932E44"/>
    <w:rsid w:val="0093356A"/>
    <w:rsid w:val="00933616"/>
    <w:rsid w:val="00933A7C"/>
    <w:rsid w:val="00933DD8"/>
    <w:rsid w:val="009359E3"/>
    <w:rsid w:val="00936382"/>
    <w:rsid w:val="00936A09"/>
    <w:rsid w:val="00936DAE"/>
    <w:rsid w:val="00937002"/>
    <w:rsid w:val="0093743D"/>
    <w:rsid w:val="00937B84"/>
    <w:rsid w:val="00937D55"/>
    <w:rsid w:val="00937EE0"/>
    <w:rsid w:val="009408FE"/>
    <w:rsid w:val="00940F01"/>
    <w:rsid w:val="009415E8"/>
    <w:rsid w:val="00941639"/>
    <w:rsid w:val="00941690"/>
    <w:rsid w:val="00941C38"/>
    <w:rsid w:val="00941E1D"/>
    <w:rsid w:val="0094246A"/>
    <w:rsid w:val="00942B1B"/>
    <w:rsid w:val="00942EAA"/>
    <w:rsid w:val="00943E55"/>
    <w:rsid w:val="00943FB9"/>
    <w:rsid w:val="00944DCC"/>
    <w:rsid w:val="00944F23"/>
    <w:rsid w:val="009450FE"/>
    <w:rsid w:val="00945157"/>
    <w:rsid w:val="00945485"/>
    <w:rsid w:val="00945C32"/>
    <w:rsid w:val="00945C8F"/>
    <w:rsid w:val="00946201"/>
    <w:rsid w:val="009466D3"/>
    <w:rsid w:val="00946FAD"/>
    <w:rsid w:val="009501B0"/>
    <w:rsid w:val="009506E2"/>
    <w:rsid w:val="00950B2E"/>
    <w:rsid w:val="00950BBD"/>
    <w:rsid w:val="00951270"/>
    <w:rsid w:val="009512B8"/>
    <w:rsid w:val="009516F6"/>
    <w:rsid w:val="00951D23"/>
    <w:rsid w:val="0095215B"/>
    <w:rsid w:val="00952429"/>
    <w:rsid w:val="00952EAD"/>
    <w:rsid w:val="009530E5"/>
    <w:rsid w:val="0095328E"/>
    <w:rsid w:val="009536FC"/>
    <w:rsid w:val="0095426A"/>
    <w:rsid w:val="00954BD6"/>
    <w:rsid w:val="00954CEC"/>
    <w:rsid w:val="00954D87"/>
    <w:rsid w:val="00955CBA"/>
    <w:rsid w:val="00955FB5"/>
    <w:rsid w:val="009564C9"/>
    <w:rsid w:val="00956787"/>
    <w:rsid w:val="0095773C"/>
    <w:rsid w:val="00957C1B"/>
    <w:rsid w:val="00957E8B"/>
    <w:rsid w:val="009604C4"/>
    <w:rsid w:val="009606D0"/>
    <w:rsid w:val="00960F7D"/>
    <w:rsid w:val="009613A2"/>
    <w:rsid w:val="0096141C"/>
    <w:rsid w:val="00961DE1"/>
    <w:rsid w:val="00962E14"/>
    <w:rsid w:val="00962EC1"/>
    <w:rsid w:val="00963D9E"/>
    <w:rsid w:val="00964089"/>
    <w:rsid w:val="0096410E"/>
    <w:rsid w:val="009645AC"/>
    <w:rsid w:val="00964A1F"/>
    <w:rsid w:val="00964ABF"/>
    <w:rsid w:val="00964AD7"/>
    <w:rsid w:val="00965396"/>
    <w:rsid w:val="00965485"/>
    <w:rsid w:val="00965B0F"/>
    <w:rsid w:val="00965BEA"/>
    <w:rsid w:val="0096602B"/>
    <w:rsid w:val="0096632F"/>
    <w:rsid w:val="00966805"/>
    <w:rsid w:val="00966CDD"/>
    <w:rsid w:val="00966E54"/>
    <w:rsid w:val="009670AF"/>
    <w:rsid w:val="00967A79"/>
    <w:rsid w:val="00967B9C"/>
    <w:rsid w:val="009700C9"/>
    <w:rsid w:val="00970BD9"/>
    <w:rsid w:val="00970C20"/>
    <w:rsid w:val="00970EA4"/>
    <w:rsid w:val="00970FBB"/>
    <w:rsid w:val="00971B9B"/>
    <w:rsid w:val="00971DF9"/>
    <w:rsid w:val="009720E3"/>
    <w:rsid w:val="00972CB8"/>
    <w:rsid w:val="009737F5"/>
    <w:rsid w:val="00973F66"/>
    <w:rsid w:val="009741D8"/>
    <w:rsid w:val="009742F3"/>
    <w:rsid w:val="0097466B"/>
    <w:rsid w:val="00975838"/>
    <w:rsid w:val="00975A3C"/>
    <w:rsid w:val="00975F13"/>
    <w:rsid w:val="00975F49"/>
    <w:rsid w:val="0097696C"/>
    <w:rsid w:val="00977014"/>
    <w:rsid w:val="00977993"/>
    <w:rsid w:val="00977FA5"/>
    <w:rsid w:val="00980351"/>
    <w:rsid w:val="009805A7"/>
    <w:rsid w:val="009806CA"/>
    <w:rsid w:val="00980F0D"/>
    <w:rsid w:val="0098158D"/>
    <w:rsid w:val="009819D9"/>
    <w:rsid w:val="00981CAE"/>
    <w:rsid w:val="00981FA8"/>
    <w:rsid w:val="00982088"/>
    <w:rsid w:val="00982125"/>
    <w:rsid w:val="00983235"/>
    <w:rsid w:val="00983AB5"/>
    <w:rsid w:val="00983DCF"/>
    <w:rsid w:val="009845C8"/>
    <w:rsid w:val="00984682"/>
    <w:rsid w:val="009847AA"/>
    <w:rsid w:val="00984A6C"/>
    <w:rsid w:val="00984D4C"/>
    <w:rsid w:val="009850A0"/>
    <w:rsid w:val="009857EF"/>
    <w:rsid w:val="00985AC6"/>
    <w:rsid w:val="00985D98"/>
    <w:rsid w:val="00985FC0"/>
    <w:rsid w:val="00986069"/>
    <w:rsid w:val="0098611D"/>
    <w:rsid w:val="009862FF"/>
    <w:rsid w:val="009864AE"/>
    <w:rsid w:val="0098758E"/>
    <w:rsid w:val="0098777E"/>
    <w:rsid w:val="00987A14"/>
    <w:rsid w:val="009908F4"/>
    <w:rsid w:val="00990DDE"/>
    <w:rsid w:val="00991222"/>
    <w:rsid w:val="0099158E"/>
    <w:rsid w:val="00991B1A"/>
    <w:rsid w:val="00991F38"/>
    <w:rsid w:val="00992041"/>
    <w:rsid w:val="00992179"/>
    <w:rsid w:val="00992802"/>
    <w:rsid w:val="009928C6"/>
    <w:rsid w:val="0099298A"/>
    <w:rsid w:val="0099308D"/>
    <w:rsid w:val="00993954"/>
    <w:rsid w:val="00993B80"/>
    <w:rsid w:val="0099409E"/>
    <w:rsid w:val="00994274"/>
    <w:rsid w:val="00994305"/>
    <w:rsid w:val="0099479A"/>
    <w:rsid w:val="009948F1"/>
    <w:rsid w:val="00994F80"/>
    <w:rsid w:val="009954E6"/>
    <w:rsid w:val="0099575D"/>
    <w:rsid w:val="00995A25"/>
    <w:rsid w:val="00995F1F"/>
    <w:rsid w:val="00995F23"/>
    <w:rsid w:val="00996749"/>
    <w:rsid w:val="00996B53"/>
    <w:rsid w:val="00997417"/>
    <w:rsid w:val="009975F5"/>
    <w:rsid w:val="00997FC7"/>
    <w:rsid w:val="009A0B64"/>
    <w:rsid w:val="009A1563"/>
    <w:rsid w:val="009A17E8"/>
    <w:rsid w:val="009A1E4F"/>
    <w:rsid w:val="009A21E2"/>
    <w:rsid w:val="009A21E3"/>
    <w:rsid w:val="009A268F"/>
    <w:rsid w:val="009A2D03"/>
    <w:rsid w:val="009A39DC"/>
    <w:rsid w:val="009A3F27"/>
    <w:rsid w:val="009A43FC"/>
    <w:rsid w:val="009A46E9"/>
    <w:rsid w:val="009A4EE2"/>
    <w:rsid w:val="009A5035"/>
    <w:rsid w:val="009A52B5"/>
    <w:rsid w:val="009A531C"/>
    <w:rsid w:val="009A5753"/>
    <w:rsid w:val="009A57EB"/>
    <w:rsid w:val="009A6437"/>
    <w:rsid w:val="009A6465"/>
    <w:rsid w:val="009A650C"/>
    <w:rsid w:val="009A65B0"/>
    <w:rsid w:val="009A6612"/>
    <w:rsid w:val="009A67A3"/>
    <w:rsid w:val="009A68C8"/>
    <w:rsid w:val="009A699B"/>
    <w:rsid w:val="009A6CA4"/>
    <w:rsid w:val="009A7168"/>
    <w:rsid w:val="009A71BC"/>
    <w:rsid w:val="009A7BA5"/>
    <w:rsid w:val="009B103D"/>
    <w:rsid w:val="009B1313"/>
    <w:rsid w:val="009B180C"/>
    <w:rsid w:val="009B1D50"/>
    <w:rsid w:val="009B2036"/>
    <w:rsid w:val="009B209A"/>
    <w:rsid w:val="009B3624"/>
    <w:rsid w:val="009B3EBA"/>
    <w:rsid w:val="009B3EFA"/>
    <w:rsid w:val="009B42F4"/>
    <w:rsid w:val="009B4A9B"/>
    <w:rsid w:val="009B4C75"/>
    <w:rsid w:val="009B585F"/>
    <w:rsid w:val="009B6DDA"/>
    <w:rsid w:val="009B6EBC"/>
    <w:rsid w:val="009B7A84"/>
    <w:rsid w:val="009B7A96"/>
    <w:rsid w:val="009B7C85"/>
    <w:rsid w:val="009B7E02"/>
    <w:rsid w:val="009B7E22"/>
    <w:rsid w:val="009B7FD9"/>
    <w:rsid w:val="009C04E9"/>
    <w:rsid w:val="009C08B7"/>
    <w:rsid w:val="009C09B8"/>
    <w:rsid w:val="009C0B9A"/>
    <w:rsid w:val="009C0D95"/>
    <w:rsid w:val="009C17C5"/>
    <w:rsid w:val="009C17E2"/>
    <w:rsid w:val="009C181F"/>
    <w:rsid w:val="009C1AD6"/>
    <w:rsid w:val="009C2214"/>
    <w:rsid w:val="009C239A"/>
    <w:rsid w:val="009C3130"/>
    <w:rsid w:val="009C34BB"/>
    <w:rsid w:val="009C3668"/>
    <w:rsid w:val="009C36AB"/>
    <w:rsid w:val="009C387F"/>
    <w:rsid w:val="009C404D"/>
    <w:rsid w:val="009C42D6"/>
    <w:rsid w:val="009C4A1B"/>
    <w:rsid w:val="009C4AE7"/>
    <w:rsid w:val="009C4CDB"/>
    <w:rsid w:val="009C4DC8"/>
    <w:rsid w:val="009C4ECF"/>
    <w:rsid w:val="009C53E7"/>
    <w:rsid w:val="009C610F"/>
    <w:rsid w:val="009C659F"/>
    <w:rsid w:val="009C65A2"/>
    <w:rsid w:val="009C6DB8"/>
    <w:rsid w:val="009C6EA2"/>
    <w:rsid w:val="009C77BF"/>
    <w:rsid w:val="009C7C37"/>
    <w:rsid w:val="009D0196"/>
    <w:rsid w:val="009D0DB2"/>
    <w:rsid w:val="009D0DCD"/>
    <w:rsid w:val="009D0FD1"/>
    <w:rsid w:val="009D1077"/>
    <w:rsid w:val="009D11E4"/>
    <w:rsid w:val="009D1AA9"/>
    <w:rsid w:val="009D2210"/>
    <w:rsid w:val="009D23A2"/>
    <w:rsid w:val="009D262A"/>
    <w:rsid w:val="009D2B03"/>
    <w:rsid w:val="009D2F81"/>
    <w:rsid w:val="009D4309"/>
    <w:rsid w:val="009D4C9F"/>
    <w:rsid w:val="009D4D90"/>
    <w:rsid w:val="009D4F93"/>
    <w:rsid w:val="009D5081"/>
    <w:rsid w:val="009D53F2"/>
    <w:rsid w:val="009D5747"/>
    <w:rsid w:val="009D5F65"/>
    <w:rsid w:val="009D6576"/>
    <w:rsid w:val="009D65A0"/>
    <w:rsid w:val="009D65C9"/>
    <w:rsid w:val="009D6A08"/>
    <w:rsid w:val="009D6AC0"/>
    <w:rsid w:val="009D6D69"/>
    <w:rsid w:val="009D7226"/>
    <w:rsid w:val="009D73E3"/>
    <w:rsid w:val="009D7A5B"/>
    <w:rsid w:val="009D7DCA"/>
    <w:rsid w:val="009D7E2C"/>
    <w:rsid w:val="009E00F5"/>
    <w:rsid w:val="009E05A1"/>
    <w:rsid w:val="009E0E64"/>
    <w:rsid w:val="009E1113"/>
    <w:rsid w:val="009E15BA"/>
    <w:rsid w:val="009E17D9"/>
    <w:rsid w:val="009E1A69"/>
    <w:rsid w:val="009E1B6C"/>
    <w:rsid w:val="009E2018"/>
    <w:rsid w:val="009E25D4"/>
    <w:rsid w:val="009E3284"/>
    <w:rsid w:val="009E3321"/>
    <w:rsid w:val="009E33BA"/>
    <w:rsid w:val="009E33D7"/>
    <w:rsid w:val="009E3CEB"/>
    <w:rsid w:val="009E425A"/>
    <w:rsid w:val="009E4E20"/>
    <w:rsid w:val="009E505F"/>
    <w:rsid w:val="009E5F03"/>
    <w:rsid w:val="009E6094"/>
    <w:rsid w:val="009E610F"/>
    <w:rsid w:val="009E61EB"/>
    <w:rsid w:val="009E6753"/>
    <w:rsid w:val="009E688A"/>
    <w:rsid w:val="009E692D"/>
    <w:rsid w:val="009E6CB2"/>
    <w:rsid w:val="009E6DDC"/>
    <w:rsid w:val="009E6EA8"/>
    <w:rsid w:val="009E72CB"/>
    <w:rsid w:val="009E73F1"/>
    <w:rsid w:val="009F0C2B"/>
    <w:rsid w:val="009F12F9"/>
    <w:rsid w:val="009F22CF"/>
    <w:rsid w:val="009F3357"/>
    <w:rsid w:val="009F3547"/>
    <w:rsid w:val="009F364B"/>
    <w:rsid w:val="009F384E"/>
    <w:rsid w:val="009F3959"/>
    <w:rsid w:val="009F4366"/>
    <w:rsid w:val="009F456B"/>
    <w:rsid w:val="009F5237"/>
    <w:rsid w:val="009F56AB"/>
    <w:rsid w:val="009F57AF"/>
    <w:rsid w:val="009F58DF"/>
    <w:rsid w:val="009F5D02"/>
    <w:rsid w:val="009F6117"/>
    <w:rsid w:val="009F6229"/>
    <w:rsid w:val="009F622D"/>
    <w:rsid w:val="009F6536"/>
    <w:rsid w:val="009F65D3"/>
    <w:rsid w:val="009F66E8"/>
    <w:rsid w:val="009F68F0"/>
    <w:rsid w:val="009F6E86"/>
    <w:rsid w:val="009F7293"/>
    <w:rsid w:val="009F7437"/>
    <w:rsid w:val="009F7512"/>
    <w:rsid w:val="009F7857"/>
    <w:rsid w:val="00A00693"/>
    <w:rsid w:val="00A008B2"/>
    <w:rsid w:val="00A00FFC"/>
    <w:rsid w:val="00A0182E"/>
    <w:rsid w:val="00A018E6"/>
    <w:rsid w:val="00A01900"/>
    <w:rsid w:val="00A01AE7"/>
    <w:rsid w:val="00A02024"/>
    <w:rsid w:val="00A03B4E"/>
    <w:rsid w:val="00A03DFB"/>
    <w:rsid w:val="00A04005"/>
    <w:rsid w:val="00A04ADC"/>
    <w:rsid w:val="00A04C02"/>
    <w:rsid w:val="00A04F2A"/>
    <w:rsid w:val="00A05612"/>
    <w:rsid w:val="00A05DBE"/>
    <w:rsid w:val="00A06582"/>
    <w:rsid w:val="00A06ABB"/>
    <w:rsid w:val="00A06AD0"/>
    <w:rsid w:val="00A06C25"/>
    <w:rsid w:val="00A07088"/>
    <w:rsid w:val="00A0751F"/>
    <w:rsid w:val="00A075DE"/>
    <w:rsid w:val="00A076CB"/>
    <w:rsid w:val="00A077BA"/>
    <w:rsid w:val="00A07AF7"/>
    <w:rsid w:val="00A07B61"/>
    <w:rsid w:val="00A10FDB"/>
    <w:rsid w:val="00A1156A"/>
    <w:rsid w:val="00A11AD2"/>
    <w:rsid w:val="00A11F58"/>
    <w:rsid w:val="00A12016"/>
    <w:rsid w:val="00A122AA"/>
    <w:rsid w:val="00A1242F"/>
    <w:rsid w:val="00A12C70"/>
    <w:rsid w:val="00A12CE4"/>
    <w:rsid w:val="00A1328C"/>
    <w:rsid w:val="00A13377"/>
    <w:rsid w:val="00A135B0"/>
    <w:rsid w:val="00A13671"/>
    <w:rsid w:val="00A1400A"/>
    <w:rsid w:val="00A141FA"/>
    <w:rsid w:val="00A146D1"/>
    <w:rsid w:val="00A148C3"/>
    <w:rsid w:val="00A14E04"/>
    <w:rsid w:val="00A15012"/>
    <w:rsid w:val="00A1506E"/>
    <w:rsid w:val="00A150E9"/>
    <w:rsid w:val="00A1514F"/>
    <w:rsid w:val="00A152D9"/>
    <w:rsid w:val="00A15539"/>
    <w:rsid w:val="00A15544"/>
    <w:rsid w:val="00A1556E"/>
    <w:rsid w:val="00A162F2"/>
    <w:rsid w:val="00A16D1B"/>
    <w:rsid w:val="00A17435"/>
    <w:rsid w:val="00A17883"/>
    <w:rsid w:val="00A179E2"/>
    <w:rsid w:val="00A200E6"/>
    <w:rsid w:val="00A20330"/>
    <w:rsid w:val="00A205F5"/>
    <w:rsid w:val="00A20838"/>
    <w:rsid w:val="00A20857"/>
    <w:rsid w:val="00A20F23"/>
    <w:rsid w:val="00A215A1"/>
    <w:rsid w:val="00A217AB"/>
    <w:rsid w:val="00A21B72"/>
    <w:rsid w:val="00A21B97"/>
    <w:rsid w:val="00A21BAC"/>
    <w:rsid w:val="00A221B4"/>
    <w:rsid w:val="00A2235E"/>
    <w:rsid w:val="00A2275D"/>
    <w:rsid w:val="00A228E9"/>
    <w:rsid w:val="00A22EC6"/>
    <w:rsid w:val="00A23559"/>
    <w:rsid w:val="00A23C96"/>
    <w:rsid w:val="00A23E9B"/>
    <w:rsid w:val="00A24133"/>
    <w:rsid w:val="00A245F3"/>
    <w:rsid w:val="00A24784"/>
    <w:rsid w:val="00A24F53"/>
    <w:rsid w:val="00A24F6F"/>
    <w:rsid w:val="00A2514B"/>
    <w:rsid w:val="00A25189"/>
    <w:rsid w:val="00A255A1"/>
    <w:rsid w:val="00A25694"/>
    <w:rsid w:val="00A25ABE"/>
    <w:rsid w:val="00A2611F"/>
    <w:rsid w:val="00A26418"/>
    <w:rsid w:val="00A2645A"/>
    <w:rsid w:val="00A26CA1"/>
    <w:rsid w:val="00A26CE0"/>
    <w:rsid w:val="00A26E88"/>
    <w:rsid w:val="00A2716C"/>
    <w:rsid w:val="00A27384"/>
    <w:rsid w:val="00A274B1"/>
    <w:rsid w:val="00A27656"/>
    <w:rsid w:val="00A278C2"/>
    <w:rsid w:val="00A278ED"/>
    <w:rsid w:val="00A30214"/>
    <w:rsid w:val="00A306A3"/>
    <w:rsid w:val="00A308F7"/>
    <w:rsid w:val="00A30A4C"/>
    <w:rsid w:val="00A30B15"/>
    <w:rsid w:val="00A30CDE"/>
    <w:rsid w:val="00A30F44"/>
    <w:rsid w:val="00A31230"/>
    <w:rsid w:val="00A313C7"/>
    <w:rsid w:val="00A316C7"/>
    <w:rsid w:val="00A318CD"/>
    <w:rsid w:val="00A31C08"/>
    <w:rsid w:val="00A323F8"/>
    <w:rsid w:val="00A324E6"/>
    <w:rsid w:val="00A32976"/>
    <w:rsid w:val="00A33C06"/>
    <w:rsid w:val="00A3497D"/>
    <w:rsid w:val="00A356D0"/>
    <w:rsid w:val="00A36550"/>
    <w:rsid w:val="00A367F4"/>
    <w:rsid w:val="00A36A27"/>
    <w:rsid w:val="00A36E14"/>
    <w:rsid w:val="00A36EFB"/>
    <w:rsid w:val="00A36F86"/>
    <w:rsid w:val="00A37E10"/>
    <w:rsid w:val="00A37EB8"/>
    <w:rsid w:val="00A4073D"/>
    <w:rsid w:val="00A40BC5"/>
    <w:rsid w:val="00A40BEE"/>
    <w:rsid w:val="00A40CE5"/>
    <w:rsid w:val="00A4108A"/>
    <w:rsid w:val="00A410F6"/>
    <w:rsid w:val="00A41628"/>
    <w:rsid w:val="00A41808"/>
    <w:rsid w:val="00A41944"/>
    <w:rsid w:val="00A423D0"/>
    <w:rsid w:val="00A43532"/>
    <w:rsid w:val="00A43911"/>
    <w:rsid w:val="00A43C72"/>
    <w:rsid w:val="00A43D37"/>
    <w:rsid w:val="00A4486E"/>
    <w:rsid w:val="00A44AE3"/>
    <w:rsid w:val="00A44C61"/>
    <w:rsid w:val="00A44F3C"/>
    <w:rsid w:val="00A457FA"/>
    <w:rsid w:val="00A45E22"/>
    <w:rsid w:val="00A470DE"/>
    <w:rsid w:val="00A47B80"/>
    <w:rsid w:val="00A47EDC"/>
    <w:rsid w:val="00A47FD4"/>
    <w:rsid w:val="00A502FB"/>
    <w:rsid w:val="00A505E6"/>
    <w:rsid w:val="00A509A8"/>
    <w:rsid w:val="00A5107F"/>
    <w:rsid w:val="00A51251"/>
    <w:rsid w:val="00A5134B"/>
    <w:rsid w:val="00A514C5"/>
    <w:rsid w:val="00A515E5"/>
    <w:rsid w:val="00A519AB"/>
    <w:rsid w:val="00A51CEB"/>
    <w:rsid w:val="00A521C4"/>
    <w:rsid w:val="00A5278C"/>
    <w:rsid w:val="00A536A6"/>
    <w:rsid w:val="00A53A2A"/>
    <w:rsid w:val="00A53D09"/>
    <w:rsid w:val="00A5424A"/>
    <w:rsid w:val="00A54745"/>
    <w:rsid w:val="00A547A7"/>
    <w:rsid w:val="00A553B6"/>
    <w:rsid w:val="00A55655"/>
    <w:rsid w:val="00A5585F"/>
    <w:rsid w:val="00A5689F"/>
    <w:rsid w:val="00A5690B"/>
    <w:rsid w:val="00A56CE6"/>
    <w:rsid w:val="00A56DBB"/>
    <w:rsid w:val="00A57043"/>
    <w:rsid w:val="00A571D0"/>
    <w:rsid w:val="00A57A51"/>
    <w:rsid w:val="00A57D8F"/>
    <w:rsid w:val="00A60085"/>
    <w:rsid w:val="00A60334"/>
    <w:rsid w:val="00A603D4"/>
    <w:rsid w:val="00A607E6"/>
    <w:rsid w:val="00A60BF3"/>
    <w:rsid w:val="00A60CD8"/>
    <w:rsid w:val="00A60D0E"/>
    <w:rsid w:val="00A60DCE"/>
    <w:rsid w:val="00A60E81"/>
    <w:rsid w:val="00A615DC"/>
    <w:rsid w:val="00A61C57"/>
    <w:rsid w:val="00A61F6B"/>
    <w:rsid w:val="00A621DE"/>
    <w:rsid w:val="00A623B3"/>
    <w:rsid w:val="00A6240E"/>
    <w:rsid w:val="00A62509"/>
    <w:rsid w:val="00A627D3"/>
    <w:rsid w:val="00A628F0"/>
    <w:rsid w:val="00A62E44"/>
    <w:rsid w:val="00A63157"/>
    <w:rsid w:val="00A635D0"/>
    <w:rsid w:val="00A63748"/>
    <w:rsid w:val="00A63F11"/>
    <w:rsid w:val="00A63F61"/>
    <w:rsid w:val="00A646A5"/>
    <w:rsid w:val="00A646C5"/>
    <w:rsid w:val="00A6477A"/>
    <w:rsid w:val="00A64AC4"/>
    <w:rsid w:val="00A65514"/>
    <w:rsid w:val="00A65D08"/>
    <w:rsid w:val="00A6637E"/>
    <w:rsid w:val="00A66E3F"/>
    <w:rsid w:val="00A66EF9"/>
    <w:rsid w:val="00A67147"/>
    <w:rsid w:val="00A6761C"/>
    <w:rsid w:val="00A67BD4"/>
    <w:rsid w:val="00A67F45"/>
    <w:rsid w:val="00A703E7"/>
    <w:rsid w:val="00A70689"/>
    <w:rsid w:val="00A71362"/>
    <w:rsid w:val="00A717D3"/>
    <w:rsid w:val="00A71AED"/>
    <w:rsid w:val="00A721D9"/>
    <w:rsid w:val="00A722BF"/>
    <w:rsid w:val="00A7244B"/>
    <w:rsid w:val="00A727FB"/>
    <w:rsid w:val="00A7289E"/>
    <w:rsid w:val="00A72FF7"/>
    <w:rsid w:val="00A73121"/>
    <w:rsid w:val="00A734C6"/>
    <w:rsid w:val="00A73AAD"/>
    <w:rsid w:val="00A73CAB"/>
    <w:rsid w:val="00A73EBE"/>
    <w:rsid w:val="00A7403D"/>
    <w:rsid w:val="00A74528"/>
    <w:rsid w:val="00A74873"/>
    <w:rsid w:val="00A74A13"/>
    <w:rsid w:val="00A74F51"/>
    <w:rsid w:val="00A75133"/>
    <w:rsid w:val="00A752D3"/>
    <w:rsid w:val="00A75482"/>
    <w:rsid w:val="00A7565B"/>
    <w:rsid w:val="00A758CC"/>
    <w:rsid w:val="00A75AFD"/>
    <w:rsid w:val="00A76359"/>
    <w:rsid w:val="00A76806"/>
    <w:rsid w:val="00A769AA"/>
    <w:rsid w:val="00A769D2"/>
    <w:rsid w:val="00A76FAD"/>
    <w:rsid w:val="00A7737D"/>
    <w:rsid w:val="00A77789"/>
    <w:rsid w:val="00A778CE"/>
    <w:rsid w:val="00A77B09"/>
    <w:rsid w:val="00A77C7A"/>
    <w:rsid w:val="00A80298"/>
    <w:rsid w:val="00A80459"/>
    <w:rsid w:val="00A80A52"/>
    <w:rsid w:val="00A80AF5"/>
    <w:rsid w:val="00A80BE4"/>
    <w:rsid w:val="00A81507"/>
    <w:rsid w:val="00A8165A"/>
    <w:rsid w:val="00A81A0C"/>
    <w:rsid w:val="00A81A2F"/>
    <w:rsid w:val="00A81B09"/>
    <w:rsid w:val="00A81BEB"/>
    <w:rsid w:val="00A8284D"/>
    <w:rsid w:val="00A82C1B"/>
    <w:rsid w:val="00A82E27"/>
    <w:rsid w:val="00A83786"/>
    <w:rsid w:val="00A83EC4"/>
    <w:rsid w:val="00A84301"/>
    <w:rsid w:val="00A84396"/>
    <w:rsid w:val="00A84988"/>
    <w:rsid w:val="00A84B75"/>
    <w:rsid w:val="00A85058"/>
    <w:rsid w:val="00A867A3"/>
    <w:rsid w:val="00A86B25"/>
    <w:rsid w:val="00A86EAA"/>
    <w:rsid w:val="00A8715A"/>
    <w:rsid w:val="00A87763"/>
    <w:rsid w:val="00A87B6B"/>
    <w:rsid w:val="00A9047E"/>
    <w:rsid w:val="00A907A8"/>
    <w:rsid w:val="00A90F5C"/>
    <w:rsid w:val="00A917CE"/>
    <w:rsid w:val="00A9188E"/>
    <w:rsid w:val="00A928E9"/>
    <w:rsid w:val="00A92969"/>
    <w:rsid w:val="00A92CCA"/>
    <w:rsid w:val="00A93F0E"/>
    <w:rsid w:val="00A94149"/>
    <w:rsid w:val="00A943B4"/>
    <w:rsid w:val="00A94F7C"/>
    <w:rsid w:val="00A95944"/>
    <w:rsid w:val="00A959E1"/>
    <w:rsid w:val="00A95BC4"/>
    <w:rsid w:val="00A960CE"/>
    <w:rsid w:val="00A96165"/>
    <w:rsid w:val="00A9629E"/>
    <w:rsid w:val="00A96A6F"/>
    <w:rsid w:val="00A96E5F"/>
    <w:rsid w:val="00A9704E"/>
    <w:rsid w:val="00A973F7"/>
    <w:rsid w:val="00A97E18"/>
    <w:rsid w:val="00A97E7A"/>
    <w:rsid w:val="00AA0264"/>
    <w:rsid w:val="00AA02ED"/>
    <w:rsid w:val="00AA0833"/>
    <w:rsid w:val="00AA0BB9"/>
    <w:rsid w:val="00AA0CB5"/>
    <w:rsid w:val="00AA111F"/>
    <w:rsid w:val="00AA1445"/>
    <w:rsid w:val="00AA30EC"/>
    <w:rsid w:val="00AA3350"/>
    <w:rsid w:val="00AA34B2"/>
    <w:rsid w:val="00AA35FE"/>
    <w:rsid w:val="00AA3734"/>
    <w:rsid w:val="00AA3E2F"/>
    <w:rsid w:val="00AA3EAF"/>
    <w:rsid w:val="00AA3EE1"/>
    <w:rsid w:val="00AA4119"/>
    <w:rsid w:val="00AA414C"/>
    <w:rsid w:val="00AA41C6"/>
    <w:rsid w:val="00AA47C9"/>
    <w:rsid w:val="00AA5249"/>
    <w:rsid w:val="00AA5380"/>
    <w:rsid w:val="00AA5510"/>
    <w:rsid w:val="00AA558B"/>
    <w:rsid w:val="00AA5BAB"/>
    <w:rsid w:val="00AA5FD2"/>
    <w:rsid w:val="00AA638C"/>
    <w:rsid w:val="00AA7131"/>
    <w:rsid w:val="00AA719D"/>
    <w:rsid w:val="00AA71CF"/>
    <w:rsid w:val="00AA747B"/>
    <w:rsid w:val="00AA750F"/>
    <w:rsid w:val="00AA798E"/>
    <w:rsid w:val="00AA79AD"/>
    <w:rsid w:val="00AA7C9B"/>
    <w:rsid w:val="00AB09A0"/>
    <w:rsid w:val="00AB130D"/>
    <w:rsid w:val="00AB13B9"/>
    <w:rsid w:val="00AB1401"/>
    <w:rsid w:val="00AB1D65"/>
    <w:rsid w:val="00AB264F"/>
    <w:rsid w:val="00AB2C2B"/>
    <w:rsid w:val="00AB2FA6"/>
    <w:rsid w:val="00AB3359"/>
    <w:rsid w:val="00AB3381"/>
    <w:rsid w:val="00AB35DD"/>
    <w:rsid w:val="00AB38F0"/>
    <w:rsid w:val="00AB392B"/>
    <w:rsid w:val="00AB49AA"/>
    <w:rsid w:val="00AB4EEF"/>
    <w:rsid w:val="00AB5485"/>
    <w:rsid w:val="00AB5569"/>
    <w:rsid w:val="00AB71B1"/>
    <w:rsid w:val="00AB7534"/>
    <w:rsid w:val="00AC0229"/>
    <w:rsid w:val="00AC056A"/>
    <w:rsid w:val="00AC1381"/>
    <w:rsid w:val="00AC2BB7"/>
    <w:rsid w:val="00AC33F6"/>
    <w:rsid w:val="00AC35C9"/>
    <w:rsid w:val="00AC36A4"/>
    <w:rsid w:val="00AC39C2"/>
    <w:rsid w:val="00AC46E1"/>
    <w:rsid w:val="00AC4B96"/>
    <w:rsid w:val="00AC4D32"/>
    <w:rsid w:val="00AC4E64"/>
    <w:rsid w:val="00AC5399"/>
    <w:rsid w:val="00AC56B6"/>
    <w:rsid w:val="00AC5700"/>
    <w:rsid w:val="00AC573D"/>
    <w:rsid w:val="00AC638C"/>
    <w:rsid w:val="00AC673A"/>
    <w:rsid w:val="00AC680F"/>
    <w:rsid w:val="00AC68A7"/>
    <w:rsid w:val="00AC71A9"/>
    <w:rsid w:val="00AC77B9"/>
    <w:rsid w:val="00AC7CAC"/>
    <w:rsid w:val="00AC7D29"/>
    <w:rsid w:val="00AC7E98"/>
    <w:rsid w:val="00AD04AE"/>
    <w:rsid w:val="00AD0E35"/>
    <w:rsid w:val="00AD109E"/>
    <w:rsid w:val="00AD190A"/>
    <w:rsid w:val="00AD2000"/>
    <w:rsid w:val="00AD20B2"/>
    <w:rsid w:val="00AD20E2"/>
    <w:rsid w:val="00AD2773"/>
    <w:rsid w:val="00AD2FB7"/>
    <w:rsid w:val="00AD3572"/>
    <w:rsid w:val="00AD37E1"/>
    <w:rsid w:val="00AD436F"/>
    <w:rsid w:val="00AD4EFB"/>
    <w:rsid w:val="00AD565B"/>
    <w:rsid w:val="00AD5740"/>
    <w:rsid w:val="00AD5B7B"/>
    <w:rsid w:val="00AD5EEC"/>
    <w:rsid w:val="00AD681A"/>
    <w:rsid w:val="00AD6ECE"/>
    <w:rsid w:val="00AD6F53"/>
    <w:rsid w:val="00AD73BB"/>
    <w:rsid w:val="00AD74E4"/>
    <w:rsid w:val="00AD7789"/>
    <w:rsid w:val="00AD78D4"/>
    <w:rsid w:val="00AD7C05"/>
    <w:rsid w:val="00AD7EB6"/>
    <w:rsid w:val="00AD7FE8"/>
    <w:rsid w:val="00AE0B82"/>
    <w:rsid w:val="00AE0BFA"/>
    <w:rsid w:val="00AE0DCF"/>
    <w:rsid w:val="00AE0F15"/>
    <w:rsid w:val="00AE14BB"/>
    <w:rsid w:val="00AE1DD7"/>
    <w:rsid w:val="00AE22FE"/>
    <w:rsid w:val="00AE28D8"/>
    <w:rsid w:val="00AE2D20"/>
    <w:rsid w:val="00AE2F23"/>
    <w:rsid w:val="00AE342D"/>
    <w:rsid w:val="00AE356F"/>
    <w:rsid w:val="00AE3696"/>
    <w:rsid w:val="00AE3908"/>
    <w:rsid w:val="00AE391E"/>
    <w:rsid w:val="00AE3999"/>
    <w:rsid w:val="00AE39E1"/>
    <w:rsid w:val="00AE4002"/>
    <w:rsid w:val="00AE53BB"/>
    <w:rsid w:val="00AE5553"/>
    <w:rsid w:val="00AE6D4B"/>
    <w:rsid w:val="00AE75F9"/>
    <w:rsid w:val="00AE7666"/>
    <w:rsid w:val="00AE7C98"/>
    <w:rsid w:val="00AE7E21"/>
    <w:rsid w:val="00AE7F5C"/>
    <w:rsid w:val="00AF06E4"/>
    <w:rsid w:val="00AF0868"/>
    <w:rsid w:val="00AF0AD2"/>
    <w:rsid w:val="00AF0B38"/>
    <w:rsid w:val="00AF2311"/>
    <w:rsid w:val="00AF2F58"/>
    <w:rsid w:val="00AF3468"/>
    <w:rsid w:val="00AF3AEF"/>
    <w:rsid w:val="00AF3BD5"/>
    <w:rsid w:val="00AF3C81"/>
    <w:rsid w:val="00AF3CC6"/>
    <w:rsid w:val="00AF4972"/>
    <w:rsid w:val="00AF4D4E"/>
    <w:rsid w:val="00AF4DA5"/>
    <w:rsid w:val="00AF5711"/>
    <w:rsid w:val="00AF5833"/>
    <w:rsid w:val="00AF59B1"/>
    <w:rsid w:val="00AF5C54"/>
    <w:rsid w:val="00AF5C5B"/>
    <w:rsid w:val="00AF5D43"/>
    <w:rsid w:val="00AF658C"/>
    <w:rsid w:val="00AF67B0"/>
    <w:rsid w:val="00AF6888"/>
    <w:rsid w:val="00AF6A67"/>
    <w:rsid w:val="00AF6CA5"/>
    <w:rsid w:val="00AF6D0C"/>
    <w:rsid w:val="00AF6E9D"/>
    <w:rsid w:val="00AF717F"/>
    <w:rsid w:val="00AF7301"/>
    <w:rsid w:val="00AF75DA"/>
    <w:rsid w:val="00B00692"/>
    <w:rsid w:val="00B008AC"/>
    <w:rsid w:val="00B0092E"/>
    <w:rsid w:val="00B013A5"/>
    <w:rsid w:val="00B018CA"/>
    <w:rsid w:val="00B019F2"/>
    <w:rsid w:val="00B01CE9"/>
    <w:rsid w:val="00B027ED"/>
    <w:rsid w:val="00B02A25"/>
    <w:rsid w:val="00B02EAF"/>
    <w:rsid w:val="00B032A5"/>
    <w:rsid w:val="00B039F8"/>
    <w:rsid w:val="00B047A4"/>
    <w:rsid w:val="00B05474"/>
    <w:rsid w:val="00B05DBF"/>
    <w:rsid w:val="00B066BD"/>
    <w:rsid w:val="00B06ABF"/>
    <w:rsid w:val="00B07069"/>
    <w:rsid w:val="00B074F9"/>
    <w:rsid w:val="00B07843"/>
    <w:rsid w:val="00B100BE"/>
    <w:rsid w:val="00B10340"/>
    <w:rsid w:val="00B10570"/>
    <w:rsid w:val="00B10AAB"/>
    <w:rsid w:val="00B10AD2"/>
    <w:rsid w:val="00B10B33"/>
    <w:rsid w:val="00B10E33"/>
    <w:rsid w:val="00B110CD"/>
    <w:rsid w:val="00B11939"/>
    <w:rsid w:val="00B11D8B"/>
    <w:rsid w:val="00B12AC4"/>
    <w:rsid w:val="00B1324C"/>
    <w:rsid w:val="00B13F30"/>
    <w:rsid w:val="00B1436D"/>
    <w:rsid w:val="00B1512E"/>
    <w:rsid w:val="00B1558E"/>
    <w:rsid w:val="00B155C5"/>
    <w:rsid w:val="00B15CC5"/>
    <w:rsid w:val="00B15E8B"/>
    <w:rsid w:val="00B16557"/>
    <w:rsid w:val="00B16838"/>
    <w:rsid w:val="00B16924"/>
    <w:rsid w:val="00B16AA9"/>
    <w:rsid w:val="00B17019"/>
    <w:rsid w:val="00B17169"/>
    <w:rsid w:val="00B20664"/>
    <w:rsid w:val="00B2077B"/>
    <w:rsid w:val="00B20DF1"/>
    <w:rsid w:val="00B211AB"/>
    <w:rsid w:val="00B2147B"/>
    <w:rsid w:val="00B214D8"/>
    <w:rsid w:val="00B2150D"/>
    <w:rsid w:val="00B216C5"/>
    <w:rsid w:val="00B21D68"/>
    <w:rsid w:val="00B21FC8"/>
    <w:rsid w:val="00B225D8"/>
    <w:rsid w:val="00B22DBD"/>
    <w:rsid w:val="00B23291"/>
    <w:rsid w:val="00B23292"/>
    <w:rsid w:val="00B234BD"/>
    <w:rsid w:val="00B238C6"/>
    <w:rsid w:val="00B23A85"/>
    <w:rsid w:val="00B23CD9"/>
    <w:rsid w:val="00B23FB0"/>
    <w:rsid w:val="00B24812"/>
    <w:rsid w:val="00B249D0"/>
    <w:rsid w:val="00B24AD9"/>
    <w:rsid w:val="00B25002"/>
    <w:rsid w:val="00B250AF"/>
    <w:rsid w:val="00B251F0"/>
    <w:rsid w:val="00B25F41"/>
    <w:rsid w:val="00B260F8"/>
    <w:rsid w:val="00B26CE3"/>
    <w:rsid w:val="00B26D34"/>
    <w:rsid w:val="00B26E24"/>
    <w:rsid w:val="00B273A9"/>
    <w:rsid w:val="00B27A3D"/>
    <w:rsid w:val="00B27CED"/>
    <w:rsid w:val="00B30216"/>
    <w:rsid w:val="00B3149B"/>
    <w:rsid w:val="00B31D29"/>
    <w:rsid w:val="00B31D5F"/>
    <w:rsid w:val="00B31DED"/>
    <w:rsid w:val="00B3206C"/>
    <w:rsid w:val="00B32120"/>
    <w:rsid w:val="00B3248E"/>
    <w:rsid w:val="00B32CDA"/>
    <w:rsid w:val="00B33705"/>
    <w:rsid w:val="00B33A27"/>
    <w:rsid w:val="00B34308"/>
    <w:rsid w:val="00B3450E"/>
    <w:rsid w:val="00B3463A"/>
    <w:rsid w:val="00B34D8B"/>
    <w:rsid w:val="00B35218"/>
    <w:rsid w:val="00B35835"/>
    <w:rsid w:val="00B36426"/>
    <w:rsid w:val="00B3652C"/>
    <w:rsid w:val="00B3673D"/>
    <w:rsid w:val="00B36BDB"/>
    <w:rsid w:val="00B3757A"/>
    <w:rsid w:val="00B37652"/>
    <w:rsid w:val="00B37EDE"/>
    <w:rsid w:val="00B40037"/>
    <w:rsid w:val="00B4026F"/>
    <w:rsid w:val="00B409E8"/>
    <w:rsid w:val="00B40B0D"/>
    <w:rsid w:val="00B41019"/>
    <w:rsid w:val="00B41EBD"/>
    <w:rsid w:val="00B41F7E"/>
    <w:rsid w:val="00B42359"/>
    <w:rsid w:val="00B4236A"/>
    <w:rsid w:val="00B4255B"/>
    <w:rsid w:val="00B426B6"/>
    <w:rsid w:val="00B42C5A"/>
    <w:rsid w:val="00B435B7"/>
    <w:rsid w:val="00B43678"/>
    <w:rsid w:val="00B436AE"/>
    <w:rsid w:val="00B4373D"/>
    <w:rsid w:val="00B44595"/>
    <w:rsid w:val="00B448A0"/>
    <w:rsid w:val="00B448EC"/>
    <w:rsid w:val="00B44D64"/>
    <w:rsid w:val="00B45C6D"/>
    <w:rsid w:val="00B462C6"/>
    <w:rsid w:val="00B46811"/>
    <w:rsid w:val="00B46859"/>
    <w:rsid w:val="00B468F6"/>
    <w:rsid w:val="00B46D59"/>
    <w:rsid w:val="00B46FD9"/>
    <w:rsid w:val="00B47B6A"/>
    <w:rsid w:val="00B47E7F"/>
    <w:rsid w:val="00B47E94"/>
    <w:rsid w:val="00B504B9"/>
    <w:rsid w:val="00B5078E"/>
    <w:rsid w:val="00B50EBB"/>
    <w:rsid w:val="00B512CA"/>
    <w:rsid w:val="00B51303"/>
    <w:rsid w:val="00B51403"/>
    <w:rsid w:val="00B515B9"/>
    <w:rsid w:val="00B5187B"/>
    <w:rsid w:val="00B52337"/>
    <w:rsid w:val="00B524FD"/>
    <w:rsid w:val="00B530A8"/>
    <w:rsid w:val="00B53813"/>
    <w:rsid w:val="00B53E79"/>
    <w:rsid w:val="00B53FA4"/>
    <w:rsid w:val="00B54AFB"/>
    <w:rsid w:val="00B54C97"/>
    <w:rsid w:val="00B54E35"/>
    <w:rsid w:val="00B55245"/>
    <w:rsid w:val="00B554BA"/>
    <w:rsid w:val="00B55A00"/>
    <w:rsid w:val="00B56584"/>
    <w:rsid w:val="00B567FE"/>
    <w:rsid w:val="00B56D7F"/>
    <w:rsid w:val="00B57BA8"/>
    <w:rsid w:val="00B57C45"/>
    <w:rsid w:val="00B57D10"/>
    <w:rsid w:val="00B57F11"/>
    <w:rsid w:val="00B60473"/>
    <w:rsid w:val="00B60628"/>
    <w:rsid w:val="00B6066E"/>
    <w:rsid w:val="00B60A7A"/>
    <w:rsid w:val="00B614FF"/>
    <w:rsid w:val="00B621ED"/>
    <w:rsid w:val="00B6237B"/>
    <w:rsid w:val="00B626F3"/>
    <w:rsid w:val="00B628A0"/>
    <w:rsid w:val="00B62BC2"/>
    <w:rsid w:val="00B62C50"/>
    <w:rsid w:val="00B62DF9"/>
    <w:rsid w:val="00B632E9"/>
    <w:rsid w:val="00B63AB2"/>
    <w:rsid w:val="00B63BA0"/>
    <w:rsid w:val="00B63E65"/>
    <w:rsid w:val="00B63FB4"/>
    <w:rsid w:val="00B646F0"/>
    <w:rsid w:val="00B651B4"/>
    <w:rsid w:val="00B65828"/>
    <w:rsid w:val="00B6585E"/>
    <w:rsid w:val="00B6649C"/>
    <w:rsid w:val="00B66550"/>
    <w:rsid w:val="00B669FC"/>
    <w:rsid w:val="00B673C0"/>
    <w:rsid w:val="00B679D2"/>
    <w:rsid w:val="00B70164"/>
    <w:rsid w:val="00B704A5"/>
    <w:rsid w:val="00B70FB3"/>
    <w:rsid w:val="00B712B9"/>
    <w:rsid w:val="00B71ABE"/>
    <w:rsid w:val="00B735C8"/>
    <w:rsid w:val="00B73A3D"/>
    <w:rsid w:val="00B73A55"/>
    <w:rsid w:val="00B73DAD"/>
    <w:rsid w:val="00B74169"/>
    <w:rsid w:val="00B7431C"/>
    <w:rsid w:val="00B744C5"/>
    <w:rsid w:val="00B749AB"/>
    <w:rsid w:val="00B74F01"/>
    <w:rsid w:val="00B74FC4"/>
    <w:rsid w:val="00B75161"/>
    <w:rsid w:val="00B7563F"/>
    <w:rsid w:val="00B756E4"/>
    <w:rsid w:val="00B757AA"/>
    <w:rsid w:val="00B763F0"/>
    <w:rsid w:val="00B76712"/>
    <w:rsid w:val="00B7686B"/>
    <w:rsid w:val="00B76A33"/>
    <w:rsid w:val="00B76F4E"/>
    <w:rsid w:val="00B77315"/>
    <w:rsid w:val="00B775C7"/>
    <w:rsid w:val="00B77A36"/>
    <w:rsid w:val="00B81060"/>
    <w:rsid w:val="00B810B8"/>
    <w:rsid w:val="00B81D29"/>
    <w:rsid w:val="00B81E47"/>
    <w:rsid w:val="00B8222B"/>
    <w:rsid w:val="00B82264"/>
    <w:rsid w:val="00B829D9"/>
    <w:rsid w:val="00B82C93"/>
    <w:rsid w:val="00B82D53"/>
    <w:rsid w:val="00B82E48"/>
    <w:rsid w:val="00B83F4B"/>
    <w:rsid w:val="00B84E07"/>
    <w:rsid w:val="00B8534A"/>
    <w:rsid w:val="00B8574E"/>
    <w:rsid w:val="00B85FE2"/>
    <w:rsid w:val="00B86573"/>
    <w:rsid w:val="00B86732"/>
    <w:rsid w:val="00B8697F"/>
    <w:rsid w:val="00B86C85"/>
    <w:rsid w:val="00B875A4"/>
    <w:rsid w:val="00B877F4"/>
    <w:rsid w:val="00B8797F"/>
    <w:rsid w:val="00B90E19"/>
    <w:rsid w:val="00B91025"/>
    <w:rsid w:val="00B9207A"/>
    <w:rsid w:val="00B92123"/>
    <w:rsid w:val="00B928D9"/>
    <w:rsid w:val="00B929EC"/>
    <w:rsid w:val="00B92C64"/>
    <w:rsid w:val="00B939BA"/>
    <w:rsid w:val="00B93D00"/>
    <w:rsid w:val="00B9405C"/>
    <w:rsid w:val="00B940DF"/>
    <w:rsid w:val="00B940E7"/>
    <w:rsid w:val="00B9454B"/>
    <w:rsid w:val="00B9523A"/>
    <w:rsid w:val="00B961BC"/>
    <w:rsid w:val="00B9633D"/>
    <w:rsid w:val="00B968FE"/>
    <w:rsid w:val="00B96EAE"/>
    <w:rsid w:val="00B971C1"/>
    <w:rsid w:val="00B97465"/>
    <w:rsid w:val="00B9787D"/>
    <w:rsid w:val="00BA004D"/>
    <w:rsid w:val="00BA058B"/>
    <w:rsid w:val="00BA0C4C"/>
    <w:rsid w:val="00BA138D"/>
    <w:rsid w:val="00BA18B0"/>
    <w:rsid w:val="00BA1976"/>
    <w:rsid w:val="00BA1BDA"/>
    <w:rsid w:val="00BA1C9F"/>
    <w:rsid w:val="00BA22CB"/>
    <w:rsid w:val="00BA2532"/>
    <w:rsid w:val="00BA2A49"/>
    <w:rsid w:val="00BA3404"/>
    <w:rsid w:val="00BA39F7"/>
    <w:rsid w:val="00BA3EFF"/>
    <w:rsid w:val="00BA4029"/>
    <w:rsid w:val="00BA43F7"/>
    <w:rsid w:val="00BA459C"/>
    <w:rsid w:val="00BA4E72"/>
    <w:rsid w:val="00BA5629"/>
    <w:rsid w:val="00BA57B2"/>
    <w:rsid w:val="00BA5A5C"/>
    <w:rsid w:val="00BA5D78"/>
    <w:rsid w:val="00BA67F1"/>
    <w:rsid w:val="00BA68E1"/>
    <w:rsid w:val="00BA6E60"/>
    <w:rsid w:val="00BA7842"/>
    <w:rsid w:val="00BA7CBF"/>
    <w:rsid w:val="00BA7F96"/>
    <w:rsid w:val="00BB061C"/>
    <w:rsid w:val="00BB1900"/>
    <w:rsid w:val="00BB1A63"/>
    <w:rsid w:val="00BB1E50"/>
    <w:rsid w:val="00BB22F7"/>
    <w:rsid w:val="00BB36D8"/>
    <w:rsid w:val="00BB3D8E"/>
    <w:rsid w:val="00BB4A08"/>
    <w:rsid w:val="00BB5C41"/>
    <w:rsid w:val="00BB61CE"/>
    <w:rsid w:val="00BB6868"/>
    <w:rsid w:val="00BB6948"/>
    <w:rsid w:val="00BB69C2"/>
    <w:rsid w:val="00BB69EA"/>
    <w:rsid w:val="00BB6AE9"/>
    <w:rsid w:val="00BB6C8A"/>
    <w:rsid w:val="00BB7727"/>
    <w:rsid w:val="00BB7AEC"/>
    <w:rsid w:val="00BC0438"/>
    <w:rsid w:val="00BC0463"/>
    <w:rsid w:val="00BC0703"/>
    <w:rsid w:val="00BC0AAF"/>
    <w:rsid w:val="00BC0FCA"/>
    <w:rsid w:val="00BC14BE"/>
    <w:rsid w:val="00BC1B8F"/>
    <w:rsid w:val="00BC1DBF"/>
    <w:rsid w:val="00BC1EE9"/>
    <w:rsid w:val="00BC1FC8"/>
    <w:rsid w:val="00BC2283"/>
    <w:rsid w:val="00BC2F1E"/>
    <w:rsid w:val="00BC322F"/>
    <w:rsid w:val="00BC35AC"/>
    <w:rsid w:val="00BC3791"/>
    <w:rsid w:val="00BC3BBE"/>
    <w:rsid w:val="00BC3DB8"/>
    <w:rsid w:val="00BC3F17"/>
    <w:rsid w:val="00BC3F78"/>
    <w:rsid w:val="00BC3FFD"/>
    <w:rsid w:val="00BC48AB"/>
    <w:rsid w:val="00BC48C6"/>
    <w:rsid w:val="00BC4DD4"/>
    <w:rsid w:val="00BC4E91"/>
    <w:rsid w:val="00BC51BC"/>
    <w:rsid w:val="00BC5219"/>
    <w:rsid w:val="00BC613A"/>
    <w:rsid w:val="00BC6378"/>
    <w:rsid w:val="00BC64BF"/>
    <w:rsid w:val="00BC6A08"/>
    <w:rsid w:val="00BC6AEB"/>
    <w:rsid w:val="00BC768B"/>
    <w:rsid w:val="00BC772A"/>
    <w:rsid w:val="00BC7829"/>
    <w:rsid w:val="00BC788D"/>
    <w:rsid w:val="00BC7BAB"/>
    <w:rsid w:val="00BD03BA"/>
    <w:rsid w:val="00BD088E"/>
    <w:rsid w:val="00BD0B76"/>
    <w:rsid w:val="00BD0FE9"/>
    <w:rsid w:val="00BD1661"/>
    <w:rsid w:val="00BD18A7"/>
    <w:rsid w:val="00BD1907"/>
    <w:rsid w:val="00BD209D"/>
    <w:rsid w:val="00BD2180"/>
    <w:rsid w:val="00BD2400"/>
    <w:rsid w:val="00BD2493"/>
    <w:rsid w:val="00BD2972"/>
    <w:rsid w:val="00BD2980"/>
    <w:rsid w:val="00BD2C18"/>
    <w:rsid w:val="00BD2E0F"/>
    <w:rsid w:val="00BD383D"/>
    <w:rsid w:val="00BD4556"/>
    <w:rsid w:val="00BD4710"/>
    <w:rsid w:val="00BD490C"/>
    <w:rsid w:val="00BD5627"/>
    <w:rsid w:val="00BD579A"/>
    <w:rsid w:val="00BD6143"/>
    <w:rsid w:val="00BD61C4"/>
    <w:rsid w:val="00BD677D"/>
    <w:rsid w:val="00BD7657"/>
    <w:rsid w:val="00BD766F"/>
    <w:rsid w:val="00BD7731"/>
    <w:rsid w:val="00BD7C94"/>
    <w:rsid w:val="00BD7CA0"/>
    <w:rsid w:val="00BD7E9E"/>
    <w:rsid w:val="00BE0272"/>
    <w:rsid w:val="00BE0A0D"/>
    <w:rsid w:val="00BE0D14"/>
    <w:rsid w:val="00BE1089"/>
    <w:rsid w:val="00BE1215"/>
    <w:rsid w:val="00BE152A"/>
    <w:rsid w:val="00BE1855"/>
    <w:rsid w:val="00BE1AE5"/>
    <w:rsid w:val="00BE1EA8"/>
    <w:rsid w:val="00BE29EB"/>
    <w:rsid w:val="00BE3EA4"/>
    <w:rsid w:val="00BE41BD"/>
    <w:rsid w:val="00BE46BD"/>
    <w:rsid w:val="00BE4A44"/>
    <w:rsid w:val="00BE4E1D"/>
    <w:rsid w:val="00BE5542"/>
    <w:rsid w:val="00BE5C3F"/>
    <w:rsid w:val="00BE5FB1"/>
    <w:rsid w:val="00BE6206"/>
    <w:rsid w:val="00BE63A0"/>
    <w:rsid w:val="00BE6579"/>
    <w:rsid w:val="00BE6C2A"/>
    <w:rsid w:val="00BE6F7E"/>
    <w:rsid w:val="00BE7008"/>
    <w:rsid w:val="00BE7364"/>
    <w:rsid w:val="00BE7503"/>
    <w:rsid w:val="00BE7ED9"/>
    <w:rsid w:val="00BF08EE"/>
    <w:rsid w:val="00BF0BD8"/>
    <w:rsid w:val="00BF0F3C"/>
    <w:rsid w:val="00BF158D"/>
    <w:rsid w:val="00BF1771"/>
    <w:rsid w:val="00BF1986"/>
    <w:rsid w:val="00BF1BBE"/>
    <w:rsid w:val="00BF1CB1"/>
    <w:rsid w:val="00BF1D2B"/>
    <w:rsid w:val="00BF1DE9"/>
    <w:rsid w:val="00BF2002"/>
    <w:rsid w:val="00BF2354"/>
    <w:rsid w:val="00BF2556"/>
    <w:rsid w:val="00BF2F0E"/>
    <w:rsid w:val="00BF2F5F"/>
    <w:rsid w:val="00BF3E3B"/>
    <w:rsid w:val="00BF4078"/>
    <w:rsid w:val="00BF479A"/>
    <w:rsid w:val="00BF4CA2"/>
    <w:rsid w:val="00BF4F01"/>
    <w:rsid w:val="00BF4F81"/>
    <w:rsid w:val="00BF5368"/>
    <w:rsid w:val="00BF55FF"/>
    <w:rsid w:val="00BF56CC"/>
    <w:rsid w:val="00BF5739"/>
    <w:rsid w:val="00BF594E"/>
    <w:rsid w:val="00BF59CD"/>
    <w:rsid w:val="00BF63DC"/>
    <w:rsid w:val="00BF68E0"/>
    <w:rsid w:val="00BF6BB4"/>
    <w:rsid w:val="00BF6E99"/>
    <w:rsid w:val="00BF701B"/>
    <w:rsid w:val="00BF7792"/>
    <w:rsid w:val="00BF7A9B"/>
    <w:rsid w:val="00BF7BDB"/>
    <w:rsid w:val="00C009AF"/>
    <w:rsid w:val="00C00A57"/>
    <w:rsid w:val="00C0144E"/>
    <w:rsid w:val="00C01F5F"/>
    <w:rsid w:val="00C02065"/>
    <w:rsid w:val="00C02416"/>
    <w:rsid w:val="00C02585"/>
    <w:rsid w:val="00C028A0"/>
    <w:rsid w:val="00C0317B"/>
    <w:rsid w:val="00C031D2"/>
    <w:rsid w:val="00C0320C"/>
    <w:rsid w:val="00C03372"/>
    <w:rsid w:val="00C03492"/>
    <w:rsid w:val="00C034E3"/>
    <w:rsid w:val="00C04B8A"/>
    <w:rsid w:val="00C05430"/>
    <w:rsid w:val="00C05483"/>
    <w:rsid w:val="00C055E0"/>
    <w:rsid w:val="00C0563C"/>
    <w:rsid w:val="00C0581A"/>
    <w:rsid w:val="00C05FE2"/>
    <w:rsid w:val="00C062D4"/>
    <w:rsid w:val="00C06425"/>
    <w:rsid w:val="00C066EF"/>
    <w:rsid w:val="00C06A42"/>
    <w:rsid w:val="00C06C17"/>
    <w:rsid w:val="00C06CA1"/>
    <w:rsid w:val="00C0701B"/>
    <w:rsid w:val="00C073F4"/>
    <w:rsid w:val="00C078D5"/>
    <w:rsid w:val="00C07B22"/>
    <w:rsid w:val="00C10567"/>
    <w:rsid w:val="00C1079E"/>
    <w:rsid w:val="00C108C2"/>
    <w:rsid w:val="00C11084"/>
    <w:rsid w:val="00C11BC4"/>
    <w:rsid w:val="00C11DC3"/>
    <w:rsid w:val="00C11ECD"/>
    <w:rsid w:val="00C121ED"/>
    <w:rsid w:val="00C122F7"/>
    <w:rsid w:val="00C12357"/>
    <w:rsid w:val="00C12901"/>
    <w:rsid w:val="00C12B69"/>
    <w:rsid w:val="00C12C26"/>
    <w:rsid w:val="00C133CF"/>
    <w:rsid w:val="00C1344F"/>
    <w:rsid w:val="00C13E94"/>
    <w:rsid w:val="00C14120"/>
    <w:rsid w:val="00C14306"/>
    <w:rsid w:val="00C148E6"/>
    <w:rsid w:val="00C14917"/>
    <w:rsid w:val="00C14DA6"/>
    <w:rsid w:val="00C15CF5"/>
    <w:rsid w:val="00C16311"/>
    <w:rsid w:val="00C163CB"/>
    <w:rsid w:val="00C1644D"/>
    <w:rsid w:val="00C167AF"/>
    <w:rsid w:val="00C16E9B"/>
    <w:rsid w:val="00C17131"/>
    <w:rsid w:val="00C17DFF"/>
    <w:rsid w:val="00C17F53"/>
    <w:rsid w:val="00C20E78"/>
    <w:rsid w:val="00C20EDE"/>
    <w:rsid w:val="00C214A0"/>
    <w:rsid w:val="00C21DCE"/>
    <w:rsid w:val="00C21E26"/>
    <w:rsid w:val="00C21F99"/>
    <w:rsid w:val="00C2227E"/>
    <w:rsid w:val="00C226FA"/>
    <w:rsid w:val="00C22817"/>
    <w:rsid w:val="00C22A09"/>
    <w:rsid w:val="00C22DF9"/>
    <w:rsid w:val="00C237B9"/>
    <w:rsid w:val="00C24338"/>
    <w:rsid w:val="00C2546A"/>
    <w:rsid w:val="00C25A29"/>
    <w:rsid w:val="00C263FD"/>
    <w:rsid w:val="00C26B8B"/>
    <w:rsid w:val="00C26CC1"/>
    <w:rsid w:val="00C26D1C"/>
    <w:rsid w:val="00C26F5E"/>
    <w:rsid w:val="00C2703C"/>
    <w:rsid w:val="00C27118"/>
    <w:rsid w:val="00C2713C"/>
    <w:rsid w:val="00C2735D"/>
    <w:rsid w:val="00C27460"/>
    <w:rsid w:val="00C27A9F"/>
    <w:rsid w:val="00C27C99"/>
    <w:rsid w:val="00C27D5B"/>
    <w:rsid w:val="00C27E47"/>
    <w:rsid w:val="00C302D1"/>
    <w:rsid w:val="00C305BF"/>
    <w:rsid w:val="00C30BAB"/>
    <w:rsid w:val="00C3106A"/>
    <w:rsid w:val="00C31077"/>
    <w:rsid w:val="00C311C6"/>
    <w:rsid w:val="00C31224"/>
    <w:rsid w:val="00C3165F"/>
    <w:rsid w:val="00C31947"/>
    <w:rsid w:val="00C31AED"/>
    <w:rsid w:val="00C31C37"/>
    <w:rsid w:val="00C31C40"/>
    <w:rsid w:val="00C31F96"/>
    <w:rsid w:val="00C32332"/>
    <w:rsid w:val="00C32C69"/>
    <w:rsid w:val="00C32D48"/>
    <w:rsid w:val="00C32E74"/>
    <w:rsid w:val="00C33175"/>
    <w:rsid w:val="00C332D7"/>
    <w:rsid w:val="00C33405"/>
    <w:rsid w:val="00C33557"/>
    <w:rsid w:val="00C336E1"/>
    <w:rsid w:val="00C337DF"/>
    <w:rsid w:val="00C3384D"/>
    <w:rsid w:val="00C33D23"/>
    <w:rsid w:val="00C3462F"/>
    <w:rsid w:val="00C34C86"/>
    <w:rsid w:val="00C35049"/>
    <w:rsid w:val="00C35BC6"/>
    <w:rsid w:val="00C35D41"/>
    <w:rsid w:val="00C36471"/>
    <w:rsid w:val="00C36C95"/>
    <w:rsid w:val="00C36FED"/>
    <w:rsid w:val="00C37AB4"/>
    <w:rsid w:val="00C40CF8"/>
    <w:rsid w:val="00C41204"/>
    <w:rsid w:val="00C41370"/>
    <w:rsid w:val="00C41693"/>
    <w:rsid w:val="00C419B0"/>
    <w:rsid w:val="00C41BDE"/>
    <w:rsid w:val="00C41E8C"/>
    <w:rsid w:val="00C41F5E"/>
    <w:rsid w:val="00C42360"/>
    <w:rsid w:val="00C423C7"/>
    <w:rsid w:val="00C4279E"/>
    <w:rsid w:val="00C42A14"/>
    <w:rsid w:val="00C42E37"/>
    <w:rsid w:val="00C43422"/>
    <w:rsid w:val="00C4376C"/>
    <w:rsid w:val="00C43778"/>
    <w:rsid w:val="00C43F30"/>
    <w:rsid w:val="00C43F9B"/>
    <w:rsid w:val="00C440C3"/>
    <w:rsid w:val="00C44247"/>
    <w:rsid w:val="00C44555"/>
    <w:rsid w:val="00C451C8"/>
    <w:rsid w:val="00C45237"/>
    <w:rsid w:val="00C453DB"/>
    <w:rsid w:val="00C46C46"/>
    <w:rsid w:val="00C473F0"/>
    <w:rsid w:val="00C474DC"/>
    <w:rsid w:val="00C47672"/>
    <w:rsid w:val="00C47A91"/>
    <w:rsid w:val="00C47DB9"/>
    <w:rsid w:val="00C50621"/>
    <w:rsid w:val="00C5096E"/>
    <w:rsid w:val="00C50C2A"/>
    <w:rsid w:val="00C50C60"/>
    <w:rsid w:val="00C50D17"/>
    <w:rsid w:val="00C50D22"/>
    <w:rsid w:val="00C50D63"/>
    <w:rsid w:val="00C51262"/>
    <w:rsid w:val="00C51951"/>
    <w:rsid w:val="00C51B68"/>
    <w:rsid w:val="00C52019"/>
    <w:rsid w:val="00C5205D"/>
    <w:rsid w:val="00C52486"/>
    <w:rsid w:val="00C52725"/>
    <w:rsid w:val="00C537E2"/>
    <w:rsid w:val="00C53DB7"/>
    <w:rsid w:val="00C542ED"/>
    <w:rsid w:val="00C54CAB"/>
    <w:rsid w:val="00C550D6"/>
    <w:rsid w:val="00C5516C"/>
    <w:rsid w:val="00C55368"/>
    <w:rsid w:val="00C55998"/>
    <w:rsid w:val="00C55FAD"/>
    <w:rsid w:val="00C565E6"/>
    <w:rsid w:val="00C567A2"/>
    <w:rsid w:val="00C567B7"/>
    <w:rsid w:val="00C56B58"/>
    <w:rsid w:val="00C56C71"/>
    <w:rsid w:val="00C56F42"/>
    <w:rsid w:val="00C57524"/>
    <w:rsid w:val="00C576DA"/>
    <w:rsid w:val="00C5786F"/>
    <w:rsid w:val="00C57A96"/>
    <w:rsid w:val="00C57AAF"/>
    <w:rsid w:val="00C57D0B"/>
    <w:rsid w:val="00C57F91"/>
    <w:rsid w:val="00C6043A"/>
    <w:rsid w:val="00C60446"/>
    <w:rsid w:val="00C60A0B"/>
    <w:rsid w:val="00C60E00"/>
    <w:rsid w:val="00C617BE"/>
    <w:rsid w:val="00C62BB3"/>
    <w:rsid w:val="00C62BC6"/>
    <w:rsid w:val="00C62F59"/>
    <w:rsid w:val="00C631B8"/>
    <w:rsid w:val="00C6345F"/>
    <w:rsid w:val="00C63B43"/>
    <w:rsid w:val="00C644F1"/>
    <w:rsid w:val="00C652EE"/>
    <w:rsid w:val="00C65466"/>
    <w:rsid w:val="00C65A3A"/>
    <w:rsid w:val="00C65CF2"/>
    <w:rsid w:val="00C65ED9"/>
    <w:rsid w:val="00C664E7"/>
    <w:rsid w:val="00C668BD"/>
    <w:rsid w:val="00C66B33"/>
    <w:rsid w:val="00C66BA4"/>
    <w:rsid w:val="00C67260"/>
    <w:rsid w:val="00C70004"/>
    <w:rsid w:val="00C70DEA"/>
    <w:rsid w:val="00C71C7C"/>
    <w:rsid w:val="00C72020"/>
    <w:rsid w:val="00C72062"/>
    <w:rsid w:val="00C723F1"/>
    <w:rsid w:val="00C7241D"/>
    <w:rsid w:val="00C726B6"/>
    <w:rsid w:val="00C72820"/>
    <w:rsid w:val="00C72CA8"/>
    <w:rsid w:val="00C73D1F"/>
    <w:rsid w:val="00C749B3"/>
    <w:rsid w:val="00C74CDB"/>
    <w:rsid w:val="00C75E03"/>
    <w:rsid w:val="00C75EDF"/>
    <w:rsid w:val="00C76004"/>
    <w:rsid w:val="00C76356"/>
    <w:rsid w:val="00C76734"/>
    <w:rsid w:val="00C76BC0"/>
    <w:rsid w:val="00C77503"/>
    <w:rsid w:val="00C7790A"/>
    <w:rsid w:val="00C77BA6"/>
    <w:rsid w:val="00C77BE5"/>
    <w:rsid w:val="00C77E4C"/>
    <w:rsid w:val="00C80072"/>
    <w:rsid w:val="00C801C3"/>
    <w:rsid w:val="00C802B3"/>
    <w:rsid w:val="00C80374"/>
    <w:rsid w:val="00C81106"/>
    <w:rsid w:val="00C81180"/>
    <w:rsid w:val="00C816F1"/>
    <w:rsid w:val="00C81AC1"/>
    <w:rsid w:val="00C826EE"/>
    <w:rsid w:val="00C82867"/>
    <w:rsid w:val="00C82DCA"/>
    <w:rsid w:val="00C82E03"/>
    <w:rsid w:val="00C82F60"/>
    <w:rsid w:val="00C831DF"/>
    <w:rsid w:val="00C83861"/>
    <w:rsid w:val="00C83A0F"/>
    <w:rsid w:val="00C83D3B"/>
    <w:rsid w:val="00C8423D"/>
    <w:rsid w:val="00C8447F"/>
    <w:rsid w:val="00C8496E"/>
    <w:rsid w:val="00C84AC5"/>
    <w:rsid w:val="00C85490"/>
    <w:rsid w:val="00C859BA"/>
    <w:rsid w:val="00C85C22"/>
    <w:rsid w:val="00C86003"/>
    <w:rsid w:val="00C860FF"/>
    <w:rsid w:val="00C86BC2"/>
    <w:rsid w:val="00C86ED7"/>
    <w:rsid w:val="00C8747B"/>
    <w:rsid w:val="00C90103"/>
    <w:rsid w:val="00C9022C"/>
    <w:rsid w:val="00C90322"/>
    <w:rsid w:val="00C91552"/>
    <w:rsid w:val="00C9235E"/>
    <w:rsid w:val="00C923B8"/>
    <w:rsid w:val="00C92578"/>
    <w:rsid w:val="00C92CC6"/>
    <w:rsid w:val="00C94152"/>
    <w:rsid w:val="00C9451D"/>
    <w:rsid w:val="00C948D6"/>
    <w:rsid w:val="00C949D7"/>
    <w:rsid w:val="00C94BFF"/>
    <w:rsid w:val="00C94DB0"/>
    <w:rsid w:val="00C94EFE"/>
    <w:rsid w:val="00C94F1A"/>
    <w:rsid w:val="00C9568B"/>
    <w:rsid w:val="00C95CC2"/>
    <w:rsid w:val="00C95E0F"/>
    <w:rsid w:val="00C9638C"/>
    <w:rsid w:val="00C969C6"/>
    <w:rsid w:val="00C96C40"/>
    <w:rsid w:val="00C96DB7"/>
    <w:rsid w:val="00C97C4B"/>
    <w:rsid w:val="00C97DB0"/>
    <w:rsid w:val="00C97F38"/>
    <w:rsid w:val="00C97FB7"/>
    <w:rsid w:val="00CA0538"/>
    <w:rsid w:val="00CA096B"/>
    <w:rsid w:val="00CA18A1"/>
    <w:rsid w:val="00CA1C43"/>
    <w:rsid w:val="00CA211D"/>
    <w:rsid w:val="00CA22DE"/>
    <w:rsid w:val="00CA259B"/>
    <w:rsid w:val="00CA26DE"/>
    <w:rsid w:val="00CA2B74"/>
    <w:rsid w:val="00CA332E"/>
    <w:rsid w:val="00CA345A"/>
    <w:rsid w:val="00CA390C"/>
    <w:rsid w:val="00CA393D"/>
    <w:rsid w:val="00CA3D16"/>
    <w:rsid w:val="00CA47D3"/>
    <w:rsid w:val="00CA4E24"/>
    <w:rsid w:val="00CA50C9"/>
    <w:rsid w:val="00CA56C1"/>
    <w:rsid w:val="00CA60EC"/>
    <w:rsid w:val="00CA64D4"/>
    <w:rsid w:val="00CA66DB"/>
    <w:rsid w:val="00CA6F13"/>
    <w:rsid w:val="00CA7608"/>
    <w:rsid w:val="00CB0363"/>
    <w:rsid w:val="00CB0665"/>
    <w:rsid w:val="00CB06CB"/>
    <w:rsid w:val="00CB08B0"/>
    <w:rsid w:val="00CB0E0F"/>
    <w:rsid w:val="00CB0E70"/>
    <w:rsid w:val="00CB1025"/>
    <w:rsid w:val="00CB105F"/>
    <w:rsid w:val="00CB14FA"/>
    <w:rsid w:val="00CB1F62"/>
    <w:rsid w:val="00CB23E4"/>
    <w:rsid w:val="00CB2964"/>
    <w:rsid w:val="00CB2BAB"/>
    <w:rsid w:val="00CB2FC2"/>
    <w:rsid w:val="00CB325B"/>
    <w:rsid w:val="00CB3286"/>
    <w:rsid w:val="00CB3996"/>
    <w:rsid w:val="00CB3D51"/>
    <w:rsid w:val="00CB3DC2"/>
    <w:rsid w:val="00CB3F2E"/>
    <w:rsid w:val="00CB46A1"/>
    <w:rsid w:val="00CB4F35"/>
    <w:rsid w:val="00CB53AF"/>
    <w:rsid w:val="00CB55D6"/>
    <w:rsid w:val="00CB5731"/>
    <w:rsid w:val="00CB5803"/>
    <w:rsid w:val="00CB5C5E"/>
    <w:rsid w:val="00CB63DB"/>
    <w:rsid w:val="00CB667E"/>
    <w:rsid w:val="00CB6AE7"/>
    <w:rsid w:val="00CB71DF"/>
    <w:rsid w:val="00CB78CD"/>
    <w:rsid w:val="00CC00BB"/>
    <w:rsid w:val="00CC0C43"/>
    <w:rsid w:val="00CC128F"/>
    <w:rsid w:val="00CC148B"/>
    <w:rsid w:val="00CC14A5"/>
    <w:rsid w:val="00CC18DC"/>
    <w:rsid w:val="00CC1991"/>
    <w:rsid w:val="00CC1C4D"/>
    <w:rsid w:val="00CC1FB5"/>
    <w:rsid w:val="00CC2576"/>
    <w:rsid w:val="00CC3A23"/>
    <w:rsid w:val="00CC3AF9"/>
    <w:rsid w:val="00CC3B76"/>
    <w:rsid w:val="00CC48BD"/>
    <w:rsid w:val="00CC48FC"/>
    <w:rsid w:val="00CC4F94"/>
    <w:rsid w:val="00CC540A"/>
    <w:rsid w:val="00CC609D"/>
    <w:rsid w:val="00CC60B2"/>
    <w:rsid w:val="00CC61D8"/>
    <w:rsid w:val="00CC6995"/>
    <w:rsid w:val="00CC72E5"/>
    <w:rsid w:val="00CC7559"/>
    <w:rsid w:val="00CC79D0"/>
    <w:rsid w:val="00CD0238"/>
    <w:rsid w:val="00CD0866"/>
    <w:rsid w:val="00CD0A2E"/>
    <w:rsid w:val="00CD1128"/>
    <w:rsid w:val="00CD1408"/>
    <w:rsid w:val="00CD177C"/>
    <w:rsid w:val="00CD17F5"/>
    <w:rsid w:val="00CD18CC"/>
    <w:rsid w:val="00CD1ABC"/>
    <w:rsid w:val="00CD1E15"/>
    <w:rsid w:val="00CD2A44"/>
    <w:rsid w:val="00CD2C52"/>
    <w:rsid w:val="00CD2C81"/>
    <w:rsid w:val="00CD3389"/>
    <w:rsid w:val="00CD3D74"/>
    <w:rsid w:val="00CD3DBF"/>
    <w:rsid w:val="00CD3E93"/>
    <w:rsid w:val="00CD4C92"/>
    <w:rsid w:val="00CD4CCD"/>
    <w:rsid w:val="00CD5365"/>
    <w:rsid w:val="00CD5853"/>
    <w:rsid w:val="00CD6427"/>
    <w:rsid w:val="00CD648F"/>
    <w:rsid w:val="00CD6D15"/>
    <w:rsid w:val="00CD6E28"/>
    <w:rsid w:val="00CD6FD8"/>
    <w:rsid w:val="00CD736B"/>
    <w:rsid w:val="00CD7D27"/>
    <w:rsid w:val="00CE02C8"/>
    <w:rsid w:val="00CE0404"/>
    <w:rsid w:val="00CE0608"/>
    <w:rsid w:val="00CE09D1"/>
    <w:rsid w:val="00CE0E5C"/>
    <w:rsid w:val="00CE100F"/>
    <w:rsid w:val="00CE1374"/>
    <w:rsid w:val="00CE1966"/>
    <w:rsid w:val="00CE2117"/>
    <w:rsid w:val="00CE2278"/>
    <w:rsid w:val="00CE22D5"/>
    <w:rsid w:val="00CE2502"/>
    <w:rsid w:val="00CE25A4"/>
    <w:rsid w:val="00CE3250"/>
    <w:rsid w:val="00CE3867"/>
    <w:rsid w:val="00CE3F54"/>
    <w:rsid w:val="00CE5401"/>
    <w:rsid w:val="00CE573A"/>
    <w:rsid w:val="00CE5929"/>
    <w:rsid w:val="00CE5C37"/>
    <w:rsid w:val="00CE5D8B"/>
    <w:rsid w:val="00CE5DAE"/>
    <w:rsid w:val="00CE6457"/>
    <w:rsid w:val="00CE64E4"/>
    <w:rsid w:val="00CE67D6"/>
    <w:rsid w:val="00CE6E1B"/>
    <w:rsid w:val="00CE7092"/>
    <w:rsid w:val="00CE73C2"/>
    <w:rsid w:val="00CE744F"/>
    <w:rsid w:val="00CE74DB"/>
    <w:rsid w:val="00CE7807"/>
    <w:rsid w:val="00CE78CA"/>
    <w:rsid w:val="00CE7B50"/>
    <w:rsid w:val="00CF03DC"/>
    <w:rsid w:val="00CF06BA"/>
    <w:rsid w:val="00CF103C"/>
    <w:rsid w:val="00CF111E"/>
    <w:rsid w:val="00CF1251"/>
    <w:rsid w:val="00CF14DF"/>
    <w:rsid w:val="00CF1AE7"/>
    <w:rsid w:val="00CF1F3E"/>
    <w:rsid w:val="00CF1F6B"/>
    <w:rsid w:val="00CF2247"/>
    <w:rsid w:val="00CF2A64"/>
    <w:rsid w:val="00CF2D79"/>
    <w:rsid w:val="00CF2DC1"/>
    <w:rsid w:val="00CF31C1"/>
    <w:rsid w:val="00CF32DC"/>
    <w:rsid w:val="00CF335C"/>
    <w:rsid w:val="00CF346E"/>
    <w:rsid w:val="00CF389D"/>
    <w:rsid w:val="00CF38F9"/>
    <w:rsid w:val="00CF42B8"/>
    <w:rsid w:val="00CF42C3"/>
    <w:rsid w:val="00CF4B04"/>
    <w:rsid w:val="00CF4B56"/>
    <w:rsid w:val="00CF508A"/>
    <w:rsid w:val="00CF52C7"/>
    <w:rsid w:val="00CF5932"/>
    <w:rsid w:val="00CF6756"/>
    <w:rsid w:val="00CF6E2E"/>
    <w:rsid w:val="00CF7655"/>
    <w:rsid w:val="00D002A3"/>
    <w:rsid w:val="00D00D86"/>
    <w:rsid w:val="00D01C1B"/>
    <w:rsid w:val="00D01D45"/>
    <w:rsid w:val="00D02C7F"/>
    <w:rsid w:val="00D02F55"/>
    <w:rsid w:val="00D04D5E"/>
    <w:rsid w:val="00D04E71"/>
    <w:rsid w:val="00D05AAE"/>
    <w:rsid w:val="00D069C9"/>
    <w:rsid w:val="00D06A4C"/>
    <w:rsid w:val="00D06C78"/>
    <w:rsid w:val="00D06F47"/>
    <w:rsid w:val="00D07440"/>
    <w:rsid w:val="00D07D71"/>
    <w:rsid w:val="00D1043D"/>
    <w:rsid w:val="00D10C26"/>
    <w:rsid w:val="00D1155C"/>
    <w:rsid w:val="00D11594"/>
    <w:rsid w:val="00D11983"/>
    <w:rsid w:val="00D11AFB"/>
    <w:rsid w:val="00D1217E"/>
    <w:rsid w:val="00D12A33"/>
    <w:rsid w:val="00D12F3D"/>
    <w:rsid w:val="00D13044"/>
    <w:rsid w:val="00D13169"/>
    <w:rsid w:val="00D132DF"/>
    <w:rsid w:val="00D13C6E"/>
    <w:rsid w:val="00D13DF4"/>
    <w:rsid w:val="00D140C6"/>
    <w:rsid w:val="00D141BC"/>
    <w:rsid w:val="00D14511"/>
    <w:rsid w:val="00D14538"/>
    <w:rsid w:val="00D14D42"/>
    <w:rsid w:val="00D14DA5"/>
    <w:rsid w:val="00D150B1"/>
    <w:rsid w:val="00D158D5"/>
    <w:rsid w:val="00D1595F"/>
    <w:rsid w:val="00D15BCB"/>
    <w:rsid w:val="00D17742"/>
    <w:rsid w:val="00D178B7"/>
    <w:rsid w:val="00D17F4E"/>
    <w:rsid w:val="00D208D4"/>
    <w:rsid w:val="00D20B8E"/>
    <w:rsid w:val="00D20C73"/>
    <w:rsid w:val="00D20E16"/>
    <w:rsid w:val="00D21D6E"/>
    <w:rsid w:val="00D228EE"/>
    <w:rsid w:val="00D2413E"/>
    <w:rsid w:val="00D24568"/>
    <w:rsid w:val="00D24B71"/>
    <w:rsid w:val="00D24F67"/>
    <w:rsid w:val="00D26A13"/>
    <w:rsid w:val="00D27218"/>
    <w:rsid w:val="00D275E5"/>
    <w:rsid w:val="00D275EF"/>
    <w:rsid w:val="00D27888"/>
    <w:rsid w:val="00D27A7F"/>
    <w:rsid w:val="00D27FA9"/>
    <w:rsid w:val="00D305BC"/>
    <w:rsid w:val="00D3083E"/>
    <w:rsid w:val="00D30AF0"/>
    <w:rsid w:val="00D30CAC"/>
    <w:rsid w:val="00D30ED3"/>
    <w:rsid w:val="00D310E0"/>
    <w:rsid w:val="00D31684"/>
    <w:rsid w:val="00D31CA7"/>
    <w:rsid w:val="00D322C8"/>
    <w:rsid w:val="00D32585"/>
    <w:rsid w:val="00D32878"/>
    <w:rsid w:val="00D328C5"/>
    <w:rsid w:val="00D3293D"/>
    <w:rsid w:val="00D32D9A"/>
    <w:rsid w:val="00D32E91"/>
    <w:rsid w:val="00D3350F"/>
    <w:rsid w:val="00D342A2"/>
    <w:rsid w:val="00D34506"/>
    <w:rsid w:val="00D34A46"/>
    <w:rsid w:val="00D34B50"/>
    <w:rsid w:val="00D34CCB"/>
    <w:rsid w:val="00D34F7F"/>
    <w:rsid w:val="00D35326"/>
    <w:rsid w:val="00D3558A"/>
    <w:rsid w:val="00D35B63"/>
    <w:rsid w:val="00D35EC4"/>
    <w:rsid w:val="00D36373"/>
    <w:rsid w:val="00D36423"/>
    <w:rsid w:val="00D36A50"/>
    <w:rsid w:val="00D371B2"/>
    <w:rsid w:val="00D37258"/>
    <w:rsid w:val="00D374E9"/>
    <w:rsid w:val="00D37C80"/>
    <w:rsid w:val="00D400CA"/>
    <w:rsid w:val="00D4028C"/>
    <w:rsid w:val="00D40383"/>
    <w:rsid w:val="00D40789"/>
    <w:rsid w:val="00D40BA9"/>
    <w:rsid w:val="00D40CC0"/>
    <w:rsid w:val="00D4121D"/>
    <w:rsid w:val="00D41526"/>
    <w:rsid w:val="00D416AB"/>
    <w:rsid w:val="00D41A3B"/>
    <w:rsid w:val="00D41BF8"/>
    <w:rsid w:val="00D41CDF"/>
    <w:rsid w:val="00D42381"/>
    <w:rsid w:val="00D426BF"/>
    <w:rsid w:val="00D42FCF"/>
    <w:rsid w:val="00D43081"/>
    <w:rsid w:val="00D43132"/>
    <w:rsid w:val="00D4345D"/>
    <w:rsid w:val="00D435C2"/>
    <w:rsid w:val="00D435EC"/>
    <w:rsid w:val="00D43BF2"/>
    <w:rsid w:val="00D43DA9"/>
    <w:rsid w:val="00D43EEA"/>
    <w:rsid w:val="00D448EC"/>
    <w:rsid w:val="00D44B4E"/>
    <w:rsid w:val="00D44FCC"/>
    <w:rsid w:val="00D453D8"/>
    <w:rsid w:val="00D4569A"/>
    <w:rsid w:val="00D45778"/>
    <w:rsid w:val="00D45B67"/>
    <w:rsid w:val="00D4660B"/>
    <w:rsid w:val="00D47820"/>
    <w:rsid w:val="00D47998"/>
    <w:rsid w:val="00D47D34"/>
    <w:rsid w:val="00D502CD"/>
    <w:rsid w:val="00D50458"/>
    <w:rsid w:val="00D50615"/>
    <w:rsid w:val="00D508EC"/>
    <w:rsid w:val="00D50C09"/>
    <w:rsid w:val="00D5103F"/>
    <w:rsid w:val="00D515DF"/>
    <w:rsid w:val="00D516DB"/>
    <w:rsid w:val="00D51998"/>
    <w:rsid w:val="00D51E1A"/>
    <w:rsid w:val="00D51FB2"/>
    <w:rsid w:val="00D5245B"/>
    <w:rsid w:val="00D53053"/>
    <w:rsid w:val="00D530DA"/>
    <w:rsid w:val="00D53189"/>
    <w:rsid w:val="00D532A0"/>
    <w:rsid w:val="00D536B6"/>
    <w:rsid w:val="00D53777"/>
    <w:rsid w:val="00D53779"/>
    <w:rsid w:val="00D54020"/>
    <w:rsid w:val="00D545AB"/>
    <w:rsid w:val="00D5462F"/>
    <w:rsid w:val="00D5470A"/>
    <w:rsid w:val="00D54C95"/>
    <w:rsid w:val="00D54CFA"/>
    <w:rsid w:val="00D5515E"/>
    <w:rsid w:val="00D5637E"/>
    <w:rsid w:val="00D56570"/>
    <w:rsid w:val="00D568BB"/>
    <w:rsid w:val="00D56C39"/>
    <w:rsid w:val="00D56D5D"/>
    <w:rsid w:val="00D57019"/>
    <w:rsid w:val="00D5729A"/>
    <w:rsid w:val="00D572C6"/>
    <w:rsid w:val="00D5790B"/>
    <w:rsid w:val="00D57A78"/>
    <w:rsid w:val="00D57A9E"/>
    <w:rsid w:val="00D57B9B"/>
    <w:rsid w:val="00D57BD1"/>
    <w:rsid w:val="00D57D8C"/>
    <w:rsid w:val="00D60358"/>
    <w:rsid w:val="00D60411"/>
    <w:rsid w:val="00D605ED"/>
    <w:rsid w:val="00D60B62"/>
    <w:rsid w:val="00D61046"/>
    <w:rsid w:val="00D6119E"/>
    <w:rsid w:val="00D615E0"/>
    <w:rsid w:val="00D61676"/>
    <w:rsid w:val="00D62782"/>
    <w:rsid w:val="00D62903"/>
    <w:rsid w:val="00D62AAB"/>
    <w:rsid w:val="00D62B0F"/>
    <w:rsid w:val="00D62B93"/>
    <w:rsid w:val="00D62C06"/>
    <w:rsid w:val="00D62C9B"/>
    <w:rsid w:val="00D6325B"/>
    <w:rsid w:val="00D633CC"/>
    <w:rsid w:val="00D63B87"/>
    <w:rsid w:val="00D63CBC"/>
    <w:rsid w:val="00D6406B"/>
    <w:rsid w:val="00D640ED"/>
    <w:rsid w:val="00D6456E"/>
    <w:rsid w:val="00D648CB"/>
    <w:rsid w:val="00D64BAD"/>
    <w:rsid w:val="00D65555"/>
    <w:rsid w:val="00D657D6"/>
    <w:rsid w:val="00D667F6"/>
    <w:rsid w:val="00D669CB"/>
    <w:rsid w:val="00D66EF2"/>
    <w:rsid w:val="00D67371"/>
    <w:rsid w:val="00D67A93"/>
    <w:rsid w:val="00D7039D"/>
    <w:rsid w:val="00D703E5"/>
    <w:rsid w:val="00D71000"/>
    <w:rsid w:val="00D71005"/>
    <w:rsid w:val="00D71148"/>
    <w:rsid w:val="00D711AA"/>
    <w:rsid w:val="00D715F9"/>
    <w:rsid w:val="00D71C0E"/>
    <w:rsid w:val="00D72F92"/>
    <w:rsid w:val="00D730F3"/>
    <w:rsid w:val="00D73776"/>
    <w:rsid w:val="00D73892"/>
    <w:rsid w:val="00D73B16"/>
    <w:rsid w:val="00D7406F"/>
    <w:rsid w:val="00D74165"/>
    <w:rsid w:val="00D7432A"/>
    <w:rsid w:val="00D746AC"/>
    <w:rsid w:val="00D755FF"/>
    <w:rsid w:val="00D756BC"/>
    <w:rsid w:val="00D757D9"/>
    <w:rsid w:val="00D770F6"/>
    <w:rsid w:val="00D775D9"/>
    <w:rsid w:val="00D8013C"/>
    <w:rsid w:val="00D802FE"/>
    <w:rsid w:val="00D8053C"/>
    <w:rsid w:val="00D80CBD"/>
    <w:rsid w:val="00D815E5"/>
    <w:rsid w:val="00D818E9"/>
    <w:rsid w:val="00D81F78"/>
    <w:rsid w:val="00D821A6"/>
    <w:rsid w:val="00D8281A"/>
    <w:rsid w:val="00D828CC"/>
    <w:rsid w:val="00D82A11"/>
    <w:rsid w:val="00D83E21"/>
    <w:rsid w:val="00D84487"/>
    <w:rsid w:val="00D844E5"/>
    <w:rsid w:val="00D848F9"/>
    <w:rsid w:val="00D84F9A"/>
    <w:rsid w:val="00D86038"/>
    <w:rsid w:val="00D86180"/>
    <w:rsid w:val="00D865D0"/>
    <w:rsid w:val="00D86780"/>
    <w:rsid w:val="00D86B20"/>
    <w:rsid w:val="00D86C64"/>
    <w:rsid w:val="00D8700E"/>
    <w:rsid w:val="00D875C2"/>
    <w:rsid w:val="00D87761"/>
    <w:rsid w:val="00D87A74"/>
    <w:rsid w:val="00D87DCC"/>
    <w:rsid w:val="00D907E9"/>
    <w:rsid w:val="00D908C9"/>
    <w:rsid w:val="00D90DC6"/>
    <w:rsid w:val="00D9130F"/>
    <w:rsid w:val="00D91931"/>
    <w:rsid w:val="00D9230B"/>
    <w:rsid w:val="00D92A46"/>
    <w:rsid w:val="00D935FF"/>
    <w:rsid w:val="00D94050"/>
    <w:rsid w:val="00D94139"/>
    <w:rsid w:val="00D942F5"/>
    <w:rsid w:val="00D944B6"/>
    <w:rsid w:val="00D9492C"/>
    <w:rsid w:val="00D94D85"/>
    <w:rsid w:val="00D957C4"/>
    <w:rsid w:val="00D958DF"/>
    <w:rsid w:val="00D95902"/>
    <w:rsid w:val="00D95CE2"/>
    <w:rsid w:val="00D95EE7"/>
    <w:rsid w:val="00D9600A"/>
    <w:rsid w:val="00D9635E"/>
    <w:rsid w:val="00D96474"/>
    <w:rsid w:val="00D96818"/>
    <w:rsid w:val="00D968A3"/>
    <w:rsid w:val="00D96AA6"/>
    <w:rsid w:val="00D96AAC"/>
    <w:rsid w:val="00D96EDA"/>
    <w:rsid w:val="00D97411"/>
    <w:rsid w:val="00D978CE"/>
    <w:rsid w:val="00D97AA2"/>
    <w:rsid w:val="00DA0BBB"/>
    <w:rsid w:val="00DA0E70"/>
    <w:rsid w:val="00DA10FE"/>
    <w:rsid w:val="00DA1795"/>
    <w:rsid w:val="00DA20DA"/>
    <w:rsid w:val="00DA27F1"/>
    <w:rsid w:val="00DA27FB"/>
    <w:rsid w:val="00DA2A87"/>
    <w:rsid w:val="00DA2E25"/>
    <w:rsid w:val="00DA37AC"/>
    <w:rsid w:val="00DA3878"/>
    <w:rsid w:val="00DA3B1B"/>
    <w:rsid w:val="00DA45A6"/>
    <w:rsid w:val="00DA484A"/>
    <w:rsid w:val="00DA4C61"/>
    <w:rsid w:val="00DA5CB9"/>
    <w:rsid w:val="00DA5F28"/>
    <w:rsid w:val="00DA659B"/>
    <w:rsid w:val="00DA6AAF"/>
    <w:rsid w:val="00DA6BAD"/>
    <w:rsid w:val="00DA6C9B"/>
    <w:rsid w:val="00DA73BB"/>
    <w:rsid w:val="00DA7492"/>
    <w:rsid w:val="00DA74A5"/>
    <w:rsid w:val="00DA753C"/>
    <w:rsid w:val="00DA7849"/>
    <w:rsid w:val="00DA7C64"/>
    <w:rsid w:val="00DA7ECB"/>
    <w:rsid w:val="00DB03C6"/>
    <w:rsid w:val="00DB041D"/>
    <w:rsid w:val="00DB05C3"/>
    <w:rsid w:val="00DB0B8D"/>
    <w:rsid w:val="00DB153C"/>
    <w:rsid w:val="00DB15CA"/>
    <w:rsid w:val="00DB17CC"/>
    <w:rsid w:val="00DB2106"/>
    <w:rsid w:val="00DB2519"/>
    <w:rsid w:val="00DB28A7"/>
    <w:rsid w:val="00DB2B2F"/>
    <w:rsid w:val="00DB3122"/>
    <w:rsid w:val="00DB33B5"/>
    <w:rsid w:val="00DB3461"/>
    <w:rsid w:val="00DB3491"/>
    <w:rsid w:val="00DB35FB"/>
    <w:rsid w:val="00DB3F7E"/>
    <w:rsid w:val="00DB430E"/>
    <w:rsid w:val="00DB4649"/>
    <w:rsid w:val="00DB48AB"/>
    <w:rsid w:val="00DB4B0B"/>
    <w:rsid w:val="00DB4B18"/>
    <w:rsid w:val="00DB4B2A"/>
    <w:rsid w:val="00DB56A2"/>
    <w:rsid w:val="00DB580D"/>
    <w:rsid w:val="00DB5DA0"/>
    <w:rsid w:val="00DB676C"/>
    <w:rsid w:val="00DB6884"/>
    <w:rsid w:val="00DB6895"/>
    <w:rsid w:val="00DB6E79"/>
    <w:rsid w:val="00DB6F46"/>
    <w:rsid w:val="00DB7CC1"/>
    <w:rsid w:val="00DC0AC6"/>
    <w:rsid w:val="00DC1172"/>
    <w:rsid w:val="00DC1786"/>
    <w:rsid w:val="00DC1BA5"/>
    <w:rsid w:val="00DC2100"/>
    <w:rsid w:val="00DC237C"/>
    <w:rsid w:val="00DC2527"/>
    <w:rsid w:val="00DC284F"/>
    <w:rsid w:val="00DC339F"/>
    <w:rsid w:val="00DC4F1E"/>
    <w:rsid w:val="00DC51A7"/>
    <w:rsid w:val="00DC5488"/>
    <w:rsid w:val="00DC5499"/>
    <w:rsid w:val="00DC58E9"/>
    <w:rsid w:val="00DC60A4"/>
    <w:rsid w:val="00DC62EA"/>
    <w:rsid w:val="00DC6945"/>
    <w:rsid w:val="00DC6C2D"/>
    <w:rsid w:val="00DC6DCD"/>
    <w:rsid w:val="00DC740F"/>
    <w:rsid w:val="00DC760D"/>
    <w:rsid w:val="00DC7678"/>
    <w:rsid w:val="00DC7DC5"/>
    <w:rsid w:val="00DC7E8A"/>
    <w:rsid w:val="00DC7FC2"/>
    <w:rsid w:val="00DD0167"/>
    <w:rsid w:val="00DD0ADD"/>
    <w:rsid w:val="00DD0FB6"/>
    <w:rsid w:val="00DD122C"/>
    <w:rsid w:val="00DD16EF"/>
    <w:rsid w:val="00DD1905"/>
    <w:rsid w:val="00DD194E"/>
    <w:rsid w:val="00DD1C93"/>
    <w:rsid w:val="00DD1E0F"/>
    <w:rsid w:val="00DD217C"/>
    <w:rsid w:val="00DD233B"/>
    <w:rsid w:val="00DD2370"/>
    <w:rsid w:val="00DD2404"/>
    <w:rsid w:val="00DD2F84"/>
    <w:rsid w:val="00DD31CF"/>
    <w:rsid w:val="00DD3DB1"/>
    <w:rsid w:val="00DD41ED"/>
    <w:rsid w:val="00DD45EC"/>
    <w:rsid w:val="00DD483A"/>
    <w:rsid w:val="00DD4C71"/>
    <w:rsid w:val="00DD4EF9"/>
    <w:rsid w:val="00DD58ED"/>
    <w:rsid w:val="00DD58F5"/>
    <w:rsid w:val="00DD59AB"/>
    <w:rsid w:val="00DD5C06"/>
    <w:rsid w:val="00DD6120"/>
    <w:rsid w:val="00DD6386"/>
    <w:rsid w:val="00DD63D5"/>
    <w:rsid w:val="00DD6DC2"/>
    <w:rsid w:val="00DD7053"/>
    <w:rsid w:val="00DD74AD"/>
    <w:rsid w:val="00DD7A63"/>
    <w:rsid w:val="00DD7F9D"/>
    <w:rsid w:val="00DE0049"/>
    <w:rsid w:val="00DE01CF"/>
    <w:rsid w:val="00DE033B"/>
    <w:rsid w:val="00DE0BA0"/>
    <w:rsid w:val="00DE0ED8"/>
    <w:rsid w:val="00DE0FFF"/>
    <w:rsid w:val="00DE169D"/>
    <w:rsid w:val="00DE1D7F"/>
    <w:rsid w:val="00DE1DBE"/>
    <w:rsid w:val="00DE1EA3"/>
    <w:rsid w:val="00DE1F43"/>
    <w:rsid w:val="00DE2043"/>
    <w:rsid w:val="00DE2227"/>
    <w:rsid w:val="00DE22D9"/>
    <w:rsid w:val="00DE265E"/>
    <w:rsid w:val="00DE2EDA"/>
    <w:rsid w:val="00DE39E4"/>
    <w:rsid w:val="00DE39F0"/>
    <w:rsid w:val="00DE3CEE"/>
    <w:rsid w:val="00DE4A05"/>
    <w:rsid w:val="00DE4F03"/>
    <w:rsid w:val="00DE4FA9"/>
    <w:rsid w:val="00DE5550"/>
    <w:rsid w:val="00DE601A"/>
    <w:rsid w:val="00DE684F"/>
    <w:rsid w:val="00DE6F16"/>
    <w:rsid w:val="00DE718A"/>
    <w:rsid w:val="00DF0684"/>
    <w:rsid w:val="00DF0872"/>
    <w:rsid w:val="00DF0A22"/>
    <w:rsid w:val="00DF139D"/>
    <w:rsid w:val="00DF168B"/>
    <w:rsid w:val="00DF27EF"/>
    <w:rsid w:val="00DF2D9C"/>
    <w:rsid w:val="00DF317E"/>
    <w:rsid w:val="00DF3655"/>
    <w:rsid w:val="00DF3C0C"/>
    <w:rsid w:val="00DF3FE8"/>
    <w:rsid w:val="00DF43B3"/>
    <w:rsid w:val="00DF4840"/>
    <w:rsid w:val="00DF4E43"/>
    <w:rsid w:val="00DF53FE"/>
    <w:rsid w:val="00DF55B6"/>
    <w:rsid w:val="00DF560F"/>
    <w:rsid w:val="00DF5A99"/>
    <w:rsid w:val="00DF5BC0"/>
    <w:rsid w:val="00DF647E"/>
    <w:rsid w:val="00DF6778"/>
    <w:rsid w:val="00DF67FB"/>
    <w:rsid w:val="00DF6862"/>
    <w:rsid w:val="00DF6CB1"/>
    <w:rsid w:val="00DF7674"/>
    <w:rsid w:val="00DF7A37"/>
    <w:rsid w:val="00DF7F92"/>
    <w:rsid w:val="00E003A7"/>
    <w:rsid w:val="00E004F7"/>
    <w:rsid w:val="00E00654"/>
    <w:rsid w:val="00E0073B"/>
    <w:rsid w:val="00E00DAA"/>
    <w:rsid w:val="00E00DD2"/>
    <w:rsid w:val="00E00FC1"/>
    <w:rsid w:val="00E01037"/>
    <w:rsid w:val="00E010D6"/>
    <w:rsid w:val="00E01110"/>
    <w:rsid w:val="00E01C35"/>
    <w:rsid w:val="00E02715"/>
    <w:rsid w:val="00E02A26"/>
    <w:rsid w:val="00E0316C"/>
    <w:rsid w:val="00E031C8"/>
    <w:rsid w:val="00E048E2"/>
    <w:rsid w:val="00E04F60"/>
    <w:rsid w:val="00E054D8"/>
    <w:rsid w:val="00E05529"/>
    <w:rsid w:val="00E05FB4"/>
    <w:rsid w:val="00E0778E"/>
    <w:rsid w:val="00E07F9C"/>
    <w:rsid w:val="00E108B0"/>
    <w:rsid w:val="00E10AC2"/>
    <w:rsid w:val="00E11418"/>
    <w:rsid w:val="00E1159D"/>
    <w:rsid w:val="00E11A65"/>
    <w:rsid w:val="00E11B3E"/>
    <w:rsid w:val="00E11E54"/>
    <w:rsid w:val="00E12080"/>
    <w:rsid w:val="00E12237"/>
    <w:rsid w:val="00E12882"/>
    <w:rsid w:val="00E12B6B"/>
    <w:rsid w:val="00E12EF5"/>
    <w:rsid w:val="00E139FC"/>
    <w:rsid w:val="00E13A61"/>
    <w:rsid w:val="00E13C63"/>
    <w:rsid w:val="00E13C95"/>
    <w:rsid w:val="00E13EB2"/>
    <w:rsid w:val="00E15136"/>
    <w:rsid w:val="00E156F0"/>
    <w:rsid w:val="00E158A3"/>
    <w:rsid w:val="00E162DD"/>
    <w:rsid w:val="00E16312"/>
    <w:rsid w:val="00E169CE"/>
    <w:rsid w:val="00E17043"/>
    <w:rsid w:val="00E1722D"/>
    <w:rsid w:val="00E17860"/>
    <w:rsid w:val="00E179E0"/>
    <w:rsid w:val="00E20072"/>
    <w:rsid w:val="00E201F9"/>
    <w:rsid w:val="00E2078F"/>
    <w:rsid w:val="00E21446"/>
    <w:rsid w:val="00E2150C"/>
    <w:rsid w:val="00E219AA"/>
    <w:rsid w:val="00E21F48"/>
    <w:rsid w:val="00E228A4"/>
    <w:rsid w:val="00E23187"/>
    <w:rsid w:val="00E232A2"/>
    <w:rsid w:val="00E233F7"/>
    <w:rsid w:val="00E23909"/>
    <w:rsid w:val="00E239D0"/>
    <w:rsid w:val="00E23A28"/>
    <w:rsid w:val="00E23A4A"/>
    <w:rsid w:val="00E2444C"/>
    <w:rsid w:val="00E244D1"/>
    <w:rsid w:val="00E2461B"/>
    <w:rsid w:val="00E25558"/>
    <w:rsid w:val="00E25CA6"/>
    <w:rsid w:val="00E25E1C"/>
    <w:rsid w:val="00E265AC"/>
    <w:rsid w:val="00E26602"/>
    <w:rsid w:val="00E27127"/>
    <w:rsid w:val="00E272CD"/>
    <w:rsid w:val="00E27609"/>
    <w:rsid w:val="00E27D03"/>
    <w:rsid w:val="00E30879"/>
    <w:rsid w:val="00E30F38"/>
    <w:rsid w:val="00E3105C"/>
    <w:rsid w:val="00E31063"/>
    <w:rsid w:val="00E31438"/>
    <w:rsid w:val="00E31852"/>
    <w:rsid w:val="00E31C73"/>
    <w:rsid w:val="00E31CBD"/>
    <w:rsid w:val="00E31F10"/>
    <w:rsid w:val="00E327CB"/>
    <w:rsid w:val="00E32C2C"/>
    <w:rsid w:val="00E32C6C"/>
    <w:rsid w:val="00E32FFF"/>
    <w:rsid w:val="00E332AB"/>
    <w:rsid w:val="00E33682"/>
    <w:rsid w:val="00E34044"/>
    <w:rsid w:val="00E35A90"/>
    <w:rsid w:val="00E36481"/>
    <w:rsid w:val="00E36DC7"/>
    <w:rsid w:val="00E370E7"/>
    <w:rsid w:val="00E3733D"/>
    <w:rsid w:val="00E37947"/>
    <w:rsid w:val="00E37C21"/>
    <w:rsid w:val="00E37C61"/>
    <w:rsid w:val="00E37C69"/>
    <w:rsid w:val="00E37EE1"/>
    <w:rsid w:val="00E401E9"/>
    <w:rsid w:val="00E40369"/>
    <w:rsid w:val="00E40545"/>
    <w:rsid w:val="00E42630"/>
    <w:rsid w:val="00E426D7"/>
    <w:rsid w:val="00E427B8"/>
    <w:rsid w:val="00E428AB"/>
    <w:rsid w:val="00E428E0"/>
    <w:rsid w:val="00E42A95"/>
    <w:rsid w:val="00E42C47"/>
    <w:rsid w:val="00E42E25"/>
    <w:rsid w:val="00E4335E"/>
    <w:rsid w:val="00E43AD5"/>
    <w:rsid w:val="00E44075"/>
    <w:rsid w:val="00E44C7A"/>
    <w:rsid w:val="00E44C99"/>
    <w:rsid w:val="00E44C9D"/>
    <w:rsid w:val="00E44D64"/>
    <w:rsid w:val="00E452DF"/>
    <w:rsid w:val="00E4577B"/>
    <w:rsid w:val="00E45DCC"/>
    <w:rsid w:val="00E4650F"/>
    <w:rsid w:val="00E46775"/>
    <w:rsid w:val="00E46926"/>
    <w:rsid w:val="00E46C32"/>
    <w:rsid w:val="00E474A1"/>
    <w:rsid w:val="00E47505"/>
    <w:rsid w:val="00E47D3F"/>
    <w:rsid w:val="00E50074"/>
    <w:rsid w:val="00E501E8"/>
    <w:rsid w:val="00E50311"/>
    <w:rsid w:val="00E50640"/>
    <w:rsid w:val="00E516D0"/>
    <w:rsid w:val="00E51AA2"/>
    <w:rsid w:val="00E51AB0"/>
    <w:rsid w:val="00E52208"/>
    <w:rsid w:val="00E52711"/>
    <w:rsid w:val="00E52805"/>
    <w:rsid w:val="00E52816"/>
    <w:rsid w:val="00E52B7F"/>
    <w:rsid w:val="00E531A3"/>
    <w:rsid w:val="00E534EF"/>
    <w:rsid w:val="00E53642"/>
    <w:rsid w:val="00E536DE"/>
    <w:rsid w:val="00E53976"/>
    <w:rsid w:val="00E540FB"/>
    <w:rsid w:val="00E54335"/>
    <w:rsid w:val="00E546BE"/>
    <w:rsid w:val="00E546D4"/>
    <w:rsid w:val="00E54A55"/>
    <w:rsid w:val="00E54B1B"/>
    <w:rsid w:val="00E54D4D"/>
    <w:rsid w:val="00E54EBC"/>
    <w:rsid w:val="00E54EC8"/>
    <w:rsid w:val="00E55169"/>
    <w:rsid w:val="00E553A8"/>
    <w:rsid w:val="00E55DA6"/>
    <w:rsid w:val="00E56042"/>
    <w:rsid w:val="00E56198"/>
    <w:rsid w:val="00E56B69"/>
    <w:rsid w:val="00E56CE1"/>
    <w:rsid w:val="00E5726C"/>
    <w:rsid w:val="00E60258"/>
    <w:rsid w:val="00E6034B"/>
    <w:rsid w:val="00E60754"/>
    <w:rsid w:val="00E61070"/>
    <w:rsid w:val="00E6126A"/>
    <w:rsid w:val="00E615A0"/>
    <w:rsid w:val="00E61920"/>
    <w:rsid w:val="00E61ECE"/>
    <w:rsid w:val="00E61F58"/>
    <w:rsid w:val="00E625ED"/>
    <w:rsid w:val="00E631BE"/>
    <w:rsid w:val="00E63232"/>
    <w:rsid w:val="00E6359F"/>
    <w:rsid w:val="00E638C6"/>
    <w:rsid w:val="00E63B4F"/>
    <w:rsid w:val="00E644F3"/>
    <w:rsid w:val="00E644F5"/>
    <w:rsid w:val="00E64727"/>
    <w:rsid w:val="00E647F1"/>
    <w:rsid w:val="00E6487E"/>
    <w:rsid w:val="00E649CB"/>
    <w:rsid w:val="00E64A8C"/>
    <w:rsid w:val="00E65112"/>
    <w:rsid w:val="00E65141"/>
    <w:rsid w:val="00E65453"/>
    <w:rsid w:val="00E65BC3"/>
    <w:rsid w:val="00E66150"/>
    <w:rsid w:val="00E66BC8"/>
    <w:rsid w:val="00E66E95"/>
    <w:rsid w:val="00E677B9"/>
    <w:rsid w:val="00E67B8D"/>
    <w:rsid w:val="00E67D52"/>
    <w:rsid w:val="00E67F23"/>
    <w:rsid w:val="00E704FA"/>
    <w:rsid w:val="00E70800"/>
    <w:rsid w:val="00E71247"/>
    <w:rsid w:val="00E71CCA"/>
    <w:rsid w:val="00E722B2"/>
    <w:rsid w:val="00E7237D"/>
    <w:rsid w:val="00E72750"/>
    <w:rsid w:val="00E72918"/>
    <w:rsid w:val="00E72949"/>
    <w:rsid w:val="00E73DDF"/>
    <w:rsid w:val="00E74A35"/>
    <w:rsid w:val="00E74DE8"/>
    <w:rsid w:val="00E758DE"/>
    <w:rsid w:val="00E75DCC"/>
    <w:rsid w:val="00E76915"/>
    <w:rsid w:val="00E76C05"/>
    <w:rsid w:val="00E76CE2"/>
    <w:rsid w:val="00E76D14"/>
    <w:rsid w:val="00E8024C"/>
    <w:rsid w:val="00E8042C"/>
    <w:rsid w:val="00E80666"/>
    <w:rsid w:val="00E806E1"/>
    <w:rsid w:val="00E80F5A"/>
    <w:rsid w:val="00E80FB8"/>
    <w:rsid w:val="00E81CEC"/>
    <w:rsid w:val="00E82E2A"/>
    <w:rsid w:val="00E83747"/>
    <w:rsid w:val="00E83CF2"/>
    <w:rsid w:val="00E8442C"/>
    <w:rsid w:val="00E848D1"/>
    <w:rsid w:val="00E84AC5"/>
    <w:rsid w:val="00E856EB"/>
    <w:rsid w:val="00E85786"/>
    <w:rsid w:val="00E8582D"/>
    <w:rsid w:val="00E8589C"/>
    <w:rsid w:val="00E85DE1"/>
    <w:rsid w:val="00E85EAB"/>
    <w:rsid w:val="00E860AB"/>
    <w:rsid w:val="00E8621B"/>
    <w:rsid w:val="00E8628A"/>
    <w:rsid w:val="00E86B0F"/>
    <w:rsid w:val="00E86D5B"/>
    <w:rsid w:val="00E8704F"/>
    <w:rsid w:val="00E875DC"/>
    <w:rsid w:val="00E87927"/>
    <w:rsid w:val="00E910EA"/>
    <w:rsid w:val="00E91459"/>
    <w:rsid w:val="00E91C6A"/>
    <w:rsid w:val="00E920D4"/>
    <w:rsid w:val="00E924AB"/>
    <w:rsid w:val="00E9256C"/>
    <w:rsid w:val="00E92809"/>
    <w:rsid w:val="00E92B04"/>
    <w:rsid w:val="00E93C4A"/>
    <w:rsid w:val="00E93DA2"/>
    <w:rsid w:val="00E94A63"/>
    <w:rsid w:val="00E9543D"/>
    <w:rsid w:val="00E9564F"/>
    <w:rsid w:val="00E960F9"/>
    <w:rsid w:val="00E96482"/>
    <w:rsid w:val="00E9738A"/>
    <w:rsid w:val="00E974AA"/>
    <w:rsid w:val="00E97A6A"/>
    <w:rsid w:val="00E97A6B"/>
    <w:rsid w:val="00EA036C"/>
    <w:rsid w:val="00EA03DD"/>
    <w:rsid w:val="00EA0885"/>
    <w:rsid w:val="00EA0A64"/>
    <w:rsid w:val="00EA0A8A"/>
    <w:rsid w:val="00EA116A"/>
    <w:rsid w:val="00EA116C"/>
    <w:rsid w:val="00EA1395"/>
    <w:rsid w:val="00EA1435"/>
    <w:rsid w:val="00EA1737"/>
    <w:rsid w:val="00EA1B2B"/>
    <w:rsid w:val="00EA1BE1"/>
    <w:rsid w:val="00EA1E72"/>
    <w:rsid w:val="00EA2113"/>
    <w:rsid w:val="00EA25BB"/>
    <w:rsid w:val="00EA26DD"/>
    <w:rsid w:val="00EA276C"/>
    <w:rsid w:val="00EA289D"/>
    <w:rsid w:val="00EA30A4"/>
    <w:rsid w:val="00EA316C"/>
    <w:rsid w:val="00EA3708"/>
    <w:rsid w:val="00EA3B6D"/>
    <w:rsid w:val="00EA3D28"/>
    <w:rsid w:val="00EA401A"/>
    <w:rsid w:val="00EA41AE"/>
    <w:rsid w:val="00EA4456"/>
    <w:rsid w:val="00EA4702"/>
    <w:rsid w:val="00EA4806"/>
    <w:rsid w:val="00EA4E81"/>
    <w:rsid w:val="00EA5515"/>
    <w:rsid w:val="00EA5FAE"/>
    <w:rsid w:val="00EA6167"/>
    <w:rsid w:val="00EA6765"/>
    <w:rsid w:val="00EA67D5"/>
    <w:rsid w:val="00EA683C"/>
    <w:rsid w:val="00EA6D8A"/>
    <w:rsid w:val="00EA6ED9"/>
    <w:rsid w:val="00EA7738"/>
    <w:rsid w:val="00EB0573"/>
    <w:rsid w:val="00EB07B6"/>
    <w:rsid w:val="00EB1003"/>
    <w:rsid w:val="00EB1300"/>
    <w:rsid w:val="00EB1574"/>
    <w:rsid w:val="00EB158F"/>
    <w:rsid w:val="00EB1906"/>
    <w:rsid w:val="00EB1926"/>
    <w:rsid w:val="00EB1C92"/>
    <w:rsid w:val="00EB1C99"/>
    <w:rsid w:val="00EB1EAB"/>
    <w:rsid w:val="00EB2288"/>
    <w:rsid w:val="00EB2356"/>
    <w:rsid w:val="00EB24CF"/>
    <w:rsid w:val="00EB2895"/>
    <w:rsid w:val="00EB2990"/>
    <w:rsid w:val="00EB2A65"/>
    <w:rsid w:val="00EB3559"/>
    <w:rsid w:val="00EB41D2"/>
    <w:rsid w:val="00EB430D"/>
    <w:rsid w:val="00EB442E"/>
    <w:rsid w:val="00EB4465"/>
    <w:rsid w:val="00EB46BF"/>
    <w:rsid w:val="00EB5107"/>
    <w:rsid w:val="00EB5658"/>
    <w:rsid w:val="00EB57EB"/>
    <w:rsid w:val="00EB5B11"/>
    <w:rsid w:val="00EB5C24"/>
    <w:rsid w:val="00EB5CA0"/>
    <w:rsid w:val="00EB62DF"/>
    <w:rsid w:val="00EB6894"/>
    <w:rsid w:val="00EB68FB"/>
    <w:rsid w:val="00EB6CD0"/>
    <w:rsid w:val="00EB7191"/>
    <w:rsid w:val="00EB71CB"/>
    <w:rsid w:val="00EB7281"/>
    <w:rsid w:val="00EC06BD"/>
    <w:rsid w:val="00EC0ACE"/>
    <w:rsid w:val="00EC0B82"/>
    <w:rsid w:val="00EC0DD9"/>
    <w:rsid w:val="00EC0E6A"/>
    <w:rsid w:val="00EC11DE"/>
    <w:rsid w:val="00EC1344"/>
    <w:rsid w:val="00EC1484"/>
    <w:rsid w:val="00EC157B"/>
    <w:rsid w:val="00EC1712"/>
    <w:rsid w:val="00EC17C0"/>
    <w:rsid w:val="00EC21E1"/>
    <w:rsid w:val="00EC2262"/>
    <w:rsid w:val="00EC22F9"/>
    <w:rsid w:val="00EC237A"/>
    <w:rsid w:val="00EC24C1"/>
    <w:rsid w:val="00EC2D86"/>
    <w:rsid w:val="00EC2FDE"/>
    <w:rsid w:val="00EC3261"/>
    <w:rsid w:val="00EC38DA"/>
    <w:rsid w:val="00EC3F42"/>
    <w:rsid w:val="00EC3FE2"/>
    <w:rsid w:val="00EC429F"/>
    <w:rsid w:val="00EC4D5F"/>
    <w:rsid w:val="00EC4EED"/>
    <w:rsid w:val="00EC5D0C"/>
    <w:rsid w:val="00EC67E6"/>
    <w:rsid w:val="00EC6CC3"/>
    <w:rsid w:val="00EC71A5"/>
    <w:rsid w:val="00EC7FF6"/>
    <w:rsid w:val="00ED135C"/>
    <w:rsid w:val="00ED1755"/>
    <w:rsid w:val="00ED1AEA"/>
    <w:rsid w:val="00ED1E37"/>
    <w:rsid w:val="00ED1F47"/>
    <w:rsid w:val="00ED2157"/>
    <w:rsid w:val="00ED295B"/>
    <w:rsid w:val="00ED30FD"/>
    <w:rsid w:val="00ED3750"/>
    <w:rsid w:val="00ED3CD3"/>
    <w:rsid w:val="00ED3EA4"/>
    <w:rsid w:val="00ED4481"/>
    <w:rsid w:val="00ED45BD"/>
    <w:rsid w:val="00ED4657"/>
    <w:rsid w:val="00ED46D2"/>
    <w:rsid w:val="00ED548B"/>
    <w:rsid w:val="00ED5DDA"/>
    <w:rsid w:val="00ED5E25"/>
    <w:rsid w:val="00ED623B"/>
    <w:rsid w:val="00ED67E2"/>
    <w:rsid w:val="00ED6A05"/>
    <w:rsid w:val="00ED6CDF"/>
    <w:rsid w:val="00ED7473"/>
    <w:rsid w:val="00ED7DE6"/>
    <w:rsid w:val="00EE00C8"/>
    <w:rsid w:val="00EE04C8"/>
    <w:rsid w:val="00EE0F6D"/>
    <w:rsid w:val="00EE135F"/>
    <w:rsid w:val="00EE17D0"/>
    <w:rsid w:val="00EE1823"/>
    <w:rsid w:val="00EE20DF"/>
    <w:rsid w:val="00EE25CA"/>
    <w:rsid w:val="00EE28F0"/>
    <w:rsid w:val="00EE2B0F"/>
    <w:rsid w:val="00EE2EA6"/>
    <w:rsid w:val="00EE3754"/>
    <w:rsid w:val="00EE3CD1"/>
    <w:rsid w:val="00EE42DD"/>
    <w:rsid w:val="00EE46F1"/>
    <w:rsid w:val="00EE4A0F"/>
    <w:rsid w:val="00EE50DD"/>
    <w:rsid w:val="00EE50EA"/>
    <w:rsid w:val="00EE5133"/>
    <w:rsid w:val="00EE5A17"/>
    <w:rsid w:val="00EE5C44"/>
    <w:rsid w:val="00EE62E8"/>
    <w:rsid w:val="00EE6939"/>
    <w:rsid w:val="00EE71F0"/>
    <w:rsid w:val="00EE74F5"/>
    <w:rsid w:val="00EF00BC"/>
    <w:rsid w:val="00EF02AD"/>
    <w:rsid w:val="00EF0393"/>
    <w:rsid w:val="00EF0B50"/>
    <w:rsid w:val="00EF0C17"/>
    <w:rsid w:val="00EF18AF"/>
    <w:rsid w:val="00EF1A5A"/>
    <w:rsid w:val="00EF1EB2"/>
    <w:rsid w:val="00EF228A"/>
    <w:rsid w:val="00EF31E3"/>
    <w:rsid w:val="00EF322A"/>
    <w:rsid w:val="00EF4431"/>
    <w:rsid w:val="00EF44C3"/>
    <w:rsid w:val="00EF46E4"/>
    <w:rsid w:val="00EF4F2D"/>
    <w:rsid w:val="00EF4FD4"/>
    <w:rsid w:val="00EF51DE"/>
    <w:rsid w:val="00EF57E4"/>
    <w:rsid w:val="00EF5BEA"/>
    <w:rsid w:val="00F00397"/>
    <w:rsid w:val="00F008B9"/>
    <w:rsid w:val="00F008D1"/>
    <w:rsid w:val="00F01267"/>
    <w:rsid w:val="00F01C1A"/>
    <w:rsid w:val="00F01DA9"/>
    <w:rsid w:val="00F023E7"/>
    <w:rsid w:val="00F024CC"/>
    <w:rsid w:val="00F02A5D"/>
    <w:rsid w:val="00F02E79"/>
    <w:rsid w:val="00F02E7A"/>
    <w:rsid w:val="00F0317B"/>
    <w:rsid w:val="00F0341B"/>
    <w:rsid w:val="00F04052"/>
    <w:rsid w:val="00F04081"/>
    <w:rsid w:val="00F047FA"/>
    <w:rsid w:val="00F0519D"/>
    <w:rsid w:val="00F051E7"/>
    <w:rsid w:val="00F05B63"/>
    <w:rsid w:val="00F05FF9"/>
    <w:rsid w:val="00F0670C"/>
    <w:rsid w:val="00F06D46"/>
    <w:rsid w:val="00F06E9B"/>
    <w:rsid w:val="00F0747B"/>
    <w:rsid w:val="00F07766"/>
    <w:rsid w:val="00F07F71"/>
    <w:rsid w:val="00F1033E"/>
    <w:rsid w:val="00F10431"/>
    <w:rsid w:val="00F10929"/>
    <w:rsid w:val="00F1159B"/>
    <w:rsid w:val="00F116D4"/>
    <w:rsid w:val="00F11AA1"/>
    <w:rsid w:val="00F12172"/>
    <w:rsid w:val="00F1278E"/>
    <w:rsid w:val="00F12AEF"/>
    <w:rsid w:val="00F13045"/>
    <w:rsid w:val="00F131F2"/>
    <w:rsid w:val="00F13355"/>
    <w:rsid w:val="00F13702"/>
    <w:rsid w:val="00F13E84"/>
    <w:rsid w:val="00F140DF"/>
    <w:rsid w:val="00F14546"/>
    <w:rsid w:val="00F148A0"/>
    <w:rsid w:val="00F14949"/>
    <w:rsid w:val="00F14C52"/>
    <w:rsid w:val="00F14DD5"/>
    <w:rsid w:val="00F150B0"/>
    <w:rsid w:val="00F15F00"/>
    <w:rsid w:val="00F17209"/>
    <w:rsid w:val="00F20209"/>
    <w:rsid w:val="00F209E2"/>
    <w:rsid w:val="00F20FF1"/>
    <w:rsid w:val="00F21116"/>
    <w:rsid w:val="00F21925"/>
    <w:rsid w:val="00F224A3"/>
    <w:rsid w:val="00F22E59"/>
    <w:rsid w:val="00F234FD"/>
    <w:rsid w:val="00F2351E"/>
    <w:rsid w:val="00F23681"/>
    <w:rsid w:val="00F23793"/>
    <w:rsid w:val="00F23C6D"/>
    <w:rsid w:val="00F25001"/>
    <w:rsid w:val="00F25104"/>
    <w:rsid w:val="00F2515F"/>
    <w:rsid w:val="00F256FB"/>
    <w:rsid w:val="00F2591B"/>
    <w:rsid w:val="00F25BCD"/>
    <w:rsid w:val="00F261B8"/>
    <w:rsid w:val="00F2631E"/>
    <w:rsid w:val="00F26CE9"/>
    <w:rsid w:val="00F26EF9"/>
    <w:rsid w:val="00F27107"/>
    <w:rsid w:val="00F2730E"/>
    <w:rsid w:val="00F2733D"/>
    <w:rsid w:val="00F273E2"/>
    <w:rsid w:val="00F27AA6"/>
    <w:rsid w:val="00F27C6A"/>
    <w:rsid w:val="00F302F3"/>
    <w:rsid w:val="00F311A8"/>
    <w:rsid w:val="00F31785"/>
    <w:rsid w:val="00F317A6"/>
    <w:rsid w:val="00F31834"/>
    <w:rsid w:val="00F3234A"/>
    <w:rsid w:val="00F3276F"/>
    <w:rsid w:val="00F32CB4"/>
    <w:rsid w:val="00F335DC"/>
    <w:rsid w:val="00F33731"/>
    <w:rsid w:val="00F33B32"/>
    <w:rsid w:val="00F33F21"/>
    <w:rsid w:val="00F34245"/>
    <w:rsid w:val="00F349BA"/>
    <w:rsid w:val="00F34B5D"/>
    <w:rsid w:val="00F34BB8"/>
    <w:rsid w:val="00F34C75"/>
    <w:rsid w:val="00F356F4"/>
    <w:rsid w:val="00F35C4F"/>
    <w:rsid w:val="00F368DB"/>
    <w:rsid w:val="00F36DEC"/>
    <w:rsid w:val="00F3708C"/>
    <w:rsid w:val="00F3746F"/>
    <w:rsid w:val="00F37481"/>
    <w:rsid w:val="00F37771"/>
    <w:rsid w:val="00F4031C"/>
    <w:rsid w:val="00F40F0E"/>
    <w:rsid w:val="00F410D0"/>
    <w:rsid w:val="00F411A5"/>
    <w:rsid w:val="00F41429"/>
    <w:rsid w:val="00F41791"/>
    <w:rsid w:val="00F41A99"/>
    <w:rsid w:val="00F41AA2"/>
    <w:rsid w:val="00F41AAD"/>
    <w:rsid w:val="00F41CF3"/>
    <w:rsid w:val="00F41EC4"/>
    <w:rsid w:val="00F41F8E"/>
    <w:rsid w:val="00F41FE5"/>
    <w:rsid w:val="00F423FD"/>
    <w:rsid w:val="00F4368F"/>
    <w:rsid w:val="00F43732"/>
    <w:rsid w:val="00F43960"/>
    <w:rsid w:val="00F43C50"/>
    <w:rsid w:val="00F43DE1"/>
    <w:rsid w:val="00F44399"/>
    <w:rsid w:val="00F44D1E"/>
    <w:rsid w:val="00F44F05"/>
    <w:rsid w:val="00F45EC3"/>
    <w:rsid w:val="00F460F1"/>
    <w:rsid w:val="00F466D8"/>
    <w:rsid w:val="00F46CD4"/>
    <w:rsid w:val="00F46FF9"/>
    <w:rsid w:val="00F47292"/>
    <w:rsid w:val="00F47530"/>
    <w:rsid w:val="00F47C22"/>
    <w:rsid w:val="00F50783"/>
    <w:rsid w:val="00F5086C"/>
    <w:rsid w:val="00F51433"/>
    <w:rsid w:val="00F524E0"/>
    <w:rsid w:val="00F52AD0"/>
    <w:rsid w:val="00F52F78"/>
    <w:rsid w:val="00F53290"/>
    <w:rsid w:val="00F533CE"/>
    <w:rsid w:val="00F535C4"/>
    <w:rsid w:val="00F53928"/>
    <w:rsid w:val="00F53BCB"/>
    <w:rsid w:val="00F53D53"/>
    <w:rsid w:val="00F55226"/>
    <w:rsid w:val="00F55A98"/>
    <w:rsid w:val="00F56A0A"/>
    <w:rsid w:val="00F56D63"/>
    <w:rsid w:val="00F576A4"/>
    <w:rsid w:val="00F60485"/>
    <w:rsid w:val="00F60771"/>
    <w:rsid w:val="00F60C9C"/>
    <w:rsid w:val="00F6131D"/>
    <w:rsid w:val="00F61913"/>
    <w:rsid w:val="00F61E79"/>
    <w:rsid w:val="00F61F02"/>
    <w:rsid w:val="00F62D33"/>
    <w:rsid w:val="00F62F80"/>
    <w:rsid w:val="00F632C4"/>
    <w:rsid w:val="00F63A87"/>
    <w:rsid w:val="00F64280"/>
    <w:rsid w:val="00F6461E"/>
    <w:rsid w:val="00F64AEC"/>
    <w:rsid w:val="00F64ECC"/>
    <w:rsid w:val="00F65327"/>
    <w:rsid w:val="00F662A5"/>
    <w:rsid w:val="00F6663E"/>
    <w:rsid w:val="00F667D5"/>
    <w:rsid w:val="00F66C18"/>
    <w:rsid w:val="00F66D4F"/>
    <w:rsid w:val="00F67308"/>
    <w:rsid w:val="00F674FD"/>
    <w:rsid w:val="00F70719"/>
    <w:rsid w:val="00F71508"/>
    <w:rsid w:val="00F71509"/>
    <w:rsid w:val="00F71623"/>
    <w:rsid w:val="00F7176C"/>
    <w:rsid w:val="00F717EB"/>
    <w:rsid w:val="00F71986"/>
    <w:rsid w:val="00F720CC"/>
    <w:rsid w:val="00F72538"/>
    <w:rsid w:val="00F725C3"/>
    <w:rsid w:val="00F72679"/>
    <w:rsid w:val="00F7270F"/>
    <w:rsid w:val="00F72805"/>
    <w:rsid w:val="00F72A48"/>
    <w:rsid w:val="00F72F8D"/>
    <w:rsid w:val="00F730ED"/>
    <w:rsid w:val="00F736F1"/>
    <w:rsid w:val="00F73AFF"/>
    <w:rsid w:val="00F73B8A"/>
    <w:rsid w:val="00F73E85"/>
    <w:rsid w:val="00F73EC7"/>
    <w:rsid w:val="00F73F05"/>
    <w:rsid w:val="00F743C2"/>
    <w:rsid w:val="00F74678"/>
    <w:rsid w:val="00F74993"/>
    <w:rsid w:val="00F74BD3"/>
    <w:rsid w:val="00F75A40"/>
    <w:rsid w:val="00F765BB"/>
    <w:rsid w:val="00F766F9"/>
    <w:rsid w:val="00F76C16"/>
    <w:rsid w:val="00F76EDA"/>
    <w:rsid w:val="00F77C79"/>
    <w:rsid w:val="00F802FF"/>
    <w:rsid w:val="00F804BE"/>
    <w:rsid w:val="00F8051A"/>
    <w:rsid w:val="00F805A4"/>
    <w:rsid w:val="00F80C59"/>
    <w:rsid w:val="00F81468"/>
    <w:rsid w:val="00F81B60"/>
    <w:rsid w:val="00F82906"/>
    <w:rsid w:val="00F82B4B"/>
    <w:rsid w:val="00F830CE"/>
    <w:rsid w:val="00F831C4"/>
    <w:rsid w:val="00F83728"/>
    <w:rsid w:val="00F838E5"/>
    <w:rsid w:val="00F841B5"/>
    <w:rsid w:val="00F84290"/>
    <w:rsid w:val="00F8429D"/>
    <w:rsid w:val="00F84CCF"/>
    <w:rsid w:val="00F84F62"/>
    <w:rsid w:val="00F85A92"/>
    <w:rsid w:val="00F85AAC"/>
    <w:rsid w:val="00F85E18"/>
    <w:rsid w:val="00F86295"/>
    <w:rsid w:val="00F8694F"/>
    <w:rsid w:val="00F86C1F"/>
    <w:rsid w:val="00F87CC2"/>
    <w:rsid w:val="00F901C7"/>
    <w:rsid w:val="00F90DD7"/>
    <w:rsid w:val="00F911C5"/>
    <w:rsid w:val="00F9154F"/>
    <w:rsid w:val="00F91930"/>
    <w:rsid w:val="00F92DB2"/>
    <w:rsid w:val="00F93915"/>
    <w:rsid w:val="00F93E95"/>
    <w:rsid w:val="00F950D1"/>
    <w:rsid w:val="00F953C9"/>
    <w:rsid w:val="00F957F3"/>
    <w:rsid w:val="00F9592B"/>
    <w:rsid w:val="00F95E29"/>
    <w:rsid w:val="00F962B0"/>
    <w:rsid w:val="00F969A9"/>
    <w:rsid w:val="00F96B62"/>
    <w:rsid w:val="00F970BE"/>
    <w:rsid w:val="00F979BF"/>
    <w:rsid w:val="00F97B48"/>
    <w:rsid w:val="00F97CB5"/>
    <w:rsid w:val="00FA001F"/>
    <w:rsid w:val="00FA013F"/>
    <w:rsid w:val="00FA0522"/>
    <w:rsid w:val="00FA099F"/>
    <w:rsid w:val="00FA0C75"/>
    <w:rsid w:val="00FA0FE1"/>
    <w:rsid w:val="00FA115B"/>
    <w:rsid w:val="00FA14BA"/>
    <w:rsid w:val="00FA163D"/>
    <w:rsid w:val="00FA17F9"/>
    <w:rsid w:val="00FA1B85"/>
    <w:rsid w:val="00FA1EFA"/>
    <w:rsid w:val="00FA252D"/>
    <w:rsid w:val="00FA2635"/>
    <w:rsid w:val="00FA3789"/>
    <w:rsid w:val="00FA37B9"/>
    <w:rsid w:val="00FA3947"/>
    <w:rsid w:val="00FA48B0"/>
    <w:rsid w:val="00FA4AD4"/>
    <w:rsid w:val="00FA5231"/>
    <w:rsid w:val="00FA5A93"/>
    <w:rsid w:val="00FA5DE4"/>
    <w:rsid w:val="00FA649C"/>
    <w:rsid w:val="00FA67A1"/>
    <w:rsid w:val="00FA693E"/>
    <w:rsid w:val="00FA6A2A"/>
    <w:rsid w:val="00FA6E9A"/>
    <w:rsid w:val="00FA6EDE"/>
    <w:rsid w:val="00FA7094"/>
    <w:rsid w:val="00FA7647"/>
    <w:rsid w:val="00FA76CE"/>
    <w:rsid w:val="00FA7A98"/>
    <w:rsid w:val="00FB0879"/>
    <w:rsid w:val="00FB0971"/>
    <w:rsid w:val="00FB1684"/>
    <w:rsid w:val="00FB1989"/>
    <w:rsid w:val="00FB19A8"/>
    <w:rsid w:val="00FB2341"/>
    <w:rsid w:val="00FB255D"/>
    <w:rsid w:val="00FB2602"/>
    <w:rsid w:val="00FB2772"/>
    <w:rsid w:val="00FB2A88"/>
    <w:rsid w:val="00FB2D78"/>
    <w:rsid w:val="00FB314B"/>
    <w:rsid w:val="00FB32CE"/>
    <w:rsid w:val="00FB3339"/>
    <w:rsid w:val="00FB36D0"/>
    <w:rsid w:val="00FB3E56"/>
    <w:rsid w:val="00FB421E"/>
    <w:rsid w:val="00FB4437"/>
    <w:rsid w:val="00FB473F"/>
    <w:rsid w:val="00FB4918"/>
    <w:rsid w:val="00FB4CC9"/>
    <w:rsid w:val="00FB4D01"/>
    <w:rsid w:val="00FB4EE1"/>
    <w:rsid w:val="00FB5952"/>
    <w:rsid w:val="00FB5DBC"/>
    <w:rsid w:val="00FB6297"/>
    <w:rsid w:val="00FB62E0"/>
    <w:rsid w:val="00FB6783"/>
    <w:rsid w:val="00FB685B"/>
    <w:rsid w:val="00FB6F44"/>
    <w:rsid w:val="00FB7DD0"/>
    <w:rsid w:val="00FB7E89"/>
    <w:rsid w:val="00FC08A3"/>
    <w:rsid w:val="00FC08AA"/>
    <w:rsid w:val="00FC148B"/>
    <w:rsid w:val="00FC17BD"/>
    <w:rsid w:val="00FC1BA0"/>
    <w:rsid w:val="00FC1DBA"/>
    <w:rsid w:val="00FC1DCE"/>
    <w:rsid w:val="00FC1E06"/>
    <w:rsid w:val="00FC2258"/>
    <w:rsid w:val="00FC2730"/>
    <w:rsid w:val="00FC3209"/>
    <w:rsid w:val="00FC3C7E"/>
    <w:rsid w:val="00FC3CBE"/>
    <w:rsid w:val="00FC405B"/>
    <w:rsid w:val="00FC45EF"/>
    <w:rsid w:val="00FC47CC"/>
    <w:rsid w:val="00FC4B4B"/>
    <w:rsid w:val="00FC525E"/>
    <w:rsid w:val="00FC5369"/>
    <w:rsid w:val="00FC5624"/>
    <w:rsid w:val="00FC5E0C"/>
    <w:rsid w:val="00FC6042"/>
    <w:rsid w:val="00FC6287"/>
    <w:rsid w:val="00FC6365"/>
    <w:rsid w:val="00FC757A"/>
    <w:rsid w:val="00FC75F7"/>
    <w:rsid w:val="00FC78A4"/>
    <w:rsid w:val="00FD0001"/>
    <w:rsid w:val="00FD014C"/>
    <w:rsid w:val="00FD154E"/>
    <w:rsid w:val="00FD1874"/>
    <w:rsid w:val="00FD1E61"/>
    <w:rsid w:val="00FD1EEE"/>
    <w:rsid w:val="00FD2141"/>
    <w:rsid w:val="00FD23CA"/>
    <w:rsid w:val="00FD263C"/>
    <w:rsid w:val="00FD28CF"/>
    <w:rsid w:val="00FD291A"/>
    <w:rsid w:val="00FD296A"/>
    <w:rsid w:val="00FD2A43"/>
    <w:rsid w:val="00FD2AFD"/>
    <w:rsid w:val="00FD2EE9"/>
    <w:rsid w:val="00FD3702"/>
    <w:rsid w:val="00FD3C49"/>
    <w:rsid w:val="00FD3FF3"/>
    <w:rsid w:val="00FD439D"/>
    <w:rsid w:val="00FD479F"/>
    <w:rsid w:val="00FD4E45"/>
    <w:rsid w:val="00FD505D"/>
    <w:rsid w:val="00FD56AD"/>
    <w:rsid w:val="00FD5BF9"/>
    <w:rsid w:val="00FD648B"/>
    <w:rsid w:val="00FD681A"/>
    <w:rsid w:val="00FD76B1"/>
    <w:rsid w:val="00FD7884"/>
    <w:rsid w:val="00FD7A5A"/>
    <w:rsid w:val="00FE04B8"/>
    <w:rsid w:val="00FE05D6"/>
    <w:rsid w:val="00FE06E0"/>
    <w:rsid w:val="00FE0A1D"/>
    <w:rsid w:val="00FE0AE2"/>
    <w:rsid w:val="00FE0B9E"/>
    <w:rsid w:val="00FE1414"/>
    <w:rsid w:val="00FE21B3"/>
    <w:rsid w:val="00FE2200"/>
    <w:rsid w:val="00FE2333"/>
    <w:rsid w:val="00FE2553"/>
    <w:rsid w:val="00FE2789"/>
    <w:rsid w:val="00FE27F4"/>
    <w:rsid w:val="00FE29DB"/>
    <w:rsid w:val="00FE2A6B"/>
    <w:rsid w:val="00FE30F6"/>
    <w:rsid w:val="00FE3ABA"/>
    <w:rsid w:val="00FE3FF7"/>
    <w:rsid w:val="00FE44C9"/>
    <w:rsid w:val="00FE4534"/>
    <w:rsid w:val="00FE4A60"/>
    <w:rsid w:val="00FE4C3C"/>
    <w:rsid w:val="00FE4CD8"/>
    <w:rsid w:val="00FE4D9B"/>
    <w:rsid w:val="00FE4E8D"/>
    <w:rsid w:val="00FE5540"/>
    <w:rsid w:val="00FE560B"/>
    <w:rsid w:val="00FE5B80"/>
    <w:rsid w:val="00FE5F3B"/>
    <w:rsid w:val="00FE6021"/>
    <w:rsid w:val="00FE634B"/>
    <w:rsid w:val="00FE63FD"/>
    <w:rsid w:val="00FE6EB2"/>
    <w:rsid w:val="00FF0A05"/>
    <w:rsid w:val="00FF0CFB"/>
    <w:rsid w:val="00FF1095"/>
    <w:rsid w:val="00FF1163"/>
    <w:rsid w:val="00FF13DC"/>
    <w:rsid w:val="00FF16BE"/>
    <w:rsid w:val="00FF208B"/>
    <w:rsid w:val="00FF2163"/>
    <w:rsid w:val="00FF2237"/>
    <w:rsid w:val="00FF2ADE"/>
    <w:rsid w:val="00FF2D1C"/>
    <w:rsid w:val="00FF2D24"/>
    <w:rsid w:val="00FF2DE8"/>
    <w:rsid w:val="00FF360A"/>
    <w:rsid w:val="00FF3B8E"/>
    <w:rsid w:val="00FF4194"/>
    <w:rsid w:val="00FF4B37"/>
    <w:rsid w:val="00FF5327"/>
    <w:rsid w:val="00FF65A5"/>
    <w:rsid w:val="00FF65BA"/>
    <w:rsid w:val="00FF6BBB"/>
    <w:rsid w:val="00FF6E0B"/>
    <w:rsid w:val="00FF701E"/>
    <w:rsid w:val="00FF744F"/>
    <w:rsid w:val="00FF7535"/>
    <w:rsid w:val="00FF7725"/>
    <w:rsid w:val="00FF7D47"/>
    <w:rsid w:val="00FF7EB5"/>
    <w:rsid w:val="00FF7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center;mso-width-percent:400;mso-height-percent:200;mso-width-relative:margin;mso-height-relative:margin" fillcolor="white">
      <v:fill color="white"/>
      <v:textbox style="mso-fit-shape-to-text:t"/>
      <o:colormru v:ext="edit" colors="#bd1f2b,#cf1e24,#d90b13,#e31c18"/>
    </o:shapedefaults>
    <o:shapelayout v:ext="edit">
      <o:idmap v:ext="edit" data="1"/>
    </o:shapelayout>
  </w:shapeDefaults>
  <w:decimalSymbol w:val=","/>
  <w:listSeparator w:val=";"/>
  <w14:docId w14:val="376DEEE1"/>
  <w15:chartTrackingRefBased/>
  <w15:docId w15:val="{9255DA98-82A2-4536-8DC6-45B02BF3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36550"/>
    <w:pPr>
      <w:widowControl w:val="0"/>
      <w:overflowPunct w:val="0"/>
      <w:autoSpaceDE w:val="0"/>
      <w:autoSpaceDN w:val="0"/>
      <w:adjustRightInd w:val="0"/>
      <w:spacing w:before="100" w:after="100"/>
    </w:pPr>
    <w:rPr>
      <w:kern w:val="28"/>
    </w:rPr>
  </w:style>
  <w:style w:type="paragraph" w:styleId="Titolo1">
    <w:name w:val="heading 1"/>
    <w:basedOn w:val="Normale"/>
    <w:next w:val="Normale"/>
    <w:link w:val="Titolo1Carattere"/>
    <w:uiPriority w:val="99"/>
    <w:qFormat/>
    <w:rsid w:val="00BC3FFD"/>
    <w:pPr>
      <w:keepNext/>
      <w:spacing w:before="0" w:after="120"/>
      <w:jc w:val="both"/>
      <w:outlineLvl w:val="0"/>
    </w:pPr>
    <w:rPr>
      <w:rFonts w:ascii="Cambria" w:hAnsi="Cambria"/>
      <w:b/>
      <w:kern w:val="32"/>
      <w:sz w:val="32"/>
    </w:rPr>
  </w:style>
  <w:style w:type="paragraph" w:styleId="Titolo4">
    <w:name w:val="heading 4"/>
    <w:basedOn w:val="Normale"/>
    <w:next w:val="Normale"/>
    <w:link w:val="Titolo4Carattere"/>
    <w:qFormat/>
    <w:locked/>
    <w:rsid w:val="00CD17F5"/>
    <w:pPr>
      <w:keepNext/>
      <w:keepLines/>
      <w:spacing w:before="200" w:after="0"/>
      <w:outlineLvl w:val="3"/>
    </w:pPr>
    <w:rPr>
      <w:rFonts w:ascii="Cambria" w:hAnsi="Cambria"/>
      <w:b/>
      <w:bCs/>
      <w:i/>
      <w:i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226782"/>
    <w:rPr>
      <w:rFonts w:ascii="Cambria" w:hAnsi="Cambria" w:cs="Times New Roman"/>
      <w:b/>
      <w:kern w:val="32"/>
      <w:sz w:val="32"/>
    </w:rPr>
  </w:style>
  <w:style w:type="paragraph" w:styleId="Corpotesto">
    <w:name w:val="Body Text"/>
    <w:basedOn w:val="Normale"/>
    <w:link w:val="CorpotestoCarattere"/>
    <w:uiPriority w:val="99"/>
    <w:rsid w:val="00BC3FFD"/>
    <w:pPr>
      <w:spacing w:before="0" w:after="0" w:line="360" w:lineRule="auto"/>
    </w:pPr>
  </w:style>
  <w:style w:type="character" w:customStyle="1" w:styleId="CorpotestoCarattere">
    <w:name w:val="Corpo testo Carattere"/>
    <w:link w:val="Corpotesto"/>
    <w:uiPriority w:val="99"/>
    <w:locked/>
    <w:rsid w:val="00226782"/>
    <w:rPr>
      <w:rFonts w:cs="Times New Roman"/>
      <w:kern w:val="28"/>
      <w:sz w:val="20"/>
    </w:rPr>
  </w:style>
  <w:style w:type="paragraph" w:styleId="Pidipagina">
    <w:name w:val="footer"/>
    <w:basedOn w:val="Normale"/>
    <w:link w:val="PidipaginaCarattere"/>
    <w:uiPriority w:val="99"/>
    <w:rsid w:val="00BC3FFD"/>
    <w:pPr>
      <w:tabs>
        <w:tab w:val="center" w:pos="4818"/>
        <w:tab w:val="right" w:pos="9637"/>
      </w:tabs>
      <w:spacing w:before="0" w:after="0"/>
      <w:jc w:val="both"/>
    </w:pPr>
  </w:style>
  <w:style w:type="character" w:customStyle="1" w:styleId="PidipaginaCarattere">
    <w:name w:val="Piè di pagina Carattere"/>
    <w:link w:val="Pidipagina"/>
    <w:uiPriority w:val="99"/>
    <w:locked/>
    <w:rsid w:val="00226782"/>
    <w:rPr>
      <w:rFonts w:cs="Times New Roman"/>
      <w:kern w:val="28"/>
      <w:sz w:val="20"/>
    </w:rPr>
  </w:style>
  <w:style w:type="character" w:styleId="Collegamentoipertestuale">
    <w:name w:val="Hyperlink"/>
    <w:uiPriority w:val="99"/>
    <w:rsid w:val="001F7282"/>
    <w:rPr>
      <w:rFonts w:cs="Times New Roman"/>
      <w:color w:val="0000FF"/>
      <w:u w:val="single"/>
    </w:rPr>
  </w:style>
  <w:style w:type="paragraph" w:styleId="Intestazione">
    <w:name w:val="header"/>
    <w:basedOn w:val="Normale"/>
    <w:link w:val="IntestazioneCarattere"/>
    <w:uiPriority w:val="99"/>
    <w:rsid w:val="000F6161"/>
    <w:pPr>
      <w:tabs>
        <w:tab w:val="center" w:pos="4819"/>
        <w:tab w:val="right" w:pos="9638"/>
      </w:tabs>
    </w:pPr>
  </w:style>
  <w:style w:type="character" w:customStyle="1" w:styleId="IntestazioneCarattere">
    <w:name w:val="Intestazione Carattere"/>
    <w:link w:val="Intestazione"/>
    <w:uiPriority w:val="99"/>
    <w:locked/>
    <w:rsid w:val="00226782"/>
    <w:rPr>
      <w:rFonts w:cs="Times New Roman"/>
      <w:kern w:val="28"/>
      <w:sz w:val="20"/>
    </w:rPr>
  </w:style>
  <w:style w:type="character" w:styleId="Numeropagina">
    <w:name w:val="page number"/>
    <w:uiPriority w:val="99"/>
    <w:rsid w:val="0026018C"/>
    <w:rPr>
      <w:rFonts w:cs="Times New Roman"/>
    </w:rPr>
  </w:style>
  <w:style w:type="paragraph" w:styleId="Testofumetto">
    <w:name w:val="Balloon Text"/>
    <w:basedOn w:val="Normale"/>
    <w:link w:val="TestofumettoCarattere"/>
    <w:uiPriority w:val="99"/>
    <w:semiHidden/>
    <w:rsid w:val="00486F36"/>
    <w:rPr>
      <w:sz w:val="2"/>
    </w:rPr>
  </w:style>
  <w:style w:type="character" w:customStyle="1" w:styleId="TestofumettoCarattere">
    <w:name w:val="Testo fumetto Carattere"/>
    <w:link w:val="Testofumetto"/>
    <w:uiPriority w:val="99"/>
    <w:semiHidden/>
    <w:locked/>
    <w:rsid w:val="00226782"/>
    <w:rPr>
      <w:rFonts w:cs="Times New Roman"/>
      <w:kern w:val="28"/>
      <w:sz w:val="2"/>
    </w:rPr>
  </w:style>
  <w:style w:type="paragraph" w:styleId="NormaleWeb">
    <w:name w:val="Normal (Web)"/>
    <w:basedOn w:val="Normale"/>
    <w:uiPriority w:val="99"/>
    <w:rsid w:val="00100058"/>
    <w:pPr>
      <w:widowControl/>
      <w:overflowPunct/>
      <w:autoSpaceDE/>
      <w:autoSpaceDN/>
      <w:adjustRightInd/>
      <w:spacing w:beforeAutospacing="1" w:afterAutospacing="1"/>
    </w:pPr>
    <w:rPr>
      <w:kern w:val="0"/>
      <w:sz w:val="24"/>
      <w:szCs w:val="24"/>
    </w:rPr>
  </w:style>
  <w:style w:type="paragraph" w:styleId="PreformattatoHTML">
    <w:name w:val="HTML Preformatted"/>
    <w:basedOn w:val="Normale"/>
    <w:link w:val="PreformattatoHTMLCarattere"/>
    <w:uiPriority w:val="99"/>
    <w:rsid w:val="009060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after="0"/>
    </w:pPr>
    <w:rPr>
      <w:rFonts w:ascii="Courier New" w:hAnsi="Courier New"/>
    </w:rPr>
  </w:style>
  <w:style w:type="character" w:customStyle="1" w:styleId="PreformattatoHTMLCarattere">
    <w:name w:val="Preformattato HTML Carattere"/>
    <w:link w:val="PreformattatoHTML"/>
    <w:uiPriority w:val="99"/>
    <w:semiHidden/>
    <w:locked/>
    <w:rsid w:val="00226782"/>
    <w:rPr>
      <w:rFonts w:ascii="Courier New" w:hAnsi="Courier New" w:cs="Times New Roman"/>
      <w:kern w:val="28"/>
      <w:sz w:val="20"/>
    </w:rPr>
  </w:style>
  <w:style w:type="character" w:styleId="Enfasigrassetto">
    <w:name w:val="Strong"/>
    <w:uiPriority w:val="99"/>
    <w:qFormat/>
    <w:rsid w:val="008C6EAA"/>
    <w:rPr>
      <w:rFonts w:cs="Times New Roman"/>
      <w:b/>
    </w:rPr>
  </w:style>
  <w:style w:type="table" w:styleId="Grigliatabella">
    <w:name w:val="Table Grid"/>
    <w:basedOn w:val="Tabellanormale"/>
    <w:uiPriority w:val="99"/>
    <w:locked/>
    <w:rsid w:val="00E75D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uiPriority w:val="99"/>
    <w:rsid w:val="00E75DCC"/>
  </w:style>
  <w:style w:type="paragraph" w:styleId="Testonotaapidipagina">
    <w:name w:val="footnote text"/>
    <w:basedOn w:val="Normale"/>
    <w:link w:val="TestonotaapidipaginaCarattere"/>
    <w:rsid w:val="006C145B"/>
  </w:style>
  <w:style w:type="character" w:customStyle="1" w:styleId="TestonotaapidipaginaCarattere">
    <w:name w:val="Testo nota a piè di pagina Carattere"/>
    <w:link w:val="Testonotaapidipagina"/>
    <w:locked/>
    <w:rsid w:val="00F05FF9"/>
    <w:rPr>
      <w:rFonts w:cs="Times New Roman"/>
      <w:kern w:val="28"/>
      <w:sz w:val="20"/>
    </w:rPr>
  </w:style>
  <w:style w:type="character" w:styleId="Rimandonotaapidipagina">
    <w:name w:val="footnote reference"/>
    <w:rsid w:val="006C145B"/>
    <w:rPr>
      <w:rFonts w:cs="Times New Roman"/>
      <w:vertAlign w:val="superscript"/>
    </w:rPr>
  </w:style>
  <w:style w:type="character" w:styleId="Enfasicorsivo">
    <w:name w:val="Emphasis"/>
    <w:uiPriority w:val="99"/>
    <w:qFormat/>
    <w:locked/>
    <w:rsid w:val="00E80FB8"/>
    <w:rPr>
      <w:rFonts w:cs="Times New Roman"/>
      <w:i/>
    </w:rPr>
  </w:style>
  <w:style w:type="paragraph" w:customStyle="1" w:styleId="Grigliamedia1-Colore21">
    <w:name w:val="Griglia media 1 - Colore 21"/>
    <w:basedOn w:val="Normale"/>
    <w:uiPriority w:val="34"/>
    <w:qFormat/>
    <w:rsid w:val="0022535F"/>
    <w:pPr>
      <w:ind w:left="720"/>
      <w:contextualSpacing/>
    </w:pPr>
  </w:style>
  <w:style w:type="character" w:styleId="Rimandocommento">
    <w:name w:val="annotation reference"/>
    <w:uiPriority w:val="99"/>
    <w:semiHidden/>
    <w:unhideWhenUsed/>
    <w:rsid w:val="00407D29"/>
    <w:rPr>
      <w:sz w:val="16"/>
      <w:szCs w:val="16"/>
    </w:rPr>
  </w:style>
  <w:style w:type="paragraph" w:styleId="Testocommento">
    <w:name w:val="annotation text"/>
    <w:basedOn w:val="Normale"/>
    <w:link w:val="TestocommentoCarattere"/>
    <w:uiPriority w:val="99"/>
    <w:semiHidden/>
    <w:unhideWhenUsed/>
    <w:rsid w:val="00407D29"/>
  </w:style>
  <w:style w:type="character" w:customStyle="1" w:styleId="TestocommentoCarattere">
    <w:name w:val="Testo commento Carattere"/>
    <w:link w:val="Testocommento"/>
    <w:uiPriority w:val="99"/>
    <w:semiHidden/>
    <w:rsid w:val="00407D29"/>
    <w:rPr>
      <w:kern w:val="28"/>
      <w:sz w:val="20"/>
      <w:szCs w:val="20"/>
    </w:rPr>
  </w:style>
  <w:style w:type="paragraph" w:styleId="Soggettocommento">
    <w:name w:val="annotation subject"/>
    <w:basedOn w:val="Testocommento"/>
    <w:next w:val="Testocommento"/>
    <w:link w:val="SoggettocommentoCarattere"/>
    <w:uiPriority w:val="99"/>
    <w:semiHidden/>
    <w:unhideWhenUsed/>
    <w:rsid w:val="00407D29"/>
    <w:rPr>
      <w:b/>
      <w:bCs/>
    </w:rPr>
  </w:style>
  <w:style w:type="character" w:customStyle="1" w:styleId="SoggettocommentoCarattere">
    <w:name w:val="Soggetto commento Carattere"/>
    <w:link w:val="Soggettocommento"/>
    <w:uiPriority w:val="99"/>
    <w:semiHidden/>
    <w:rsid w:val="00407D29"/>
    <w:rPr>
      <w:b/>
      <w:bCs/>
      <w:kern w:val="28"/>
      <w:sz w:val="20"/>
      <w:szCs w:val="20"/>
    </w:rPr>
  </w:style>
  <w:style w:type="paragraph" w:styleId="Sottotitolo">
    <w:name w:val="Subtitle"/>
    <w:basedOn w:val="Normale"/>
    <w:next w:val="Normale"/>
    <w:link w:val="SottotitoloCarattere"/>
    <w:qFormat/>
    <w:locked/>
    <w:rsid w:val="006166D3"/>
    <w:pPr>
      <w:numPr>
        <w:ilvl w:val="1"/>
      </w:numPr>
    </w:pPr>
    <w:rPr>
      <w:rFonts w:ascii="Cambria" w:hAnsi="Cambria"/>
      <w:i/>
      <w:iCs/>
      <w:color w:val="4F81BD"/>
      <w:spacing w:val="15"/>
      <w:sz w:val="24"/>
      <w:szCs w:val="24"/>
    </w:rPr>
  </w:style>
  <w:style w:type="character" w:customStyle="1" w:styleId="SottotitoloCarattere">
    <w:name w:val="Sottotitolo Carattere"/>
    <w:link w:val="Sottotitolo"/>
    <w:rsid w:val="006166D3"/>
    <w:rPr>
      <w:rFonts w:ascii="Cambria" w:eastAsia="Times New Roman" w:hAnsi="Cambria" w:cs="Times New Roman"/>
      <w:i/>
      <w:iCs/>
      <w:color w:val="4F81BD"/>
      <w:spacing w:val="15"/>
      <w:kern w:val="28"/>
      <w:sz w:val="24"/>
      <w:szCs w:val="24"/>
    </w:rPr>
  </w:style>
  <w:style w:type="character" w:customStyle="1" w:styleId="Titolo4Carattere">
    <w:name w:val="Titolo 4 Carattere"/>
    <w:link w:val="Titolo4"/>
    <w:uiPriority w:val="9"/>
    <w:rsid w:val="00CD17F5"/>
    <w:rPr>
      <w:rFonts w:ascii="Cambria" w:eastAsia="Times New Roman" w:hAnsi="Cambria" w:cs="Times New Roman"/>
      <w:b/>
      <w:bCs/>
      <w:i/>
      <w:iCs/>
      <w:color w:val="4F81BD"/>
      <w:kern w:val="28"/>
      <w:sz w:val="20"/>
      <w:szCs w:val="20"/>
    </w:rPr>
  </w:style>
  <w:style w:type="paragraph" w:customStyle="1" w:styleId="Default">
    <w:name w:val="Default"/>
    <w:uiPriority w:val="99"/>
    <w:rsid w:val="00417ECD"/>
    <w:pPr>
      <w:autoSpaceDE w:val="0"/>
      <w:autoSpaceDN w:val="0"/>
      <w:adjustRightInd w:val="0"/>
    </w:pPr>
    <w:rPr>
      <w:rFonts w:ascii="Arial Narrow" w:hAnsi="Arial Narrow"/>
      <w:color w:val="000000"/>
      <w:sz w:val="24"/>
      <w:szCs w:val="24"/>
    </w:rPr>
  </w:style>
  <w:style w:type="paragraph" w:customStyle="1" w:styleId="Paragrafobase">
    <w:name w:val="[Paragrafo base]"/>
    <w:basedOn w:val="Normale"/>
    <w:uiPriority w:val="99"/>
    <w:rsid w:val="00083173"/>
    <w:pPr>
      <w:overflowPunct/>
      <w:spacing w:before="0" w:after="0" w:line="288" w:lineRule="auto"/>
      <w:textAlignment w:val="center"/>
    </w:pPr>
    <w:rPr>
      <w:rFonts w:ascii="Times-Roman" w:hAnsi="Times-Roman" w:cs="Times-Roman"/>
      <w:color w:val="000000"/>
      <w:kern w:val="0"/>
      <w:sz w:val="24"/>
      <w:szCs w:val="24"/>
    </w:rPr>
  </w:style>
  <w:style w:type="table" w:customStyle="1" w:styleId="Grigliatabella1">
    <w:name w:val="Griglia tabella1"/>
    <w:basedOn w:val="Tabellanormale"/>
    <w:next w:val="Grigliatabella"/>
    <w:uiPriority w:val="99"/>
    <w:rsid w:val="00A36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1TitoGra">
    <w:name w:val="001TitoGra"/>
    <w:basedOn w:val="Normale"/>
    <w:qFormat/>
    <w:rsid w:val="00FF1163"/>
    <w:pPr>
      <w:spacing w:before="0" w:after="0" w:line="240" w:lineRule="exact"/>
    </w:pPr>
    <w:rPr>
      <w:rFonts w:ascii="Arial Narrow" w:hAnsi="Arial Narrow" w:cs="Arial"/>
      <w:b/>
      <w:color w:val="5F5F5F"/>
      <w:sz w:val="22"/>
      <w:szCs w:val="22"/>
    </w:rPr>
  </w:style>
  <w:style w:type="paragraph" w:customStyle="1" w:styleId="001TitoloBolocco">
    <w:name w:val="001TitoloBolocco"/>
    <w:basedOn w:val="Titolo1"/>
    <w:link w:val="001TitoloBoloccoCarattere"/>
    <w:qFormat/>
    <w:rsid w:val="00E53642"/>
    <w:pPr>
      <w:pBdr>
        <w:bottom w:val="single" w:sz="18" w:space="1" w:color="E31C18"/>
      </w:pBdr>
      <w:spacing w:after="240" w:line="240" w:lineRule="exact"/>
    </w:pPr>
    <w:rPr>
      <w:rFonts w:ascii="Calibri" w:hAnsi="Calibri" w:cs="Arial"/>
      <w:bCs/>
      <w:caps/>
      <w:color w:val="000000"/>
      <w:sz w:val="26"/>
      <w:szCs w:val="28"/>
    </w:rPr>
  </w:style>
  <w:style w:type="character" w:customStyle="1" w:styleId="001TitoloBoloccoCarattere">
    <w:name w:val="001TitoloBolocco Carattere"/>
    <w:link w:val="001TitoloBolocco"/>
    <w:rsid w:val="00E53642"/>
    <w:rPr>
      <w:rFonts w:ascii="Calibri" w:hAnsi="Calibri" w:cs="Arial"/>
      <w:b/>
      <w:bCs/>
      <w:caps/>
      <w:color w:val="000000"/>
      <w:kern w:val="32"/>
      <w:sz w:val="26"/>
      <w:szCs w:val="28"/>
    </w:rPr>
  </w:style>
  <w:style w:type="paragraph" w:customStyle="1" w:styleId="00TitoGra1">
    <w:name w:val="00TitoGra1"/>
    <w:basedOn w:val="Normale"/>
    <w:qFormat/>
    <w:rsid w:val="00E53642"/>
    <w:pPr>
      <w:spacing w:before="0" w:after="0" w:line="280" w:lineRule="exact"/>
    </w:pPr>
    <w:rPr>
      <w:rFonts w:ascii="Calibri" w:hAnsi="Calibri" w:cs="Arial"/>
      <w:b/>
      <w:color w:val="D90B13"/>
      <w:sz w:val="28"/>
      <w:szCs w:val="28"/>
    </w:rPr>
  </w:style>
  <w:style w:type="character" w:customStyle="1" w:styleId="001TitoGraRed">
    <w:name w:val="001TitoGraRed"/>
    <w:uiPriority w:val="1"/>
    <w:qFormat/>
    <w:rsid w:val="00FF1163"/>
    <w:rPr>
      <w:color w:val="E31C18"/>
    </w:rPr>
  </w:style>
  <w:style w:type="paragraph" w:customStyle="1" w:styleId="001SottotitoloGra">
    <w:name w:val="001SottotitoloGra"/>
    <w:basedOn w:val="001TitoGra"/>
    <w:qFormat/>
    <w:rsid w:val="00FF1163"/>
    <w:pPr>
      <w:spacing w:after="120"/>
    </w:pPr>
    <w:rPr>
      <w:b w:val="0"/>
      <w:sz w:val="20"/>
      <w:szCs w:val="20"/>
    </w:rPr>
  </w:style>
  <w:style w:type="paragraph" w:styleId="Rientrocorpodeltesto">
    <w:name w:val="Body Text Indent"/>
    <w:basedOn w:val="Normale"/>
    <w:link w:val="RientrocorpodeltestoCarattere"/>
    <w:uiPriority w:val="99"/>
    <w:semiHidden/>
    <w:unhideWhenUsed/>
    <w:rsid w:val="00A53D09"/>
    <w:pPr>
      <w:spacing w:after="120"/>
      <w:ind w:left="283"/>
    </w:pPr>
  </w:style>
  <w:style w:type="character" w:customStyle="1" w:styleId="RientrocorpodeltestoCarattere">
    <w:name w:val="Rientro corpo del testo Carattere"/>
    <w:link w:val="Rientrocorpodeltesto"/>
    <w:uiPriority w:val="99"/>
    <w:semiHidden/>
    <w:rsid w:val="00A53D09"/>
    <w:rPr>
      <w:kern w:val="28"/>
    </w:rPr>
  </w:style>
  <w:style w:type="character" w:customStyle="1" w:styleId="st">
    <w:name w:val="st"/>
    <w:rsid w:val="00431975"/>
  </w:style>
  <w:style w:type="paragraph" w:styleId="Corpodeltesto3">
    <w:name w:val="Body Text 3"/>
    <w:basedOn w:val="Normale"/>
    <w:link w:val="Corpodeltesto3Carattere"/>
    <w:rsid w:val="000B233D"/>
    <w:pPr>
      <w:widowControl/>
      <w:overflowPunct/>
      <w:autoSpaceDE/>
      <w:autoSpaceDN/>
      <w:adjustRightInd/>
      <w:spacing w:before="0" w:after="120"/>
    </w:pPr>
    <w:rPr>
      <w:kern w:val="0"/>
      <w:sz w:val="16"/>
      <w:szCs w:val="16"/>
    </w:rPr>
  </w:style>
  <w:style w:type="character" w:customStyle="1" w:styleId="Corpodeltesto3Carattere">
    <w:name w:val="Corpo del testo 3 Carattere"/>
    <w:link w:val="Corpodeltesto3"/>
    <w:rsid w:val="000B233D"/>
    <w:rPr>
      <w:sz w:val="16"/>
      <w:szCs w:val="16"/>
    </w:rPr>
  </w:style>
  <w:style w:type="paragraph" w:customStyle="1" w:styleId="Rientrocorpodeltesto31">
    <w:name w:val="Rientro corpo del testo 31"/>
    <w:basedOn w:val="Normale"/>
    <w:uiPriority w:val="99"/>
    <w:rsid w:val="00C53DB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verflowPunct/>
      <w:autoSpaceDE/>
      <w:autoSpaceDN/>
      <w:adjustRightInd/>
      <w:spacing w:before="0" w:after="0" w:line="240" w:lineRule="exact"/>
      <w:ind w:left="-567"/>
      <w:jc w:val="both"/>
    </w:pPr>
    <w:rPr>
      <w:spacing w:val="-3"/>
      <w:kern w:val="0"/>
      <w:sz w:val="22"/>
      <w:lang w:eastAsia="ar-SA"/>
    </w:rPr>
  </w:style>
  <w:style w:type="paragraph" w:styleId="Paragrafoelenco">
    <w:name w:val="List Paragraph"/>
    <w:basedOn w:val="Normale"/>
    <w:link w:val="ParagrafoelencoCarattere"/>
    <w:uiPriority w:val="34"/>
    <w:qFormat/>
    <w:rsid w:val="00C62BB3"/>
    <w:pPr>
      <w:ind w:left="720"/>
      <w:contextualSpacing/>
    </w:pPr>
  </w:style>
  <w:style w:type="character" w:customStyle="1" w:styleId="ParagrafoelencoCarattere">
    <w:name w:val="Paragrafo elenco Carattere"/>
    <w:link w:val="Paragrafoelenco"/>
    <w:uiPriority w:val="34"/>
    <w:rsid w:val="00C62BB3"/>
    <w:rPr>
      <w:kern w:val="28"/>
    </w:rPr>
  </w:style>
  <w:style w:type="character" w:styleId="Collegamentovisitato">
    <w:name w:val="FollowedHyperlink"/>
    <w:uiPriority w:val="99"/>
    <w:semiHidden/>
    <w:unhideWhenUsed/>
    <w:rsid w:val="0039772E"/>
    <w:rPr>
      <w:color w:val="800080"/>
      <w:u w:val="single"/>
    </w:rPr>
  </w:style>
  <w:style w:type="paragraph" w:customStyle="1" w:styleId="Comunicato">
    <w:name w:val="Comunicato"/>
    <w:basedOn w:val="Normale"/>
    <w:link w:val="ComunicatoCarattere"/>
    <w:rsid w:val="00B971C1"/>
    <w:pPr>
      <w:jc w:val="both"/>
    </w:pPr>
    <w:rPr>
      <w:sz w:val="23"/>
    </w:rPr>
  </w:style>
  <w:style w:type="character" w:customStyle="1" w:styleId="ComunicatoCarattere">
    <w:name w:val="Comunicato Carattere"/>
    <w:link w:val="Comunicato"/>
    <w:rsid w:val="00B971C1"/>
    <w:rPr>
      <w:kern w:val="28"/>
      <w:sz w:val="23"/>
    </w:rPr>
  </w:style>
  <w:style w:type="character" w:customStyle="1" w:styleId="object">
    <w:name w:val="object"/>
    <w:rsid w:val="00F830CE"/>
  </w:style>
  <w:style w:type="paragraph" w:styleId="Revisione">
    <w:name w:val="Revision"/>
    <w:hidden/>
    <w:uiPriority w:val="71"/>
    <w:rsid w:val="006B792A"/>
    <w:rPr>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486">
      <w:bodyDiv w:val="1"/>
      <w:marLeft w:val="0"/>
      <w:marRight w:val="0"/>
      <w:marTop w:val="0"/>
      <w:marBottom w:val="0"/>
      <w:divBdr>
        <w:top w:val="none" w:sz="0" w:space="0" w:color="auto"/>
        <w:left w:val="none" w:sz="0" w:space="0" w:color="auto"/>
        <w:bottom w:val="none" w:sz="0" w:space="0" w:color="auto"/>
        <w:right w:val="none" w:sz="0" w:space="0" w:color="auto"/>
      </w:divBdr>
    </w:div>
    <w:div w:id="6180447">
      <w:bodyDiv w:val="1"/>
      <w:marLeft w:val="0"/>
      <w:marRight w:val="0"/>
      <w:marTop w:val="0"/>
      <w:marBottom w:val="0"/>
      <w:divBdr>
        <w:top w:val="none" w:sz="0" w:space="0" w:color="auto"/>
        <w:left w:val="none" w:sz="0" w:space="0" w:color="auto"/>
        <w:bottom w:val="none" w:sz="0" w:space="0" w:color="auto"/>
        <w:right w:val="none" w:sz="0" w:space="0" w:color="auto"/>
      </w:divBdr>
    </w:div>
    <w:div w:id="17397558">
      <w:bodyDiv w:val="1"/>
      <w:marLeft w:val="0"/>
      <w:marRight w:val="0"/>
      <w:marTop w:val="0"/>
      <w:marBottom w:val="0"/>
      <w:divBdr>
        <w:top w:val="none" w:sz="0" w:space="0" w:color="auto"/>
        <w:left w:val="none" w:sz="0" w:space="0" w:color="auto"/>
        <w:bottom w:val="none" w:sz="0" w:space="0" w:color="auto"/>
        <w:right w:val="none" w:sz="0" w:space="0" w:color="auto"/>
      </w:divBdr>
    </w:div>
    <w:div w:id="29649862">
      <w:bodyDiv w:val="1"/>
      <w:marLeft w:val="0"/>
      <w:marRight w:val="0"/>
      <w:marTop w:val="0"/>
      <w:marBottom w:val="0"/>
      <w:divBdr>
        <w:top w:val="none" w:sz="0" w:space="0" w:color="auto"/>
        <w:left w:val="none" w:sz="0" w:space="0" w:color="auto"/>
        <w:bottom w:val="none" w:sz="0" w:space="0" w:color="auto"/>
        <w:right w:val="none" w:sz="0" w:space="0" w:color="auto"/>
      </w:divBdr>
    </w:div>
    <w:div w:id="69041894">
      <w:bodyDiv w:val="1"/>
      <w:marLeft w:val="0"/>
      <w:marRight w:val="0"/>
      <w:marTop w:val="0"/>
      <w:marBottom w:val="0"/>
      <w:divBdr>
        <w:top w:val="none" w:sz="0" w:space="0" w:color="auto"/>
        <w:left w:val="none" w:sz="0" w:space="0" w:color="auto"/>
        <w:bottom w:val="none" w:sz="0" w:space="0" w:color="auto"/>
        <w:right w:val="none" w:sz="0" w:space="0" w:color="auto"/>
      </w:divBdr>
    </w:div>
    <w:div w:id="72625743">
      <w:bodyDiv w:val="1"/>
      <w:marLeft w:val="0"/>
      <w:marRight w:val="0"/>
      <w:marTop w:val="0"/>
      <w:marBottom w:val="0"/>
      <w:divBdr>
        <w:top w:val="none" w:sz="0" w:space="0" w:color="auto"/>
        <w:left w:val="none" w:sz="0" w:space="0" w:color="auto"/>
        <w:bottom w:val="none" w:sz="0" w:space="0" w:color="auto"/>
        <w:right w:val="none" w:sz="0" w:space="0" w:color="auto"/>
      </w:divBdr>
    </w:div>
    <w:div w:id="111638430">
      <w:bodyDiv w:val="1"/>
      <w:marLeft w:val="0"/>
      <w:marRight w:val="0"/>
      <w:marTop w:val="0"/>
      <w:marBottom w:val="0"/>
      <w:divBdr>
        <w:top w:val="none" w:sz="0" w:space="0" w:color="auto"/>
        <w:left w:val="none" w:sz="0" w:space="0" w:color="auto"/>
        <w:bottom w:val="none" w:sz="0" w:space="0" w:color="auto"/>
        <w:right w:val="none" w:sz="0" w:space="0" w:color="auto"/>
      </w:divBdr>
    </w:div>
    <w:div w:id="131363114">
      <w:bodyDiv w:val="1"/>
      <w:marLeft w:val="0"/>
      <w:marRight w:val="0"/>
      <w:marTop w:val="0"/>
      <w:marBottom w:val="0"/>
      <w:divBdr>
        <w:top w:val="none" w:sz="0" w:space="0" w:color="auto"/>
        <w:left w:val="none" w:sz="0" w:space="0" w:color="auto"/>
        <w:bottom w:val="none" w:sz="0" w:space="0" w:color="auto"/>
        <w:right w:val="none" w:sz="0" w:space="0" w:color="auto"/>
      </w:divBdr>
    </w:div>
    <w:div w:id="163055204">
      <w:bodyDiv w:val="1"/>
      <w:marLeft w:val="0"/>
      <w:marRight w:val="0"/>
      <w:marTop w:val="0"/>
      <w:marBottom w:val="0"/>
      <w:divBdr>
        <w:top w:val="none" w:sz="0" w:space="0" w:color="auto"/>
        <w:left w:val="none" w:sz="0" w:space="0" w:color="auto"/>
        <w:bottom w:val="none" w:sz="0" w:space="0" w:color="auto"/>
        <w:right w:val="none" w:sz="0" w:space="0" w:color="auto"/>
      </w:divBdr>
      <w:divsChild>
        <w:div w:id="72774841">
          <w:marLeft w:val="0"/>
          <w:marRight w:val="0"/>
          <w:marTop w:val="0"/>
          <w:marBottom w:val="0"/>
          <w:divBdr>
            <w:top w:val="none" w:sz="0" w:space="0" w:color="auto"/>
            <w:left w:val="none" w:sz="0" w:space="0" w:color="auto"/>
            <w:bottom w:val="none" w:sz="0" w:space="0" w:color="auto"/>
            <w:right w:val="none" w:sz="0" w:space="0" w:color="auto"/>
          </w:divBdr>
        </w:div>
        <w:div w:id="112676843">
          <w:marLeft w:val="0"/>
          <w:marRight w:val="0"/>
          <w:marTop w:val="0"/>
          <w:marBottom w:val="0"/>
          <w:divBdr>
            <w:top w:val="none" w:sz="0" w:space="0" w:color="auto"/>
            <w:left w:val="none" w:sz="0" w:space="0" w:color="auto"/>
            <w:bottom w:val="none" w:sz="0" w:space="0" w:color="auto"/>
            <w:right w:val="none" w:sz="0" w:space="0" w:color="auto"/>
          </w:divBdr>
        </w:div>
        <w:div w:id="135799169">
          <w:marLeft w:val="0"/>
          <w:marRight w:val="0"/>
          <w:marTop w:val="0"/>
          <w:marBottom w:val="0"/>
          <w:divBdr>
            <w:top w:val="none" w:sz="0" w:space="0" w:color="auto"/>
            <w:left w:val="none" w:sz="0" w:space="0" w:color="auto"/>
            <w:bottom w:val="none" w:sz="0" w:space="0" w:color="auto"/>
            <w:right w:val="none" w:sz="0" w:space="0" w:color="auto"/>
          </w:divBdr>
        </w:div>
        <w:div w:id="1033112804">
          <w:marLeft w:val="0"/>
          <w:marRight w:val="0"/>
          <w:marTop w:val="0"/>
          <w:marBottom w:val="0"/>
          <w:divBdr>
            <w:top w:val="none" w:sz="0" w:space="0" w:color="auto"/>
            <w:left w:val="none" w:sz="0" w:space="0" w:color="auto"/>
            <w:bottom w:val="none" w:sz="0" w:space="0" w:color="auto"/>
            <w:right w:val="none" w:sz="0" w:space="0" w:color="auto"/>
          </w:divBdr>
        </w:div>
        <w:div w:id="1521511708">
          <w:marLeft w:val="0"/>
          <w:marRight w:val="0"/>
          <w:marTop w:val="0"/>
          <w:marBottom w:val="0"/>
          <w:divBdr>
            <w:top w:val="none" w:sz="0" w:space="0" w:color="auto"/>
            <w:left w:val="none" w:sz="0" w:space="0" w:color="auto"/>
            <w:bottom w:val="none" w:sz="0" w:space="0" w:color="auto"/>
            <w:right w:val="none" w:sz="0" w:space="0" w:color="auto"/>
          </w:divBdr>
        </w:div>
      </w:divsChild>
    </w:div>
    <w:div w:id="190531945">
      <w:bodyDiv w:val="1"/>
      <w:marLeft w:val="0"/>
      <w:marRight w:val="0"/>
      <w:marTop w:val="0"/>
      <w:marBottom w:val="0"/>
      <w:divBdr>
        <w:top w:val="none" w:sz="0" w:space="0" w:color="auto"/>
        <w:left w:val="none" w:sz="0" w:space="0" w:color="auto"/>
        <w:bottom w:val="none" w:sz="0" w:space="0" w:color="auto"/>
        <w:right w:val="none" w:sz="0" w:space="0" w:color="auto"/>
      </w:divBdr>
    </w:div>
    <w:div w:id="193345705">
      <w:bodyDiv w:val="1"/>
      <w:marLeft w:val="0"/>
      <w:marRight w:val="0"/>
      <w:marTop w:val="0"/>
      <w:marBottom w:val="0"/>
      <w:divBdr>
        <w:top w:val="none" w:sz="0" w:space="0" w:color="auto"/>
        <w:left w:val="none" w:sz="0" w:space="0" w:color="auto"/>
        <w:bottom w:val="none" w:sz="0" w:space="0" w:color="auto"/>
        <w:right w:val="none" w:sz="0" w:space="0" w:color="auto"/>
      </w:divBdr>
    </w:div>
    <w:div w:id="200484480">
      <w:bodyDiv w:val="1"/>
      <w:marLeft w:val="0"/>
      <w:marRight w:val="0"/>
      <w:marTop w:val="0"/>
      <w:marBottom w:val="0"/>
      <w:divBdr>
        <w:top w:val="none" w:sz="0" w:space="0" w:color="auto"/>
        <w:left w:val="none" w:sz="0" w:space="0" w:color="auto"/>
        <w:bottom w:val="none" w:sz="0" w:space="0" w:color="auto"/>
        <w:right w:val="none" w:sz="0" w:space="0" w:color="auto"/>
      </w:divBdr>
      <w:divsChild>
        <w:div w:id="160703322">
          <w:marLeft w:val="0"/>
          <w:marRight w:val="0"/>
          <w:marTop w:val="0"/>
          <w:marBottom w:val="0"/>
          <w:divBdr>
            <w:top w:val="none" w:sz="0" w:space="0" w:color="auto"/>
            <w:left w:val="none" w:sz="0" w:space="0" w:color="auto"/>
            <w:bottom w:val="none" w:sz="0" w:space="0" w:color="auto"/>
            <w:right w:val="none" w:sz="0" w:space="0" w:color="auto"/>
          </w:divBdr>
        </w:div>
        <w:div w:id="506092020">
          <w:marLeft w:val="0"/>
          <w:marRight w:val="0"/>
          <w:marTop w:val="0"/>
          <w:marBottom w:val="0"/>
          <w:divBdr>
            <w:top w:val="none" w:sz="0" w:space="0" w:color="auto"/>
            <w:left w:val="none" w:sz="0" w:space="0" w:color="auto"/>
            <w:bottom w:val="none" w:sz="0" w:space="0" w:color="auto"/>
            <w:right w:val="none" w:sz="0" w:space="0" w:color="auto"/>
          </w:divBdr>
        </w:div>
        <w:div w:id="1243643572">
          <w:marLeft w:val="0"/>
          <w:marRight w:val="0"/>
          <w:marTop w:val="0"/>
          <w:marBottom w:val="0"/>
          <w:divBdr>
            <w:top w:val="none" w:sz="0" w:space="0" w:color="auto"/>
            <w:left w:val="none" w:sz="0" w:space="0" w:color="auto"/>
            <w:bottom w:val="none" w:sz="0" w:space="0" w:color="auto"/>
            <w:right w:val="none" w:sz="0" w:space="0" w:color="auto"/>
          </w:divBdr>
        </w:div>
        <w:div w:id="1941789296">
          <w:marLeft w:val="0"/>
          <w:marRight w:val="0"/>
          <w:marTop w:val="0"/>
          <w:marBottom w:val="0"/>
          <w:divBdr>
            <w:top w:val="none" w:sz="0" w:space="0" w:color="auto"/>
            <w:left w:val="none" w:sz="0" w:space="0" w:color="auto"/>
            <w:bottom w:val="none" w:sz="0" w:space="0" w:color="auto"/>
            <w:right w:val="none" w:sz="0" w:space="0" w:color="auto"/>
          </w:divBdr>
        </w:div>
      </w:divsChild>
    </w:div>
    <w:div w:id="217282464">
      <w:bodyDiv w:val="1"/>
      <w:marLeft w:val="0"/>
      <w:marRight w:val="0"/>
      <w:marTop w:val="0"/>
      <w:marBottom w:val="0"/>
      <w:divBdr>
        <w:top w:val="none" w:sz="0" w:space="0" w:color="auto"/>
        <w:left w:val="none" w:sz="0" w:space="0" w:color="auto"/>
        <w:bottom w:val="none" w:sz="0" w:space="0" w:color="auto"/>
        <w:right w:val="none" w:sz="0" w:space="0" w:color="auto"/>
      </w:divBdr>
    </w:div>
    <w:div w:id="219481020">
      <w:bodyDiv w:val="1"/>
      <w:marLeft w:val="0"/>
      <w:marRight w:val="0"/>
      <w:marTop w:val="0"/>
      <w:marBottom w:val="0"/>
      <w:divBdr>
        <w:top w:val="none" w:sz="0" w:space="0" w:color="auto"/>
        <w:left w:val="none" w:sz="0" w:space="0" w:color="auto"/>
        <w:bottom w:val="none" w:sz="0" w:space="0" w:color="auto"/>
        <w:right w:val="none" w:sz="0" w:space="0" w:color="auto"/>
      </w:divBdr>
    </w:div>
    <w:div w:id="224222885">
      <w:bodyDiv w:val="1"/>
      <w:marLeft w:val="0"/>
      <w:marRight w:val="0"/>
      <w:marTop w:val="0"/>
      <w:marBottom w:val="0"/>
      <w:divBdr>
        <w:top w:val="none" w:sz="0" w:space="0" w:color="auto"/>
        <w:left w:val="none" w:sz="0" w:space="0" w:color="auto"/>
        <w:bottom w:val="none" w:sz="0" w:space="0" w:color="auto"/>
        <w:right w:val="none" w:sz="0" w:space="0" w:color="auto"/>
      </w:divBdr>
    </w:div>
    <w:div w:id="237443218">
      <w:bodyDiv w:val="1"/>
      <w:marLeft w:val="0"/>
      <w:marRight w:val="0"/>
      <w:marTop w:val="0"/>
      <w:marBottom w:val="0"/>
      <w:divBdr>
        <w:top w:val="none" w:sz="0" w:space="0" w:color="auto"/>
        <w:left w:val="none" w:sz="0" w:space="0" w:color="auto"/>
        <w:bottom w:val="none" w:sz="0" w:space="0" w:color="auto"/>
        <w:right w:val="none" w:sz="0" w:space="0" w:color="auto"/>
      </w:divBdr>
    </w:div>
    <w:div w:id="253520606">
      <w:bodyDiv w:val="1"/>
      <w:marLeft w:val="0"/>
      <w:marRight w:val="0"/>
      <w:marTop w:val="0"/>
      <w:marBottom w:val="0"/>
      <w:divBdr>
        <w:top w:val="none" w:sz="0" w:space="0" w:color="auto"/>
        <w:left w:val="none" w:sz="0" w:space="0" w:color="auto"/>
        <w:bottom w:val="none" w:sz="0" w:space="0" w:color="auto"/>
        <w:right w:val="none" w:sz="0" w:space="0" w:color="auto"/>
      </w:divBdr>
    </w:div>
    <w:div w:id="309137912">
      <w:bodyDiv w:val="1"/>
      <w:marLeft w:val="0"/>
      <w:marRight w:val="0"/>
      <w:marTop w:val="0"/>
      <w:marBottom w:val="0"/>
      <w:divBdr>
        <w:top w:val="none" w:sz="0" w:space="0" w:color="auto"/>
        <w:left w:val="none" w:sz="0" w:space="0" w:color="auto"/>
        <w:bottom w:val="none" w:sz="0" w:space="0" w:color="auto"/>
        <w:right w:val="none" w:sz="0" w:space="0" w:color="auto"/>
      </w:divBdr>
    </w:div>
    <w:div w:id="333146152">
      <w:bodyDiv w:val="1"/>
      <w:marLeft w:val="0"/>
      <w:marRight w:val="0"/>
      <w:marTop w:val="0"/>
      <w:marBottom w:val="0"/>
      <w:divBdr>
        <w:top w:val="none" w:sz="0" w:space="0" w:color="auto"/>
        <w:left w:val="none" w:sz="0" w:space="0" w:color="auto"/>
        <w:bottom w:val="none" w:sz="0" w:space="0" w:color="auto"/>
        <w:right w:val="none" w:sz="0" w:space="0" w:color="auto"/>
      </w:divBdr>
    </w:div>
    <w:div w:id="402219072">
      <w:bodyDiv w:val="1"/>
      <w:marLeft w:val="0"/>
      <w:marRight w:val="0"/>
      <w:marTop w:val="0"/>
      <w:marBottom w:val="0"/>
      <w:divBdr>
        <w:top w:val="none" w:sz="0" w:space="0" w:color="auto"/>
        <w:left w:val="none" w:sz="0" w:space="0" w:color="auto"/>
        <w:bottom w:val="none" w:sz="0" w:space="0" w:color="auto"/>
        <w:right w:val="none" w:sz="0" w:space="0" w:color="auto"/>
      </w:divBdr>
    </w:div>
    <w:div w:id="474226301">
      <w:bodyDiv w:val="1"/>
      <w:marLeft w:val="0"/>
      <w:marRight w:val="0"/>
      <w:marTop w:val="0"/>
      <w:marBottom w:val="0"/>
      <w:divBdr>
        <w:top w:val="none" w:sz="0" w:space="0" w:color="auto"/>
        <w:left w:val="none" w:sz="0" w:space="0" w:color="auto"/>
        <w:bottom w:val="none" w:sz="0" w:space="0" w:color="auto"/>
        <w:right w:val="none" w:sz="0" w:space="0" w:color="auto"/>
      </w:divBdr>
    </w:div>
    <w:div w:id="498884580">
      <w:bodyDiv w:val="1"/>
      <w:marLeft w:val="0"/>
      <w:marRight w:val="0"/>
      <w:marTop w:val="0"/>
      <w:marBottom w:val="0"/>
      <w:divBdr>
        <w:top w:val="none" w:sz="0" w:space="0" w:color="auto"/>
        <w:left w:val="none" w:sz="0" w:space="0" w:color="auto"/>
        <w:bottom w:val="none" w:sz="0" w:space="0" w:color="auto"/>
        <w:right w:val="none" w:sz="0" w:space="0" w:color="auto"/>
      </w:divBdr>
    </w:div>
    <w:div w:id="521630806">
      <w:bodyDiv w:val="1"/>
      <w:marLeft w:val="0"/>
      <w:marRight w:val="0"/>
      <w:marTop w:val="0"/>
      <w:marBottom w:val="0"/>
      <w:divBdr>
        <w:top w:val="none" w:sz="0" w:space="0" w:color="auto"/>
        <w:left w:val="none" w:sz="0" w:space="0" w:color="auto"/>
        <w:bottom w:val="none" w:sz="0" w:space="0" w:color="auto"/>
        <w:right w:val="none" w:sz="0" w:space="0" w:color="auto"/>
      </w:divBdr>
    </w:div>
    <w:div w:id="530411729">
      <w:bodyDiv w:val="1"/>
      <w:marLeft w:val="0"/>
      <w:marRight w:val="0"/>
      <w:marTop w:val="0"/>
      <w:marBottom w:val="0"/>
      <w:divBdr>
        <w:top w:val="none" w:sz="0" w:space="0" w:color="auto"/>
        <w:left w:val="none" w:sz="0" w:space="0" w:color="auto"/>
        <w:bottom w:val="none" w:sz="0" w:space="0" w:color="auto"/>
        <w:right w:val="none" w:sz="0" w:space="0" w:color="auto"/>
      </w:divBdr>
    </w:div>
    <w:div w:id="546995541">
      <w:bodyDiv w:val="1"/>
      <w:marLeft w:val="0"/>
      <w:marRight w:val="0"/>
      <w:marTop w:val="0"/>
      <w:marBottom w:val="0"/>
      <w:divBdr>
        <w:top w:val="none" w:sz="0" w:space="0" w:color="auto"/>
        <w:left w:val="none" w:sz="0" w:space="0" w:color="auto"/>
        <w:bottom w:val="none" w:sz="0" w:space="0" w:color="auto"/>
        <w:right w:val="none" w:sz="0" w:space="0" w:color="auto"/>
      </w:divBdr>
    </w:div>
    <w:div w:id="588998793">
      <w:bodyDiv w:val="1"/>
      <w:marLeft w:val="0"/>
      <w:marRight w:val="0"/>
      <w:marTop w:val="0"/>
      <w:marBottom w:val="0"/>
      <w:divBdr>
        <w:top w:val="none" w:sz="0" w:space="0" w:color="auto"/>
        <w:left w:val="none" w:sz="0" w:space="0" w:color="auto"/>
        <w:bottom w:val="none" w:sz="0" w:space="0" w:color="auto"/>
        <w:right w:val="none" w:sz="0" w:space="0" w:color="auto"/>
      </w:divBdr>
    </w:div>
    <w:div w:id="622662056">
      <w:bodyDiv w:val="1"/>
      <w:marLeft w:val="0"/>
      <w:marRight w:val="0"/>
      <w:marTop w:val="0"/>
      <w:marBottom w:val="0"/>
      <w:divBdr>
        <w:top w:val="none" w:sz="0" w:space="0" w:color="auto"/>
        <w:left w:val="none" w:sz="0" w:space="0" w:color="auto"/>
        <w:bottom w:val="none" w:sz="0" w:space="0" w:color="auto"/>
        <w:right w:val="none" w:sz="0" w:space="0" w:color="auto"/>
      </w:divBdr>
    </w:div>
    <w:div w:id="631524876">
      <w:bodyDiv w:val="1"/>
      <w:marLeft w:val="0"/>
      <w:marRight w:val="0"/>
      <w:marTop w:val="0"/>
      <w:marBottom w:val="0"/>
      <w:divBdr>
        <w:top w:val="none" w:sz="0" w:space="0" w:color="auto"/>
        <w:left w:val="none" w:sz="0" w:space="0" w:color="auto"/>
        <w:bottom w:val="none" w:sz="0" w:space="0" w:color="auto"/>
        <w:right w:val="none" w:sz="0" w:space="0" w:color="auto"/>
      </w:divBdr>
    </w:div>
    <w:div w:id="636954640">
      <w:bodyDiv w:val="1"/>
      <w:marLeft w:val="0"/>
      <w:marRight w:val="0"/>
      <w:marTop w:val="0"/>
      <w:marBottom w:val="0"/>
      <w:divBdr>
        <w:top w:val="none" w:sz="0" w:space="0" w:color="auto"/>
        <w:left w:val="none" w:sz="0" w:space="0" w:color="auto"/>
        <w:bottom w:val="none" w:sz="0" w:space="0" w:color="auto"/>
        <w:right w:val="none" w:sz="0" w:space="0" w:color="auto"/>
      </w:divBdr>
    </w:div>
    <w:div w:id="646596715">
      <w:bodyDiv w:val="1"/>
      <w:marLeft w:val="0"/>
      <w:marRight w:val="0"/>
      <w:marTop w:val="0"/>
      <w:marBottom w:val="0"/>
      <w:divBdr>
        <w:top w:val="none" w:sz="0" w:space="0" w:color="auto"/>
        <w:left w:val="none" w:sz="0" w:space="0" w:color="auto"/>
        <w:bottom w:val="none" w:sz="0" w:space="0" w:color="auto"/>
        <w:right w:val="none" w:sz="0" w:space="0" w:color="auto"/>
      </w:divBdr>
    </w:div>
    <w:div w:id="669018745">
      <w:bodyDiv w:val="1"/>
      <w:marLeft w:val="0"/>
      <w:marRight w:val="0"/>
      <w:marTop w:val="0"/>
      <w:marBottom w:val="0"/>
      <w:divBdr>
        <w:top w:val="none" w:sz="0" w:space="0" w:color="auto"/>
        <w:left w:val="none" w:sz="0" w:space="0" w:color="auto"/>
        <w:bottom w:val="none" w:sz="0" w:space="0" w:color="auto"/>
        <w:right w:val="none" w:sz="0" w:space="0" w:color="auto"/>
      </w:divBdr>
    </w:div>
    <w:div w:id="679351289">
      <w:bodyDiv w:val="1"/>
      <w:marLeft w:val="0"/>
      <w:marRight w:val="0"/>
      <w:marTop w:val="0"/>
      <w:marBottom w:val="0"/>
      <w:divBdr>
        <w:top w:val="none" w:sz="0" w:space="0" w:color="auto"/>
        <w:left w:val="none" w:sz="0" w:space="0" w:color="auto"/>
        <w:bottom w:val="none" w:sz="0" w:space="0" w:color="auto"/>
        <w:right w:val="none" w:sz="0" w:space="0" w:color="auto"/>
      </w:divBdr>
    </w:div>
    <w:div w:id="709768472">
      <w:bodyDiv w:val="1"/>
      <w:marLeft w:val="0"/>
      <w:marRight w:val="0"/>
      <w:marTop w:val="0"/>
      <w:marBottom w:val="0"/>
      <w:divBdr>
        <w:top w:val="none" w:sz="0" w:space="0" w:color="auto"/>
        <w:left w:val="none" w:sz="0" w:space="0" w:color="auto"/>
        <w:bottom w:val="none" w:sz="0" w:space="0" w:color="auto"/>
        <w:right w:val="none" w:sz="0" w:space="0" w:color="auto"/>
      </w:divBdr>
    </w:div>
    <w:div w:id="727991793">
      <w:bodyDiv w:val="1"/>
      <w:marLeft w:val="0"/>
      <w:marRight w:val="0"/>
      <w:marTop w:val="0"/>
      <w:marBottom w:val="0"/>
      <w:divBdr>
        <w:top w:val="none" w:sz="0" w:space="0" w:color="auto"/>
        <w:left w:val="none" w:sz="0" w:space="0" w:color="auto"/>
        <w:bottom w:val="none" w:sz="0" w:space="0" w:color="auto"/>
        <w:right w:val="none" w:sz="0" w:space="0" w:color="auto"/>
      </w:divBdr>
    </w:div>
    <w:div w:id="772897932">
      <w:bodyDiv w:val="1"/>
      <w:marLeft w:val="0"/>
      <w:marRight w:val="0"/>
      <w:marTop w:val="0"/>
      <w:marBottom w:val="0"/>
      <w:divBdr>
        <w:top w:val="none" w:sz="0" w:space="0" w:color="auto"/>
        <w:left w:val="none" w:sz="0" w:space="0" w:color="auto"/>
        <w:bottom w:val="none" w:sz="0" w:space="0" w:color="auto"/>
        <w:right w:val="none" w:sz="0" w:space="0" w:color="auto"/>
      </w:divBdr>
    </w:div>
    <w:div w:id="777142644">
      <w:bodyDiv w:val="1"/>
      <w:marLeft w:val="0"/>
      <w:marRight w:val="0"/>
      <w:marTop w:val="0"/>
      <w:marBottom w:val="0"/>
      <w:divBdr>
        <w:top w:val="none" w:sz="0" w:space="0" w:color="auto"/>
        <w:left w:val="none" w:sz="0" w:space="0" w:color="auto"/>
        <w:bottom w:val="none" w:sz="0" w:space="0" w:color="auto"/>
        <w:right w:val="none" w:sz="0" w:space="0" w:color="auto"/>
      </w:divBdr>
    </w:div>
    <w:div w:id="789978370">
      <w:marLeft w:val="0"/>
      <w:marRight w:val="0"/>
      <w:marTop w:val="0"/>
      <w:marBottom w:val="0"/>
      <w:divBdr>
        <w:top w:val="none" w:sz="0" w:space="0" w:color="auto"/>
        <w:left w:val="none" w:sz="0" w:space="0" w:color="auto"/>
        <w:bottom w:val="none" w:sz="0" w:space="0" w:color="auto"/>
        <w:right w:val="none" w:sz="0" w:space="0" w:color="auto"/>
      </w:divBdr>
    </w:div>
    <w:div w:id="789978371">
      <w:marLeft w:val="0"/>
      <w:marRight w:val="0"/>
      <w:marTop w:val="0"/>
      <w:marBottom w:val="0"/>
      <w:divBdr>
        <w:top w:val="none" w:sz="0" w:space="0" w:color="auto"/>
        <w:left w:val="none" w:sz="0" w:space="0" w:color="auto"/>
        <w:bottom w:val="none" w:sz="0" w:space="0" w:color="auto"/>
        <w:right w:val="none" w:sz="0" w:space="0" w:color="auto"/>
      </w:divBdr>
    </w:div>
    <w:div w:id="789978372">
      <w:marLeft w:val="0"/>
      <w:marRight w:val="0"/>
      <w:marTop w:val="0"/>
      <w:marBottom w:val="0"/>
      <w:divBdr>
        <w:top w:val="none" w:sz="0" w:space="0" w:color="auto"/>
        <w:left w:val="none" w:sz="0" w:space="0" w:color="auto"/>
        <w:bottom w:val="none" w:sz="0" w:space="0" w:color="auto"/>
        <w:right w:val="none" w:sz="0" w:space="0" w:color="auto"/>
      </w:divBdr>
    </w:div>
    <w:div w:id="789978373">
      <w:marLeft w:val="0"/>
      <w:marRight w:val="0"/>
      <w:marTop w:val="0"/>
      <w:marBottom w:val="0"/>
      <w:divBdr>
        <w:top w:val="none" w:sz="0" w:space="0" w:color="auto"/>
        <w:left w:val="none" w:sz="0" w:space="0" w:color="auto"/>
        <w:bottom w:val="none" w:sz="0" w:space="0" w:color="auto"/>
        <w:right w:val="none" w:sz="0" w:space="0" w:color="auto"/>
      </w:divBdr>
    </w:div>
    <w:div w:id="789978374">
      <w:marLeft w:val="0"/>
      <w:marRight w:val="0"/>
      <w:marTop w:val="0"/>
      <w:marBottom w:val="0"/>
      <w:divBdr>
        <w:top w:val="none" w:sz="0" w:space="0" w:color="auto"/>
        <w:left w:val="none" w:sz="0" w:space="0" w:color="auto"/>
        <w:bottom w:val="none" w:sz="0" w:space="0" w:color="auto"/>
        <w:right w:val="none" w:sz="0" w:space="0" w:color="auto"/>
      </w:divBdr>
    </w:div>
    <w:div w:id="789978375">
      <w:marLeft w:val="0"/>
      <w:marRight w:val="0"/>
      <w:marTop w:val="0"/>
      <w:marBottom w:val="0"/>
      <w:divBdr>
        <w:top w:val="none" w:sz="0" w:space="0" w:color="auto"/>
        <w:left w:val="none" w:sz="0" w:space="0" w:color="auto"/>
        <w:bottom w:val="none" w:sz="0" w:space="0" w:color="auto"/>
        <w:right w:val="none" w:sz="0" w:space="0" w:color="auto"/>
      </w:divBdr>
    </w:div>
    <w:div w:id="789978376">
      <w:marLeft w:val="0"/>
      <w:marRight w:val="0"/>
      <w:marTop w:val="0"/>
      <w:marBottom w:val="0"/>
      <w:divBdr>
        <w:top w:val="none" w:sz="0" w:space="0" w:color="auto"/>
        <w:left w:val="none" w:sz="0" w:space="0" w:color="auto"/>
        <w:bottom w:val="none" w:sz="0" w:space="0" w:color="auto"/>
        <w:right w:val="none" w:sz="0" w:space="0" w:color="auto"/>
      </w:divBdr>
    </w:div>
    <w:div w:id="789978377">
      <w:marLeft w:val="0"/>
      <w:marRight w:val="0"/>
      <w:marTop w:val="0"/>
      <w:marBottom w:val="0"/>
      <w:divBdr>
        <w:top w:val="none" w:sz="0" w:space="0" w:color="auto"/>
        <w:left w:val="none" w:sz="0" w:space="0" w:color="auto"/>
        <w:bottom w:val="none" w:sz="0" w:space="0" w:color="auto"/>
        <w:right w:val="none" w:sz="0" w:space="0" w:color="auto"/>
      </w:divBdr>
    </w:div>
    <w:div w:id="789978378">
      <w:marLeft w:val="0"/>
      <w:marRight w:val="0"/>
      <w:marTop w:val="0"/>
      <w:marBottom w:val="0"/>
      <w:divBdr>
        <w:top w:val="none" w:sz="0" w:space="0" w:color="auto"/>
        <w:left w:val="none" w:sz="0" w:space="0" w:color="auto"/>
        <w:bottom w:val="none" w:sz="0" w:space="0" w:color="auto"/>
        <w:right w:val="none" w:sz="0" w:space="0" w:color="auto"/>
      </w:divBdr>
    </w:div>
    <w:div w:id="789978379">
      <w:marLeft w:val="0"/>
      <w:marRight w:val="0"/>
      <w:marTop w:val="0"/>
      <w:marBottom w:val="0"/>
      <w:divBdr>
        <w:top w:val="none" w:sz="0" w:space="0" w:color="auto"/>
        <w:left w:val="none" w:sz="0" w:space="0" w:color="auto"/>
        <w:bottom w:val="none" w:sz="0" w:space="0" w:color="auto"/>
        <w:right w:val="none" w:sz="0" w:space="0" w:color="auto"/>
      </w:divBdr>
    </w:div>
    <w:div w:id="789978380">
      <w:marLeft w:val="0"/>
      <w:marRight w:val="0"/>
      <w:marTop w:val="0"/>
      <w:marBottom w:val="0"/>
      <w:divBdr>
        <w:top w:val="none" w:sz="0" w:space="0" w:color="auto"/>
        <w:left w:val="none" w:sz="0" w:space="0" w:color="auto"/>
        <w:bottom w:val="none" w:sz="0" w:space="0" w:color="auto"/>
        <w:right w:val="none" w:sz="0" w:space="0" w:color="auto"/>
      </w:divBdr>
    </w:div>
    <w:div w:id="789978381">
      <w:marLeft w:val="0"/>
      <w:marRight w:val="0"/>
      <w:marTop w:val="0"/>
      <w:marBottom w:val="0"/>
      <w:divBdr>
        <w:top w:val="none" w:sz="0" w:space="0" w:color="auto"/>
        <w:left w:val="none" w:sz="0" w:space="0" w:color="auto"/>
        <w:bottom w:val="none" w:sz="0" w:space="0" w:color="auto"/>
        <w:right w:val="none" w:sz="0" w:space="0" w:color="auto"/>
      </w:divBdr>
    </w:div>
    <w:div w:id="789978382">
      <w:marLeft w:val="0"/>
      <w:marRight w:val="0"/>
      <w:marTop w:val="0"/>
      <w:marBottom w:val="0"/>
      <w:divBdr>
        <w:top w:val="none" w:sz="0" w:space="0" w:color="auto"/>
        <w:left w:val="none" w:sz="0" w:space="0" w:color="auto"/>
        <w:bottom w:val="none" w:sz="0" w:space="0" w:color="auto"/>
        <w:right w:val="none" w:sz="0" w:space="0" w:color="auto"/>
      </w:divBdr>
    </w:div>
    <w:div w:id="789978383">
      <w:marLeft w:val="0"/>
      <w:marRight w:val="0"/>
      <w:marTop w:val="0"/>
      <w:marBottom w:val="0"/>
      <w:divBdr>
        <w:top w:val="none" w:sz="0" w:space="0" w:color="auto"/>
        <w:left w:val="none" w:sz="0" w:space="0" w:color="auto"/>
        <w:bottom w:val="none" w:sz="0" w:space="0" w:color="auto"/>
        <w:right w:val="none" w:sz="0" w:space="0" w:color="auto"/>
      </w:divBdr>
    </w:div>
    <w:div w:id="789978384">
      <w:marLeft w:val="0"/>
      <w:marRight w:val="0"/>
      <w:marTop w:val="0"/>
      <w:marBottom w:val="0"/>
      <w:divBdr>
        <w:top w:val="none" w:sz="0" w:space="0" w:color="auto"/>
        <w:left w:val="none" w:sz="0" w:space="0" w:color="auto"/>
        <w:bottom w:val="none" w:sz="0" w:space="0" w:color="auto"/>
        <w:right w:val="none" w:sz="0" w:space="0" w:color="auto"/>
      </w:divBdr>
    </w:div>
    <w:div w:id="789978385">
      <w:marLeft w:val="0"/>
      <w:marRight w:val="0"/>
      <w:marTop w:val="0"/>
      <w:marBottom w:val="0"/>
      <w:divBdr>
        <w:top w:val="none" w:sz="0" w:space="0" w:color="auto"/>
        <w:left w:val="none" w:sz="0" w:space="0" w:color="auto"/>
        <w:bottom w:val="none" w:sz="0" w:space="0" w:color="auto"/>
        <w:right w:val="none" w:sz="0" w:space="0" w:color="auto"/>
      </w:divBdr>
    </w:div>
    <w:div w:id="789978386">
      <w:marLeft w:val="0"/>
      <w:marRight w:val="0"/>
      <w:marTop w:val="0"/>
      <w:marBottom w:val="0"/>
      <w:divBdr>
        <w:top w:val="none" w:sz="0" w:space="0" w:color="auto"/>
        <w:left w:val="none" w:sz="0" w:space="0" w:color="auto"/>
        <w:bottom w:val="none" w:sz="0" w:space="0" w:color="auto"/>
        <w:right w:val="none" w:sz="0" w:space="0" w:color="auto"/>
      </w:divBdr>
    </w:div>
    <w:div w:id="789978387">
      <w:marLeft w:val="0"/>
      <w:marRight w:val="0"/>
      <w:marTop w:val="0"/>
      <w:marBottom w:val="0"/>
      <w:divBdr>
        <w:top w:val="none" w:sz="0" w:space="0" w:color="auto"/>
        <w:left w:val="none" w:sz="0" w:space="0" w:color="auto"/>
        <w:bottom w:val="none" w:sz="0" w:space="0" w:color="auto"/>
        <w:right w:val="none" w:sz="0" w:space="0" w:color="auto"/>
      </w:divBdr>
    </w:div>
    <w:div w:id="789978388">
      <w:marLeft w:val="0"/>
      <w:marRight w:val="0"/>
      <w:marTop w:val="0"/>
      <w:marBottom w:val="0"/>
      <w:divBdr>
        <w:top w:val="none" w:sz="0" w:space="0" w:color="auto"/>
        <w:left w:val="none" w:sz="0" w:space="0" w:color="auto"/>
        <w:bottom w:val="none" w:sz="0" w:space="0" w:color="auto"/>
        <w:right w:val="none" w:sz="0" w:space="0" w:color="auto"/>
      </w:divBdr>
    </w:div>
    <w:div w:id="789978389">
      <w:marLeft w:val="0"/>
      <w:marRight w:val="0"/>
      <w:marTop w:val="0"/>
      <w:marBottom w:val="0"/>
      <w:divBdr>
        <w:top w:val="none" w:sz="0" w:space="0" w:color="auto"/>
        <w:left w:val="none" w:sz="0" w:space="0" w:color="auto"/>
        <w:bottom w:val="none" w:sz="0" w:space="0" w:color="auto"/>
        <w:right w:val="none" w:sz="0" w:space="0" w:color="auto"/>
      </w:divBdr>
    </w:div>
    <w:div w:id="789978390">
      <w:marLeft w:val="0"/>
      <w:marRight w:val="0"/>
      <w:marTop w:val="0"/>
      <w:marBottom w:val="0"/>
      <w:divBdr>
        <w:top w:val="none" w:sz="0" w:space="0" w:color="auto"/>
        <w:left w:val="none" w:sz="0" w:space="0" w:color="auto"/>
        <w:bottom w:val="none" w:sz="0" w:space="0" w:color="auto"/>
        <w:right w:val="none" w:sz="0" w:space="0" w:color="auto"/>
      </w:divBdr>
    </w:div>
    <w:div w:id="789978391">
      <w:marLeft w:val="0"/>
      <w:marRight w:val="0"/>
      <w:marTop w:val="0"/>
      <w:marBottom w:val="0"/>
      <w:divBdr>
        <w:top w:val="none" w:sz="0" w:space="0" w:color="auto"/>
        <w:left w:val="none" w:sz="0" w:space="0" w:color="auto"/>
        <w:bottom w:val="none" w:sz="0" w:space="0" w:color="auto"/>
        <w:right w:val="none" w:sz="0" w:space="0" w:color="auto"/>
      </w:divBdr>
    </w:div>
    <w:div w:id="789978392">
      <w:marLeft w:val="0"/>
      <w:marRight w:val="0"/>
      <w:marTop w:val="0"/>
      <w:marBottom w:val="0"/>
      <w:divBdr>
        <w:top w:val="none" w:sz="0" w:space="0" w:color="auto"/>
        <w:left w:val="none" w:sz="0" w:space="0" w:color="auto"/>
        <w:bottom w:val="none" w:sz="0" w:space="0" w:color="auto"/>
        <w:right w:val="none" w:sz="0" w:space="0" w:color="auto"/>
      </w:divBdr>
    </w:div>
    <w:div w:id="789978393">
      <w:marLeft w:val="0"/>
      <w:marRight w:val="0"/>
      <w:marTop w:val="0"/>
      <w:marBottom w:val="0"/>
      <w:divBdr>
        <w:top w:val="none" w:sz="0" w:space="0" w:color="auto"/>
        <w:left w:val="none" w:sz="0" w:space="0" w:color="auto"/>
        <w:bottom w:val="none" w:sz="0" w:space="0" w:color="auto"/>
        <w:right w:val="none" w:sz="0" w:space="0" w:color="auto"/>
      </w:divBdr>
    </w:div>
    <w:div w:id="789978394">
      <w:marLeft w:val="0"/>
      <w:marRight w:val="0"/>
      <w:marTop w:val="0"/>
      <w:marBottom w:val="0"/>
      <w:divBdr>
        <w:top w:val="none" w:sz="0" w:space="0" w:color="auto"/>
        <w:left w:val="none" w:sz="0" w:space="0" w:color="auto"/>
        <w:bottom w:val="none" w:sz="0" w:space="0" w:color="auto"/>
        <w:right w:val="none" w:sz="0" w:space="0" w:color="auto"/>
      </w:divBdr>
    </w:div>
    <w:div w:id="789978395">
      <w:marLeft w:val="0"/>
      <w:marRight w:val="0"/>
      <w:marTop w:val="0"/>
      <w:marBottom w:val="0"/>
      <w:divBdr>
        <w:top w:val="none" w:sz="0" w:space="0" w:color="auto"/>
        <w:left w:val="none" w:sz="0" w:space="0" w:color="auto"/>
        <w:bottom w:val="none" w:sz="0" w:space="0" w:color="auto"/>
        <w:right w:val="none" w:sz="0" w:space="0" w:color="auto"/>
      </w:divBdr>
    </w:div>
    <w:div w:id="789978396">
      <w:marLeft w:val="0"/>
      <w:marRight w:val="0"/>
      <w:marTop w:val="0"/>
      <w:marBottom w:val="0"/>
      <w:divBdr>
        <w:top w:val="none" w:sz="0" w:space="0" w:color="auto"/>
        <w:left w:val="none" w:sz="0" w:space="0" w:color="auto"/>
        <w:bottom w:val="none" w:sz="0" w:space="0" w:color="auto"/>
        <w:right w:val="none" w:sz="0" w:space="0" w:color="auto"/>
      </w:divBdr>
    </w:div>
    <w:div w:id="789978397">
      <w:marLeft w:val="0"/>
      <w:marRight w:val="0"/>
      <w:marTop w:val="0"/>
      <w:marBottom w:val="0"/>
      <w:divBdr>
        <w:top w:val="none" w:sz="0" w:space="0" w:color="auto"/>
        <w:left w:val="none" w:sz="0" w:space="0" w:color="auto"/>
        <w:bottom w:val="none" w:sz="0" w:space="0" w:color="auto"/>
        <w:right w:val="none" w:sz="0" w:space="0" w:color="auto"/>
      </w:divBdr>
    </w:div>
    <w:div w:id="789978398">
      <w:marLeft w:val="0"/>
      <w:marRight w:val="0"/>
      <w:marTop w:val="0"/>
      <w:marBottom w:val="0"/>
      <w:divBdr>
        <w:top w:val="none" w:sz="0" w:space="0" w:color="auto"/>
        <w:left w:val="none" w:sz="0" w:space="0" w:color="auto"/>
        <w:bottom w:val="none" w:sz="0" w:space="0" w:color="auto"/>
        <w:right w:val="none" w:sz="0" w:space="0" w:color="auto"/>
      </w:divBdr>
    </w:div>
    <w:div w:id="789978399">
      <w:marLeft w:val="0"/>
      <w:marRight w:val="0"/>
      <w:marTop w:val="0"/>
      <w:marBottom w:val="0"/>
      <w:divBdr>
        <w:top w:val="none" w:sz="0" w:space="0" w:color="auto"/>
        <w:left w:val="none" w:sz="0" w:space="0" w:color="auto"/>
        <w:bottom w:val="none" w:sz="0" w:space="0" w:color="auto"/>
        <w:right w:val="none" w:sz="0" w:space="0" w:color="auto"/>
      </w:divBdr>
    </w:div>
    <w:div w:id="789978400">
      <w:marLeft w:val="0"/>
      <w:marRight w:val="0"/>
      <w:marTop w:val="0"/>
      <w:marBottom w:val="0"/>
      <w:divBdr>
        <w:top w:val="none" w:sz="0" w:space="0" w:color="auto"/>
        <w:left w:val="none" w:sz="0" w:space="0" w:color="auto"/>
        <w:bottom w:val="none" w:sz="0" w:space="0" w:color="auto"/>
        <w:right w:val="none" w:sz="0" w:space="0" w:color="auto"/>
      </w:divBdr>
    </w:div>
    <w:div w:id="789978401">
      <w:marLeft w:val="0"/>
      <w:marRight w:val="0"/>
      <w:marTop w:val="0"/>
      <w:marBottom w:val="0"/>
      <w:divBdr>
        <w:top w:val="none" w:sz="0" w:space="0" w:color="auto"/>
        <w:left w:val="none" w:sz="0" w:space="0" w:color="auto"/>
        <w:bottom w:val="none" w:sz="0" w:space="0" w:color="auto"/>
        <w:right w:val="none" w:sz="0" w:space="0" w:color="auto"/>
      </w:divBdr>
    </w:div>
    <w:div w:id="789978402">
      <w:marLeft w:val="0"/>
      <w:marRight w:val="0"/>
      <w:marTop w:val="0"/>
      <w:marBottom w:val="0"/>
      <w:divBdr>
        <w:top w:val="none" w:sz="0" w:space="0" w:color="auto"/>
        <w:left w:val="none" w:sz="0" w:space="0" w:color="auto"/>
        <w:bottom w:val="none" w:sz="0" w:space="0" w:color="auto"/>
        <w:right w:val="none" w:sz="0" w:space="0" w:color="auto"/>
      </w:divBdr>
    </w:div>
    <w:div w:id="789978403">
      <w:marLeft w:val="0"/>
      <w:marRight w:val="0"/>
      <w:marTop w:val="0"/>
      <w:marBottom w:val="0"/>
      <w:divBdr>
        <w:top w:val="none" w:sz="0" w:space="0" w:color="auto"/>
        <w:left w:val="none" w:sz="0" w:space="0" w:color="auto"/>
        <w:bottom w:val="none" w:sz="0" w:space="0" w:color="auto"/>
        <w:right w:val="none" w:sz="0" w:space="0" w:color="auto"/>
      </w:divBdr>
    </w:div>
    <w:div w:id="789978404">
      <w:marLeft w:val="0"/>
      <w:marRight w:val="0"/>
      <w:marTop w:val="0"/>
      <w:marBottom w:val="0"/>
      <w:divBdr>
        <w:top w:val="none" w:sz="0" w:space="0" w:color="auto"/>
        <w:left w:val="none" w:sz="0" w:space="0" w:color="auto"/>
        <w:bottom w:val="none" w:sz="0" w:space="0" w:color="auto"/>
        <w:right w:val="none" w:sz="0" w:space="0" w:color="auto"/>
      </w:divBdr>
    </w:div>
    <w:div w:id="789978405">
      <w:marLeft w:val="0"/>
      <w:marRight w:val="0"/>
      <w:marTop w:val="0"/>
      <w:marBottom w:val="0"/>
      <w:divBdr>
        <w:top w:val="none" w:sz="0" w:space="0" w:color="auto"/>
        <w:left w:val="none" w:sz="0" w:space="0" w:color="auto"/>
        <w:bottom w:val="none" w:sz="0" w:space="0" w:color="auto"/>
        <w:right w:val="none" w:sz="0" w:space="0" w:color="auto"/>
      </w:divBdr>
    </w:div>
    <w:div w:id="789978406">
      <w:marLeft w:val="0"/>
      <w:marRight w:val="0"/>
      <w:marTop w:val="0"/>
      <w:marBottom w:val="0"/>
      <w:divBdr>
        <w:top w:val="none" w:sz="0" w:space="0" w:color="auto"/>
        <w:left w:val="none" w:sz="0" w:space="0" w:color="auto"/>
        <w:bottom w:val="none" w:sz="0" w:space="0" w:color="auto"/>
        <w:right w:val="none" w:sz="0" w:space="0" w:color="auto"/>
      </w:divBdr>
    </w:div>
    <w:div w:id="789978407">
      <w:marLeft w:val="0"/>
      <w:marRight w:val="0"/>
      <w:marTop w:val="0"/>
      <w:marBottom w:val="0"/>
      <w:divBdr>
        <w:top w:val="none" w:sz="0" w:space="0" w:color="auto"/>
        <w:left w:val="none" w:sz="0" w:space="0" w:color="auto"/>
        <w:bottom w:val="none" w:sz="0" w:space="0" w:color="auto"/>
        <w:right w:val="none" w:sz="0" w:space="0" w:color="auto"/>
      </w:divBdr>
    </w:div>
    <w:div w:id="789978408">
      <w:marLeft w:val="0"/>
      <w:marRight w:val="0"/>
      <w:marTop w:val="0"/>
      <w:marBottom w:val="0"/>
      <w:divBdr>
        <w:top w:val="none" w:sz="0" w:space="0" w:color="auto"/>
        <w:left w:val="none" w:sz="0" w:space="0" w:color="auto"/>
        <w:bottom w:val="none" w:sz="0" w:space="0" w:color="auto"/>
        <w:right w:val="none" w:sz="0" w:space="0" w:color="auto"/>
      </w:divBdr>
    </w:div>
    <w:div w:id="789978409">
      <w:marLeft w:val="0"/>
      <w:marRight w:val="0"/>
      <w:marTop w:val="0"/>
      <w:marBottom w:val="0"/>
      <w:divBdr>
        <w:top w:val="none" w:sz="0" w:space="0" w:color="auto"/>
        <w:left w:val="none" w:sz="0" w:space="0" w:color="auto"/>
        <w:bottom w:val="none" w:sz="0" w:space="0" w:color="auto"/>
        <w:right w:val="none" w:sz="0" w:space="0" w:color="auto"/>
      </w:divBdr>
    </w:div>
    <w:div w:id="789978410">
      <w:marLeft w:val="0"/>
      <w:marRight w:val="0"/>
      <w:marTop w:val="0"/>
      <w:marBottom w:val="0"/>
      <w:divBdr>
        <w:top w:val="none" w:sz="0" w:space="0" w:color="auto"/>
        <w:left w:val="none" w:sz="0" w:space="0" w:color="auto"/>
        <w:bottom w:val="none" w:sz="0" w:space="0" w:color="auto"/>
        <w:right w:val="none" w:sz="0" w:space="0" w:color="auto"/>
      </w:divBdr>
    </w:div>
    <w:div w:id="789978411">
      <w:marLeft w:val="0"/>
      <w:marRight w:val="0"/>
      <w:marTop w:val="0"/>
      <w:marBottom w:val="0"/>
      <w:divBdr>
        <w:top w:val="none" w:sz="0" w:space="0" w:color="auto"/>
        <w:left w:val="none" w:sz="0" w:space="0" w:color="auto"/>
        <w:bottom w:val="none" w:sz="0" w:space="0" w:color="auto"/>
        <w:right w:val="none" w:sz="0" w:space="0" w:color="auto"/>
      </w:divBdr>
    </w:div>
    <w:div w:id="789978412">
      <w:marLeft w:val="0"/>
      <w:marRight w:val="0"/>
      <w:marTop w:val="0"/>
      <w:marBottom w:val="0"/>
      <w:divBdr>
        <w:top w:val="none" w:sz="0" w:space="0" w:color="auto"/>
        <w:left w:val="none" w:sz="0" w:space="0" w:color="auto"/>
        <w:bottom w:val="none" w:sz="0" w:space="0" w:color="auto"/>
        <w:right w:val="none" w:sz="0" w:space="0" w:color="auto"/>
      </w:divBdr>
    </w:div>
    <w:div w:id="789978413">
      <w:marLeft w:val="0"/>
      <w:marRight w:val="0"/>
      <w:marTop w:val="0"/>
      <w:marBottom w:val="0"/>
      <w:divBdr>
        <w:top w:val="none" w:sz="0" w:space="0" w:color="auto"/>
        <w:left w:val="none" w:sz="0" w:space="0" w:color="auto"/>
        <w:bottom w:val="none" w:sz="0" w:space="0" w:color="auto"/>
        <w:right w:val="none" w:sz="0" w:space="0" w:color="auto"/>
      </w:divBdr>
    </w:div>
    <w:div w:id="789978414">
      <w:marLeft w:val="0"/>
      <w:marRight w:val="0"/>
      <w:marTop w:val="0"/>
      <w:marBottom w:val="0"/>
      <w:divBdr>
        <w:top w:val="none" w:sz="0" w:space="0" w:color="auto"/>
        <w:left w:val="none" w:sz="0" w:space="0" w:color="auto"/>
        <w:bottom w:val="none" w:sz="0" w:space="0" w:color="auto"/>
        <w:right w:val="none" w:sz="0" w:space="0" w:color="auto"/>
      </w:divBdr>
    </w:div>
    <w:div w:id="789978415">
      <w:marLeft w:val="0"/>
      <w:marRight w:val="0"/>
      <w:marTop w:val="0"/>
      <w:marBottom w:val="0"/>
      <w:divBdr>
        <w:top w:val="none" w:sz="0" w:space="0" w:color="auto"/>
        <w:left w:val="none" w:sz="0" w:space="0" w:color="auto"/>
        <w:bottom w:val="none" w:sz="0" w:space="0" w:color="auto"/>
        <w:right w:val="none" w:sz="0" w:space="0" w:color="auto"/>
      </w:divBdr>
    </w:div>
    <w:div w:id="789978416">
      <w:marLeft w:val="0"/>
      <w:marRight w:val="0"/>
      <w:marTop w:val="0"/>
      <w:marBottom w:val="0"/>
      <w:divBdr>
        <w:top w:val="none" w:sz="0" w:space="0" w:color="auto"/>
        <w:left w:val="none" w:sz="0" w:space="0" w:color="auto"/>
        <w:bottom w:val="none" w:sz="0" w:space="0" w:color="auto"/>
        <w:right w:val="none" w:sz="0" w:space="0" w:color="auto"/>
      </w:divBdr>
    </w:div>
    <w:div w:id="789978417">
      <w:marLeft w:val="0"/>
      <w:marRight w:val="0"/>
      <w:marTop w:val="0"/>
      <w:marBottom w:val="0"/>
      <w:divBdr>
        <w:top w:val="none" w:sz="0" w:space="0" w:color="auto"/>
        <w:left w:val="none" w:sz="0" w:space="0" w:color="auto"/>
        <w:bottom w:val="none" w:sz="0" w:space="0" w:color="auto"/>
        <w:right w:val="none" w:sz="0" w:space="0" w:color="auto"/>
      </w:divBdr>
    </w:div>
    <w:div w:id="789978418">
      <w:marLeft w:val="0"/>
      <w:marRight w:val="0"/>
      <w:marTop w:val="0"/>
      <w:marBottom w:val="0"/>
      <w:divBdr>
        <w:top w:val="none" w:sz="0" w:space="0" w:color="auto"/>
        <w:left w:val="none" w:sz="0" w:space="0" w:color="auto"/>
        <w:bottom w:val="none" w:sz="0" w:space="0" w:color="auto"/>
        <w:right w:val="none" w:sz="0" w:space="0" w:color="auto"/>
      </w:divBdr>
    </w:div>
    <w:div w:id="789978419">
      <w:marLeft w:val="0"/>
      <w:marRight w:val="0"/>
      <w:marTop w:val="0"/>
      <w:marBottom w:val="0"/>
      <w:divBdr>
        <w:top w:val="none" w:sz="0" w:space="0" w:color="auto"/>
        <w:left w:val="none" w:sz="0" w:space="0" w:color="auto"/>
        <w:bottom w:val="none" w:sz="0" w:space="0" w:color="auto"/>
        <w:right w:val="none" w:sz="0" w:space="0" w:color="auto"/>
      </w:divBdr>
    </w:div>
    <w:div w:id="789978420">
      <w:marLeft w:val="0"/>
      <w:marRight w:val="0"/>
      <w:marTop w:val="0"/>
      <w:marBottom w:val="0"/>
      <w:divBdr>
        <w:top w:val="none" w:sz="0" w:space="0" w:color="auto"/>
        <w:left w:val="none" w:sz="0" w:space="0" w:color="auto"/>
        <w:bottom w:val="none" w:sz="0" w:space="0" w:color="auto"/>
        <w:right w:val="none" w:sz="0" w:space="0" w:color="auto"/>
      </w:divBdr>
    </w:div>
    <w:div w:id="789978421">
      <w:marLeft w:val="0"/>
      <w:marRight w:val="0"/>
      <w:marTop w:val="0"/>
      <w:marBottom w:val="0"/>
      <w:divBdr>
        <w:top w:val="none" w:sz="0" w:space="0" w:color="auto"/>
        <w:left w:val="none" w:sz="0" w:space="0" w:color="auto"/>
        <w:bottom w:val="none" w:sz="0" w:space="0" w:color="auto"/>
        <w:right w:val="none" w:sz="0" w:space="0" w:color="auto"/>
      </w:divBdr>
    </w:div>
    <w:div w:id="789978422">
      <w:marLeft w:val="0"/>
      <w:marRight w:val="0"/>
      <w:marTop w:val="0"/>
      <w:marBottom w:val="0"/>
      <w:divBdr>
        <w:top w:val="none" w:sz="0" w:space="0" w:color="auto"/>
        <w:left w:val="none" w:sz="0" w:space="0" w:color="auto"/>
        <w:bottom w:val="none" w:sz="0" w:space="0" w:color="auto"/>
        <w:right w:val="none" w:sz="0" w:space="0" w:color="auto"/>
      </w:divBdr>
    </w:div>
    <w:div w:id="789978423">
      <w:marLeft w:val="0"/>
      <w:marRight w:val="0"/>
      <w:marTop w:val="0"/>
      <w:marBottom w:val="0"/>
      <w:divBdr>
        <w:top w:val="none" w:sz="0" w:space="0" w:color="auto"/>
        <w:left w:val="none" w:sz="0" w:space="0" w:color="auto"/>
        <w:bottom w:val="none" w:sz="0" w:space="0" w:color="auto"/>
        <w:right w:val="none" w:sz="0" w:space="0" w:color="auto"/>
      </w:divBdr>
    </w:div>
    <w:div w:id="789978424">
      <w:marLeft w:val="0"/>
      <w:marRight w:val="0"/>
      <w:marTop w:val="0"/>
      <w:marBottom w:val="0"/>
      <w:divBdr>
        <w:top w:val="none" w:sz="0" w:space="0" w:color="auto"/>
        <w:left w:val="none" w:sz="0" w:space="0" w:color="auto"/>
        <w:bottom w:val="none" w:sz="0" w:space="0" w:color="auto"/>
        <w:right w:val="none" w:sz="0" w:space="0" w:color="auto"/>
      </w:divBdr>
    </w:div>
    <w:div w:id="789978425">
      <w:marLeft w:val="0"/>
      <w:marRight w:val="0"/>
      <w:marTop w:val="0"/>
      <w:marBottom w:val="0"/>
      <w:divBdr>
        <w:top w:val="none" w:sz="0" w:space="0" w:color="auto"/>
        <w:left w:val="none" w:sz="0" w:space="0" w:color="auto"/>
        <w:bottom w:val="none" w:sz="0" w:space="0" w:color="auto"/>
        <w:right w:val="none" w:sz="0" w:space="0" w:color="auto"/>
      </w:divBdr>
    </w:div>
    <w:div w:id="789978426">
      <w:marLeft w:val="0"/>
      <w:marRight w:val="0"/>
      <w:marTop w:val="0"/>
      <w:marBottom w:val="0"/>
      <w:divBdr>
        <w:top w:val="none" w:sz="0" w:space="0" w:color="auto"/>
        <w:left w:val="none" w:sz="0" w:space="0" w:color="auto"/>
        <w:bottom w:val="none" w:sz="0" w:space="0" w:color="auto"/>
        <w:right w:val="none" w:sz="0" w:space="0" w:color="auto"/>
      </w:divBdr>
    </w:div>
    <w:div w:id="789978427">
      <w:marLeft w:val="0"/>
      <w:marRight w:val="0"/>
      <w:marTop w:val="0"/>
      <w:marBottom w:val="0"/>
      <w:divBdr>
        <w:top w:val="none" w:sz="0" w:space="0" w:color="auto"/>
        <w:left w:val="none" w:sz="0" w:space="0" w:color="auto"/>
        <w:bottom w:val="none" w:sz="0" w:space="0" w:color="auto"/>
        <w:right w:val="none" w:sz="0" w:space="0" w:color="auto"/>
      </w:divBdr>
    </w:div>
    <w:div w:id="789978428">
      <w:marLeft w:val="0"/>
      <w:marRight w:val="0"/>
      <w:marTop w:val="0"/>
      <w:marBottom w:val="0"/>
      <w:divBdr>
        <w:top w:val="none" w:sz="0" w:space="0" w:color="auto"/>
        <w:left w:val="none" w:sz="0" w:space="0" w:color="auto"/>
        <w:bottom w:val="none" w:sz="0" w:space="0" w:color="auto"/>
        <w:right w:val="none" w:sz="0" w:space="0" w:color="auto"/>
      </w:divBdr>
    </w:div>
    <w:div w:id="789978429">
      <w:marLeft w:val="0"/>
      <w:marRight w:val="0"/>
      <w:marTop w:val="0"/>
      <w:marBottom w:val="0"/>
      <w:divBdr>
        <w:top w:val="none" w:sz="0" w:space="0" w:color="auto"/>
        <w:left w:val="none" w:sz="0" w:space="0" w:color="auto"/>
        <w:bottom w:val="none" w:sz="0" w:space="0" w:color="auto"/>
        <w:right w:val="none" w:sz="0" w:space="0" w:color="auto"/>
      </w:divBdr>
    </w:div>
    <w:div w:id="789978430">
      <w:marLeft w:val="0"/>
      <w:marRight w:val="0"/>
      <w:marTop w:val="0"/>
      <w:marBottom w:val="0"/>
      <w:divBdr>
        <w:top w:val="none" w:sz="0" w:space="0" w:color="auto"/>
        <w:left w:val="none" w:sz="0" w:space="0" w:color="auto"/>
        <w:bottom w:val="none" w:sz="0" w:space="0" w:color="auto"/>
        <w:right w:val="none" w:sz="0" w:space="0" w:color="auto"/>
      </w:divBdr>
    </w:div>
    <w:div w:id="789978431">
      <w:marLeft w:val="0"/>
      <w:marRight w:val="0"/>
      <w:marTop w:val="0"/>
      <w:marBottom w:val="0"/>
      <w:divBdr>
        <w:top w:val="none" w:sz="0" w:space="0" w:color="auto"/>
        <w:left w:val="none" w:sz="0" w:space="0" w:color="auto"/>
        <w:bottom w:val="none" w:sz="0" w:space="0" w:color="auto"/>
        <w:right w:val="none" w:sz="0" w:space="0" w:color="auto"/>
      </w:divBdr>
    </w:div>
    <w:div w:id="789978432">
      <w:marLeft w:val="0"/>
      <w:marRight w:val="0"/>
      <w:marTop w:val="0"/>
      <w:marBottom w:val="0"/>
      <w:divBdr>
        <w:top w:val="none" w:sz="0" w:space="0" w:color="auto"/>
        <w:left w:val="none" w:sz="0" w:space="0" w:color="auto"/>
        <w:bottom w:val="none" w:sz="0" w:space="0" w:color="auto"/>
        <w:right w:val="none" w:sz="0" w:space="0" w:color="auto"/>
      </w:divBdr>
    </w:div>
    <w:div w:id="789978433">
      <w:marLeft w:val="0"/>
      <w:marRight w:val="0"/>
      <w:marTop w:val="0"/>
      <w:marBottom w:val="0"/>
      <w:divBdr>
        <w:top w:val="none" w:sz="0" w:space="0" w:color="auto"/>
        <w:left w:val="none" w:sz="0" w:space="0" w:color="auto"/>
        <w:bottom w:val="none" w:sz="0" w:space="0" w:color="auto"/>
        <w:right w:val="none" w:sz="0" w:space="0" w:color="auto"/>
      </w:divBdr>
    </w:div>
    <w:div w:id="789978434">
      <w:marLeft w:val="0"/>
      <w:marRight w:val="0"/>
      <w:marTop w:val="0"/>
      <w:marBottom w:val="0"/>
      <w:divBdr>
        <w:top w:val="none" w:sz="0" w:space="0" w:color="auto"/>
        <w:left w:val="none" w:sz="0" w:space="0" w:color="auto"/>
        <w:bottom w:val="none" w:sz="0" w:space="0" w:color="auto"/>
        <w:right w:val="none" w:sz="0" w:space="0" w:color="auto"/>
      </w:divBdr>
    </w:div>
    <w:div w:id="789978435">
      <w:marLeft w:val="0"/>
      <w:marRight w:val="0"/>
      <w:marTop w:val="0"/>
      <w:marBottom w:val="0"/>
      <w:divBdr>
        <w:top w:val="none" w:sz="0" w:space="0" w:color="auto"/>
        <w:left w:val="none" w:sz="0" w:space="0" w:color="auto"/>
        <w:bottom w:val="none" w:sz="0" w:space="0" w:color="auto"/>
        <w:right w:val="none" w:sz="0" w:space="0" w:color="auto"/>
      </w:divBdr>
    </w:div>
    <w:div w:id="789978436">
      <w:marLeft w:val="0"/>
      <w:marRight w:val="0"/>
      <w:marTop w:val="0"/>
      <w:marBottom w:val="0"/>
      <w:divBdr>
        <w:top w:val="none" w:sz="0" w:space="0" w:color="auto"/>
        <w:left w:val="none" w:sz="0" w:space="0" w:color="auto"/>
        <w:bottom w:val="none" w:sz="0" w:space="0" w:color="auto"/>
        <w:right w:val="none" w:sz="0" w:space="0" w:color="auto"/>
      </w:divBdr>
    </w:div>
    <w:div w:id="789978437">
      <w:marLeft w:val="0"/>
      <w:marRight w:val="0"/>
      <w:marTop w:val="0"/>
      <w:marBottom w:val="0"/>
      <w:divBdr>
        <w:top w:val="none" w:sz="0" w:space="0" w:color="auto"/>
        <w:left w:val="none" w:sz="0" w:space="0" w:color="auto"/>
        <w:bottom w:val="none" w:sz="0" w:space="0" w:color="auto"/>
        <w:right w:val="none" w:sz="0" w:space="0" w:color="auto"/>
      </w:divBdr>
    </w:div>
    <w:div w:id="789978438">
      <w:marLeft w:val="0"/>
      <w:marRight w:val="0"/>
      <w:marTop w:val="0"/>
      <w:marBottom w:val="0"/>
      <w:divBdr>
        <w:top w:val="none" w:sz="0" w:space="0" w:color="auto"/>
        <w:left w:val="none" w:sz="0" w:space="0" w:color="auto"/>
        <w:bottom w:val="none" w:sz="0" w:space="0" w:color="auto"/>
        <w:right w:val="none" w:sz="0" w:space="0" w:color="auto"/>
      </w:divBdr>
    </w:div>
    <w:div w:id="789978439">
      <w:marLeft w:val="0"/>
      <w:marRight w:val="0"/>
      <w:marTop w:val="0"/>
      <w:marBottom w:val="0"/>
      <w:divBdr>
        <w:top w:val="none" w:sz="0" w:space="0" w:color="auto"/>
        <w:left w:val="none" w:sz="0" w:space="0" w:color="auto"/>
        <w:bottom w:val="none" w:sz="0" w:space="0" w:color="auto"/>
        <w:right w:val="none" w:sz="0" w:space="0" w:color="auto"/>
      </w:divBdr>
    </w:div>
    <w:div w:id="789978440">
      <w:marLeft w:val="0"/>
      <w:marRight w:val="0"/>
      <w:marTop w:val="0"/>
      <w:marBottom w:val="0"/>
      <w:divBdr>
        <w:top w:val="none" w:sz="0" w:space="0" w:color="auto"/>
        <w:left w:val="none" w:sz="0" w:space="0" w:color="auto"/>
        <w:bottom w:val="none" w:sz="0" w:space="0" w:color="auto"/>
        <w:right w:val="none" w:sz="0" w:space="0" w:color="auto"/>
      </w:divBdr>
    </w:div>
    <w:div w:id="789978441">
      <w:marLeft w:val="0"/>
      <w:marRight w:val="0"/>
      <w:marTop w:val="0"/>
      <w:marBottom w:val="0"/>
      <w:divBdr>
        <w:top w:val="none" w:sz="0" w:space="0" w:color="auto"/>
        <w:left w:val="none" w:sz="0" w:space="0" w:color="auto"/>
        <w:bottom w:val="none" w:sz="0" w:space="0" w:color="auto"/>
        <w:right w:val="none" w:sz="0" w:space="0" w:color="auto"/>
      </w:divBdr>
    </w:div>
    <w:div w:id="789978442">
      <w:marLeft w:val="0"/>
      <w:marRight w:val="0"/>
      <w:marTop w:val="0"/>
      <w:marBottom w:val="0"/>
      <w:divBdr>
        <w:top w:val="none" w:sz="0" w:space="0" w:color="auto"/>
        <w:left w:val="none" w:sz="0" w:space="0" w:color="auto"/>
        <w:bottom w:val="none" w:sz="0" w:space="0" w:color="auto"/>
        <w:right w:val="none" w:sz="0" w:space="0" w:color="auto"/>
      </w:divBdr>
    </w:div>
    <w:div w:id="789978443">
      <w:marLeft w:val="0"/>
      <w:marRight w:val="0"/>
      <w:marTop w:val="0"/>
      <w:marBottom w:val="0"/>
      <w:divBdr>
        <w:top w:val="none" w:sz="0" w:space="0" w:color="auto"/>
        <w:left w:val="none" w:sz="0" w:space="0" w:color="auto"/>
        <w:bottom w:val="none" w:sz="0" w:space="0" w:color="auto"/>
        <w:right w:val="none" w:sz="0" w:space="0" w:color="auto"/>
      </w:divBdr>
    </w:div>
    <w:div w:id="789978444">
      <w:marLeft w:val="0"/>
      <w:marRight w:val="0"/>
      <w:marTop w:val="0"/>
      <w:marBottom w:val="0"/>
      <w:divBdr>
        <w:top w:val="none" w:sz="0" w:space="0" w:color="auto"/>
        <w:left w:val="none" w:sz="0" w:space="0" w:color="auto"/>
        <w:bottom w:val="none" w:sz="0" w:space="0" w:color="auto"/>
        <w:right w:val="none" w:sz="0" w:space="0" w:color="auto"/>
      </w:divBdr>
    </w:div>
    <w:div w:id="789978445">
      <w:marLeft w:val="0"/>
      <w:marRight w:val="0"/>
      <w:marTop w:val="0"/>
      <w:marBottom w:val="0"/>
      <w:divBdr>
        <w:top w:val="none" w:sz="0" w:space="0" w:color="auto"/>
        <w:left w:val="none" w:sz="0" w:space="0" w:color="auto"/>
        <w:bottom w:val="none" w:sz="0" w:space="0" w:color="auto"/>
        <w:right w:val="none" w:sz="0" w:space="0" w:color="auto"/>
      </w:divBdr>
    </w:div>
    <w:div w:id="789978446">
      <w:marLeft w:val="0"/>
      <w:marRight w:val="0"/>
      <w:marTop w:val="0"/>
      <w:marBottom w:val="0"/>
      <w:divBdr>
        <w:top w:val="none" w:sz="0" w:space="0" w:color="auto"/>
        <w:left w:val="none" w:sz="0" w:space="0" w:color="auto"/>
        <w:bottom w:val="none" w:sz="0" w:space="0" w:color="auto"/>
        <w:right w:val="none" w:sz="0" w:space="0" w:color="auto"/>
      </w:divBdr>
    </w:div>
    <w:div w:id="789978447">
      <w:marLeft w:val="0"/>
      <w:marRight w:val="0"/>
      <w:marTop w:val="0"/>
      <w:marBottom w:val="0"/>
      <w:divBdr>
        <w:top w:val="none" w:sz="0" w:space="0" w:color="auto"/>
        <w:left w:val="none" w:sz="0" w:space="0" w:color="auto"/>
        <w:bottom w:val="none" w:sz="0" w:space="0" w:color="auto"/>
        <w:right w:val="none" w:sz="0" w:space="0" w:color="auto"/>
      </w:divBdr>
    </w:div>
    <w:div w:id="789978448">
      <w:marLeft w:val="0"/>
      <w:marRight w:val="0"/>
      <w:marTop w:val="0"/>
      <w:marBottom w:val="0"/>
      <w:divBdr>
        <w:top w:val="none" w:sz="0" w:space="0" w:color="auto"/>
        <w:left w:val="none" w:sz="0" w:space="0" w:color="auto"/>
        <w:bottom w:val="none" w:sz="0" w:space="0" w:color="auto"/>
        <w:right w:val="none" w:sz="0" w:space="0" w:color="auto"/>
      </w:divBdr>
    </w:div>
    <w:div w:id="789978449">
      <w:marLeft w:val="0"/>
      <w:marRight w:val="0"/>
      <w:marTop w:val="0"/>
      <w:marBottom w:val="0"/>
      <w:divBdr>
        <w:top w:val="none" w:sz="0" w:space="0" w:color="auto"/>
        <w:left w:val="none" w:sz="0" w:space="0" w:color="auto"/>
        <w:bottom w:val="none" w:sz="0" w:space="0" w:color="auto"/>
        <w:right w:val="none" w:sz="0" w:space="0" w:color="auto"/>
      </w:divBdr>
    </w:div>
    <w:div w:id="789978450">
      <w:marLeft w:val="0"/>
      <w:marRight w:val="0"/>
      <w:marTop w:val="0"/>
      <w:marBottom w:val="0"/>
      <w:divBdr>
        <w:top w:val="none" w:sz="0" w:space="0" w:color="auto"/>
        <w:left w:val="none" w:sz="0" w:space="0" w:color="auto"/>
        <w:bottom w:val="none" w:sz="0" w:space="0" w:color="auto"/>
        <w:right w:val="none" w:sz="0" w:space="0" w:color="auto"/>
      </w:divBdr>
    </w:div>
    <w:div w:id="789978451">
      <w:marLeft w:val="0"/>
      <w:marRight w:val="0"/>
      <w:marTop w:val="0"/>
      <w:marBottom w:val="0"/>
      <w:divBdr>
        <w:top w:val="none" w:sz="0" w:space="0" w:color="auto"/>
        <w:left w:val="none" w:sz="0" w:space="0" w:color="auto"/>
        <w:bottom w:val="none" w:sz="0" w:space="0" w:color="auto"/>
        <w:right w:val="none" w:sz="0" w:space="0" w:color="auto"/>
      </w:divBdr>
    </w:div>
    <w:div w:id="789978452">
      <w:marLeft w:val="0"/>
      <w:marRight w:val="0"/>
      <w:marTop w:val="0"/>
      <w:marBottom w:val="0"/>
      <w:divBdr>
        <w:top w:val="none" w:sz="0" w:space="0" w:color="auto"/>
        <w:left w:val="none" w:sz="0" w:space="0" w:color="auto"/>
        <w:bottom w:val="none" w:sz="0" w:space="0" w:color="auto"/>
        <w:right w:val="none" w:sz="0" w:space="0" w:color="auto"/>
      </w:divBdr>
    </w:div>
    <w:div w:id="789978453">
      <w:marLeft w:val="0"/>
      <w:marRight w:val="0"/>
      <w:marTop w:val="0"/>
      <w:marBottom w:val="0"/>
      <w:divBdr>
        <w:top w:val="none" w:sz="0" w:space="0" w:color="auto"/>
        <w:left w:val="none" w:sz="0" w:space="0" w:color="auto"/>
        <w:bottom w:val="none" w:sz="0" w:space="0" w:color="auto"/>
        <w:right w:val="none" w:sz="0" w:space="0" w:color="auto"/>
      </w:divBdr>
    </w:div>
    <w:div w:id="789978454">
      <w:marLeft w:val="0"/>
      <w:marRight w:val="0"/>
      <w:marTop w:val="0"/>
      <w:marBottom w:val="0"/>
      <w:divBdr>
        <w:top w:val="none" w:sz="0" w:space="0" w:color="auto"/>
        <w:left w:val="none" w:sz="0" w:space="0" w:color="auto"/>
        <w:bottom w:val="none" w:sz="0" w:space="0" w:color="auto"/>
        <w:right w:val="none" w:sz="0" w:space="0" w:color="auto"/>
      </w:divBdr>
    </w:div>
    <w:div w:id="789978455">
      <w:marLeft w:val="0"/>
      <w:marRight w:val="0"/>
      <w:marTop w:val="0"/>
      <w:marBottom w:val="0"/>
      <w:divBdr>
        <w:top w:val="none" w:sz="0" w:space="0" w:color="auto"/>
        <w:left w:val="none" w:sz="0" w:space="0" w:color="auto"/>
        <w:bottom w:val="none" w:sz="0" w:space="0" w:color="auto"/>
        <w:right w:val="none" w:sz="0" w:space="0" w:color="auto"/>
      </w:divBdr>
    </w:div>
    <w:div w:id="789978456">
      <w:marLeft w:val="0"/>
      <w:marRight w:val="0"/>
      <w:marTop w:val="0"/>
      <w:marBottom w:val="0"/>
      <w:divBdr>
        <w:top w:val="none" w:sz="0" w:space="0" w:color="auto"/>
        <w:left w:val="none" w:sz="0" w:space="0" w:color="auto"/>
        <w:bottom w:val="none" w:sz="0" w:space="0" w:color="auto"/>
        <w:right w:val="none" w:sz="0" w:space="0" w:color="auto"/>
      </w:divBdr>
    </w:div>
    <w:div w:id="789978457">
      <w:marLeft w:val="0"/>
      <w:marRight w:val="0"/>
      <w:marTop w:val="0"/>
      <w:marBottom w:val="0"/>
      <w:divBdr>
        <w:top w:val="none" w:sz="0" w:space="0" w:color="auto"/>
        <w:left w:val="none" w:sz="0" w:space="0" w:color="auto"/>
        <w:bottom w:val="none" w:sz="0" w:space="0" w:color="auto"/>
        <w:right w:val="none" w:sz="0" w:space="0" w:color="auto"/>
      </w:divBdr>
    </w:div>
    <w:div w:id="789978458">
      <w:marLeft w:val="0"/>
      <w:marRight w:val="0"/>
      <w:marTop w:val="0"/>
      <w:marBottom w:val="0"/>
      <w:divBdr>
        <w:top w:val="none" w:sz="0" w:space="0" w:color="auto"/>
        <w:left w:val="none" w:sz="0" w:space="0" w:color="auto"/>
        <w:bottom w:val="none" w:sz="0" w:space="0" w:color="auto"/>
        <w:right w:val="none" w:sz="0" w:space="0" w:color="auto"/>
      </w:divBdr>
    </w:div>
    <w:div w:id="789978459">
      <w:marLeft w:val="0"/>
      <w:marRight w:val="0"/>
      <w:marTop w:val="0"/>
      <w:marBottom w:val="0"/>
      <w:divBdr>
        <w:top w:val="none" w:sz="0" w:space="0" w:color="auto"/>
        <w:left w:val="none" w:sz="0" w:space="0" w:color="auto"/>
        <w:bottom w:val="none" w:sz="0" w:space="0" w:color="auto"/>
        <w:right w:val="none" w:sz="0" w:space="0" w:color="auto"/>
      </w:divBdr>
    </w:div>
    <w:div w:id="789978460">
      <w:marLeft w:val="0"/>
      <w:marRight w:val="0"/>
      <w:marTop w:val="0"/>
      <w:marBottom w:val="0"/>
      <w:divBdr>
        <w:top w:val="none" w:sz="0" w:space="0" w:color="auto"/>
        <w:left w:val="none" w:sz="0" w:space="0" w:color="auto"/>
        <w:bottom w:val="none" w:sz="0" w:space="0" w:color="auto"/>
        <w:right w:val="none" w:sz="0" w:space="0" w:color="auto"/>
      </w:divBdr>
    </w:div>
    <w:div w:id="789978461">
      <w:marLeft w:val="0"/>
      <w:marRight w:val="0"/>
      <w:marTop w:val="0"/>
      <w:marBottom w:val="0"/>
      <w:divBdr>
        <w:top w:val="none" w:sz="0" w:space="0" w:color="auto"/>
        <w:left w:val="none" w:sz="0" w:space="0" w:color="auto"/>
        <w:bottom w:val="none" w:sz="0" w:space="0" w:color="auto"/>
        <w:right w:val="none" w:sz="0" w:space="0" w:color="auto"/>
      </w:divBdr>
    </w:div>
    <w:div w:id="789978462">
      <w:marLeft w:val="0"/>
      <w:marRight w:val="0"/>
      <w:marTop w:val="0"/>
      <w:marBottom w:val="0"/>
      <w:divBdr>
        <w:top w:val="none" w:sz="0" w:space="0" w:color="auto"/>
        <w:left w:val="none" w:sz="0" w:space="0" w:color="auto"/>
        <w:bottom w:val="none" w:sz="0" w:space="0" w:color="auto"/>
        <w:right w:val="none" w:sz="0" w:space="0" w:color="auto"/>
      </w:divBdr>
    </w:div>
    <w:div w:id="789978463">
      <w:marLeft w:val="0"/>
      <w:marRight w:val="0"/>
      <w:marTop w:val="0"/>
      <w:marBottom w:val="0"/>
      <w:divBdr>
        <w:top w:val="none" w:sz="0" w:space="0" w:color="auto"/>
        <w:left w:val="none" w:sz="0" w:space="0" w:color="auto"/>
        <w:bottom w:val="none" w:sz="0" w:space="0" w:color="auto"/>
        <w:right w:val="none" w:sz="0" w:space="0" w:color="auto"/>
      </w:divBdr>
    </w:div>
    <w:div w:id="789978464">
      <w:marLeft w:val="0"/>
      <w:marRight w:val="0"/>
      <w:marTop w:val="0"/>
      <w:marBottom w:val="0"/>
      <w:divBdr>
        <w:top w:val="none" w:sz="0" w:space="0" w:color="auto"/>
        <w:left w:val="none" w:sz="0" w:space="0" w:color="auto"/>
        <w:bottom w:val="none" w:sz="0" w:space="0" w:color="auto"/>
        <w:right w:val="none" w:sz="0" w:space="0" w:color="auto"/>
      </w:divBdr>
    </w:div>
    <w:div w:id="789978465">
      <w:marLeft w:val="0"/>
      <w:marRight w:val="0"/>
      <w:marTop w:val="0"/>
      <w:marBottom w:val="0"/>
      <w:divBdr>
        <w:top w:val="none" w:sz="0" w:space="0" w:color="auto"/>
        <w:left w:val="none" w:sz="0" w:space="0" w:color="auto"/>
        <w:bottom w:val="none" w:sz="0" w:space="0" w:color="auto"/>
        <w:right w:val="none" w:sz="0" w:space="0" w:color="auto"/>
      </w:divBdr>
    </w:div>
    <w:div w:id="789978466">
      <w:marLeft w:val="0"/>
      <w:marRight w:val="0"/>
      <w:marTop w:val="0"/>
      <w:marBottom w:val="0"/>
      <w:divBdr>
        <w:top w:val="none" w:sz="0" w:space="0" w:color="auto"/>
        <w:left w:val="none" w:sz="0" w:space="0" w:color="auto"/>
        <w:bottom w:val="none" w:sz="0" w:space="0" w:color="auto"/>
        <w:right w:val="none" w:sz="0" w:space="0" w:color="auto"/>
      </w:divBdr>
    </w:div>
    <w:div w:id="789978467">
      <w:marLeft w:val="0"/>
      <w:marRight w:val="0"/>
      <w:marTop w:val="0"/>
      <w:marBottom w:val="0"/>
      <w:divBdr>
        <w:top w:val="none" w:sz="0" w:space="0" w:color="auto"/>
        <w:left w:val="none" w:sz="0" w:space="0" w:color="auto"/>
        <w:bottom w:val="none" w:sz="0" w:space="0" w:color="auto"/>
        <w:right w:val="none" w:sz="0" w:space="0" w:color="auto"/>
      </w:divBdr>
    </w:div>
    <w:div w:id="795757659">
      <w:bodyDiv w:val="1"/>
      <w:marLeft w:val="0"/>
      <w:marRight w:val="0"/>
      <w:marTop w:val="0"/>
      <w:marBottom w:val="0"/>
      <w:divBdr>
        <w:top w:val="none" w:sz="0" w:space="0" w:color="auto"/>
        <w:left w:val="none" w:sz="0" w:space="0" w:color="auto"/>
        <w:bottom w:val="none" w:sz="0" w:space="0" w:color="auto"/>
        <w:right w:val="none" w:sz="0" w:space="0" w:color="auto"/>
      </w:divBdr>
    </w:div>
    <w:div w:id="814880752">
      <w:bodyDiv w:val="1"/>
      <w:marLeft w:val="0"/>
      <w:marRight w:val="0"/>
      <w:marTop w:val="0"/>
      <w:marBottom w:val="0"/>
      <w:divBdr>
        <w:top w:val="none" w:sz="0" w:space="0" w:color="auto"/>
        <w:left w:val="none" w:sz="0" w:space="0" w:color="auto"/>
        <w:bottom w:val="none" w:sz="0" w:space="0" w:color="auto"/>
        <w:right w:val="none" w:sz="0" w:space="0" w:color="auto"/>
      </w:divBdr>
    </w:div>
    <w:div w:id="816804025">
      <w:bodyDiv w:val="1"/>
      <w:marLeft w:val="0"/>
      <w:marRight w:val="0"/>
      <w:marTop w:val="0"/>
      <w:marBottom w:val="0"/>
      <w:divBdr>
        <w:top w:val="none" w:sz="0" w:space="0" w:color="auto"/>
        <w:left w:val="none" w:sz="0" w:space="0" w:color="auto"/>
        <w:bottom w:val="none" w:sz="0" w:space="0" w:color="auto"/>
        <w:right w:val="none" w:sz="0" w:space="0" w:color="auto"/>
      </w:divBdr>
    </w:div>
    <w:div w:id="841511630">
      <w:bodyDiv w:val="1"/>
      <w:marLeft w:val="0"/>
      <w:marRight w:val="0"/>
      <w:marTop w:val="0"/>
      <w:marBottom w:val="0"/>
      <w:divBdr>
        <w:top w:val="none" w:sz="0" w:space="0" w:color="auto"/>
        <w:left w:val="none" w:sz="0" w:space="0" w:color="auto"/>
        <w:bottom w:val="none" w:sz="0" w:space="0" w:color="auto"/>
        <w:right w:val="none" w:sz="0" w:space="0" w:color="auto"/>
      </w:divBdr>
    </w:div>
    <w:div w:id="860320878">
      <w:bodyDiv w:val="1"/>
      <w:marLeft w:val="0"/>
      <w:marRight w:val="0"/>
      <w:marTop w:val="0"/>
      <w:marBottom w:val="0"/>
      <w:divBdr>
        <w:top w:val="none" w:sz="0" w:space="0" w:color="auto"/>
        <w:left w:val="none" w:sz="0" w:space="0" w:color="auto"/>
        <w:bottom w:val="none" w:sz="0" w:space="0" w:color="auto"/>
        <w:right w:val="none" w:sz="0" w:space="0" w:color="auto"/>
      </w:divBdr>
    </w:div>
    <w:div w:id="863788067">
      <w:bodyDiv w:val="1"/>
      <w:marLeft w:val="0"/>
      <w:marRight w:val="0"/>
      <w:marTop w:val="0"/>
      <w:marBottom w:val="0"/>
      <w:divBdr>
        <w:top w:val="none" w:sz="0" w:space="0" w:color="auto"/>
        <w:left w:val="none" w:sz="0" w:space="0" w:color="auto"/>
        <w:bottom w:val="none" w:sz="0" w:space="0" w:color="auto"/>
        <w:right w:val="none" w:sz="0" w:space="0" w:color="auto"/>
      </w:divBdr>
    </w:div>
    <w:div w:id="905456798">
      <w:bodyDiv w:val="1"/>
      <w:marLeft w:val="0"/>
      <w:marRight w:val="0"/>
      <w:marTop w:val="0"/>
      <w:marBottom w:val="0"/>
      <w:divBdr>
        <w:top w:val="none" w:sz="0" w:space="0" w:color="auto"/>
        <w:left w:val="none" w:sz="0" w:space="0" w:color="auto"/>
        <w:bottom w:val="none" w:sz="0" w:space="0" w:color="auto"/>
        <w:right w:val="none" w:sz="0" w:space="0" w:color="auto"/>
      </w:divBdr>
    </w:div>
    <w:div w:id="950010919">
      <w:bodyDiv w:val="1"/>
      <w:marLeft w:val="0"/>
      <w:marRight w:val="0"/>
      <w:marTop w:val="0"/>
      <w:marBottom w:val="0"/>
      <w:divBdr>
        <w:top w:val="none" w:sz="0" w:space="0" w:color="auto"/>
        <w:left w:val="none" w:sz="0" w:space="0" w:color="auto"/>
        <w:bottom w:val="none" w:sz="0" w:space="0" w:color="auto"/>
        <w:right w:val="none" w:sz="0" w:space="0" w:color="auto"/>
      </w:divBdr>
    </w:div>
    <w:div w:id="954796405">
      <w:bodyDiv w:val="1"/>
      <w:marLeft w:val="0"/>
      <w:marRight w:val="0"/>
      <w:marTop w:val="0"/>
      <w:marBottom w:val="0"/>
      <w:divBdr>
        <w:top w:val="none" w:sz="0" w:space="0" w:color="auto"/>
        <w:left w:val="none" w:sz="0" w:space="0" w:color="auto"/>
        <w:bottom w:val="none" w:sz="0" w:space="0" w:color="auto"/>
        <w:right w:val="none" w:sz="0" w:space="0" w:color="auto"/>
      </w:divBdr>
    </w:div>
    <w:div w:id="975910780">
      <w:bodyDiv w:val="1"/>
      <w:marLeft w:val="0"/>
      <w:marRight w:val="0"/>
      <w:marTop w:val="0"/>
      <w:marBottom w:val="0"/>
      <w:divBdr>
        <w:top w:val="none" w:sz="0" w:space="0" w:color="auto"/>
        <w:left w:val="none" w:sz="0" w:space="0" w:color="auto"/>
        <w:bottom w:val="none" w:sz="0" w:space="0" w:color="auto"/>
        <w:right w:val="none" w:sz="0" w:space="0" w:color="auto"/>
      </w:divBdr>
    </w:div>
    <w:div w:id="980883531">
      <w:bodyDiv w:val="1"/>
      <w:marLeft w:val="0"/>
      <w:marRight w:val="0"/>
      <w:marTop w:val="0"/>
      <w:marBottom w:val="0"/>
      <w:divBdr>
        <w:top w:val="none" w:sz="0" w:space="0" w:color="auto"/>
        <w:left w:val="none" w:sz="0" w:space="0" w:color="auto"/>
        <w:bottom w:val="none" w:sz="0" w:space="0" w:color="auto"/>
        <w:right w:val="none" w:sz="0" w:space="0" w:color="auto"/>
      </w:divBdr>
    </w:div>
    <w:div w:id="1056049388">
      <w:bodyDiv w:val="1"/>
      <w:marLeft w:val="0"/>
      <w:marRight w:val="0"/>
      <w:marTop w:val="0"/>
      <w:marBottom w:val="0"/>
      <w:divBdr>
        <w:top w:val="none" w:sz="0" w:space="0" w:color="auto"/>
        <w:left w:val="none" w:sz="0" w:space="0" w:color="auto"/>
        <w:bottom w:val="none" w:sz="0" w:space="0" w:color="auto"/>
        <w:right w:val="none" w:sz="0" w:space="0" w:color="auto"/>
      </w:divBdr>
    </w:div>
    <w:div w:id="1062564905">
      <w:bodyDiv w:val="1"/>
      <w:marLeft w:val="0"/>
      <w:marRight w:val="0"/>
      <w:marTop w:val="0"/>
      <w:marBottom w:val="0"/>
      <w:divBdr>
        <w:top w:val="none" w:sz="0" w:space="0" w:color="auto"/>
        <w:left w:val="none" w:sz="0" w:space="0" w:color="auto"/>
        <w:bottom w:val="none" w:sz="0" w:space="0" w:color="auto"/>
        <w:right w:val="none" w:sz="0" w:space="0" w:color="auto"/>
      </w:divBdr>
    </w:div>
    <w:div w:id="1080640570">
      <w:bodyDiv w:val="1"/>
      <w:marLeft w:val="0"/>
      <w:marRight w:val="0"/>
      <w:marTop w:val="0"/>
      <w:marBottom w:val="0"/>
      <w:divBdr>
        <w:top w:val="none" w:sz="0" w:space="0" w:color="auto"/>
        <w:left w:val="none" w:sz="0" w:space="0" w:color="auto"/>
        <w:bottom w:val="none" w:sz="0" w:space="0" w:color="auto"/>
        <w:right w:val="none" w:sz="0" w:space="0" w:color="auto"/>
      </w:divBdr>
    </w:div>
    <w:div w:id="1183520987">
      <w:bodyDiv w:val="1"/>
      <w:marLeft w:val="0"/>
      <w:marRight w:val="0"/>
      <w:marTop w:val="0"/>
      <w:marBottom w:val="0"/>
      <w:divBdr>
        <w:top w:val="none" w:sz="0" w:space="0" w:color="auto"/>
        <w:left w:val="none" w:sz="0" w:space="0" w:color="auto"/>
        <w:bottom w:val="none" w:sz="0" w:space="0" w:color="auto"/>
        <w:right w:val="none" w:sz="0" w:space="0" w:color="auto"/>
      </w:divBdr>
    </w:div>
    <w:div w:id="1213075025">
      <w:bodyDiv w:val="1"/>
      <w:marLeft w:val="0"/>
      <w:marRight w:val="0"/>
      <w:marTop w:val="0"/>
      <w:marBottom w:val="0"/>
      <w:divBdr>
        <w:top w:val="none" w:sz="0" w:space="0" w:color="auto"/>
        <w:left w:val="none" w:sz="0" w:space="0" w:color="auto"/>
        <w:bottom w:val="none" w:sz="0" w:space="0" w:color="auto"/>
        <w:right w:val="none" w:sz="0" w:space="0" w:color="auto"/>
      </w:divBdr>
    </w:div>
    <w:div w:id="1223516784">
      <w:bodyDiv w:val="1"/>
      <w:marLeft w:val="0"/>
      <w:marRight w:val="0"/>
      <w:marTop w:val="0"/>
      <w:marBottom w:val="0"/>
      <w:divBdr>
        <w:top w:val="none" w:sz="0" w:space="0" w:color="auto"/>
        <w:left w:val="none" w:sz="0" w:space="0" w:color="auto"/>
        <w:bottom w:val="none" w:sz="0" w:space="0" w:color="auto"/>
        <w:right w:val="none" w:sz="0" w:space="0" w:color="auto"/>
      </w:divBdr>
    </w:div>
    <w:div w:id="1230384266">
      <w:bodyDiv w:val="1"/>
      <w:marLeft w:val="0"/>
      <w:marRight w:val="0"/>
      <w:marTop w:val="0"/>
      <w:marBottom w:val="0"/>
      <w:divBdr>
        <w:top w:val="none" w:sz="0" w:space="0" w:color="auto"/>
        <w:left w:val="none" w:sz="0" w:space="0" w:color="auto"/>
        <w:bottom w:val="none" w:sz="0" w:space="0" w:color="auto"/>
        <w:right w:val="none" w:sz="0" w:space="0" w:color="auto"/>
      </w:divBdr>
    </w:div>
    <w:div w:id="1233662563">
      <w:bodyDiv w:val="1"/>
      <w:marLeft w:val="0"/>
      <w:marRight w:val="0"/>
      <w:marTop w:val="0"/>
      <w:marBottom w:val="0"/>
      <w:divBdr>
        <w:top w:val="none" w:sz="0" w:space="0" w:color="auto"/>
        <w:left w:val="none" w:sz="0" w:space="0" w:color="auto"/>
        <w:bottom w:val="none" w:sz="0" w:space="0" w:color="auto"/>
        <w:right w:val="none" w:sz="0" w:space="0" w:color="auto"/>
      </w:divBdr>
    </w:div>
    <w:div w:id="1255699842">
      <w:bodyDiv w:val="1"/>
      <w:marLeft w:val="0"/>
      <w:marRight w:val="0"/>
      <w:marTop w:val="0"/>
      <w:marBottom w:val="0"/>
      <w:divBdr>
        <w:top w:val="none" w:sz="0" w:space="0" w:color="auto"/>
        <w:left w:val="none" w:sz="0" w:space="0" w:color="auto"/>
        <w:bottom w:val="none" w:sz="0" w:space="0" w:color="auto"/>
        <w:right w:val="none" w:sz="0" w:space="0" w:color="auto"/>
      </w:divBdr>
    </w:div>
    <w:div w:id="1264651650">
      <w:bodyDiv w:val="1"/>
      <w:marLeft w:val="0"/>
      <w:marRight w:val="0"/>
      <w:marTop w:val="0"/>
      <w:marBottom w:val="0"/>
      <w:divBdr>
        <w:top w:val="none" w:sz="0" w:space="0" w:color="auto"/>
        <w:left w:val="none" w:sz="0" w:space="0" w:color="auto"/>
        <w:bottom w:val="none" w:sz="0" w:space="0" w:color="auto"/>
        <w:right w:val="none" w:sz="0" w:space="0" w:color="auto"/>
      </w:divBdr>
    </w:div>
    <w:div w:id="1303534684">
      <w:bodyDiv w:val="1"/>
      <w:marLeft w:val="0"/>
      <w:marRight w:val="0"/>
      <w:marTop w:val="0"/>
      <w:marBottom w:val="0"/>
      <w:divBdr>
        <w:top w:val="none" w:sz="0" w:space="0" w:color="auto"/>
        <w:left w:val="none" w:sz="0" w:space="0" w:color="auto"/>
        <w:bottom w:val="none" w:sz="0" w:space="0" w:color="auto"/>
        <w:right w:val="none" w:sz="0" w:space="0" w:color="auto"/>
      </w:divBdr>
    </w:div>
    <w:div w:id="1331058562">
      <w:bodyDiv w:val="1"/>
      <w:marLeft w:val="0"/>
      <w:marRight w:val="0"/>
      <w:marTop w:val="0"/>
      <w:marBottom w:val="0"/>
      <w:divBdr>
        <w:top w:val="none" w:sz="0" w:space="0" w:color="auto"/>
        <w:left w:val="none" w:sz="0" w:space="0" w:color="auto"/>
        <w:bottom w:val="none" w:sz="0" w:space="0" w:color="auto"/>
        <w:right w:val="none" w:sz="0" w:space="0" w:color="auto"/>
      </w:divBdr>
    </w:div>
    <w:div w:id="1344865989">
      <w:bodyDiv w:val="1"/>
      <w:marLeft w:val="0"/>
      <w:marRight w:val="0"/>
      <w:marTop w:val="0"/>
      <w:marBottom w:val="0"/>
      <w:divBdr>
        <w:top w:val="none" w:sz="0" w:space="0" w:color="auto"/>
        <w:left w:val="none" w:sz="0" w:space="0" w:color="auto"/>
        <w:bottom w:val="none" w:sz="0" w:space="0" w:color="auto"/>
        <w:right w:val="none" w:sz="0" w:space="0" w:color="auto"/>
      </w:divBdr>
    </w:div>
    <w:div w:id="1365597960">
      <w:bodyDiv w:val="1"/>
      <w:marLeft w:val="0"/>
      <w:marRight w:val="0"/>
      <w:marTop w:val="0"/>
      <w:marBottom w:val="0"/>
      <w:divBdr>
        <w:top w:val="none" w:sz="0" w:space="0" w:color="auto"/>
        <w:left w:val="none" w:sz="0" w:space="0" w:color="auto"/>
        <w:bottom w:val="none" w:sz="0" w:space="0" w:color="auto"/>
        <w:right w:val="none" w:sz="0" w:space="0" w:color="auto"/>
      </w:divBdr>
    </w:div>
    <w:div w:id="1383098536">
      <w:bodyDiv w:val="1"/>
      <w:marLeft w:val="0"/>
      <w:marRight w:val="0"/>
      <w:marTop w:val="0"/>
      <w:marBottom w:val="0"/>
      <w:divBdr>
        <w:top w:val="none" w:sz="0" w:space="0" w:color="auto"/>
        <w:left w:val="none" w:sz="0" w:space="0" w:color="auto"/>
        <w:bottom w:val="none" w:sz="0" w:space="0" w:color="auto"/>
        <w:right w:val="none" w:sz="0" w:space="0" w:color="auto"/>
      </w:divBdr>
    </w:div>
    <w:div w:id="1452359703">
      <w:bodyDiv w:val="1"/>
      <w:marLeft w:val="0"/>
      <w:marRight w:val="0"/>
      <w:marTop w:val="0"/>
      <w:marBottom w:val="0"/>
      <w:divBdr>
        <w:top w:val="none" w:sz="0" w:space="0" w:color="auto"/>
        <w:left w:val="none" w:sz="0" w:space="0" w:color="auto"/>
        <w:bottom w:val="none" w:sz="0" w:space="0" w:color="auto"/>
        <w:right w:val="none" w:sz="0" w:space="0" w:color="auto"/>
      </w:divBdr>
    </w:div>
    <w:div w:id="1461997288">
      <w:bodyDiv w:val="1"/>
      <w:marLeft w:val="0"/>
      <w:marRight w:val="0"/>
      <w:marTop w:val="0"/>
      <w:marBottom w:val="0"/>
      <w:divBdr>
        <w:top w:val="none" w:sz="0" w:space="0" w:color="auto"/>
        <w:left w:val="none" w:sz="0" w:space="0" w:color="auto"/>
        <w:bottom w:val="none" w:sz="0" w:space="0" w:color="auto"/>
        <w:right w:val="none" w:sz="0" w:space="0" w:color="auto"/>
      </w:divBdr>
    </w:div>
    <w:div w:id="1479565532">
      <w:bodyDiv w:val="1"/>
      <w:marLeft w:val="0"/>
      <w:marRight w:val="0"/>
      <w:marTop w:val="0"/>
      <w:marBottom w:val="0"/>
      <w:divBdr>
        <w:top w:val="none" w:sz="0" w:space="0" w:color="auto"/>
        <w:left w:val="none" w:sz="0" w:space="0" w:color="auto"/>
        <w:bottom w:val="none" w:sz="0" w:space="0" w:color="auto"/>
        <w:right w:val="none" w:sz="0" w:space="0" w:color="auto"/>
      </w:divBdr>
    </w:div>
    <w:div w:id="1514107287">
      <w:bodyDiv w:val="1"/>
      <w:marLeft w:val="0"/>
      <w:marRight w:val="0"/>
      <w:marTop w:val="0"/>
      <w:marBottom w:val="0"/>
      <w:divBdr>
        <w:top w:val="none" w:sz="0" w:space="0" w:color="auto"/>
        <w:left w:val="none" w:sz="0" w:space="0" w:color="auto"/>
        <w:bottom w:val="none" w:sz="0" w:space="0" w:color="auto"/>
        <w:right w:val="none" w:sz="0" w:space="0" w:color="auto"/>
      </w:divBdr>
    </w:div>
    <w:div w:id="1542859679">
      <w:bodyDiv w:val="1"/>
      <w:marLeft w:val="0"/>
      <w:marRight w:val="0"/>
      <w:marTop w:val="0"/>
      <w:marBottom w:val="0"/>
      <w:divBdr>
        <w:top w:val="none" w:sz="0" w:space="0" w:color="auto"/>
        <w:left w:val="none" w:sz="0" w:space="0" w:color="auto"/>
        <w:bottom w:val="none" w:sz="0" w:space="0" w:color="auto"/>
        <w:right w:val="none" w:sz="0" w:space="0" w:color="auto"/>
      </w:divBdr>
    </w:div>
    <w:div w:id="1556551405">
      <w:bodyDiv w:val="1"/>
      <w:marLeft w:val="0"/>
      <w:marRight w:val="0"/>
      <w:marTop w:val="0"/>
      <w:marBottom w:val="0"/>
      <w:divBdr>
        <w:top w:val="none" w:sz="0" w:space="0" w:color="auto"/>
        <w:left w:val="none" w:sz="0" w:space="0" w:color="auto"/>
        <w:bottom w:val="none" w:sz="0" w:space="0" w:color="auto"/>
        <w:right w:val="none" w:sz="0" w:space="0" w:color="auto"/>
      </w:divBdr>
    </w:div>
    <w:div w:id="1556771593">
      <w:bodyDiv w:val="1"/>
      <w:marLeft w:val="0"/>
      <w:marRight w:val="0"/>
      <w:marTop w:val="0"/>
      <w:marBottom w:val="0"/>
      <w:divBdr>
        <w:top w:val="none" w:sz="0" w:space="0" w:color="auto"/>
        <w:left w:val="none" w:sz="0" w:space="0" w:color="auto"/>
        <w:bottom w:val="none" w:sz="0" w:space="0" w:color="auto"/>
        <w:right w:val="none" w:sz="0" w:space="0" w:color="auto"/>
      </w:divBdr>
    </w:div>
    <w:div w:id="1557469869">
      <w:bodyDiv w:val="1"/>
      <w:marLeft w:val="0"/>
      <w:marRight w:val="0"/>
      <w:marTop w:val="0"/>
      <w:marBottom w:val="0"/>
      <w:divBdr>
        <w:top w:val="none" w:sz="0" w:space="0" w:color="auto"/>
        <w:left w:val="none" w:sz="0" w:space="0" w:color="auto"/>
        <w:bottom w:val="none" w:sz="0" w:space="0" w:color="auto"/>
        <w:right w:val="none" w:sz="0" w:space="0" w:color="auto"/>
      </w:divBdr>
    </w:div>
    <w:div w:id="1566377109">
      <w:bodyDiv w:val="1"/>
      <w:marLeft w:val="0"/>
      <w:marRight w:val="0"/>
      <w:marTop w:val="0"/>
      <w:marBottom w:val="0"/>
      <w:divBdr>
        <w:top w:val="none" w:sz="0" w:space="0" w:color="auto"/>
        <w:left w:val="none" w:sz="0" w:space="0" w:color="auto"/>
        <w:bottom w:val="none" w:sz="0" w:space="0" w:color="auto"/>
        <w:right w:val="none" w:sz="0" w:space="0" w:color="auto"/>
      </w:divBdr>
    </w:div>
    <w:div w:id="1581212622">
      <w:bodyDiv w:val="1"/>
      <w:marLeft w:val="0"/>
      <w:marRight w:val="0"/>
      <w:marTop w:val="0"/>
      <w:marBottom w:val="0"/>
      <w:divBdr>
        <w:top w:val="none" w:sz="0" w:space="0" w:color="auto"/>
        <w:left w:val="none" w:sz="0" w:space="0" w:color="auto"/>
        <w:bottom w:val="none" w:sz="0" w:space="0" w:color="auto"/>
        <w:right w:val="none" w:sz="0" w:space="0" w:color="auto"/>
      </w:divBdr>
    </w:div>
    <w:div w:id="1622348086">
      <w:bodyDiv w:val="1"/>
      <w:marLeft w:val="0"/>
      <w:marRight w:val="0"/>
      <w:marTop w:val="0"/>
      <w:marBottom w:val="0"/>
      <w:divBdr>
        <w:top w:val="none" w:sz="0" w:space="0" w:color="auto"/>
        <w:left w:val="none" w:sz="0" w:space="0" w:color="auto"/>
        <w:bottom w:val="none" w:sz="0" w:space="0" w:color="auto"/>
        <w:right w:val="none" w:sz="0" w:space="0" w:color="auto"/>
      </w:divBdr>
    </w:div>
    <w:div w:id="1686714692">
      <w:bodyDiv w:val="1"/>
      <w:marLeft w:val="0"/>
      <w:marRight w:val="0"/>
      <w:marTop w:val="0"/>
      <w:marBottom w:val="0"/>
      <w:divBdr>
        <w:top w:val="none" w:sz="0" w:space="0" w:color="auto"/>
        <w:left w:val="none" w:sz="0" w:space="0" w:color="auto"/>
        <w:bottom w:val="none" w:sz="0" w:space="0" w:color="auto"/>
        <w:right w:val="none" w:sz="0" w:space="0" w:color="auto"/>
      </w:divBdr>
    </w:div>
    <w:div w:id="1694845000">
      <w:bodyDiv w:val="1"/>
      <w:marLeft w:val="0"/>
      <w:marRight w:val="0"/>
      <w:marTop w:val="0"/>
      <w:marBottom w:val="0"/>
      <w:divBdr>
        <w:top w:val="none" w:sz="0" w:space="0" w:color="auto"/>
        <w:left w:val="none" w:sz="0" w:space="0" w:color="auto"/>
        <w:bottom w:val="none" w:sz="0" w:space="0" w:color="auto"/>
        <w:right w:val="none" w:sz="0" w:space="0" w:color="auto"/>
      </w:divBdr>
    </w:div>
    <w:div w:id="1732993946">
      <w:bodyDiv w:val="1"/>
      <w:marLeft w:val="0"/>
      <w:marRight w:val="0"/>
      <w:marTop w:val="0"/>
      <w:marBottom w:val="0"/>
      <w:divBdr>
        <w:top w:val="none" w:sz="0" w:space="0" w:color="auto"/>
        <w:left w:val="none" w:sz="0" w:space="0" w:color="auto"/>
        <w:bottom w:val="none" w:sz="0" w:space="0" w:color="auto"/>
        <w:right w:val="none" w:sz="0" w:space="0" w:color="auto"/>
      </w:divBdr>
    </w:div>
    <w:div w:id="1763067765">
      <w:bodyDiv w:val="1"/>
      <w:marLeft w:val="0"/>
      <w:marRight w:val="0"/>
      <w:marTop w:val="0"/>
      <w:marBottom w:val="0"/>
      <w:divBdr>
        <w:top w:val="none" w:sz="0" w:space="0" w:color="auto"/>
        <w:left w:val="none" w:sz="0" w:space="0" w:color="auto"/>
        <w:bottom w:val="none" w:sz="0" w:space="0" w:color="auto"/>
        <w:right w:val="none" w:sz="0" w:space="0" w:color="auto"/>
      </w:divBdr>
    </w:div>
    <w:div w:id="1779442476">
      <w:bodyDiv w:val="1"/>
      <w:marLeft w:val="0"/>
      <w:marRight w:val="0"/>
      <w:marTop w:val="0"/>
      <w:marBottom w:val="0"/>
      <w:divBdr>
        <w:top w:val="none" w:sz="0" w:space="0" w:color="auto"/>
        <w:left w:val="none" w:sz="0" w:space="0" w:color="auto"/>
        <w:bottom w:val="none" w:sz="0" w:space="0" w:color="auto"/>
        <w:right w:val="none" w:sz="0" w:space="0" w:color="auto"/>
      </w:divBdr>
    </w:div>
    <w:div w:id="1781560111">
      <w:bodyDiv w:val="1"/>
      <w:marLeft w:val="0"/>
      <w:marRight w:val="0"/>
      <w:marTop w:val="0"/>
      <w:marBottom w:val="0"/>
      <w:divBdr>
        <w:top w:val="none" w:sz="0" w:space="0" w:color="auto"/>
        <w:left w:val="none" w:sz="0" w:space="0" w:color="auto"/>
        <w:bottom w:val="none" w:sz="0" w:space="0" w:color="auto"/>
        <w:right w:val="none" w:sz="0" w:space="0" w:color="auto"/>
      </w:divBdr>
    </w:div>
    <w:div w:id="1785493379">
      <w:bodyDiv w:val="1"/>
      <w:marLeft w:val="0"/>
      <w:marRight w:val="0"/>
      <w:marTop w:val="0"/>
      <w:marBottom w:val="0"/>
      <w:divBdr>
        <w:top w:val="none" w:sz="0" w:space="0" w:color="auto"/>
        <w:left w:val="none" w:sz="0" w:space="0" w:color="auto"/>
        <w:bottom w:val="none" w:sz="0" w:space="0" w:color="auto"/>
        <w:right w:val="none" w:sz="0" w:space="0" w:color="auto"/>
      </w:divBdr>
    </w:div>
    <w:div w:id="1846632407">
      <w:bodyDiv w:val="1"/>
      <w:marLeft w:val="0"/>
      <w:marRight w:val="0"/>
      <w:marTop w:val="0"/>
      <w:marBottom w:val="0"/>
      <w:divBdr>
        <w:top w:val="none" w:sz="0" w:space="0" w:color="auto"/>
        <w:left w:val="none" w:sz="0" w:space="0" w:color="auto"/>
        <w:bottom w:val="none" w:sz="0" w:space="0" w:color="auto"/>
        <w:right w:val="none" w:sz="0" w:space="0" w:color="auto"/>
      </w:divBdr>
    </w:div>
    <w:div w:id="1886720462">
      <w:bodyDiv w:val="1"/>
      <w:marLeft w:val="0"/>
      <w:marRight w:val="0"/>
      <w:marTop w:val="0"/>
      <w:marBottom w:val="0"/>
      <w:divBdr>
        <w:top w:val="none" w:sz="0" w:space="0" w:color="auto"/>
        <w:left w:val="none" w:sz="0" w:space="0" w:color="auto"/>
        <w:bottom w:val="none" w:sz="0" w:space="0" w:color="auto"/>
        <w:right w:val="none" w:sz="0" w:space="0" w:color="auto"/>
      </w:divBdr>
    </w:div>
    <w:div w:id="1887524226">
      <w:bodyDiv w:val="1"/>
      <w:marLeft w:val="0"/>
      <w:marRight w:val="0"/>
      <w:marTop w:val="0"/>
      <w:marBottom w:val="0"/>
      <w:divBdr>
        <w:top w:val="none" w:sz="0" w:space="0" w:color="auto"/>
        <w:left w:val="none" w:sz="0" w:space="0" w:color="auto"/>
        <w:bottom w:val="none" w:sz="0" w:space="0" w:color="auto"/>
        <w:right w:val="none" w:sz="0" w:space="0" w:color="auto"/>
      </w:divBdr>
    </w:div>
    <w:div w:id="1893539418">
      <w:bodyDiv w:val="1"/>
      <w:marLeft w:val="0"/>
      <w:marRight w:val="0"/>
      <w:marTop w:val="0"/>
      <w:marBottom w:val="0"/>
      <w:divBdr>
        <w:top w:val="none" w:sz="0" w:space="0" w:color="auto"/>
        <w:left w:val="none" w:sz="0" w:space="0" w:color="auto"/>
        <w:bottom w:val="none" w:sz="0" w:space="0" w:color="auto"/>
        <w:right w:val="none" w:sz="0" w:space="0" w:color="auto"/>
      </w:divBdr>
    </w:div>
    <w:div w:id="1916237994">
      <w:bodyDiv w:val="1"/>
      <w:marLeft w:val="0"/>
      <w:marRight w:val="0"/>
      <w:marTop w:val="0"/>
      <w:marBottom w:val="0"/>
      <w:divBdr>
        <w:top w:val="none" w:sz="0" w:space="0" w:color="auto"/>
        <w:left w:val="none" w:sz="0" w:space="0" w:color="auto"/>
        <w:bottom w:val="none" w:sz="0" w:space="0" w:color="auto"/>
        <w:right w:val="none" w:sz="0" w:space="0" w:color="auto"/>
      </w:divBdr>
    </w:div>
    <w:div w:id="1918854835">
      <w:bodyDiv w:val="1"/>
      <w:marLeft w:val="0"/>
      <w:marRight w:val="0"/>
      <w:marTop w:val="0"/>
      <w:marBottom w:val="0"/>
      <w:divBdr>
        <w:top w:val="none" w:sz="0" w:space="0" w:color="auto"/>
        <w:left w:val="none" w:sz="0" w:space="0" w:color="auto"/>
        <w:bottom w:val="none" w:sz="0" w:space="0" w:color="auto"/>
        <w:right w:val="none" w:sz="0" w:space="0" w:color="auto"/>
      </w:divBdr>
    </w:div>
    <w:div w:id="1933514611">
      <w:bodyDiv w:val="1"/>
      <w:marLeft w:val="0"/>
      <w:marRight w:val="0"/>
      <w:marTop w:val="0"/>
      <w:marBottom w:val="0"/>
      <w:divBdr>
        <w:top w:val="none" w:sz="0" w:space="0" w:color="auto"/>
        <w:left w:val="none" w:sz="0" w:space="0" w:color="auto"/>
        <w:bottom w:val="none" w:sz="0" w:space="0" w:color="auto"/>
        <w:right w:val="none" w:sz="0" w:space="0" w:color="auto"/>
      </w:divBdr>
    </w:div>
    <w:div w:id="1957561391">
      <w:bodyDiv w:val="1"/>
      <w:marLeft w:val="0"/>
      <w:marRight w:val="0"/>
      <w:marTop w:val="0"/>
      <w:marBottom w:val="0"/>
      <w:divBdr>
        <w:top w:val="none" w:sz="0" w:space="0" w:color="auto"/>
        <w:left w:val="none" w:sz="0" w:space="0" w:color="auto"/>
        <w:bottom w:val="none" w:sz="0" w:space="0" w:color="auto"/>
        <w:right w:val="none" w:sz="0" w:space="0" w:color="auto"/>
      </w:divBdr>
    </w:div>
    <w:div w:id="1964842451">
      <w:bodyDiv w:val="1"/>
      <w:marLeft w:val="0"/>
      <w:marRight w:val="0"/>
      <w:marTop w:val="0"/>
      <w:marBottom w:val="0"/>
      <w:divBdr>
        <w:top w:val="none" w:sz="0" w:space="0" w:color="auto"/>
        <w:left w:val="none" w:sz="0" w:space="0" w:color="auto"/>
        <w:bottom w:val="none" w:sz="0" w:space="0" w:color="auto"/>
        <w:right w:val="none" w:sz="0" w:space="0" w:color="auto"/>
      </w:divBdr>
    </w:div>
    <w:div w:id="1984846649">
      <w:bodyDiv w:val="1"/>
      <w:marLeft w:val="0"/>
      <w:marRight w:val="0"/>
      <w:marTop w:val="0"/>
      <w:marBottom w:val="0"/>
      <w:divBdr>
        <w:top w:val="none" w:sz="0" w:space="0" w:color="auto"/>
        <w:left w:val="none" w:sz="0" w:space="0" w:color="auto"/>
        <w:bottom w:val="none" w:sz="0" w:space="0" w:color="auto"/>
        <w:right w:val="none" w:sz="0" w:space="0" w:color="auto"/>
      </w:divBdr>
    </w:div>
    <w:div w:id="2036885099">
      <w:bodyDiv w:val="1"/>
      <w:marLeft w:val="0"/>
      <w:marRight w:val="0"/>
      <w:marTop w:val="0"/>
      <w:marBottom w:val="0"/>
      <w:divBdr>
        <w:top w:val="none" w:sz="0" w:space="0" w:color="auto"/>
        <w:left w:val="none" w:sz="0" w:space="0" w:color="auto"/>
        <w:bottom w:val="none" w:sz="0" w:space="0" w:color="auto"/>
        <w:right w:val="none" w:sz="0" w:space="0" w:color="auto"/>
      </w:divBdr>
      <w:divsChild>
        <w:div w:id="40323292">
          <w:marLeft w:val="0"/>
          <w:marRight w:val="0"/>
          <w:marTop w:val="0"/>
          <w:marBottom w:val="0"/>
          <w:divBdr>
            <w:top w:val="none" w:sz="0" w:space="0" w:color="auto"/>
            <w:left w:val="none" w:sz="0" w:space="0" w:color="auto"/>
            <w:bottom w:val="none" w:sz="0" w:space="0" w:color="auto"/>
            <w:right w:val="none" w:sz="0" w:space="0" w:color="auto"/>
          </w:divBdr>
        </w:div>
        <w:div w:id="1174302731">
          <w:marLeft w:val="0"/>
          <w:marRight w:val="0"/>
          <w:marTop w:val="0"/>
          <w:marBottom w:val="0"/>
          <w:divBdr>
            <w:top w:val="none" w:sz="0" w:space="0" w:color="auto"/>
            <w:left w:val="none" w:sz="0" w:space="0" w:color="auto"/>
            <w:bottom w:val="none" w:sz="0" w:space="0" w:color="auto"/>
            <w:right w:val="none" w:sz="0" w:space="0" w:color="auto"/>
          </w:divBdr>
        </w:div>
        <w:div w:id="1244686340">
          <w:marLeft w:val="0"/>
          <w:marRight w:val="0"/>
          <w:marTop w:val="0"/>
          <w:marBottom w:val="0"/>
          <w:divBdr>
            <w:top w:val="none" w:sz="0" w:space="0" w:color="auto"/>
            <w:left w:val="none" w:sz="0" w:space="0" w:color="auto"/>
            <w:bottom w:val="none" w:sz="0" w:space="0" w:color="auto"/>
            <w:right w:val="none" w:sz="0" w:space="0" w:color="auto"/>
          </w:divBdr>
        </w:div>
        <w:div w:id="1561744909">
          <w:marLeft w:val="0"/>
          <w:marRight w:val="0"/>
          <w:marTop w:val="0"/>
          <w:marBottom w:val="0"/>
          <w:divBdr>
            <w:top w:val="none" w:sz="0" w:space="0" w:color="auto"/>
            <w:left w:val="none" w:sz="0" w:space="0" w:color="auto"/>
            <w:bottom w:val="none" w:sz="0" w:space="0" w:color="auto"/>
            <w:right w:val="none" w:sz="0" w:space="0" w:color="auto"/>
          </w:divBdr>
        </w:div>
        <w:div w:id="1659992699">
          <w:marLeft w:val="0"/>
          <w:marRight w:val="0"/>
          <w:marTop w:val="0"/>
          <w:marBottom w:val="0"/>
          <w:divBdr>
            <w:top w:val="none" w:sz="0" w:space="0" w:color="auto"/>
            <w:left w:val="none" w:sz="0" w:space="0" w:color="auto"/>
            <w:bottom w:val="none" w:sz="0" w:space="0" w:color="auto"/>
            <w:right w:val="none" w:sz="0" w:space="0" w:color="auto"/>
          </w:divBdr>
        </w:div>
      </w:divsChild>
    </w:div>
    <w:div w:id="2040888814">
      <w:bodyDiv w:val="1"/>
      <w:marLeft w:val="0"/>
      <w:marRight w:val="0"/>
      <w:marTop w:val="0"/>
      <w:marBottom w:val="0"/>
      <w:divBdr>
        <w:top w:val="none" w:sz="0" w:space="0" w:color="auto"/>
        <w:left w:val="none" w:sz="0" w:space="0" w:color="auto"/>
        <w:bottom w:val="none" w:sz="0" w:space="0" w:color="auto"/>
        <w:right w:val="none" w:sz="0" w:space="0" w:color="auto"/>
      </w:divBdr>
    </w:div>
    <w:div w:id="2063209383">
      <w:bodyDiv w:val="1"/>
      <w:marLeft w:val="0"/>
      <w:marRight w:val="0"/>
      <w:marTop w:val="0"/>
      <w:marBottom w:val="0"/>
      <w:divBdr>
        <w:top w:val="none" w:sz="0" w:space="0" w:color="auto"/>
        <w:left w:val="none" w:sz="0" w:space="0" w:color="auto"/>
        <w:bottom w:val="none" w:sz="0" w:space="0" w:color="auto"/>
        <w:right w:val="none" w:sz="0" w:space="0" w:color="auto"/>
      </w:divBdr>
    </w:div>
    <w:div w:id="2068020546">
      <w:bodyDiv w:val="1"/>
      <w:marLeft w:val="0"/>
      <w:marRight w:val="0"/>
      <w:marTop w:val="0"/>
      <w:marBottom w:val="0"/>
      <w:divBdr>
        <w:top w:val="none" w:sz="0" w:space="0" w:color="auto"/>
        <w:left w:val="none" w:sz="0" w:space="0" w:color="auto"/>
        <w:bottom w:val="none" w:sz="0" w:space="0" w:color="auto"/>
        <w:right w:val="none" w:sz="0" w:space="0" w:color="auto"/>
      </w:divBdr>
    </w:div>
    <w:div w:id="2068140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emf"/><Relationship Id="rId26" Type="http://schemas.openxmlformats.org/officeDocument/2006/relationships/hyperlink" Target="https://www.sistan.it/index.php?id=688"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hyperlink" Target="https://eur-lex.europa.eu/legal-content/IT/TXT/PDF/?uri=CELEX:32023R073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stat.it/it/congiuntura" TargetMode="External"/><Relationship Id="rId20" Type="http://schemas.openxmlformats.org/officeDocument/2006/relationships/header" Target="header2.xml"/><Relationship Id="rId29" Type="http://schemas.openxmlformats.org/officeDocument/2006/relationships/hyperlink" Target="https://esploradati.istat.it/databrows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ur-lex.europa.eu/legal-content/IT/TXT/HTML/?uri=CELEX:32013R0549&amp;from=EN"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dati.istat.it/" TargetMode="External"/><Relationship Id="rId23" Type="http://schemas.openxmlformats.org/officeDocument/2006/relationships/header" Target="header4.xml"/><Relationship Id="rId28" Type="http://schemas.openxmlformats.org/officeDocument/2006/relationships/hyperlink" Target="https://www.slideshare.net/slideistat/f-moauro-anna-ciammola" TargetMode="External"/><Relationship Id="rId10" Type="http://schemas.openxmlformats.org/officeDocument/2006/relationships/footnotes" Target="footnotes.xml"/><Relationship Id="rId19" Type="http://schemas.openxmlformats.org/officeDocument/2006/relationships/image" Target="media/image8.emf"/><Relationship Id="rId31" Type="http://schemas.openxmlformats.org/officeDocument/2006/relationships/hyperlink" Target="mailto:moauro@istat.i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 Id="rId22" Type="http://schemas.openxmlformats.org/officeDocument/2006/relationships/header" Target="header3.xml"/><Relationship Id="rId27" Type="http://schemas.openxmlformats.org/officeDocument/2006/relationships/hyperlink" Target="https://www.istat.it/notizia/i-conti-economici-trimestrali-edizione-2024/" TargetMode="External"/><Relationship Id="rId30" Type="http://schemas.openxmlformats.org/officeDocument/2006/relationships/hyperlink" Target="https://esploradati.istat.it/databrowser/" TargetMode="Externa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3" Type="http://schemas.openxmlformats.org/officeDocument/2006/relationships/hyperlink" Target="https://contact.istat.it/s/?language=it" TargetMode="External"/><Relationship Id="rId2" Type="http://schemas.openxmlformats.org/officeDocument/2006/relationships/hyperlink" Target="http://www.istat.it" TargetMode="External"/><Relationship Id="rId1" Type="http://schemas.openxmlformats.org/officeDocument/2006/relationships/image" Target="media/image6.png"/><Relationship Id="rId5" Type="http://schemas.openxmlformats.org/officeDocument/2006/relationships/hyperlink" Target="https://contact.istat.it/s/?language=it" TargetMode="External"/><Relationship Id="rId4" Type="http://schemas.openxmlformats.org/officeDocument/2006/relationships/hyperlink" Target="http://www.istat.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header4.xml.rels><?xml version="1.0" encoding="UTF-8" standalone="yes"?>
<Relationships xmlns="http://schemas.openxmlformats.org/package/2006/relationships"><Relationship Id="rId1" Type="http://schemas.openxmlformats.org/officeDocument/2006/relationships/image" Target="media/image12.png"/></Relationships>
</file>

<file path=word/_rels/header5.xml.rels><?xml version="1.0" encoding="UTF-8" standalone="yes"?>
<Relationships xmlns="http://schemas.openxmlformats.org/package/2006/relationships"><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6bb7392-db91-43db-9b6a-d40b95d067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63DC0D574C2C4BAADE7BDE2CC7A3EA" ma:contentTypeVersion="12" ma:contentTypeDescription="Create a new document." ma:contentTypeScope="" ma:versionID="1341467f71fb292b458f4836c7844638">
  <xsd:schema xmlns:xsd="http://www.w3.org/2001/XMLSchema" xmlns:xs="http://www.w3.org/2001/XMLSchema" xmlns:p="http://schemas.microsoft.com/office/2006/metadata/properties" xmlns:ns3="c6bb7392-db91-43db-9b6a-d40b95d0671e" targetNamespace="http://schemas.microsoft.com/office/2006/metadata/properties" ma:root="true" ma:fieldsID="c4766da93c905e424f3180884354835c" ns3:_="">
    <xsd:import namespace="c6bb7392-db91-43db-9b6a-d40b95d0671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b7392-db91-43db-9b6a-d40b95d0671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68B23-8E60-42C5-9CE0-BFE3FDE8E2E6}">
  <ds:schemaRefs>
    <ds:schemaRef ds:uri="http://purl.org/dc/terms/"/>
    <ds:schemaRef ds:uri="http://www.w3.org/XML/1998/namespace"/>
    <ds:schemaRef ds:uri="http://schemas.microsoft.com/office/2006/documentManagement/types"/>
    <ds:schemaRef ds:uri="http://purl.org/dc/elements/1.1/"/>
    <ds:schemaRef ds:uri="c6bb7392-db91-43db-9b6a-d40b95d0671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EBE5DB7-5AA4-433D-8081-873D8A37250A}">
  <ds:schemaRefs>
    <ds:schemaRef ds:uri="http://schemas.microsoft.com/sharepoint/v3/contenttype/forms"/>
  </ds:schemaRefs>
</ds:datastoreItem>
</file>

<file path=customXml/itemProps3.xml><?xml version="1.0" encoding="utf-8"?>
<ds:datastoreItem xmlns:ds="http://schemas.openxmlformats.org/officeDocument/2006/customXml" ds:itemID="{EA002C85-3EF6-488C-9667-55D8CEA281EA}">
  <ds:schemaRefs>
    <ds:schemaRef ds:uri="http://schemas.microsoft.com/office/2006/metadata/longProperties"/>
  </ds:schemaRefs>
</ds:datastoreItem>
</file>

<file path=customXml/itemProps4.xml><?xml version="1.0" encoding="utf-8"?>
<ds:datastoreItem xmlns:ds="http://schemas.openxmlformats.org/officeDocument/2006/customXml" ds:itemID="{B824A815-DE87-49AF-90A6-F0DD754B0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b7392-db91-43db-9b6a-d40b95d06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64F1CD-A4BB-49DE-A233-6309AF3CE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3951</Words>
  <Characters>22525</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Stima flash PIl</vt:lpstr>
    </vt:vector>
  </TitlesOfParts>
  <Company>HP</Company>
  <LinksUpToDate>false</LinksUpToDate>
  <CharactersWithSpaces>26424</CharactersWithSpaces>
  <SharedDoc>false</SharedDoc>
  <HLinks>
    <vt:vector size="78" baseType="variant">
      <vt:variant>
        <vt:i4>1310783</vt:i4>
      </vt:variant>
      <vt:variant>
        <vt:i4>84</vt:i4>
      </vt:variant>
      <vt:variant>
        <vt:i4>0</vt:i4>
      </vt:variant>
      <vt:variant>
        <vt:i4>5</vt:i4>
      </vt:variant>
      <vt:variant>
        <vt:lpwstr>mailto:moauro@istat.it</vt:lpwstr>
      </vt:variant>
      <vt:variant>
        <vt:lpwstr/>
      </vt:variant>
      <vt:variant>
        <vt:i4>3801111</vt:i4>
      </vt:variant>
      <vt:variant>
        <vt:i4>81</vt:i4>
      </vt:variant>
      <vt:variant>
        <vt:i4>0</vt:i4>
      </vt:variant>
      <vt:variant>
        <vt:i4>5</vt:i4>
      </vt:variant>
      <vt:variant>
        <vt:lpwstr>\\pc.istat.it\xendesktop\DaaS\chrossi\Downloads\dati.istat.it</vt:lpwstr>
      </vt:variant>
      <vt:variant>
        <vt:lpwstr/>
      </vt:variant>
      <vt:variant>
        <vt:i4>7340053</vt:i4>
      </vt:variant>
      <vt:variant>
        <vt:i4>78</vt:i4>
      </vt:variant>
      <vt:variant>
        <vt:i4>0</vt:i4>
      </vt:variant>
      <vt:variant>
        <vt:i4>5</vt:i4>
      </vt:variant>
      <vt:variant>
        <vt:lpwstr>https://esploradati.istat.it/databrowser/</vt:lpwstr>
      </vt:variant>
      <vt:variant>
        <vt:lpwstr>/it/dw/categories/IT1,DATAWAREHOUSE,1.0/UP_ACC_TRIMES/IT1,163_156_DF_DCCN_SQCQ_3,1.0</vt:lpwstr>
      </vt:variant>
      <vt:variant>
        <vt:i4>2555939</vt:i4>
      </vt:variant>
      <vt:variant>
        <vt:i4>75</vt:i4>
      </vt:variant>
      <vt:variant>
        <vt:i4>0</vt:i4>
      </vt:variant>
      <vt:variant>
        <vt:i4>5</vt:i4>
      </vt:variant>
      <vt:variant>
        <vt:lpwstr>https://esploradati.istat.it/databrowser/</vt:lpwstr>
      </vt:variant>
      <vt:variant>
        <vt:lpwstr>/it/dw</vt:lpwstr>
      </vt:variant>
      <vt:variant>
        <vt:i4>2031641</vt:i4>
      </vt:variant>
      <vt:variant>
        <vt:i4>72</vt:i4>
      </vt:variant>
      <vt:variant>
        <vt:i4>0</vt:i4>
      </vt:variant>
      <vt:variant>
        <vt:i4>5</vt:i4>
      </vt:variant>
      <vt:variant>
        <vt:lpwstr>https://www.slideshare.net/slideistat/f-moauro-anna-ciammola</vt:lpwstr>
      </vt:variant>
      <vt:variant>
        <vt:lpwstr/>
      </vt:variant>
      <vt:variant>
        <vt:i4>5177425</vt:i4>
      </vt:variant>
      <vt:variant>
        <vt:i4>69</vt:i4>
      </vt:variant>
      <vt:variant>
        <vt:i4>0</vt:i4>
      </vt:variant>
      <vt:variant>
        <vt:i4>5</vt:i4>
      </vt:variant>
      <vt:variant>
        <vt:lpwstr>https://www.istat.it/notizia/i-conti-economici-trimestrali-edizione-2024/</vt:lpwstr>
      </vt:variant>
      <vt:variant>
        <vt:lpwstr/>
      </vt:variant>
      <vt:variant>
        <vt:i4>6619234</vt:i4>
      </vt:variant>
      <vt:variant>
        <vt:i4>66</vt:i4>
      </vt:variant>
      <vt:variant>
        <vt:i4>0</vt:i4>
      </vt:variant>
      <vt:variant>
        <vt:i4>5</vt:i4>
      </vt:variant>
      <vt:variant>
        <vt:lpwstr>https://www.sistan.it/index.php?id=688</vt:lpwstr>
      </vt:variant>
      <vt:variant>
        <vt:lpwstr/>
      </vt:variant>
      <vt:variant>
        <vt:i4>1638406</vt:i4>
      </vt:variant>
      <vt:variant>
        <vt:i4>63</vt:i4>
      </vt:variant>
      <vt:variant>
        <vt:i4>0</vt:i4>
      </vt:variant>
      <vt:variant>
        <vt:i4>5</vt:i4>
      </vt:variant>
      <vt:variant>
        <vt:lpwstr>https://eur-lex.europa.eu/legal-content/IT/TXT/PDF/?uri=CELEX:32023R0734</vt:lpwstr>
      </vt:variant>
      <vt:variant>
        <vt:lpwstr/>
      </vt:variant>
      <vt:variant>
        <vt:i4>720901</vt:i4>
      </vt:variant>
      <vt:variant>
        <vt:i4>60</vt:i4>
      </vt:variant>
      <vt:variant>
        <vt:i4>0</vt:i4>
      </vt:variant>
      <vt:variant>
        <vt:i4>5</vt:i4>
      </vt:variant>
      <vt:variant>
        <vt:lpwstr>http://eur-lex.europa.eu/legal-content/IT/TXT/HTML/?uri=CELEX:32013R0549&amp;from=EN</vt:lpwstr>
      </vt:variant>
      <vt:variant>
        <vt:lpwstr/>
      </vt:variant>
      <vt:variant>
        <vt:i4>7208997</vt:i4>
      </vt:variant>
      <vt:variant>
        <vt:i4>36</vt:i4>
      </vt:variant>
      <vt:variant>
        <vt:i4>0</vt:i4>
      </vt:variant>
      <vt:variant>
        <vt:i4>5</vt:i4>
      </vt:variant>
      <vt:variant>
        <vt:lpwstr>http://www.istat.it/it/congiuntura</vt:lpwstr>
      </vt:variant>
      <vt:variant>
        <vt:lpwstr/>
      </vt:variant>
      <vt:variant>
        <vt:i4>6094849</vt:i4>
      </vt:variant>
      <vt:variant>
        <vt:i4>33</vt:i4>
      </vt:variant>
      <vt:variant>
        <vt:i4>0</vt:i4>
      </vt:variant>
      <vt:variant>
        <vt:i4>5</vt:i4>
      </vt:variant>
      <vt:variant>
        <vt:lpwstr>http://dati.istat.it/</vt:lpwstr>
      </vt:variant>
      <vt:variant>
        <vt:lpwstr/>
      </vt:variant>
      <vt:variant>
        <vt:i4>2621557</vt:i4>
      </vt:variant>
      <vt:variant>
        <vt:i4>3</vt:i4>
      </vt:variant>
      <vt:variant>
        <vt:i4>0</vt:i4>
      </vt:variant>
      <vt:variant>
        <vt:i4>5</vt:i4>
      </vt:variant>
      <vt:variant>
        <vt:lpwstr>https://contact.istat.it/s/?language=it</vt:lpwstr>
      </vt:variant>
      <vt:variant>
        <vt:lpwstr/>
      </vt:variant>
      <vt:variant>
        <vt:i4>262168</vt:i4>
      </vt:variant>
      <vt:variant>
        <vt:i4>0</vt:i4>
      </vt:variant>
      <vt:variant>
        <vt:i4>0</vt:i4>
      </vt:variant>
      <vt:variant>
        <vt:i4>5</vt:i4>
      </vt:variant>
      <vt:variant>
        <vt:lpwstr>http://www.istat.it/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Stima flash PIl</dc:title>
  <dc:subject/>
  <dc:creator>ISTAT</dc:creator>
  <cp:keywords/>
  <cp:lastModifiedBy>Enza Lucia Rocca Agnese Vaccaro</cp:lastModifiedBy>
  <cp:revision>2</cp:revision>
  <cp:lastPrinted>2017-11-08T13:12:00Z</cp:lastPrinted>
  <dcterms:created xsi:type="dcterms:W3CDTF">2025-07-30T07:13:00Z</dcterms:created>
  <dcterms:modified xsi:type="dcterms:W3CDTF">2025-07-30T07:13:00Z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2QYKZWF4TN2A-29-1483</vt:lpwstr>
  </property>
  <property fmtid="{D5CDD505-2E9C-101B-9397-08002B2CF9AE}" pid="3" name="_dlc_DocIdItemGuid">
    <vt:lpwstr>d59219db-3059-4c30-ab77-97e687fe38c4</vt:lpwstr>
  </property>
  <property fmtid="{D5CDD505-2E9C-101B-9397-08002B2CF9AE}" pid="4" name="_dlc_DocIdUrl">
    <vt:lpwstr>https://collaborazione.istat.it/siti/ed/ufficio_stampa/_layouts/DocIdRedir.aspx?ID=2QYKZWF4TN2A-29-1483, 2QYKZWF4TN2A-29-1483</vt:lpwstr>
  </property>
  <property fmtid="{D5CDD505-2E9C-101B-9397-08002B2CF9AE}" pid="5" name="ContentTypeId">
    <vt:lpwstr>0x0101000363DC0D574C2C4BAADE7BDE2CC7A3EA</vt:lpwstr>
  </property>
</Properties>
</file>