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06D5" w14:textId="7CCC8313" w:rsidR="008D1EFC" w:rsidRDefault="00E771B2" w:rsidP="00A457DF">
      <w:pPr>
        <w:tabs>
          <w:tab w:val="left" w:pos="2160"/>
        </w:tabs>
        <w:rPr>
          <w:noProof/>
        </w:rPr>
      </w:pPr>
      <w:r>
        <w:rPr>
          <w:noProof/>
          <w:color w:val="000000" w:themeColor="text1"/>
          <w:lang w:val="en-GB" w:eastAsia="en-GB"/>
        </w:rPr>
        <mc:AlternateContent>
          <mc:Choice Requires="wps">
            <w:drawing>
              <wp:anchor distT="0" distB="0" distL="114300" distR="114300" simplePos="0" relativeHeight="251660288" behindDoc="0" locked="0" layoutInCell="1" allowOverlap="1" wp14:anchorId="1FEFB87D" wp14:editId="2F86FCA0">
                <wp:simplePos x="0" y="0"/>
                <wp:positionH relativeFrom="column">
                  <wp:posOffset>4887595</wp:posOffset>
                </wp:positionH>
                <wp:positionV relativeFrom="paragraph">
                  <wp:posOffset>-415925</wp:posOffset>
                </wp:positionV>
                <wp:extent cx="1460090" cy="238125"/>
                <wp:effectExtent l="0" t="0" r="0" b="9525"/>
                <wp:wrapNone/>
                <wp:docPr id="372224673" name="Casella di testo 1"/>
                <wp:cNvGraphicFramePr/>
                <a:graphic xmlns:a="http://schemas.openxmlformats.org/drawingml/2006/main">
                  <a:graphicData uri="http://schemas.microsoft.com/office/word/2010/wordprocessingShape">
                    <wps:wsp>
                      <wps:cNvSpPr txBox="1"/>
                      <wps:spPr bwMode="auto">
                        <a:xfrm>
                          <a:off x="0" y="0"/>
                          <a:ext cx="1460090" cy="238125"/>
                        </a:xfrm>
                        <a:prstGeom prst="rect">
                          <a:avLst/>
                        </a:prstGeom>
                        <a:noFill/>
                        <a:ln w="9525">
                          <a:noFill/>
                          <a:miter lim="800000"/>
                          <a:headEnd/>
                          <a:tailEnd/>
                        </a:ln>
                      </wps:spPr>
                      <wps:txbx>
                        <w:txbxContent>
                          <w:p w14:paraId="7B2D7797" w14:textId="107AE77E" w:rsidR="000C58CD" w:rsidRPr="004D3215" w:rsidRDefault="000C58CD" w:rsidP="004C1120">
                            <w:pPr>
                              <w:jc w:val="right"/>
                              <w:rPr>
                                <w:rFonts w:ascii="Arial" w:hAnsi="Arial" w:cs="Arial"/>
                                <w:color w:val="0A1D30" w:themeColor="text2" w:themeShade="BF"/>
                              </w:rPr>
                            </w:pPr>
                            <w:r>
                              <w:rPr>
                                <w:rFonts w:ascii="Arial" w:hAnsi="Arial" w:cs="Arial"/>
                                <w:color w:val="0A1D30" w:themeColor="text2" w:themeShade="BF"/>
                              </w:rPr>
                              <w:t>10 Settembre 2025</w:t>
                            </w:r>
                          </w:p>
                          <w:p w14:paraId="1A51DEAF" w14:textId="77777777" w:rsidR="000C58CD" w:rsidRPr="004D3215" w:rsidRDefault="000C58CD" w:rsidP="004C1120">
                            <w:pPr>
                              <w:jc w:val="right"/>
                              <w:rPr>
                                <w:color w:val="0A1D30" w:themeColor="text2" w:themeShade="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FB87D" id="_x0000_t202" coordsize="21600,21600" o:spt="202" path="m,l,21600r21600,l21600,xe">
                <v:stroke joinstyle="miter"/>
                <v:path gradientshapeok="t" o:connecttype="rect"/>
              </v:shapetype>
              <v:shape id="Casella di testo 1" o:spid="_x0000_s1026" type="#_x0000_t202" style="position:absolute;margin-left:384.85pt;margin-top:-32.75pt;width:114.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" filled="f" stroked="f">
                <v:textbox inset="0,0,0,0">
                  <w:txbxContent>
                    <w:p w14:paraId="7B2D7797" w14:textId="107AE77E" w:rsidR="000C58CD" w:rsidRPr="004D3215" w:rsidRDefault="000C58CD" w:rsidP="004C1120">
                      <w:pPr>
                        <w:jc w:val="right"/>
                        <w:rPr>
                          <w:rFonts w:ascii="Arial" w:hAnsi="Arial" w:cs="Arial"/>
                          <w:color w:val="0A1D30" w:themeColor="text2" w:themeShade="BF"/>
                        </w:rPr>
                      </w:pPr>
                      <w:r>
                        <w:rPr>
                          <w:rFonts w:ascii="Arial" w:hAnsi="Arial" w:cs="Arial"/>
                          <w:color w:val="0A1D30" w:themeColor="text2" w:themeShade="BF"/>
                        </w:rPr>
                        <w:t>10 Settembre 2025</w:t>
                      </w:r>
                    </w:p>
                    <w:p w14:paraId="1A51DEAF" w14:textId="77777777" w:rsidR="000C58CD" w:rsidRPr="004D3215" w:rsidRDefault="000C58CD" w:rsidP="004C1120">
                      <w:pPr>
                        <w:jc w:val="right"/>
                        <w:rPr>
                          <w:color w:val="0A1D30" w:themeColor="text2" w:themeShade="BF"/>
                        </w:rPr>
                      </w:pPr>
                    </w:p>
                  </w:txbxContent>
                </v:textbox>
              </v:shape>
            </w:pict>
          </mc:Fallback>
        </mc:AlternateContent>
      </w:r>
      <w:r w:rsidR="004C1120" w:rsidRPr="00853D01">
        <w:rPr>
          <w:noProof/>
          <w:lang w:val="en-GB" w:eastAsia="en-GB"/>
        </w:rPr>
        <w:drawing>
          <wp:anchor distT="0" distB="0" distL="114300" distR="114300" simplePos="0" relativeHeight="251659264" behindDoc="0" locked="0" layoutInCell="1" allowOverlap="1" wp14:anchorId="557E36FD" wp14:editId="4140CF1B">
            <wp:simplePos x="0" y="0"/>
            <wp:positionH relativeFrom="column">
              <wp:posOffset>-1737302</wp:posOffset>
            </wp:positionH>
            <wp:positionV relativeFrom="paragraph">
              <wp:posOffset>-483870</wp:posOffset>
            </wp:positionV>
            <wp:extent cx="6156960" cy="1154430"/>
            <wp:effectExtent l="0" t="0" r="2540" b="1270"/>
            <wp:wrapNone/>
            <wp:docPr id="2077633434" name="Immagine 1" descr="Immagine che contiene testo, Carattere,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33434" name="Immagine 1" descr="Immagine che contiene testo, Carattere, schermata, Elementi grafici&#10;&#10;Descrizione generata automaticamente"/>
                    <pic:cNvPicPr/>
                  </pic:nvPicPr>
                  <pic:blipFill>
                    <a:blip r:embed="rId11" cstate="hqprint">
                      <a:extLst>
                        <a:ext uri="{28A0092B-C50C-407E-A947-70E740481C1C}">
                          <a14:useLocalDpi xmlns:a14="http://schemas.microsoft.com/office/drawing/2010/main"/>
                        </a:ext>
                      </a:extLst>
                    </a:blip>
                    <a:stretch>
                      <a:fillRect/>
                    </a:stretch>
                  </pic:blipFill>
                  <pic:spPr>
                    <a:xfrm>
                      <a:off x="0" y="0"/>
                      <a:ext cx="6156960" cy="1154430"/>
                    </a:xfrm>
                    <a:prstGeom prst="rect">
                      <a:avLst/>
                    </a:prstGeom>
                  </pic:spPr>
                </pic:pic>
              </a:graphicData>
            </a:graphic>
            <wp14:sizeRelH relativeFrom="margin">
              <wp14:pctWidth>0</wp14:pctWidth>
            </wp14:sizeRelH>
            <wp14:sizeRelV relativeFrom="margin">
              <wp14:pctHeight>0</wp14:pctHeight>
            </wp14:sizeRelV>
          </wp:anchor>
        </w:drawing>
      </w:r>
      <w:r w:rsidR="00902EA9">
        <w:tab/>
      </w:r>
    </w:p>
    <w:p w14:paraId="2F9318F4" w14:textId="0B635550" w:rsidR="00902EA9" w:rsidRPr="00902EA9" w:rsidRDefault="00902EA9" w:rsidP="00A457DF"/>
    <w:p w14:paraId="2BD9A7CF" w14:textId="3AC3B0B7" w:rsidR="00902EA9" w:rsidRPr="00902EA9" w:rsidRDefault="00902EA9" w:rsidP="00A457DF"/>
    <w:p w14:paraId="4E69BE56" w14:textId="4FB0FA00" w:rsidR="00712072" w:rsidRPr="00BF168C" w:rsidRDefault="00712072" w:rsidP="004C1663">
      <w:pPr>
        <w:pStyle w:val="StilePALLINO"/>
        <w:numPr>
          <w:ilvl w:val="0"/>
          <w:numId w:val="0"/>
        </w:numPr>
        <w:shd w:val="clear" w:color="auto" w:fill="FFFFFF"/>
        <w:suppressAutoHyphens/>
        <w:spacing w:after="100" w:afterAutospacing="1" w:line="240" w:lineRule="auto"/>
        <w:ind w:right="-6"/>
        <w:jc w:val="both"/>
        <w:rPr>
          <w:rFonts w:ascii="Arial" w:hAnsi="Arial" w:cs="Arial"/>
          <w:color w:val="383838"/>
          <w:shd w:val="clear" w:color="auto" w:fill="FFFFFF"/>
        </w:rPr>
      </w:pPr>
    </w:p>
    <w:p w14:paraId="17C5475E" w14:textId="0FD886A6" w:rsidR="00AD452A" w:rsidRPr="00AD452A" w:rsidRDefault="000E5E59" w:rsidP="00F02368">
      <w:pPr>
        <w:pStyle w:val="StilePALLINO"/>
        <w:numPr>
          <w:ilvl w:val="0"/>
          <w:numId w:val="2"/>
        </w:numPr>
        <w:shd w:val="clear" w:color="auto" w:fill="FFFFFF"/>
        <w:suppressAutoHyphens/>
        <w:spacing w:after="100" w:afterAutospacing="1" w:line="240" w:lineRule="auto"/>
        <w:ind w:left="284" w:right="-6" w:hanging="284"/>
        <w:jc w:val="both"/>
        <w:rPr>
          <w:rFonts w:asciiTheme="minorHAnsi" w:eastAsiaTheme="minorHAnsi" w:hAnsiTheme="minorHAnsi" w:cstheme="minorBidi"/>
        </w:rPr>
      </w:pPr>
      <w:r w:rsidRPr="00AD452A">
        <w:rPr>
          <w:rFonts w:ascii="Arial" w:hAnsi="Arial" w:cs="Arial"/>
          <w:color w:val="383838"/>
          <w:shd w:val="clear" w:color="auto" w:fill="FFFFFF"/>
        </w:rPr>
        <w:t xml:space="preserve"> </w:t>
      </w:r>
      <w:r w:rsidR="00AD452A">
        <w:rPr>
          <w:rFonts w:ascii="Arial" w:hAnsi="Arial" w:cs="Arial"/>
          <w:color w:val="383838"/>
          <w:shd w:val="clear" w:color="auto" w:fill="FFFFFF"/>
        </w:rPr>
        <w:t>Nel secondo trimestre 2025</w:t>
      </w:r>
      <w:r w:rsidR="00000B34">
        <w:rPr>
          <w:rFonts w:ascii="Arial" w:hAnsi="Arial" w:cs="Arial"/>
          <w:color w:val="383838"/>
          <w:shd w:val="clear" w:color="auto" w:fill="FFFFFF"/>
        </w:rPr>
        <w:t>,</w:t>
      </w:r>
      <w:r w:rsidR="00AD452A">
        <w:rPr>
          <w:rFonts w:ascii="Arial" w:hAnsi="Arial" w:cs="Arial"/>
          <w:color w:val="383838"/>
          <w:shd w:val="clear" w:color="auto" w:fill="FFFFFF"/>
        </w:rPr>
        <w:t xml:space="preserve"> il Pil è in ripresa negli Usa</w:t>
      </w:r>
      <w:r w:rsidR="00000B34">
        <w:rPr>
          <w:rFonts w:ascii="Arial" w:hAnsi="Arial" w:cs="Arial"/>
          <w:color w:val="383838"/>
          <w:shd w:val="clear" w:color="auto" w:fill="FFFFFF"/>
        </w:rPr>
        <w:t xml:space="preserve"> e</w:t>
      </w:r>
      <w:r w:rsidR="00AD452A">
        <w:rPr>
          <w:rFonts w:ascii="Arial" w:hAnsi="Arial" w:cs="Arial"/>
          <w:color w:val="383838"/>
          <w:shd w:val="clear" w:color="auto" w:fill="FFFFFF"/>
        </w:rPr>
        <w:t xml:space="preserve"> in rallentamento in Cina e nell’area euro. L</w:t>
      </w:r>
      <w:r w:rsidR="00AD452A" w:rsidRPr="00BF168C">
        <w:rPr>
          <w:rFonts w:ascii="Arial" w:hAnsi="Arial" w:cs="Arial"/>
          <w:color w:val="383838"/>
          <w:shd w:val="clear" w:color="auto" w:fill="FFFFFF"/>
        </w:rPr>
        <w:t xml:space="preserve">e prospettive </w:t>
      </w:r>
      <w:r w:rsidR="00000B34">
        <w:rPr>
          <w:rFonts w:ascii="Arial" w:hAnsi="Arial" w:cs="Arial"/>
          <w:color w:val="383838"/>
          <w:shd w:val="clear" w:color="auto" w:fill="FFFFFF"/>
        </w:rPr>
        <w:t xml:space="preserve">per </w:t>
      </w:r>
      <w:r w:rsidR="00AD452A">
        <w:rPr>
          <w:rFonts w:ascii="Arial" w:hAnsi="Arial" w:cs="Arial"/>
          <w:color w:val="383838"/>
          <w:shd w:val="clear" w:color="auto" w:fill="FFFFFF"/>
        </w:rPr>
        <w:t>l’economia mondiale restano tuttavia molto incerte</w:t>
      </w:r>
      <w:r w:rsidR="00000B34">
        <w:rPr>
          <w:rFonts w:ascii="Arial" w:hAnsi="Arial" w:cs="Arial"/>
          <w:color w:val="383838"/>
          <w:shd w:val="clear" w:color="auto" w:fill="FFFFFF"/>
        </w:rPr>
        <w:t xml:space="preserve"> e</w:t>
      </w:r>
      <w:r w:rsidR="00AD452A" w:rsidRPr="00BF168C">
        <w:rPr>
          <w:rFonts w:ascii="Arial" w:hAnsi="Arial" w:cs="Arial"/>
          <w:color w:val="383838"/>
          <w:shd w:val="clear" w:color="auto" w:fill="FFFFFF"/>
        </w:rPr>
        <w:t xml:space="preserve"> segnali negativi </w:t>
      </w:r>
      <w:r w:rsidR="00AD452A">
        <w:rPr>
          <w:rFonts w:ascii="Arial" w:hAnsi="Arial" w:cs="Arial"/>
          <w:color w:val="383838"/>
          <w:shd w:val="clear" w:color="auto" w:fill="FFFFFF"/>
        </w:rPr>
        <w:t>emergono</w:t>
      </w:r>
      <w:r w:rsidR="00AD452A" w:rsidRPr="00BF168C">
        <w:rPr>
          <w:rFonts w:ascii="Arial" w:hAnsi="Arial" w:cs="Arial"/>
          <w:color w:val="383838"/>
          <w:shd w:val="clear" w:color="auto" w:fill="FFFFFF"/>
        </w:rPr>
        <w:t xml:space="preserve"> dagli indicatori anticipatori del co</w:t>
      </w:r>
      <w:r w:rsidR="00AD452A">
        <w:rPr>
          <w:rFonts w:ascii="Arial" w:hAnsi="Arial" w:cs="Arial"/>
          <w:color w:val="383838"/>
          <w:shd w:val="clear" w:color="auto" w:fill="FFFFFF"/>
        </w:rPr>
        <w:t>mmercio internazionale.</w:t>
      </w:r>
    </w:p>
    <w:p w14:paraId="3796658F" w14:textId="00B23ABE" w:rsidR="0000108E" w:rsidRPr="00AD452A" w:rsidRDefault="002E7809" w:rsidP="00F02368">
      <w:pPr>
        <w:pStyle w:val="StilePALLINO"/>
        <w:numPr>
          <w:ilvl w:val="0"/>
          <w:numId w:val="2"/>
        </w:numPr>
        <w:shd w:val="clear" w:color="auto" w:fill="FFFFFF"/>
        <w:suppressAutoHyphens/>
        <w:spacing w:after="100" w:afterAutospacing="1" w:line="240" w:lineRule="auto"/>
        <w:ind w:left="284" w:right="-6" w:hanging="284"/>
        <w:jc w:val="both"/>
        <w:rPr>
          <w:rFonts w:asciiTheme="minorHAnsi" w:eastAsiaTheme="minorHAnsi" w:hAnsiTheme="minorHAnsi" w:cstheme="minorBidi"/>
        </w:rPr>
      </w:pPr>
      <w:r w:rsidRPr="00AD452A">
        <w:rPr>
          <w:rFonts w:ascii="Arial" w:hAnsi="Arial" w:cs="Arial"/>
          <w:color w:val="383838"/>
          <w:shd w:val="clear" w:color="auto" w:fill="FFFFFF"/>
        </w:rPr>
        <w:t>In Italia</w:t>
      </w:r>
      <w:r w:rsidR="00000B34">
        <w:rPr>
          <w:rFonts w:ascii="Arial" w:hAnsi="Arial" w:cs="Arial"/>
          <w:color w:val="383838"/>
          <w:shd w:val="clear" w:color="auto" w:fill="FFFFFF"/>
        </w:rPr>
        <w:t>,</w:t>
      </w:r>
      <w:r w:rsidRPr="00AD452A">
        <w:rPr>
          <w:rFonts w:ascii="Arial" w:hAnsi="Arial" w:cs="Arial"/>
          <w:color w:val="383838"/>
          <w:shd w:val="clear" w:color="auto" w:fill="FFFFFF"/>
        </w:rPr>
        <w:t xml:space="preserve"> </w:t>
      </w:r>
      <w:r w:rsidR="00641544">
        <w:rPr>
          <w:rFonts w:ascii="Arial" w:hAnsi="Arial" w:cs="Arial"/>
          <w:color w:val="383838"/>
          <w:shd w:val="clear" w:color="auto" w:fill="FFFFFF"/>
        </w:rPr>
        <w:t>il</w:t>
      </w:r>
      <w:r w:rsidR="000E5E59" w:rsidRPr="00AD452A">
        <w:rPr>
          <w:rFonts w:ascii="Arial" w:hAnsi="Arial" w:cs="Arial"/>
          <w:color w:val="383838"/>
          <w:shd w:val="clear" w:color="auto" w:fill="FFFFFF"/>
        </w:rPr>
        <w:t xml:space="preserve"> Pil</w:t>
      </w:r>
      <w:r w:rsidR="00892CB2" w:rsidRPr="00AD452A">
        <w:rPr>
          <w:rFonts w:ascii="Arial" w:hAnsi="Arial" w:cs="Arial"/>
          <w:color w:val="383838"/>
          <w:shd w:val="clear" w:color="auto" w:fill="FFFFFF"/>
        </w:rPr>
        <w:t xml:space="preserve"> nel secondo trimestre</w:t>
      </w:r>
      <w:r w:rsidRPr="00AD452A">
        <w:rPr>
          <w:rFonts w:ascii="Arial" w:hAnsi="Arial" w:cs="Arial"/>
          <w:color w:val="383838"/>
          <w:shd w:val="clear" w:color="auto" w:fill="FFFFFF"/>
        </w:rPr>
        <w:t xml:space="preserve"> </w:t>
      </w:r>
      <w:r w:rsidR="00F500C0" w:rsidRPr="00AD452A">
        <w:rPr>
          <w:rFonts w:ascii="Arial" w:hAnsi="Arial" w:cs="Arial"/>
          <w:color w:val="383838"/>
          <w:shd w:val="clear" w:color="auto" w:fill="FFFFFF"/>
        </w:rPr>
        <w:t>ha mostrato u</w:t>
      </w:r>
      <w:r w:rsidR="000E5E59" w:rsidRPr="00AD452A">
        <w:rPr>
          <w:rFonts w:ascii="Arial" w:hAnsi="Arial" w:cs="Arial"/>
          <w:color w:val="383838"/>
          <w:shd w:val="clear" w:color="auto" w:fill="FFFFFF"/>
        </w:rPr>
        <w:t>n</w:t>
      </w:r>
      <w:r w:rsidR="00F500C0" w:rsidRPr="00AD452A">
        <w:rPr>
          <w:rFonts w:ascii="Arial" w:hAnsi="Arial" w:cs="Arial"/>
          <w:color w:val="383838"/>
          <w:shd w:val="clear" w:color="auto" w:fill="FFFFFF"/>
        </w:rPr>
        <w:t>a</w:t>
      </w:r>
      <w:r w:rsidR="000E5E59" w:rsidRPr="00AD452A">
        <w:rPr>
          <w:rFonts w:ascii="Arial" w:hAnsi="Arial" w:cs="Arial"/>
          <w:color w:val="383838"/>
          <w:shd w:val="clear" w:color="auto" w:fill="FFFFFF"/>
        </w:rPr>
        <w:t xml:space="preserve"> </w:t>
      </w:r>
      <w:r w:rsidR="00B07F92" w:rsidRPr="00AD452A">
        <w:rPr>
          <w:rFonts w:ascii="Arial" w:hAnsi="Arial" w:cs="Arial"/>
          <w:color w:val="383838"/>
          <w:shd w:val="clear" w:color="auto" w:fill="FFFFFF"/>
        </w:rPr>
        <w:t xml:space="preserve">lieve </w:t>
      </w:r>
      <w:r w:rsidR="000E5E59" w:rsidRPr="00AD452A">
        <w:rPr>
          <w:rFonts w:ascii="Arial" w:hAnsi="Arial" w:cs="Arial"/>
          <w:color w:val="383838"/>
          <w:shd w:val="clear" w:color="auto" w:fill="FFFFFF"/>
        </w:rPr>
        <w:t>flessione</w:t>
      </w:r>
      <w:r w:rsidR="00C11CD4" w:rsidRPr="00AD452A">
        <w:rPr>
          <w:rFonts w:ascii="Arial" w:hAnsi="Arial" w:cs="Arial"/>
          <w:color w:val="383838"/>
          <w:shd w:val="clear" w:color="auto" w:fill="FFFFFF"/>
        </w:rPr>
        <w:t xml:space="preserve"> (-0,1% su base congiunturale)</w:t>
      </w:r>
      <w:r w:rsidR="00B07F92" w:rsidRPr="00AD452A">
        <w:rPr>
          <w:rFonts w:ascii="Arial" w:hAnsi="Arial" w:cs="Arial"/>
          <w:color w:val="383838"/>
          <w:shd w:val="clear" w:color="auto" w:fill="FFFFFF"/>
        </w:rPr>
        <w:t>:</w:t>
      </w:r>
      <w:r w:rsidR="00695309" w:rsidRPr="00AD452A">
        <w:rPr>
          <w:rFonts w:ascii="Arial" w:hAnsi="Arial" w:cs="Arial"/>
          <w:color w:val="383838"/>
          <w:shd w:val="clear" w:color="auto" w:fill="FFFFFF"/>
        </w:rPr>
        <w:t xml:space="preserve"> a fronte di un</w:t>
      </w:r>
      <w:r w:rsidR="000E5E59" w:rsidRPr="00AD452A">
        <w:rPr>
          <w:rFonts w:ascii="Arial" w:hAnsi="Arial" w:cs="Arial"/>
          <w:color w:val="383838"/>
          <w:shd w:val="clear" w:color="auto" w:fill="FFFFFF"/>
        </w:rPr>
        <w:t xml:space="preserve"> calo dell’export e </w:t>
      </w:r>
      <w:r w:rsidR="00B07F92" w:rsidRPr="00AD452A">
        <w:rPr>
          <w:rFonts w:ascii="Arial" w:hAnsi="Arial" w:cs="Arial"/>
          <w:color w:val="383838"/>
          <w:shd w:val="clear" w:color="auto" w:fill="FFFFFF"/>
        </w:rPr>
        <w:t xml:space="preserve">di </w:t>
      </w:r>
      <w:r w:rsidR="00695309" w:rsidRPr="00AD452A">
        <w:rPr>
          <w:rFonts w:ascii="Arial" w:hAnsi="Arial" w:cs="Arial"/>
          <w:color w:val="383838"/>
          <w:shd w:val="clear" w:color="auto" w:fill="FFFFFF"/>
        </w:rPr>
        <w:t xml:space="preserve">un </w:t>
      </w:r>
      <w:r w:rsidR="000E5E59" w:rsidRPr="00AD452A">
        <w:rPr>
          <w:rFonts w:ascii="Arial" w:hAnsi="Arial" w:cs="Arial"/>
          <w:color w:val="383838"/>
          <w:shd w:val="clear" w:color="auto" w:fill="FFFFFF"/>
        </w:rPr>
        <w:t xml:space="preserve">accumulo di scorte, </w:t>
      </w:r>
      <w:r w:rsidR="00695309" w:rsidRPr="00AD452A">
        <w:rPr>
          <w:rFonts w:ascii="Arial" w:hAnsi="Arial" w:cs="Arial"/>
          <w:color w:val="383838"/>
          <w:shd w:val="clear" w:color="auto" w:fill="FFFFFF"/>
        </w:rPr>
        <w:t xml:space="preserve">i consumi privati sono risultati </w:t>
      </w:r>
      <w:r w:rsidR="00B07F92" w:rsidRPr="00AD452A">
        <w:rPr>
          <w:rFonts w:ascii="Arial" w:hAnsi="Arial" w:cs="Arial"/>
          <w:color w:val="383838"/>
          <w:shd w:val="clear" w:color="auto" w:fill="FFFFFF"/>
        </w:rPr>
        <w:t xml:space="preserve">stabili </w:t>
      </w:r>
      <w:r w:rsidR="00695309" w:rsidRPr="00AD452A">
        <w:rPr>
          <w:rFonts w:ascii="Arial" w:hAnsi="Arial" w:cs="Arial"/>
          <w:color w:val="383838"/>
          <w:shd w:val="clear" w:color="auto" w:fill="FFFFFF"/>
        </w:rPr>
        <w:t>mentre la dinamica degli investimenti,</w:t>
      </w:r>
      <w:r w:rsidR="000E5E59" w:rsidRPr="00AD452A">
        <w:rPr>
          <w:rFonts w:ascii="Arial" w:hAnsi="Arial" w:cs="Arial"/>
          <w:color w:val="383838"/>
          <w:shd w:val="clear" w:color="auto" w:fill="FFFFFF"/>
        </w:rPr>
        <w:t xml:space="preserve"> seppure in rallentamento</w:t>
      </w:r>
      <w:r w:rsidR="00695309" w:rsidRPr="00AD452A">
        <w:rPr>
          <w:rFonts w:ascii="Arial" w:hAnsi="Arial" w:cs="Arial"/>
          <w:color w:val="383838"/>
          <w:shd w:val="clear" w:color="auto" w:fill="FFFFFF"/>
        </w:rPr>
        <w:t xml:space="preserve">, è </w:t>
      </w:r>
      <w:r w:rsidR="00000B34">
        <w:rPr>
          <w:rFonts w:ascii="Arial" w:hAnsi="Arial" w:cs="Arial"/>
          <w:color w:val="383838"/>
          <w:shd w:val="clear" w:color="auto" w:fill="FFFFFF"/>
        </w:rPr>
        <w:t>stata</w:t>
      </w:r>
      <w:r w:rsidR="00695309" w:rsidRPr="00AD452A">
        <w:rPr>
          <w:rFonts w:ascii="Arial" w:hAnsi="Arial" w:cs="Arial"/>
          <w:color w:val="383838"/>
          <w:shd w:val="clear" w:color="auto" w:fill="FFFFFF"/>
        </w:rPr>
        <w:t xml:space="preserve"> positiva</w:t>
      </w:r>
      <w:r w:rsidR="00547E10" w:rsidRPr="00AD452A">
        <w:rPr>
          <w:rFonts w:ascii="Arial" w:hAnsi="Arial" w:cs="Arial"/>
          <w:color w:val="383838"/>
          <w:shd w:val="clear" w:color="auto" w:fill="FFFFFF"/>
        </w:rPr>
        <w:t xml:space="preserve">. </w:t>
      </w:r>
    </w:p>
    <w:p w14:paraId="74A35527" w14:textId="2ECE3D97" w:rsidR="000E1235" w:rsidRPr="00695309" w:rsidRDefault="00000B34" w:rsidP="000E1235">
      <w:pPr>
        <w:pStyle w:val="StilePALLINO"/>
        <w:numPr>
          <w:ilvl w:val="0"/>
          <w:numId w:val="2"/>
        </w:numPr>
        <w:shd w:val="clear" w:color="auto" w:fill="FFFFFF"/>
        <w:suppressAutoHyphens/>
        <w:spacing w:after="100" w:afterAutospacing="1" w:line="240" w:lineRule="auto"/>
        <w:ind w:left="284" w:right="-6" w:hanging="284"/>
        <w:jc w:val="both"/>
        <w:rPr>
          <w:rFonts w:asciiTheme="minorHAnsi" w:eastAsiaTheme="minorHAnsi" w:hAnsiTheme="minorHAnsi" w:cstheme="minorBidi"/>
        </w:rPr>
      </w:pPr>
      <w:r>
        <w:rPr>
          <w:rFonts w:ascii="Arial" w:hAnsi="Arial" w:cs="Arial"/>
          <w:bCs/>
          <w:iCs/>
          <w:noProof/>
          <w:lang w:eastAsia="it-IT"/>
        </w:rPr>
        <w:t>L</w:t>
      </w:r>
      <w:r w:rsidR="00BF168C" w:rsidRPr="00695309">
        <w:rPr>
          <w:rFonts w:ascii="Arial" w:hAnsi="Arial" w:cs="Arial"/>
          <w:bCs/>
          <w:iCs/>
          <w:noProof/>
          <w:lang w:eastAsia="it-IT"/>
        </w:rPr>
        <w:t>’interscambio commerciale italiano</w:t>
      </w:r>
      <w:r>
        <w:rPr>
          <w:rFonts w:ascii="Arial" w:hAnsi="Arial" w:cs="Arial"/>
          <w:bCs/>
          <w:iCs/>
          <w:noProof/>
          <w:lang w:eastAsia="it-IT"/>
        </w:rPr>
        <w:t xml:space="preserve"> tra aprile e giugno, in media,</w:t>
      </w:r>
      <w:r w:rsidR="00BF168C" w:rsidRPr="00695309">
        <w:rPr>
          <w:rFonts w:ascii="Arial" w:hAnsi="Arial" w:cs="Arial"/>
          <w:bCs/>
          <w:iCs/>
          <w:noProof/>
          <w:lang w:eastAsia="it-IT"/>
        </w:rPr>
        <w:t xml:space="preserve"> ha evidenziato un</w:t>
      </w:r>
      <w:r w:rsidR="00695309">
        <w:rPr>
          <w:rFonts w:ascii="Arial" w:hAnsi="Arial" w:cs="Arial"/>
          <w:bCs/>
          <w:iCs/>
          <w:noProof/>
          <w:lang w:eastAsia="it-IT"/>
        </w:rPr>
        <w:t>a decelerazione</w:t>
      </w:r>
      <w:r w:rsidR="00BF168C" w:rsidRPr="00695309">
        <w:rPr>
          <w:rFonts w:ascii="Arial" w:hAnsi="Arial" w:cs="Arial"/>
          <w:bCs/>
          <w:iCs/>
          <w:noProof/>
          <w:lang w:eastAsia="it-IT"/>
        </w:rPr>
        <w:t>, guidat</w:t>
      </w:r>
      <w:r w:rsidR="00B07F92">
        <w:rPr>
          <w:rFonts w:ascii="Arial" w:hAnsi="Arial" w:cs="Arial"/>
          <w:bCs/>
          <w:iCs/>
          <w:noProof/>
          <w:lang w:eastAsia="it-IT"/>
        </w:rPr>
        <w:t>a</w:t>
      </w:r>
      <w:r w:rsidR="001921FD">
        <w:rPr>
          <w:rFonts w:ascii="Arial" w:hAnsi="Arial" w:cs="Arial"/>
          <w:bCs/>
          <w:iCs/>
          <w:noProof/>
          <w:lang w:eastAsia="it-IT"/>
        </w:rPr>
        <w:t xml:space="preserve"> </w:t>
      </w:r>
      <w:r w:rsidR="00BF168C" w:rsidRPr="00695309">
        <w:rPr>
          <w:rFonts w:ascii="Arial" w:hAnsi="Arial" w:cs="Arial"/>
          <w:bCs/>
          <w:iCs/>
          <w:noProof/>
          <w:lang w:eastAsia="it-IT"/>
        </w:rPr>
        <w:t>dal calo dell</w:t>
      </w:r>
      <w:r>
        <w:rPr>
          <w:rFonts w:ascii="Arial" w:hAnsi="Arial" w:cs="Arial"/>
          <w:bCs/>
          <w:iCs/>
          <w:noProof/>
          <w:lang w:eastAsia="it-IT"/>
        </w:rPr>
        <w:t xml:space="preserve">e </w:t>
      </w:r>
      <w:r w:rsidR="00BF168C" w:rsidRPr="00695309">
        <w:rPr>
          <w:rFonts w:ascii="Arial" w:hAnsi="Arial" w:cs="Arial"/>
          <w:bCs/>
          <w:iCs/>
          <w:noProof/>
          <w:lang w:eastAsia="it-IT"/>
        </w:rPr>
        <w:t>e</w:t>
      </w:r>
      <w:r>
        <w:rPr>
          <w:rFonts w:ascii="Arial" w:hAnsi="Arial" w:cs="Arial"/>
          <w:bCs/>
          <w:iCs/>
          <w:noProof/>
          <w:lang w:eastAsia="it-IT"/>
        </w:rPr>
        <w:t>sportazioni</w:t>
      </w:r>
      <w:r w:rsidR="00BF168C" w:rsidRPr="00695309">
        <w:rPr>
          <w:rFonts w:ascii="Arial" w:hAnsi="Arial" w:cs="Arial"/>
          <w:bCs/>
          <w:iCs/>
          <w:noProof/>
          <w:lang w:eastAsia="it-IT"/>
        </w:rPr>
        <w:t xml:space="preserve"> verso i mercati extra-Ue: al rallentamento </w:t>
      </w:r>
      <w:r>
        <w:rPr>
          <w:rFonts w:ascii="Arial" w:hAnsi="Arial" w:cs="Arial"/>
          <w:bCs/>
          <w:iCs/>
          <w:noProof/>
          <w:lang w:eastAsia="it-IT"/>
        </w:rPr>
        <w:t xml:space="preserve">dell’export </w:t>
      </w:r>
      <w:r w:rsidR="00BF168C" w:rsidRPr="00695309">
        <w:rPr>
          <w:rFonts w:ascii="Arial" w:hAnsi="Arial" w:cs="Arial"/>
          <w:bCs/>
          <w:iCs/>
          <w:noProof/>
          <w:lang w:eastAsia="it-IT"/>
        </w:rPr>
        <w:t>verso gli Stati Uniti si sono associat</w:t>
      </w:r>
      <w:r>
        <w:rPr>
          <w:rFonts w:ascii="Arial" w:hAnsi="Arial" w:cs="Arial"/>
          <w:bCs/>
          <w:iCs/>
          <w:noProof/>
          <w:lang w:eastAsia="it-IT"/>
        </w:rPr>
        <w:t>e</w:t>
      </w:r>
      <w:r w:rsidR="00BF168C" w:rsidRPr="00695309">
        <w:rPr>
          <w:rFonts w:ascii="Arial" w:hAnsi="Arial" w:cs="Arial"/>
          <w:bCs/>
          <w:iCs/>
          <w:noProof/>
          <w:lang w:eastAsia="it-IT"/>
        </w:rPr>
        <w:t xml:space="preserve"> </w:t>
      </w:r>
      <w:r w:rsidR="00695309">
        <w:rPr>
          <w:rFonts w:ascii="Arial" w:hAnsi="Arial" w:cs="Arial"/>
          <w:bCs/>
          <w:iCs/>
          <w:noProof/>
          <w:lang w:eastAsia="it-IT"/>
        </w:rPr>
        <w:t xml:space="preserve">forti </w:t>
      </w:r>
      <w:r w:rsidR="00B07F92">
        <w:rPr>
          <w:rFonts w:ascii="Arial" w:hAnsi="Arial" w:cs="Arial"/>
          <w:bCs/>
          <w:iCs/>
          <w:noProof/>
          <w:lang w:eastAsia="it-IT"/>
        </w:rPr>
        <w:t>flessioni</w:t>
      </w:r>
      <w:r w:rsidR="00B07F92" w:rsidRPr="00695309">
        <w:rPr>
          <w:rFonts w:ascii="Arial" w:hAnsi="Arial" w:cs="Arial"/>
          <w:bCs/>
          <w:iCs/>
          <w:noProof/>
          <w:lang w:eastAsia="it-IT"/>
        </w:rPr>
        <w:t xml:space="preserve"> </w:t>
      </w:r>
      <w:r w:rsidR="00BF168C" w:rsidRPr="00695309">
        <w:rPr>
          <w:rFonts w:ascii="Arial" w:hAnsi="Arial" w:cs="Arial"/>
          <w:bCs/>
          <w:iCs/>
          <w:noProof/>
          <w:lang w:eastAsia="it-IT"/>
        </w:rPr>
        <w:t xml:space="preserve">verso Regno Unito, Cina, Russia </w:t>
      </w:r>
      <w:r w:rsidR="00641544">
        <w:rPr>
          <w:rFonts w:ascii="Arial" w:hAnsi="Arial" w:cs="Arial"/>
          <w:bCs/>
          <w:iCs/>
          <w:noProof/>
          <w:lang w:eastAsia="it-IT"/>
        </w:rPr>
        <w:t xml:space="preserve">e </w:t>
      </w:r>
      <w:r w:rsidR="00BF168C" w:rsidRPr="00695309">
        <w:rPr>
          <w:rFonts w:ascii="Arial" w:hAnsi="Arial" w:cs="Arial"/>
          <w:bCs/>
          <w:iCs/>
          <w:noProof/>
          <w:lang w:eastAsia="it-IT"/>
        </w:rPr>
        <w:t>Turchia.</w:t>
      </w:r>
    </w:p>
    <w:p w14:paraId="59D3F0F2" w14:textId="2A3661EC" w:rsidR="00892CB2" w:rsidRPr="00695309" w:rsidRDefault="00B07F92" w:rsidP="007C0517">
      <w:pPr>
        <w:pStyle w:val="StilePALLINO"/>
        <w:numPr>
          <w:ilvl w:val="0"/>
          <w:numId w:val="2"/>
        </w:numPr>
        <w:shd w:val="clear" w:color="auto" w:fill="FFFFFF"/>
        <w:suppressAutoHyphens/>
        <w:spacing w:after="100" w:afterAutospacing="1" w:line="240" w:lineRule="auto"/>
        <w:ind w:left="284" w:right="-6" w:hanging="284"/>
        <w:jc w:val="both"/>
        <w:rPr>
          <w:rFonts w:asciiTheme="minorHAnsi" w:eastAsiaTheme="minorHAnsi" w:hAnsiTheme="minorHAnsi" w:cstheme="minorBidi"/>
        </w:rPr>
      </w:pPr>
      <w:r>
        <w:rPr>
          <w:rFonts w:ascii="Arial" w:hAnsi="Arial" w:cs="Arial"/>
          <w:color w:val="383838"/>
          <w:shd w:val="clear" w:color="auto" w:fill="FFFFFF"/>
        </w:rPr>
        <w:t>L</w:t>
      </w:r>
      <w:r w:rsidR="00892CB2" w:rsidRPr="00695309">
        <w:rPr>
          <w:rFonts w:ascii="Arial" w:hAnsi="Arial" w:cs="Arial"/>
          <w:color w:val="383838"/>
          <w:shd w:val="clear" w:color="auto" w:fill="FFFFFF"/>
        </w:rPr>
        <w:t>a produzione industriale cresce in luglio su base congiunturale per il secondo mese consecutivo</w:t>
      </w:r>
      <w:r>
        <w:rPr>
          <w:rFonts w:ascii="Arial" w:hAnsi="Arial" w:cs="Arial"/>
          <w:color w:val="383838"/>
          <w:shd w:val="clear" w:color="auto" w:fill="FFFFFF"/>
        </w:rPr>
        <w:t xml:space="preserve"> ma</w:t>
      </w:r>
      <w:r w:rsidR="00892CB2" w:rsidRPr="00695309">
        <w:rPr>
          <w:rFonts w:ascii="Arial" w:hAnsi="Arial" w:cs="Arial"/>
          <w:color w:val="383838"/>
          <w:shd w:val="clear" w:color="auto" w:fill="FFFFFF"/>
        </w:rPr>
        <w:t xml:space="preserve"> cala la fiducia delle imprese manifatturiere in agosto </w:t>
      </w:r>
      <w:r>
        <w:rPr>
          <w:rFonts w:ascii="Arial" w:hAnsi="Arial" w:cs="Arial"/>
          <w:color w:val="383838"/>
          <w:shd w:val="clear" w:color="auto" w:fill="FFFFFF"/>
        </w:rPr>
        <w:t>a fronte di un miglioramento</w:t>
      </w:r>
      <w:r w:rsidR="001921FD">
        <w:rPr>
          <w:rFonts w:ascii="Arial" w:hAnsi="Arial" w:cs="Arial"/>
          <w:color w:val="383838"/>
          <w:shd w:val="clear" w:color="auto" w:fill="FFFFFF"/>
        </w:rPr>
        <w:t xml:space="preserve"> nei servizi.</w:t>
      </w:r>
    </w:p>
    <w:p w14:paraId="2DE06CBE" w14:textId="012F23A1" w:rsidR="007E199F" w:rsidRPr="00695309" w:rsidRDefault="00EA3570" w:rsidP="007C0517">
      <w:pPr>
        <w:pStyle w:val="StilePALLINO"/>
        <w:numPr>
          <w:ilvl w:val="0"/>
          <w:numId w:val="2"/>
        </w:numPr>
        <w:shd w:val="clear" w:color="auto" w:fill="FFFFFF"/>
        <w:suppressAutoHyphens/>
        <w:spacing w:after="100" w:afterAutospacing="1" w:line="240" w:lineRule="auto"/>
        <w:ind w:left="284" w:right="-6" w:hanging="284"/>
        <w:jc w:val="both"/>
        <w:rPr>
          <w:rFonts w:asciiTheme="minorHAnsi" w:eastAsiaTheme="minorHAnsi" w:hAnsiTheme="minorHAnsi" w:cstheme="minorBidi"/>
        </w:rPr>
      </w:pPr>
      <w:r w:rsidRPr="00695309">
        <w:rPr>
          <w:rFonts w:ascii="Arial" w:hAnsi="Arial" w:cs="Arial"/>
          <w:bCs/>
          <w:iCs/>
          <w:noProof/>
          <w:lang w:eastAsia="it-IT"/>
        </w:rPr>
        <w:t xml:space="preserve">Il mercato </w:t>
      </w:r>
      <w:r w:rsidR="00F82540" w:rsidRPr="00695309">
        <w:rPr>
          <w:rFonts w:ascii="Arial" w:hAnsi="Arial" w:cs="Arial"/>
          <w:bCs/>
          <w:iCs/>
          <w:noProof/>
          <w:lang w:eastAsia="it-IT"/>
        </w:rPr>
        <w:t xml:space="preserve">del lavoro </w:t>
      </w:r>
      <w:r w:rsidR="004A6875" w:rsidRPr="00695309">
        <w:rPr>
          <w:rFonts w:ascii="Arial" w:hAnsi="Arial" w:cs="Arial"/>
          <w:bCs/>
          <w:iCs/>
          <w:noProof/>
          <w:lang w:eastAsia="it-IT"/>
        </w:rPr>
        <w:t xml:space="preserve">continua a </w:t>
      </w:r>
      <w:r w:rsidR="000E1235" w:rsidRPr="00695309">
        <w:rPr>
          <w:rFonts w:ascii="Arial" w:hAnsi="Arial" w:cs="Arial"/>
          <w:bCs/>
          <w:iCs/>
          <w:noProof/>
          <w:lang w:eastAsia="it-IT"/>
        </w:rPr>
        <w:t>mostra</w:t>
      </w:r>
      <w:r w:rsidR="004A6875" w:rsidRPr="00695309">
        <w:rPr>
          <w:rFonts w:ascii="Arial" w:hAnsi="Arial" w:cs="Arial"/>
          <w:bCs/>
          <w:iCs/>
          <w:noProof/>
          <w:lang w:eastAsia="it-IT"/>
        </w:rPr>
        <w:t>rsi</w:t>
      </w:r>
      <w:r w:rsidR="000E1235" w:rsidRPr="00695309">
        <w:rPr>
          <w:rFonts w:ascii="Arial" w:hAnsi="Arial" w:cs="Arial"/>
          <w:bCs/>
          <w:iCs/>
          <w:noProof/>
          <w:lang w:eastAsia="it-IT"/>
        </w:rPr>
        <w:t xml:space="preserve"> </w:t>
      </w:r>
      <w:r w:rsidR="00F82540" w:rsidRPr="00695309">
        <w:rPr>
          <w:rFonts w:ascii="Arial" w:hAnsi="Arial" w:cs="Arial"/>
          <w:bCs/>
          <w:iCs/>
          <w:noProof/>
          <w:lang w:eastAsia="it-IT"/>
        </w:rPr>
        <w:t>solido</w:t>
      </w:r>
      <w:r w:rsidR="008173DA" w:rsidRPr="00695309">
        <w:rPr>
          <w:rFonts w:ascii="Arial" w:hAnsi="Arial" w:cs="Arial"/>
          <w:bCs/>
          <w:iCs/>
          <w:noProof/>
          <w:lang w:eastAsia="it-IT"/>
        </w:rPr>
        <w:t>,</w:t>
      </w:r>
      <w:r w:rsidR="007E199F" w:rsidRPr="00695309">
        <w:rPr>
          <w:rFonts w:ascii="Arial" w:hAnsi="Arial" w:cs="Arial"/>
          <w:bCs/>
          <w:iCs/>
          <w:noProof/>
          <w:lang w:eastAsia="it-IT"/>
        </w:rPr>
        <w:t xml:space="preserve"> con </w:t>
      </w:r>
      <w:r w:rsidR="004A6875" w:rsidRPr="00695309">
        <w:rPr>
          <w:rFonts w:ascii="Arial" w:hAnsi="Arial" w:cs="Arial"/>
          <w:bCs/>
          <w:iCs/>
          <w:noProof/>
          <w:lang w:eastAsia="it-IT"/>
        </w:rPr>
        <w:t>un ulteriore incremento in luglio sia del n</w:t>
      </w:r>
      <w:r w:rsidR="007E199F" w:rsidRPr="00695309">
        <w:rPr>
          <w:rFonts w:ascii="Arial" w:hAnsi="Arial" w:cs="Arial"/>
          <w:bCs/>
          <w:iCs/>
          <w:noProof/>
          <w:lang w:eastAsia="it-IT"/>
        </w:rPr>
        <w:t xml:space="preserve">umero di occupati </w:t>
      </w:r>
      <w:r w:rsidR="004A6875" w:rsidRPr="00695309">
        <w:rPr>
          <w:rFonts w:ascii="Arial" w:hAnsi="Arial" w:cs="Arial"/>
          <w:bCs/>
          <w:iCs/>
          <w:noProof/>
          <w:lang w:eastAsia="it-IT"/>
        </w:rPr>
        <w:t>rispetto al mese precedente</w:t>
      </w:r>
      <w:r w:rsidR="00760CEC">
        <w:rPr>
          <w:rFonts w:ascii="Arial" w:hAnsi="Arial" w:cs="Arial"/>
          <w:bCs/>
          <w:iCs/>
          <w:noProof/>
          <w:lang w:eastAsia="it-IT"/>
        </w:rPr>
        <w:t xml:space="preserve"> (+</w:t>
      </w:r>
      <w:r w:rsidR="00B938DF">
        <w:rPr>
          <w:rFonts w:ascii="Arial" w:hAnsi="Arial" w:cs="Arial"/>
          <w:bCs/>
          <w:iCs/>
          <w:noProof/>
          <w:lang w:eastAsia="it-IT"/>
        </w:rPr>
        <w:t xml:space="preserve">0,1%, </w:t>
      </w:r>
      <w:r w:rsidR="00641544">
        <w:rPr>
          <w:rFonts w:ascii="Arial" w:hAnsi="Arial" w:cs="Arial"/>
          <w:bCs/>
          <w:iCs/>
          <w:noProof/>
          <w:lang w:eastAsia="it-IT"/>
        </w:rPr>
        <w:t>+</w:t>
      </w:r>
      <w:r w:rsidR="00B938DF">
        <w:rPr>
          <w:rFonts w:ascii="Arial" w:hAnsi="Arial" w:cs="Arial"/>
          <w:bCs/>
          <w:iCs/>
          <w:noProof/>
          <w:lang w:eastAsia="it-IT"/>
        </w:rPr>
        <w:t>13mila unità)</w:t>
      </w:r>
      <w:r w:rsidR="004A6875" w:rsidRPr="00695309">
        <w:rPr>
          <w:rFonts w:ascii="Arial" w:hAnsi="Arial" w:cs="Arial"/>
          <w:bCs/>
          <w:iCs/>
          <w:noProof/>
          <w:lang w:eastAsia="it-IT"/>
        </w:rPr>
        <w:t>, sia del tasso di occupazione</w:t>
      </w:r>
      <w:r w:rsidR="00760CEC">
        <w:rPr>
          <w:rFonts w:ascii="Arial" w:hAnsi="Arial" w:cs="Arial"/>
          <w:bCs/>
          <w:iCs/>
          <w:noProof/>
          <w:lang w:eastAsia="it-IT"/>
        </w:rPr>
        <w:t xml:space="preserve"> (62,8%</w:t>
      </w:r>
      <w:r w:rsidR="00685773">
        <w:rPr>
          <w:rFonts w:ascii="Arial" w:hAnsi="Arial" w:cs="Arial"/>
          <w:bCs/>
          <w:iCs/>
          <w:noProof/>
          <w:lang w:eastAsia="it-IT"/>
        </w:rPr>
        <w:t>, +0,1 punti percentuali</w:t>
      </w:r>
      <w:r w:rsidR="00760CEC">
        <w:rPr>
          <w:rFonts w:ascii="Arial" w:hAnsi="Arial" w:cs="Arial"/>
          <w:bCs/>
          <w:iCs/>
          <w:noProof/>
          <w:lang w:eastAsia="it-IT"/>
        </w:rPr>
        <w:t>)</w:t>
      </w:r>
      <w:r w:rsidR="000E1235" w:rsidRPr="00695309">
        <w:rPr>
          <w:rFonts w:ascii="Arial" w:hAnsi="Arial" w:cs="Arial"/>
          <w:bCs/>
          <w:iCs/>
          <w:noProof/>
          <w:lang w:eastAsia="it-IT"/>
        </w:rPr>
        <w:t xml:space="preserve">. </w:t>
      </w:r>
      <w:r w:rsidR="00EE6B4A" w:rsidRPr="00695309">
        <w:rPr>
          <w:rFonts w:ascii="Arial" w:hAnsi="Arial" w:cs="Arial"/>
          <w:bCs/>
          <w:iCs/>
          <w:noProof/>
          <w:lang w:eastAsia="it-IT"/>
        </w:rPr>
        <w:t>Per posizione professionale</w:t>
      </w:r>
      <w:r w:rsidR="00000B34">
        <w:rPr>
          <w:rFonts w:ascii="Arial" w:hAnsi="Arial" w:cs="Arial"/>
          <w:bCs/>
          <w:iCs/>
          <w:noProof/>
          <w:lang w:eastAsia="it-IT"/>
        </w:rPr>
        <w:t>,</w:t>
      </w:r>
      <w:r w:rsidR="00EE6B4A" w:rsidRPr="00695309">
        <w:rPr>
          <w:rFonts w:ascii="Arial" w:hAnsi="Arial" w:cs="Arial"/>
          <w:bCs/>
          <w:iCs/>
          <w:noProof/>
          <w:lang w:eastAsia="it-IT"/>
        </w:rPr>
        <w:t xml:space="preserve"> l’occupazione aumenta sia tra i dipendenti permanenti, sia tra quelli a termine mentre cala tra gli autonomi</w:t>
      </w:r>
      <w:r w:rsidR="007E199F" w:rsidRPr="00695309">
        <w:rPr>
          <w:rFonts w:ascii="Arial" w:hAnsi="Arial" w:cs="Arial"/>
          <w:bCs/>
          <w:iCs/>
          <w:noProof/>
          <w:lang w:eastAsia="it-IT"/>
        </w:rPr>
        <w:t xml:space="preserve">. </w:t>
      </w:r>
    </w:p>
    <w:p w14:paraId="7113F94E" w14:textId="391DA678" w:rsidR="004B78A1" w:rsidRPr="00695309" w:rsidRDefault="004B78A1" w:rsidP="004B78A1">
      <w:pPr>
        <w:pStyle w:val="StilePALLINO"/>
        <w:numPr>
          <w:ilvl w:val="0"/>
          <w:numId w:val="2"/>
        </w:numPr>
        <w:shd w:val="clear" w:color="auto" w:fill="FFFFFF"/>
        <w:suppressAutoHyphens/>
        <w:spacing w:after="100" w:afterAutospacing="1" w:line="240" w:lineRule="auto"/>
        <w:ind w:left="284" w:right="-6" w:hanging="284"/>
        <w:jc w:val="both"/>
        <w:rPr>
          <w:rFonts w:ascii="Arial" w:hAnsi="Arial" w:cs="Arial"/>
          <w:bCs/>
          <w:iCs/>
          <w:noProof/>
          <w:lang w:eastAsia="it-IT"/>
        </w:rPr>
      </w:pPr>
      <w:r w:rsidRPr="00695309">
        <w:rPr>
          <w:rFonts w:ascii="Arial" w:hAnsi="Arial" w:cs="Arial"/>
          <w:bCs/>
          <w:iCs/>
          <w:noProof/>
          <w:lang w:eastAsia="it-IT"/>
        </w:rPr>
        <w:t>L’inflazione al consumo, secondo l’indice armonizzato IPCA, è rimasta stabile in agosto su base tendenziale</w:t>
      </w:r>
      <w:r>
        <w:rPr>
          <w:rFonts w:ascii="Arial" w:hAnsi="Arial" w:cs="Arial"/>
          <w:bCs/>
          <w:iCs/>
          <w:noProof/>
          <w:lang w:eastAsia="it-IT"/>
        </w:rPr>
        <w:t xml:space="preserve"> (+1,7%)</w:t>
      </w:r>
      <w:r w:rsidRPr="00695309">
        <w:rPr>
          <w:rFonts w:ascii="Arial" w:hAnsi="Arial" w:cs="Arial"/>
          <w:bCs/>
          <w:iCs/>
          <w:noProof/>
          <w:lang w:eastAsia="it-IT"/>
        </w:rPr>
        <w:t xml:space="preserve">. Accelera ancora </w:t>
      </w:r>
      <w:r>
        <w:rPr>
          <w:rFonts w:ascii="Arial" w:hAnsi="Arial" w:cs="Arial"/>
          <w:bCs/>
          <w:iCs/>
          <w:noProof/>
          <w:lang w:eastAsia="it-IT"/>
        </w:rPr>
        <w:t xml:space="preserve">(+3,5%) </w:t>
      </w:r>
      <w:r w:rsidR="00000B34">
        <w:rPr>
          <w:rFonts w:ascii="Arial" w:hAnsi="Arial" w:cs="Arial"/>
          <w:bCs/>
          <w:iCs/>
          <w:noProof/>
          <w:lang w:eastAsia="it-IT"/>
        </w:rPr>
        <w:t>quella</w:t>
      </w:r>
      <w:r w:rsidR="00000B34" w:rsidRPr="00695309">
        <w:rPr>
          <w:rFonts w:ascii="Arial" w:hAnsi="Arial" w:cs="Arial"/>
          <w:bCs/>
          <w:iCs/>
          <w:noProof/>
          <w:lang w:eastAsia="it-IT"/>
        </w:rPr>
        <w:t xml:space="preserve"> </w:t>
      </w:r>
      <w:r w:rsidRPr="00695309">
        <w:rPr>
          <w:rFonts w:ascii="Arial" w:hAnsi="Arial" w:cs="Arial"/>
          <w:bCs/>
          <w:iCs/>
          <w:noProof/>
          <w:lang w:eastAsia="it-IT"/>
        </w:rPr>
        <w:t>del carrello della spesa (beni alimentari e beni per la cura della casa e della persona)</w:t>
      </w:r>
      <w:r>
        <w:rPr>
          <w:rFonts w:ascii="Arial" w:hAnsi="Arial" w:cs="Arial"/>
          <w:bCs/>
          <w:iCs/>
          <w:noProof/>
          <w:lang w:eastAsia="it-IT"/>
        </w:rPr>
        <w:t>.</w:t>
      </w:r>
    </w:p>
    <w:p w14:paraId="68B79803" w14:textId="77777777" w:rsidR="00CD462B" w:rsidRPr="002046EA" w:rsidRDefault="007F3895" w:rsidP="00CD462B">
      <w:pPr>
        <w:jc w:val="both"/>
        <w:rPr>
          <w:rFonts w:ascii="Arial" w:hAnsi="Arial" w:cs="Arial"/>
          <w:iCs/>
          <w:color w:val="104875"/>
          <w:sz w:val="20"/>
          <w:szCs w:val="20"/>
        </w:rPr>
      </w:pPr>
      <w:r w:rsidRPr="00695309">
        <w:rPr>
          <w:rFonts w:ascii="Arial" w:hAnsi="Arial" w:cs="Arial"/>
          <w:b/>
          <w:i/>
          <w:color w:val="004172"/>
          <w:sz w:val="23"/>
          <w:szCs w:val="23"/>
        </w:rPr>
        <w:t>Focus</w:t>
      </w:r>
      <w:r w:rsidRPr="00695309">
        <w:rPr>
          <w:rFonts w:ascii="Arial" w:hAnsi="Arial" w:cs="Arial"/>
          <w:i/>
          <w:color w:val="004172"/>
          <w:sz w:val="23"/>
          <w:szCs w:val="23"/>
        </w:rPr>
        <w:t>:</w:t>
      </w:r>
      <w:r w:rsidRPr="00695309">
        <w:rPr>
          <w:rFonts w:ascii="Arial" w:hAnsi="Arial" w:cs="Arial"/>
          <w:iCs/>
          <w:color w:val="104875"/>
          <w:sz w:val="20"/>
          <w:szCs w:val="20"/>
        </w:rPr>
        <w:t xml:space="preserve"> </w:t>
      </w:r>
    </w:p>
    <w:p w14:paraId="29EC4F3B" w14:textId="748DF7A3" w:rsidR="00CD328D" w:rsidRDefault="00CD328D" w:rsidP="00CD328D">
      <w:pPr>
        <w:jc w:val="both"/>
      </w:pPr>
      <w:r>
        <w:rPr>
          <w:rFonts w:ascii="Arial" w:hAnsi="Arial" w:cs="Arial"/>
          <w:iCs/>
          <w:color w:val="104875"/>
          <w:sz w:val="20"/>
          <w:szCs w:val="20"/>
        </w:rPr>
        <w:t>La forte ripresa della domanda di energia nel periodo post-pandemico</w:t>
      </w:r>
      <w:r w:rsidRPr="002046EA">
        <w:rPr>
          <w:rFonts w:ascii="Arial" w:hAnsi="Arial" w:cs="Arial"/>
          <w:iCs/>
          <w:color w:val="104875"/>
          <w:sz w:val="20"/>
          <w:szCs w:val="20"/>
        </w:rPr>
        <w:t xml:space="preserve"> e</w:t>
      </w:r>
      <w:r>
        <w:rPr>
          <w:rFonts w:ascii="Arial" w:hAnsi="Arial" w:cs="Arial"/>
          <w:iCs/>
          <w:color w:val="104875"/>
          <w:sz w:val="20"/>
          <w:szCs w:val="20"/>
        </w:rPr>
        <w:t xml:space="preserve"> gli effetti prodotti </w:t>
      </w:r>
      <w:r w:rsidRPr="002046EA">
        <w:rPr>
          <w:rFonts w:ascii="Arial" w:hAnsi="Arial" w:cs="Arial"/>
          <w:iCs/>
          <w:color w:val="104875"/>
          <w:sz w:val="20"/>
          <w:szCs w:val="20"/>
        </w:rPr>
        <w:t>dal conflitto russo-ucraino</w:t>
      </w:r>
      <w:r>
        <w:rPr>
          <w:rFonts w:ascii="Arial" w:hAnsi="Arial" w:cs="Arial"/>
          <w:iCs/>
          <w:color w:val="104875"/>
          <w:sz w:val="20"/>
          <w:szCs w:val="20"/>
        </w:rPr>
        <w:t>, hanno</w:t>
      </w:r>
      <w:r w:rsidRPr="002046EA">
        <w:rPr>
          <w:rFonts w:ascii="Arial" w:hAnsi="Arial" w:cs="Arial"/>
          <w:iCs/>
          <w:color w:val="104875"/>
          <w:sz w:val="20"/>
          <w:szCs w:val="20"/>
        </w:rPr>
        <w:t xml:space="preserve"> determinato un</w:t>
      </w:r>
      <w:r>
        <w:rPr>
          <w:rFonts w:ascii="Arial" w:hAnsi="Arial" w:cs="Arial"/>
          <w:iCs/>
          <w:color w:val="104875"/>
          <w:sz w:val="20"/>
          <w:szCs w:val="20"/>
        </w:rPr>
        <w:t>’</w:t>
      </w:r>
      <w:r w:rsidRPr="002046EA">
        <w:rPr>
          <w:rFonts w:ascii="Arial" w:hAnsi="Arial" w:cs="Arial"/>
          <w:iCs/>
          <w:color w:val="104875"/>
          <w:sz w:val="20"/>
          <w:szCs w:val="20"/>
        </w:rPr>
        <w:t>impennata dei costi dell’energia che ha avuto un forte impatto sui bilanci d</w:t>
      </w:r>
      <w:r>
        <w:rPr>
          <w:rFonts w:ascii="Arial" w:hAnsi="Arial" w:cs="Arial"/>
          <w:iCs/>
          <w:color w:val="104875"/>
          <w:sz w:val="20"/>
          <w:szCs w:val="20"/>
        </w:rPr>
        <w:t xml:space="preserve">elle </w:t>
      </w:r>
      <w:r w:rsidRPr="002046EA">
        <w:rPr>
          <w:rFonts w:ascii="Arial" w:hAnsi="Arial" w:cs="Arial"/>
          <w:iCs/>
          <w:color w:val="104875"/>
          <w:sz w:val="20"/>
          <w:szCs w:val="20"/>
        </w:rPr>
        <w:t xml:space="preserve">famiglie in Italia </w:t>
      </w:r>
      <w:r>
        <w:rPr>
          <w:rFonts w:ascii="Arial" w:hAnsi="Arial" w:cs="Arial"/>
          <w:iCs/>
          <w:color w:val="104875"/>
          <w:sz w:val="20"/>
          <w:szCs w:val="20"/>
        </w:rPr>
        <w:t xml:space="preserve">come </w:t>
      </w:r>
      <w:r w:rsidRPr="002046EA">
        <w:rPr>
          <w:rFonts w:ascii="Arial" w:hAnsi="Arial" w:cs="Arial"/>
          <w:iCs/>
          <w:color w:val="104875"/>
          <w:sz w:val="20"/>
          <w:szCs w:val="20"/>
        </w:rPr>
        <w:t>in numerosi altri paesi europei</w:t>
      </w:r>
      <w:r w:rsidRPr="000E6B9D">
        <w:rPr>
          <w:rFonts w:ascii="Arial" w:hAnsi="Arial" w:cs="Arial"/>
          <w:iCs/>
          <w:color w:val="104875"/>
          <w:sz w:val="20"/>
          <w:szCs w:val="20"/>
        </w:rPr>
        <w:t xml:space="preserve">. </w:t>
      </w:r>
      <w:r>
        <w:rPr>
          <w:rFonts w:ascii="Arial" w:hAnsi="Arial" w:cs="Arial"/>
          <w:iCs/>
          <w:color w:val="104875"/>
          <w:sz w:val="20"/>
          <w:szCs w:val="20"/>
        </w:rPr>
        <w:t>In questo focus</w:t>
      </w:r>
      <w:r w:rsidRPr="00F94D5B">
        <w:rPr>
          <w:rFonts w:ascii="Arial" w:hAnsi="Arial" w:cs="Arial"/>
          <w:iCs/>
          <w:color w:val="104875"/>
          <w:sz w:val="20"/>
          <w:szCs w:val="20"/>
        </w:rPr>
        <w:t xml:space="preserve"> </w:t>
      </w:r>
      <w:r>
        <w:rPr>
          <w:rFonts w:ascii="Arial" w:hAnsi="Arial" w:cs="Arial"/>
          <w:iCs/>
          <w:color w:val="104875"/>
          <w:sz w:val="20"/>
          <w:szCs w:val="20"/>
        </w:rPr>
        <w:t xml:space="preserve">si analizza il profilo distributivo dei redditi delle </w:t>
      </w:r>
      <w:r w:rsidRPr="00F94D5B">
        <w:rPr>
          <w:rFonts w:ascii="Arial" w:hAnsi="Arial" w:cs="Arial"/>
          <w:iCs/>
          <w:color w:val="104875"/>
          <w:sz w:val="20"/>
          <w:szCs w:val="20"/>
        </w:rPr>
        <w:t>famiglie</w:t>
      </w:r>
      <w:r>
        <w:rPr>
          <w:rFonts w:ascii="Arial" w:hAnsi="Arial" w:cs="Arial"/>
          <w:iCs/>
          <w:color w:val="104875"/>
          <w:sz w:val="20"/>
          <w:szCs w:val="20"/>
        </w:rPr>
        <w:t xml:space="preserve"> beneficiarie dei sussidi energetici varati dal governo italiano negli ultimi anni e l’efficacia di questi ultimi nel ridurre l’incidenza della</w:t>
      </w:r>
      <w:r w:rsidRPr="00F94D5B">
        <w:rPr>
          <w:rFonts w:ascii="Arial" w:hAnsi="Arial" w:cs="Arial"/>
          <w:iCs/>
          <w:color w:val="104875"/>
          <w:sz w:val="20"/>
          <w:szCs w:val="20"/>
        </w:rPr>
        <w:t xml:space="preserve"> povertà energetica</w:t>
      </w:r>
      <w:r>
        <w:rPr>
          <w:rFonts w:ascii="Arial" w:hAnsi="Arial" w:cs="Arial"/>
          <w:iCs/>
          <w:color w:val="104875"/>
          <w:sz w:val="20"/>
          <w:szCs w:val="20"/>
        </w:rPr>
        <w:t>.</w:t>
      </w:r>
    </w:p>
    <w:p w14:paraId="41F603F8" w14:textId="77777777" w:rsidR="00DA6C52" w:rsidRPr="00A16FFC" w:rsidRDefault="00DA6C52" w:rsidP="00DA6C52">
      <w:pPr>
        <w:pStyle w:val="051tabella-figuratitolo"/>
        <w:spacing w:before="0" w:after="120"/>
        <w:ind w:right="-6"/>
        <w:rPr>
          <w:color w:val="00817F"/>
          <w:sz w:val="12"/>
          <w:szCs w:val="12"/>
        </w:rPr>
      </w:pPr>
    </w:p>
    <w:p w14:paraId="2F68D087" w14:textId="77C092AF" w:rsidR="00D720AB" w:rsidRPr="00210891" w:rsidRDefault="00D720AB" w:rsidP="00DA6C52">
      <w:pPr>
        <w:pStyle w:val="051tabella-figuratitolo"/>
        <w:spacing w:before="0" w:after="120"/>
        <w:ind w:right="-6"/>
        <w:rPr>
          <w:color w:val="404040" w:themeColor="text1" w:themeTint="BF"/>
          <w:sz w:val="24"/>
          <w:szCs w:val="24"/>
        </w:rPr>
      </w:pPr>
      <w:r w:rsidRPr="00ED1655">
        <w:rPr>
          <w:color w:val="00817F"/>
          <w:sz w:val="22"/>
          <w:szCs w:val="22"/>
        </w:rPr>
        <w:t>TABELLA 1.</w:t>
      </w:r>
      <w:r w:rsidRPr="00ED1655">
        <w:rPr>
          <w:color w:val="00817F"/>
          <w:sz w:val="24"/>
          <w:szCs w:val="24"/>
        </w:rPr>
        <w:t xml:space="preserve"> </w:t>
      </w:r>
      <w:r w:rsidRPr="00ED1655">
        <w:rPr>
          <w:color w:val="595959" w:themeColor="text1" w:themeTint="A6"/>
          <w:sz w:val="22"/>
          <w:szCs w:val="22"/>
        </w:rPr>
        <w:t xml:space="preserve">PRINCIPALI INDICATORI CONGIUNTURALI </w:t>
      </w:r>
      <w:r>
        <w:rPr>
          <w:color w:val="595959" w:themeColor="text1" w:themeTint="A6"/>
          <w:sz w:val="22"/>
          <w:szCs w:val="22"/>
        </w:rPr>
        <w:t>PER L’</w:t>
      </w:r>
      <w:r w:rsidRPr="00ED1655">
        <w:rPr>
          <w:color w:val="595959" w:themeColor="text1" w:themeTint="A6"/>
          <w:sz w:val="22"/>
          <w:szCs w:val="22"/>
        </w:rPr>
        <w:t>ITALIA E</w:t>
      </w:r>
      <w:r>
        <w:rPr>
          <w:color w:val="595959" w:themeColor="text1" w:themeTint="A6"/>
          <w:sz w:val="22"/>
          <w:szCs w:val="22"/>
        </w:rPr>
        <w:t xml:space="preserve"> L’</w:t>
      </w:r>
      <w:r w:rsidRPr="00ED1655">
        <w:rPr>
          <w:color w:val="595959" w:themeColor="text1" w:themeTint="A6"/>
          <w:sz w:val="22"/>
          <w:szCs w:val="22"/>
        </w:rPr>
        <w:t xml:space="preserve">AREA EURO. </w:t>
      </w:r>
      <w:r w:rsidRPr="00210891">
        <w:rPr>
          <w:b w:val="0"/>
          <w:color w:val="404040" w:themeColor="text1" w:themeTint="BF"/>
          <w:sz w:val="20"/>
        </w:rPr>
        <w:t>Variazioni congiunturali</w:t>
      </w:r>
      <w:r w:rsidR="00182D51" w:rsidRPr="00210891">
        <w:rPr>
          <w:b w:val="0"/>
          <w:color w:val="404040" w:themeColor="text1" w:themeTint="BF"/>
          <w:sz w:val="20"/>
        </w:rPr>
        <w:t xml:space="preserve"> %</w:t>
      </w:r>
    </w:p>
    <w:tbl>
      <w:tblPr>
        <w:tblW w:w="5000" w:type="pct"/>
        <w:tblLayout w:type="fixed"/>
        <w:tblCellMar>
          <w:left w:w="70" w:type="dxa"/>
          <w:right w:w="70" w:type="dxa"/>
        </w:tblCellMar>
        <w:tblLook w:val="04A0" w:firstRow="1" w:lastRow="0" w:firstColumn="1" w:lastColumn="0" w:noHBand="0" w:noVBand="1"/>
      </w:tblPr>
      <w:tblGrid>
        <w:gridCol w:w="2422"/>
        <w:gridCol w:w="1556"/>
        <w:gridCol w:w="1556"/>
        <w:gridCol w:w="1558"/>
        <w:gridCol w:w="1556"/>
        <w:gridCol w:w="1550"/>
      </w:tblGrid>
      <w:tr w:rsidR="00D720AB" w:rsidRPr="00B76B47" w14:paraId="48261453" w14:textId="77777777" w:rsidTr="008B207D">
        <w:trPr>
          <w:cantSplit/>
        </w:trPr>
        <w:tc>
          <w:tcPr>
            <w:tcW w:w="1187" w:type="pct"/>
            <w:tcBorders>
              <w:top w:val="single" w:sz="4" w:space="0" w:color="A6A6A6" w:themeColor="background1" w:themeShade="A6"/>
              <w:bottom w:val="single" w:sz="4" w:space="0" w:color="A6A6A6" w:themeColor="background1" w:themeShade="A6"/>
            </w:tcBorders>
            <w:shd w:val="clear" w:color="auto" w:fill="00817F"/>
            <w:noWrap/>
            <w:vAlign w:val="center"/>
          </w:tcPr>
          <w:p w14:paraId="6314A8DA" w14:textId="77777777" w:rsidR="00D720AB" w:rsidRPr="009F6728" w:rsidRDefault="00D720AB" w:rsidP="00A457DF">
            <w:pPr>
              <w:spacing w:before="40"/>
              <w:ind w:right="-6"/>
              <w:jc w:val="center"/>
              <w:rPr>
                <w:rFonts w:ascii="Arial Narrow" w:hAnsi="Arial Narrow" w:cs="Times New Roman"/>
                <w:b/>
                <w:color w:val="FFFFFF" w:themeColor="background1"/>
                <w:sz w:val="20"/>
                <w:szCs w:val="20"/>
                <w:lang w:eastAsia="it-IT"/>
              </w:rPr>
            </w:pPr>
            <w:r w:rsidRPr="009F6728">
              <w:rPr>
                <w:rFonts w:ascii="Arial Narrow" w:hAnsi="Arial Narrow" w:cs="Times New Roman"/>
                <w:b/>
                <w:color w:val="FFFFFF" w:themeColor="background1"/>
                <w:sz w:val="20"/>
                <w:szCs w:val="20"/>
                <w:lang w:eastAsia="it-IT"/>
              </w:rPr>
              <w:t>INDICATORI</w:t>
            </w:r>
          </w:p>
        </w:tc>
        <w:tc>
          <w:tcPr>
            <w:tcW w:w="763" w:type="pct"/>
            <w:tcBorders>
              <w:top w:val="single" w:sz="4" w:space="0" w:color="A6A6A6" w:themeColor="background1" w:themeShade="A6"/>
              <w:bottom w:val="single" w:sz="4" w:space="0" w:color="A6A6A6" w:themeColor="background1" w:themeShade="A6"/>
            </w:tcBorders>
            <w:shd w:val="clear" w:color="auto" w:fill="00817F"/>
            <w:noWrap/>
            <w:vAlign w:val="center"/>
          </w:tcPr>
          <w:p w14:paraId="2A9EA86C" w14:textId="77777777" w:rsidR="00D720AB" w:rsidRPr="009F6728" w:rsidRDefault="00D720AB" w:rsidP="00A457DF">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ITALIA</w:t>
            </w:r>
          </w:p>
        </w:tc>
        <w:tc>
          <w:tcPr>
            <w:tcW w:w="763" w:type="pct"/>
            <w:tcBorders>
              <w:top w:val="single" w:sz="4" w:space="0" w:color="A6A6A6" w:themeColor="background1" w:themeShade="A6"/>
              <w:bottom w:val="single" w:sz="4" w:space="0" w:color="A6A6A6" w:themeColor="background1" w:themeShade="A6"/>
            </w:tcBorders>
            <w:shd w:val="clear" w:color="auto" w:fill="00817F"/>
            <w:noWrap/>
            <w:vAlign w:val="center"/>
          </w:tcPr>
          <w:p w14:paraId="23B004B6" w14:textId="77777777" w:rsidR="00D720AB" w:rsidRPr="009F6728" w:rsidRDefault="00D720AB" w:rsidP="00A457DF">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AREA EURO</w:t>
            </w:r>
          </w:p>
        </w:tc>
        <w:tc>
          <w:tcPr>
            <w:tcW w:w="764" w:type="pct"/>
            <w:tcBorders>
              <w:top w:val="single" w:sz="4" w:space="0" w:color="A6A6A6" w:themeColor="background1" w:themeShade="A6"/>
              <w:bottom w:val="single" w:sz="4" w:space="0" w:color="A6A6A6" w:themeColor="background1" w:themeShade="A6"/>
            </w:tcBorders>
            <w:shd w:val="clear" w:color="auto" w:fill="00817F"/>
            <w:noWrap/>
            <w:vAlign w:val="center"/>
          </w:tcPr>
          <w:p w14:paraId="32B18CEA" w14:textId="77777777" w:rsidR="00D720AB" w:rsidRPr="009F6728" w:rsidRDefault="00D720AB" w:rsidP="00A457DF">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PERIODO</w:t>
            </w:r>
          </w:p>
        </w:tc>
        <w:tc>
          <w:tcPr>
            <w:tcW w:w="763" w:type="pct"/>
            <w:tcBorders>
              <w:top w:val="single" w:sz="4" w:space="0" w:color="A6A6A6" w:themeColor="background1" w:themeShade="A6"/>
              <w:bottom w:val="single" w:sz="4" w:space="0" w:color="A6A6A6" w:themeColor="background1" w:themeShade="A6"/>
            </w:tcBorders>
            <w:shd w:val="clear" w:color="auto" w:fill="00817F"/>
            <w:vAlign w:val="center"/>
          </w:tcPr>
          <w:p w14:paraId="6077BBD5" w14:textId="77777777" w:rsidR="00D720AB" w:rsidRPr="009F6728" w:rsidRDefault="00D720AB" w:rsidP="00A457DF">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 xml:space="preserve">ITALIA </w:t>
            </w:r>
            <w:r w:rsidRPr="009F6728">
              <w:rPr>
                <w:rFonts w:ascii="Arial Narrow" w:hAnsi="Arial Narrow" w:cs="Times New Roman"/>
                <w:b/>
                <w:color w:val="FFFFFF" w:themeColor="background1"/>
                <w:spacing w:val="2"/>
                <w:sz w:val="20"/>
                <w:szCs w:val="20"/>
                <w:lang w:eastAsia="it-IT"/>
              </w:rPr>
              <w:br/>
              <w:t>PERIODO PRECEDENTE</w:t>
            </w:r>
          </w:p>
        </w:tc>
        <w:tc>
          <w:tcPr>
            <w:tcW w:w="760" w:type="pct"/>
            <w:tcBorders>
              <w:top w:val="single" w:sz="4" w:space="0" w:color="A6A6A6" w:themeColor="background1" w:themeShade="A6"/>
              <w:bottom w:val="single" w:sz="4" w:space="0" w:color="A6A6A6" w:themeColor="background1" w:themeShade="A6"/>
            </w:tcBorders>
            <w:shd w:val="clear" w:color="auto" w:fill="00817F"/>
            <w:vAlign w:val="center"/>
          </w:tcPr>
          <w:p w14:paraId="6C6DB783" w14:textId="77777777" w:rsidR="00D720AB" w:rsidRPr="009F6728" w:rsidRDefault="00D720AB" w:rsidP="00A457DF">
            <w:pPr>
              <w:spacing w:before="40"/>
              <w:ind w:right="-6"/>
              <w:jc w:val="center"/>
              <w:rPr>
                <w:rFonts w:ascii="Arial Narrow" w:hAnsi="Arial Narrow" w:cs="Times New Roman"/>
                <w:b/>
                <w:color w:val="FFFFFF" w:themeColor="background1"/>
                <w:spacing w:val="2"/>
                <w:sz w:val="20"/>
                <w:szCs w:val="20"/>
                <w:lang w:eastAsia="it-IT"/>
              </w:rPr>
            </w:pPr>
            <w:r w:rsidRPr="009F6728">
              <w:rPr>
                <w:rFonts w:ascii="Arial Narrow" w:hAnsi="Arial Narrow" w:cs="Times New Roman"/>
                <w:b/>
                <w:color w:val="FFFFFF" w:themeColor="background1"/>
                <w:spacing w:val="2"/>
                <w:sz w:val="20"/>
                <w:szCs w:val="20"/>
                <w:lang w:eastAsia="it-IT"/>
              </w:rPr>
              <w:t>AREA EURO PERIODO PRECEDENTE</w:t>
            </w:r>
          </w:p>
        </w:tc>
      </w:tr>
      <w:tr w:rsidR="00F21EDE" w:rsidRPr="00B53FD8" w14:paraId="51F5E9AA" w14:textId="77777777" w:rsidTr="000E5E59">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77E6982E" w14:textId="450E1985" w:rsidR="00F21EDE" w:rsidRPr="00633AA6" w:rsidRDefault="00F21EDE" w:rsidP="00F21EDE">
            <w:pPr>
              <w:spacing w:before="40"/>
              <w:ind w:right="-6"/>
              <w:rPr>
                <w:rFonts w:ascii="Arial Narrow" w:hAnsi="Arial Narrow"/>
                <w:b/>
                <w:bCs/>
                <w:color w:val="000000"/>
                <w:sz w:val="18"/>
                <w:szCs w:val="18"/>
                <w:highlight w:val="yellow"/>
                <w:lang w:val="en-GB" w:eastAsia="en-GB"/>
              </w:rPr>
            </w:pPr>
            <w:r w:rsidRPr="003D087E">
              <w:rPr>
                <w:rFonts w:ascii="Arial Narrow" w:hAnsi="Arial Narrow"/>
                <w:b/>
                <w:bCs/>
                <w:color w:val="000000"/>
                <w:sz w:val="18"/>
                <w:szCs w:val="18"/>
                <w:lang w:val="en-GB" w:eastAsia="en-GB"/>
              </w:rPr>
              <w:t>Pil</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6469095B" w14:textId="32FB2C11" w:rsidR="00F21EDE" w:rsidRPr="003840BC" w:rsidRDefault="00F21EDE" w:rsidP="00F21EDE">
            <w:pPr>
              <w:spacing w:before="40"/>
              <w:ind w:right="-6"/>
              <w:jc w:val="center"/>
              <w:rPr>
                <w:rFonts w:ascii="Arial Narrow" w:hAnsi="Arial Narrow"/>
                <w:b/>
                <w:bCs/>
                <w:color w:val="000000"/>
                <w:sz w:val="18"/>
                <w:szCs w:val="18"/>
                <w:lang w:val="en-GB" w:eastAsia="en-GB"/>
              </w:rPr>
            </w:pPr>
            <w:r>
              <w:rPr>
                <w:rFonts w:ascii="Arial Narrow" w:hAnsi="Arial Narrow"/>
                <w:b/>
                <w:bCs/>
                <w:color w:val="000000"/>
                <w:sz w:val="18"/>
                <w:szCs w:val="18"/>
                <w:lang w:val="en-GB" w:eastAsia="en-GB"/>
              </w:rPr>
              <w:t>-0,1</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2C98D096" w14:textId="68D6677B" w:rsidR="00F21EDE" w:rsidRPr="003840BC" w:rsidRDefault="00F21EDE" w:rsidP="00F21EDE">
            <w:pPr>
              <w:spacing w:before="40"/>
              <w:ind w:right="-6"/>
              <w:jc w:val="center"/>
              <w:rPr>
                <w:rFonts w:ascii="Arial Narrow" w:hAnsi="Arial Narrow"/>
                <w:b/>
                <w:bCs/>
                <w:color w:val="000000"/>
                <w:sz w:val="18"/>
                <w:szCs w:val="18"/>
                <w:lang w:val="en-GB" w:eastAsia="en-GB"/>
              </w:rPr>
            </w:pPr>
            <w:r>
              <w:rPr>
                <w:rFonts w:ascii="Arial Narrow" w:hAnsi="Arial Narrow"/>
                <w:b/>
                <w:bCs/>
                <w:color w:val="000000"/>
                <w:sz w:val="18"/>
                <w:szCs w:val="18"/>
                <w:lang w:val="en-GB" w:eastAsia="en-GB"/>
              </w:rPr>
              <w:t>0,1</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7D86CCE0" w14:textId="1394A809" w:rsidR="00F21EDE" w:rsidRPr="003840BC" w:rsidRDefault="00F21EDE" w:rsidP="00F21EDE">
            <w:pPr>
              <w:spacing w:before="40"/>
              <w:ind w:right="-6"/>
              <w:jc w:val="center"/>
              <w:rPr>
                <w:rFonts w:ascii="Arial Narrow" w:hAnsi="Arial Narrow"/>
                <w:b/>
                <w:bCs/>
                <w:color w:val="000000"/>
                <w:sz w:val="18"/>
                <w:szCs w:val="18"/>
                <w:lang w:val="en-GB" w:eastAsia="en-GB"/>
              </w:rPr>
            </w:pPr>
            <w:r w:rsidRPr="00942797">
              <w:rPr>
                <w:rFonts w:ascii="Arial Narrow" w:hAnsi="Arial Narrow"/>
                <w:b/>
                <w:bCs/>
                <w:color w:val="000000"/>
                <w:sz w:val="18"/>
                <w:szCs w:val="18"/>
                <w:lang w:val="en-GB" w:eastAsia="en-GB"/>
              </w:rPr>
              <w:t>T</w:t>
            </w:r>
            <w:r>
              <w:rPr>
                <w:rFonts w:ascii="Arial Narrow" w:hAnsi="Arial Narrow"/>
                <w:b/>
                <w:bCs/>
                <w:color w:val="000000"/>
                <w:sz w:val="18"/>
                <w:szCs w:val="18"/>
                <w:lang w:val="en-GB" w:eastAsia="en-GB"/>
              </w:rPr>
              <w:t>2 2025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376EAB08" w14:textId="7F2759E6" w:rsidR="00F21EDE" w:rsidRPr="00735780" w:rsidRDefault="00F21EDE" w:rsidP="00F21EDE">
            <w:pPr>
              <w:spacing w:before="40"/>
              <w:ind w:right="-6"/>
              <w:jc w:val="center"/>
              <w:rPr>
                <w:rFonts w:ascii="Arial Narrow" w:hAnsi="Arial Narrow"/>
                <w:b/>
                <w:color w:val="000000"/>
                <w:sz w:val="18"/>
                <w:szCs w:val="18"/>
                <w:lang w:val="en-GB" w:eastAsia="en-GB"/>
              </w:rPr>
            </w:pPr>
            <w:r>
              <w:rPr>
                <w:rFonts w:ascii="Arial Narrow" w:hAnsi="Arial Narrow"/>
                <w:b/>
                <w:color w:val="000000"/>
                <w:sz w:val="18"/>
                <w:szCs w:val="18"/>
                <w:lang w:val="en-GB" w:eastAsia="en-GB"/>
              </w:rPr>
              <w:t>0,3</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2BA41CE9" w14:textId="23B0B6E1" w:rsidR="00F21EDE" w:rsidRPr="003840BC" w:rsidRDefault="00F21EDE" w:rsidP="00F21EDE">
            <w:pPr>
              <w:spacing w:before="40"/>
              <w:ind w:right="-6"/>
              <w:jc w:val="center"/>
              <w:rPr>
                <w:rFonts w:ascii="Arial Narrow" w:hAnsi="Arial Narrow"/>
                <w:b/>
                <w:bCs/>
                <w:color w:val="000000"/>
                <w:sz w:val="18"/>
                <w:szCs w:val="18"/>
                <w:lang w:val="en-GB" w:eastAsia="en-GB"/>
              </w:rPr>
            </w:pPr>
            <w:r>
              <w:rPr>
                <w:rFonts w:ascii="Arial Narrow" w:hAnsi="Arial Narrow"/>
                <w:b/>
                <w:bCs/>
                <w:color w:val="000000"/>
                <w:sz w:val="18"/>
                <w:szCs w:val="18"/>
                <w:lang w:val="en-GB" w:eastAsia="en-GB"/>
              </w:rPr>
              <w:t>0,6</w:t>
            </w:r>
          </w:p>
        </w:tc>
      </w:tr>
      <w:tr w:rsidR="00572D26" w:rsidRPr="00B53FD8" w14:paraId="63C0B393" w14:textId="77777777" w:rsidTr="000E5E59">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6212027C" w14:textId="4F470C3C" w:rsidR="00572D26" w:rsidRPr="00633AA6" w:rsidRDefault="00572D26" w:rsidP="00572D26">
            <w:pPr>
              <w:spacing w:before="40"/>
              <w:ind w:right="-6"/>
              <w:rPr>
                <w:rFonts w:ascii="Arial Narrow" w:hAnsi="Arial Narrow"/>
                <w:color w:val="000000"/>
                <w:sz w:val="18"/>
                <w:szCs w:val="18"/>
                <w:highlight w:val="yellow"/>
                <w:lang w:val="en-GB" w:eastAsia="en-GB"/>
              </w:rPr>
            </w:pPr>
            <w:proofErr w:type="spellStart"/>
            <w:r w:rsidRPr="0082385E">
              <w:rPr>
                <w:rFonts w:ascii="Arial Narrow" w:hAnsi="Arial Narrow"/>
                <w:color w:val="000000"/>
                <w:sz w:val="18"/>
                <w:szCs w:val="18"/>
                <w:lang w:val="en-GB" w:eastAsia="en-GB"/>
              </w:rPr>
              <w:t>Produzione</w:t>
            </w:r>
            <w:proofErr w:type="spellEnd"/>
            <w:r w:rsidRPr="0082385E">
              <w:rPr>
                <w:rFonts w:ascii="Arial Narrow" w:hAnsi="Arial Narrow"/>
                <w:color w:val="000000"/>
                <w:sz w:val="18"/>
                <w:szCs w:val="18"/>
                <w:lang w:val="en-GB" w:eastAsia="en-GB"/>
              </w:rPr>
              <w:t xml:space="preserve"> </w:t>
            </w:r>
            <w:r w:rsidR="0022133E">
              <w:rPr>
                <w:rFonts w:ascii="Arial Narrow" w:hAnsi="Arial Narrow"/>
                <w:color w:val="000000"/>
                <w:sz w:val="18"/>
                <w:szCs w:val="18"/>
                <w:lang w:val="en-GB" w:eastAsia="en-GB"/>
              </w:rPr>
              <w:t>industrial</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67F6462E" w14:textId="4C8376E2" w:rsidR="00572D26" w:rsidRPr="00D7134B" w:rsidRDefault="00736C4E"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0,4</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6DEF4B91" w14:textId="2F39C805"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-1,3 (</w:t>
            </w:r>
            <w:proofErr w:type="spellStart"/>
            <w:r>
              <w:rPr>
                <w:rFonts w:ascii="Arial Narrow" w:hAnsi="Arial Narrow"/>
                <w:color w:val="000000"/>
                <w:sz w:val="18"/>
                <w:szCs w:val="18"/>
                <w:lang w:val="en-GB" w:eastAsia="en-GB"/>
              </w:rPr>
              <w:t>giu</w:t>
            </w:r>
            <w:proofErr w:type="spellEnd"/>
            <w:r>
              <w:rPr>
                <w:rFonts w:ascii="Arial Narrow" w:hAnsi="Arial Narrow"/>
                <w:color w:val="000000"/>
                <w:sz w:val="18"/>
                <w:szCs w:val="18"/>
                <w:lang w:val="en-GB" w:eastAsia="en-GB"/>
              </w:rPr>
              <w:t>)</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1032F95B" w14:textId="6504278B"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Lug.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0E94DF52" w14:textId="753C3363" w:rsidR="00572D26" w:rsidRPr="006000DA" w:rsidRDefault="00736C4E"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0,2</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0047F64E" w14:textId="728A8F24"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1,1</w:t>
            </w:r>
          </w:p>
        </w:tc>
      </w:tr>
      <w:tr w:rsidR="00572D26" w:rsidRPr="00B53FD8" w14:paraId="36CCC56B" w14:textId="77777777" w:rsidTr="000E5E59">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72B5F2CE" w14:textId="08ECCA81" w:rsidR="00572D26" w:rsidRPr="00633AA6" w:rsidRDefault="00572D26" w:rsidP="00572D26">
            <w:pPr>
              <w:spacing w:before="40"/>
              <w:ind w:right="-6"/>
              <w:rPr>
                <w:rFonts w:ascii="Arial Narrow" w:hAnsi="Arial Narrow"/>
                <w:color w:val="000000"/>
                <w:sz w:val="18"/>
                <w:szCs w:val="18"/>
                <w:highlight w:val="yellow"/>
                <w:lang w:val="en-GB" w:eastAsia="en-GB"/>
              </w:rPr>
            </w:pPr>
            <w:proofErr w:type="spellStart"/>
            <w:r w:rsidRPr="00BA7600">
              <w:rPr>
                <w:rFonts w:ascii="Arial Narrow" w:hAnsi="Arial Narrow"/>
                <w:color w:val="000000"/>
                <w:sz w:val="18"/>
                <w:szCs w:val="18"/>
                <w:lang w:val="en-GB" w:eastAsia="en-GB"/>
              </w:rPr>
              <w:t>Produzione</w:t>
            </w:r>
            <w:proofErr w:type="spellEnd"/>
            <w:r w:rsidRPr="00BA7600">
              <w:rPr>
                <w:rFonts w:ascii="Arial Narrow" w:hAnsi="Arial Narrow"/>
                <w:color w:val="000000"/>
                <w:sz w:val="18"/>
                <w:szCs w:val="18"/>
                <w:lang w:val="en-GB" w:eastAsia="en-GB"/>
              </w:rPr>
              <w:t xml:space="preserve"> </w:t>
            </w:r>
            <w:proofErr w:type="spellStart"/>
            <w:r w:rsidRPr="00BA7600">
              <w:rPr>
                <w:rFonts w:ascii="Arial Narrow" w:hAnsi="Arial Narrow"/>
                <w:color w:val="000000"/>
                <w:sz w:val="18"/>
                <w:szCs w:val="18"/>
                <w:lang w:val="en-GB" w:eastAsia="en-GB"/>
              </w:rPr>
              <w:t>nelle</w:t>
            </w:r>
            <w:proofErr w:type="spellEnd"/>
            <w:r w:rsidRPr="00BA7600">
              <w:rPr>
                <w:rFonts w:ascii="Arial Narrow" w:hAnsi="Arial Narrow"/>
                <w:color w:val="000000"/>
                <w:sz w:val="18"/>
                <w:szCs w:val="18"/>
                <w:lang w:val="en-GB" w:eastAsia="en-GB"/>
              </w:rPr>
              <w:t xml:space="preserve"> </w:t>
            </w:r>
            <w:proofErr w:type="spellStart"/>
            <w:r w:rsidRPr="00BA7600">
              <w:rPr>
                <w:rFonts w:ascii="Arial Narrow" w:hAnsi="Arial Narrow"/>
                <w:color w:val="000000"/>
                <w:sz w:val="18"/>
                <w:szCs w:val="18"/>
                <w:lang w:val="en-GB" w:eastAsia="en-GB"/>
              </w:rPr>
              <w:t>costruzioni</w:t>
            </w:r>
            <w:proofErr w:type="spellEnd"/>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4930C059" w14:textId="15B76433" w:rsidR="00572D26" w:rsidRPr="00D7134B" w:rsidRDefault="00572D26" w:rsidP="00572D26">
            <w:pPr>
              <w:spacing w:before="40"/>
              <w:ind w:right="-6"/>
              <w:jc w:val="center"/>
              <w:rPr>
                <w:rFonts w:ascii="Arial Narrow" w:hAnsi="Arial Narrow"/>
                <w:color w:val="000000"/>
                <w:sz w:val="18"/>
                <w:szCs w:val="18"/>
                <w:lang w:val="en-GB" w:eastAsia="en-GB"/>
              </w:rPr>
            </w:pPr>
            <w:r w:rsidRPr="002C6943">
              <w:rPr>
                <w:rFonts w:ascii="Arial Narrow" w:hAnsi="Arial Narrow"/>
                <w:color w:val="000000"/>
                <w:sz w:val="18"/>
                <w:szCs w:val="18"/>
                <w:lang w:val="en-GB" w:eastAsia="en-GB"/>
              </w:rPr>
              <w:t xml:space="preserve">-1,4 </w:t>
            </w:r>
            <w:r>
              <w:rPr>
                <w:rFonts w:ascii="Arial Narrow" w:hAnsi="Arial Narrow"/>
                <w:color w:val="000000"/>
                <w:sz w:val="18"/>
                <w:szCs w:val="18"/>
                <w:lang w:val="en-GB" w:eastAsia="en-GB"/>
              </w:rPr>
              <w:t>(mag</w:t>
            </w:r>
            <w:r w:rsidRPr="00A057D6">
              <w:rPr>
                <w:rFonts w:ascii="Arial Narrow" w:hAnsi="Arial Narrow"/>
                <w:color w:val="000000"/>
                <w:sz w:val="18"/>
                <w:szCs w:val="18"/>
                <w:lang w:val="en-GB" w:eastAsia="en-GB"/>
              </w:rPr>
              <w:t>)</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6E4FE561" w14:textId="0860255A" w:rsidR="00572D26" w:rsidRPr="003840BC" w:rsidRDefault="00572D26" w:rsidP="00572D26">
            <w:pPr>
              <w:spacing w:before="40"/>
              <w:ind w:right="-6"/>
              <w:jc w:val="center"/>
              <w:rPr>
                <w:rFonts w:ascii="Arial Narrow" w:hAnsi="Arial Narrow"/>
                <w:color w:val="000000"/>
                <w:sz w:val="18"/>
                <w:szCs w:val="18"/>
                <w:lang w:val="en-GB" w:eastAsia="en-GB"/>
              </w:rPr>
            </w:pPr>
            <w:r w:rsidRPr="00D75E33">
              <w:rPr>
                <w:rFonts w:ascii="Arial Narrow" w:hAnsi="Arial Narrow"/>
                <w:color w:val="000000"/>
                <w:sz w:val="18"/>
                <w:szCs w:val="18"/>
                <w:lang w:eastAsia="en-GB"/>
              </w:rPr>
              <w:t>-0</w:t>
            </w:r>
            <w:r>
              <w:rPr>
                <w:rFonts w:ascii="Arial Narrow" w:hAnsi="Arial Narrow"/>
                <w:color w:val="000000"/>
                <w:sz w:val="18"/>
                <w:szCs w:val="18"/>
                <w:lang w:eastAsia="en-GB"/>
              </w:rPr>
              <w:t>,</w:t>
            </w:r>
            <w:r w:rsidRPr="00D75E33">
              <w:rPr>
                <w:rFonts w:ascii="Arial Narrow" w:hAnsi="Arial Narrow"/>
                <w:color w:val="000000"/>
                <w:sz w:val="18"/>
                <w:szCs w:val="18"/>
                <w:lang w:eastAsia="en-GB"/>
              </w:rPr>
              <w:t>8</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0A1FAC48" w14:textId="05966324" w:rsidR="00572D26" w:rsidRPr="003840BC" w:rsidRDefault="00A9453A" w:rsidP="00572D26">
            <w:pPr>
              <w:spacing w:before="40"/>
              <w:ind w:right="-6"/>
              <w:jc w:val="center"/>
              <w:rPr>
                <w:rFonts w:ascii="Arial Narrow" w:hAnsi="Arial Narrow"/>
                <w:color w:val="000000"/>
                <w:sz w:val="18"/>
                <w:szCs w:val="18"/>
                <w:lang w:val="en-GB" w:eastAsia="en-GB"/>
              </w:rPr>
            </w:pPr>
            <w:proofErr w:type="spellStart"/>
            <w:r>
              <w:rPr>
                <w:rFonts w:ascii="Arial Narrow" w:hAnsi="Arial Narrow"/>
                <w:color w:val="000000"/>
                <w:sz w:val="18"/>
                <w:szCs w:val="18"/>
                <w:lang w:val="en-GB" w:eastAsia="en-GB"/>
              </w:rPr>
              <w:t>Giu</w:t>
            </w:r>
            <w:proofErr w:type="spellEnd"/>
            <w:r>
              <w:rPr>
                <w:rFonts w:ascii="Arial Narrow" w:hAnsi="Arial Narrow"/>
                <w:color w:val="000000"/>
                <w:sz w:val="18"/>
                <w:szCs w:val="18"/>
                <w:lang w:val="en-GB" w:eastAsia="en-GB"/>
              </w:rPr>
              <w:t>.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7C210B50" w14:textId="1DE02708" w:rsidR="00572D26" w:rsidRPr="006000DA" w:rsidRDefault="00572D26" w:rsidP="00572D26">
            <w:pPr>
              <w:spacing w:before="40"/>
              <w:ind w:right="-6"/>
              <w:jc w:val="center"/>
              <w:rPr>
                <w:rFonts w:ascii="Arial Narrow" w:hAnsi="Arial Narrow"/>
                <w:color w:val="000000"/>
                <w:sz w:val="18"/>
                <w:szCs w:val="18"/>
                <w:lang w:val="en-GB" w:eastAsia="en-GB"/>
              </w:rPr>
            </w:pPr>
            <w:r w:rsidRPr="002C6943">
              <w:rPr>
                <w:rFonts w:ascii="Arial Narrow" w:hAnsi="Arial Narrow"/>
                <w:color w:val="000000"/>
                <w:sz w:val="18"/>
                <w:szCs w:val="18"/>
                <w:lang w:val="en-GB" w:eastAsia="en-GB"/>
              </w:rPr>
              <w:t>2,8</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1ABBEF01" w14:textId="0BD33A3B"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-2,1</w:t>
            </w:r>
          </w:p>
        </w:tc>
      </w:tr>
      <w:tr w:rsidR="003D087E" w:rsidRPr="00B53FD8" w14:paraId="08A642D3" w14:textId="77777777" w:rsidTr="000E5E59">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68BE5B5B" w14:textId="283D77D5" w:rsidR="003D087E" w:rsidRPr="00AF3BE4" w:rsidRDefault="003D087E" w:rsidP="003D087E">
            <w:pPr>
              <w:spacing w:before="40"/>
              <w:ind w:right="-6"/>
              <w:rPr>
                <w:rFonts w:ascii="Arial Narrow" w:hAnsi="Arial Narrow"/>
                <w:color w:val="000000"/>
                <w:sz w:val="18"/>
                <w:szCs w:val="18"/>
                <w:lang w:val="en-GB" w:eastAsia="en-GB"/>
              </w:rPr>
            </w:pPr>
            <w:proofErr w:type="spellStart"/>
            <w:r w:rsidRPr="003D087E">
              <w:rPr>
                <w:rFonts w:ascii="Arial Narrow" w:hAnsi="Arial Narrow"/>
                <w:color w:val="000000"/>
                <w:sz w:val="18"/>
                <w:szCs w:val="18"/>
                <w:lang w:val="en-GB" w:eastAsia="en-GB"/>
              </w:rPr>
              <w:t>Vendite</w:t>
            </w:r>
            <w:proofErr w:type="spellEnd"/>
            <w:r w:rsidRPr="003D087E">
              <w:rPr>
                <w:rFonts w:ascii="Arial Narrow" w:hAnsi="Arial Narrow"/>
                <w:color w:val="000000"/>
                <w:sz w:val="18"/>
                <w:szCs w:val="18"/>
                <w:lang w:val="en-GB" w:eastAsia="en-GB"/>
              </w:rPr>
              <w:t xml:space="preserve"> al </w:t>
            </w:r>
            <w:proofErr w:type="spellStart"/>
            <w:r w:rsidRPr="003D087E">
              <w:rPr>
                <w:rFonts w:ascii="Arial Narrow" w:hAnsi="Arial Narrow"/>
                <w:color w:val="000000"/>
                <w:sz w:val="18"/>
                <w:szCs w:val="18"/>
                <w:lang w:val="en-GB" w:eastAsia="en-GB"/>
              </w:rPr>
              <w:t>dettaglio</w:t>
            </w:r>
            <w:proofErr w:type="spellEnd"/>
            <w:r w:rsidRPr="003D087E">
              <w:rPr>
                <w:rFonts w:ascii="Arial Narrow" w:hAnsi="Arial Narrow"/>
                <w:color w:val="000000"/>
                <w:sz w:val="18"/>
                <w:szCs w:val="18"/>
                <w:lang w:val="en-GB" w:eastAsia="en-GB"/>
              </w:rPr>
              <w:t xml:space="preserve"> (volume)</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69C3A8D1" w14:textId="4A3E3CBD" w:rsidR="003D087E" w:rsidRPr="00D7134B" w:rsidRDefault="003D087E" w:rsidP="003D087E">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-0,2</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1230564F" w14:textId="17CBAC68" w:rsidR="003D087E" w:rsidRPr="003840BC" w:rsidRDefault="003D087E" w:rsidP="003D087E">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-0,5</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636BDC41" w14:textId="0952988E" w:rsidR="003D087E" w:rsidRPr="003840BC" w:rsidRDefault="003D087E" w:rsidP="003D087E">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Lug.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3BED955C" w14:textId="40B33DDA" w:rsidR="003D087E" w:rsidRPr="006000DA" w:rsidRDefault="003D087E" w:rsidP="003D087E">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0,6</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2487CBE8" w14:textId="5FC604B1" w:rsidR="003D087E" w:rsidRPr="003840BC" w:rsidRDefault="003D087E" w:rsidP="003D087E">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0,6</w:t>
            </w:r>
          </w:p>
        </w:tc>
      </w:tr>
      <w:tr w:rsidR="00572D26" w:rsidRPr="00B53FD8" w14:paraId="0F95F8AE" w14:textId="77777777" w:rsidTr="000E5E59">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6D5E4D53" w14:textId="61CB34FB" w:rsidR="00572D26" w:rsidRPr="00AF3BE4" w:rsidRDefault="00572D26" w:rsidP="00572D26">
            <w:pPr>
              <w:spacing w:before="40"/>
              <w:ind w:right="-6"/>
              <w:rPr>
                <w:rFonts w:ascii="Arial Narrow" w:hAnsi="Arial Narrow"/>
                <w:color w:val="000000"/>
                <w:sz w:val="18"/>
                <w:szCs w:val="18"/>
                <w:lang w:eastAsia="en-GB"/>
              </w:rPr>
            </w:pPr>
            <w:r w:rsidRPr="00CE163D">
              <w:rPr>
                <w:rFonts w:ascii="Arial Narrow" w:hAnsi="Arial Narrow"/>
                <w:color w:val="000000"/>
                <w:sz w:val="18"/>
                <w:szCs w:val="18"/>
                <w:lang w:eastAsia="en-GB"/>
              </w:rPr>
              <w:t>Prezzi alla produzione dell’industria – mercato interno</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55C95D97" w14:textId="3A84873B" w:rsidR="00572D26" w:rsidRPr="001D3C47" w:rsidRDefault="00572D26" w:rsidP="00572D26">
            <w:pPr>
              <w:spacing w:before="40"/>
              <w:ind w:right="-6"/>
              <w:jc w:val="center"/>
              <w:rPr>
                <w:rFonts w:ascii="Arial Narrow" w:hAnsi="Arial Narrow"/>
                <w:color w:val="000000"/>
                <w:sz w:val="18"/>
                <w:szCs w:val="18"/>
                <w:lang w:eastAsia="en-GB"/>
              </w:rPr>
            </w:pPr>
            <w:r w:rsidRPr="008616DF">
              <w:rPr>
                <w:rFonts w:ascii="Arial Narrow" w:hAnsi="Arial Narrow"/>
                <w:color w:val="000000"/>
                <w:sz w:val="18"/>
                <w:szCs w:val="18"/>
                <w:lang w:eastAsia="en-GB"/>
              </w:rPr>
              <w:t>0,6</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29184E30" w14:textId="2B8A8B87" w:rsidR="00572D26" w:rsidRPr="001D3C47"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0,4</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247C433B" w14:textId="0A71CF38"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Lug.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4E2C0653" w14:textId="3F1D5890" w:rsidR="00572D26" w:rsidRPr="006000DA" w:rsidRDefault="00572D26" w:rsidP="00572D26">
            <w:pPr>
              <w:spacing w:before="40"/>
              <w:ind w:right="-6"/>
              <w:jc w:val="center"/>
              <w:rPr>
                <w:rFonts w:ascii="Arial Narrow" w:hAnsi="Arial Narrow"/>
                <w:color w:val="000000"/>
                <w:sz w:val="18"/>
                <w:szCs w:val="18"/>
                <w:lang w:val="en-GB" w:eastAsia="en-GB"/>
              </w:rPr>
            </w:pPr>
            <w:r w:rsidRPr="008616DF">
              <w:rPr>
                <w:rFonts w:ascii="Arial Narrow" w:hAnsi="Arial Narrow"/>
                <w:color w:val="000000"/>
                <w:sz w:val="18"/>
                <w:szCs w:val="18"/>
                <w:lang w:val="en-GB" w:eastAsia="en-GB"/>
              </w:rPr>
              <w:t>2,2</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09FB7A78" w14:textId="7232C01D"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0,8</w:t>
            </w:r>
          </w:p>
        </w:tc>
      </w:tr>
      <w:tr w:rsidR="00572D26" w:rsidRPr="00B53FD8" w14:paraId="7FB72A7E" w14:textId="77777777" w:rsidTr="000E5E59">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0771EFB3" w14:textId="68A45606" w:rsidR="00572D26" w:rsidRPr="00633AA6" w:rsidRDefault="00572D26" w:rsidP="00572D26">
            <w:pPr>
              <w:spacing w:before="40"/>
              <w:ind w:right="-6"/>
              <w:rPr>
                <w:rFonts w:ascii="Arial Narrow" w:hAnsi="Arial Narrow"/>
                <w:color w:val="000000"/>
                <w:sz w:val="18"/>
                <w:szCs w:val="18"/>
                <w:highlight w:val="yellow"/>
                <w:lang w:eastAsia="en-GB"/>
              </w:rPr>
            </w:pPr>
            <w:r w:rsidRPr="00EA28FB">
              <w:rPr>
                <w:rFonts w:ascii="Arial Narrow" w:hAnsi="Arial Narrow"/>
                <w:color w:val="000000"/>
                <w:sz w:val="18"/>
                <w:szCs w:val="18"/>
                <w:lang w:eastAsia="en-GB"/>
              </w:rPr>
              <w:t>Prezzi al consumo (IPCA)*</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39055A41" w14:textId="6455A575"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1,7</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1D643A3F" w14:textId="18B5DAFE"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2,1</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291B3311" w14:textId="54AB33E5"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Ago.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1382E526" w14:textId="68F4FF72"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1,7</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1F9DB1B5" w14:textId="72799D7A"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2,0</w:t>
            </w:r>
          </w:p>
        </w:tc>
      </w:tr>
      <w:tr w:rsidR="00572D26" w:rsidRPr="00B53FD8" w14:paraId="49783E82" w14:textId="77777777" w:rsidTr="000E5E59">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30E61764" w14:textId="02AAD969" w:rsidR="00572D26" w:rsidRPr="00633AA6" w:rsidRDefault="00572D26" w:rsidP="00572D26">
            <w:pPr>
              <w:spacing w:before="40"/>
              <w:ind w:right="-6"/>
              <w:rPr>
                <w:rFonts w:ascii="Arial Narrow" w:hAnsi="Arial Narrow"/>
                <w:color w:val="000000"/>
                <w:sz w:val="18"/>
                <w:szCs w:val="18"/>
                <w:highlight w:val="yellow"/>
                <w:lang w:eastAsia="en-GB"/>
              </w:rPr>
            </w:pPr>
            <w:r w:rsidRPr="007A0BA3">
              <w:rPr>
                <w:rFonts w:ascii="Arial Narrow" w:hAnsi="Arial Narrow"/>
                <w:color w:val="000000"/>
                <w:sz w:val="18"/>
                <w:szCs w:val="18"/>
                <w:lang w:eastAsia="en-GB"/>
              </w:rPr>
              <w:t>Tasso di disoccupazione</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061C154C" w14:textId="66F53A76"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6,0</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7E69C066" w14:textId="2AF34811"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6,2</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3A07074F" w14:textId="44207635"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Lug.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3AB03E16" w14:textId="037810A2" w:rsidR="00572D26" w:rsidRPr="006000DA"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6,2</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164AAA69" w14:textId="3F65C4F5" w:rsidR="00572D26" w:rsidRPr="00F82A4F" w:rsidRDefault="00572D26" w:rsidP="00572D26">
            <w:pPr>
              <w:spacing w:before="40"/>
              <w:ind w:right="-6"/>
              <w:jc w:val="center"/>
              <w:rPr>
                <w:rFonts w:ascii="Arial Narrow" w:hAnsi="Arial Narrow"/>
                <w:color w:val="000000"/>
                <w:sz w:val="18"/>
                <w:szCs w:val="18"/>
                <w:lang w:eastAsia="en-GB"/>
              </w:rPr>
            </w:pPr>
            <w:r>
              <w:rPr>
                <w:rFonts w:ascii="Arial Narrow" w:hAnsi="Arial Narrow"/>
                <w:color w:val="000000"/>
                <w:sz w:val="18"/>
                <w:szCs w:val="18"/>
                <w:lang w:eastAsia="en-GB"/>
              </w:rPr>
              <w:t>6,3</w:t>
            </w:r>
          </w:p>
        </w:tc>
      </w:tr>
      <w:tr w:rsidR="00572D26" w:rsidRPr="00B53FD8" w14:paraId="2D247F39" w14:textId="77777777" w:rsidTr="000E5E59">
        <w:trPr>
          <w:cantSplit/>
          <w:trHeight w:val="332"/>
        </w:trPr>
        <w:tc>
          <w:tcPr>
            <w:tcW w:w="1187" w:type="pct"/>
            <w:tcBorders>
              <w:top w:val="single" w:sz="4" w:space="0" w:color="A6A6A6" w:themeColor="background1" w:themeShade="A6"/>
              <w:bottom w:val="single" w:sz="4" w:space="0" w:color="A6A6A6" w:themeColor="background1" w:themeShade="A6"/>
            </w:tcBorders>
            <w:noWrap/>
            <w:tcMar>
              <w:left w:w="0" w:type="dxa"/>
              <w:right w:w="0" w:type="dxa"/>
            </w:tcMar>
            <w:vAlign w:val="center"/>
            <w:hideMark/>
          </w:tcPr>
          <w:p w14:paraId="2502DC31" w14:textId="3287F6A6" w:rsidR="00572D26" w:rsidRPr="00633AA6" w:rsidRDefault="00572D26" w:rsidP="00572D26">
            <w:pPr>
              <w:spacing w:before="40"/>
              <w:ind w:right="-6"/>
              <w:rPr>
                <w:rFonts w:ascii="Arial Narrow" w:hAnsi="Arial Narrow"/>
                <w:color w:val="000000"/>
                <w:sz w:val="18"/>
                <w:szCs w:val="18"/>
                <w:highlight w:val="yellow"/>
                <w:lang w:val="en-GB" w:eastAsia="en-GB"/>
              </w:rPr>
            </w:pPr>
            <w:r w:rsidRPr="004E6D93">
              <w:rPr>
                <w:rFonts w:ascii="Arial Narrow" w:hAnsi="Arial Narrow"/>
                <w:color w:val="000000"/>
                <w:sz w:val="18"/>
                <w:szCs w:val="18"/>
                <w:lang w:val="en-GB" w:eastAsia="en-GB"/>
              </w:rPr>
              <w:t>Economic Sentiment Indicator**</w:t>
            </w:r>
          </w:p>
        </w:tc>
        <w:tc>
          <w:tcPr>
            <w:tcW w:w="763"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79C60AE8" w14:textId="7D73F544"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-1,0</w:t>
            </w:r>
          </w:p>
        </w:tc>
        <w:tc>
          <w:tcPr>
            <w:tcW w:w="763" w:type="pct"/>
            <w:tcBorders>
              <w:top w:val="single" w:sz="4" w:space="0" w:color="A6A6A6" w:themeColor="background1" w:themeShade="A6"/>
              <w:bottom w:val="single" w:sz="4" w:space="0" w:color="A6A6A6" w:themeColor="background1" w:themeShade="A6"/>
            </w:tcBorders>
            <w:noWrap/>
            <w:tcMar>
              <w:left w:w="0" w:type="dxa"/>
              <w:right w:w="0" w:type="dxa"/>
            </w:tcMar>
            <w:vAlign w:val="center"/>
          </w:tcPr>
          <w:p w14:paraId="3D9D4E95" w14:textId="488EDB23"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-0,5</w:t>
            </w:r>
          </w:p>
        </w:tc>
        <w:tc>
          <w:tcPr>
            <w:tcW w:w="764" w:type="pct"/>
            <w:tcBorders>
              <w:top w:val="single" w:sz="4" w:space="0" w:color="A6A6A6" w:themeColor="background1" w:themeShade="A6"/>
              <w:bottom w:val="single" w:sz="4" w:space="0" w:color="A6A6A6" w:themeColor="background1" w:themeShade="A6"/>
            </w:tcBorders>
            <w:shd w:val="clear" w:color="auto" w:fill="D9D9D9" w:themeFill="background1" w:themeFillShade="D9"/>
            <w:noWrap/>
            <w:tcMar>
              <w:left w:w="0" w:type="dxa"/>
              <w:right w:w="0" w:type="dxa"/>
            </w:tcMar>
            <w:vAlign w:val="center"/>
          </w:tcPr>
          <w:p w14:paraId="56DC7DF9" w14:textId="758DDF36"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Ago. 2025</w:t>
            </w:r>
          </w:p>
        </w:tc>
        <w:tc>
          <w:tcPr>
            <w:tcW w:w="763" w:type="pct"/>
            <w:tcBorders>
              <w:top w:val="single" w:sz="4" w:space="0" w:color="A6A6A6" w:themeColor="background1" w:themeShade="A6"/>
              <w:bottom w:val="single" w:sz="4" w:space="0" w:color="A6A6A6" w:themeColor="background1" w:themeShade="A6"/>
            </w:tcBorders>
            <w:tcMar>
              <w:left w:w="0" w:type="dxa"/>
              <w:right w:w="0" w:type="dxa"/>
            </w:tcMar>
            <w:vAlign w:val="center"/>
          </w:tcPr>
          <w:p w14:paraId="63D99D1C" w14:textId="7D1EA947" w:rsidR="00572D26" w:rsidRPr="006000DA"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0,4</w:t>
            </w:r>
          </w:p>
        </w:tc>
        <w:tc>
          <w:tcPr>
            <w:tcW w:w="760" w:type="pct"/>
            <w:tcBorders>
              <w:top w:val="single" w:sz="4" w:space="0" w:color="A6A6A6" w:themeColor="background1" w:themeShade="A6"/>
              <w:bottom w:val="single" w:sz="4" w:space="0" w:color="A6A6A6" w:themeColor="background1" w:themeShade="A6"/>
            </w:tcBorders>
            <w:shd w:val="clear" w:color="auto" w:fill="D9D9D9" w:themeFill="background1" w:themeFillShade="D9"/>
            <w:tcMar>
              <w:left w:w="0" w:type="dxa"/>
              <w:right w:w="0" w:type="dxa"/>
            </w:tcMar>
            <w:vAlign w:val="center"/>
          </w:tcPr>
          <w:p w14:paraId="2E6D2B57" w14:textId="6C208CF7" w:rsidR="00572D26" w:rsidRPr="003840BC" w:rsidRDefault="00572D26" w:rsidP="00572D26">
            <w:pPr>
              <w:spacing w:before="40"/>
              <w:ind w:right="-6"/>
              <w:jc w:val="center"/>
              <w:rPr>
                <w:rFonts w:ascii="Arial Narrow" w:hAnsi="Arial Narrow"/>
                <w:color w:val="000000"/>
                <w:sz w:val="18"/>
                <w:szCs w:val="18"/>
                <w:lang w:val="en-GB" w:eastAsia="en-GB"/>
              </w:rPr>
            </w:pPr>
            <w:r>
              <w:rPr>
                <w:rFonts w:ascii="Arial Narrow" w:hAnsi="Arial Narrow"/>
                <w:color w:val="000000"/>
                <w:sz w:val="18"/>
                <w:szCs w:val="18"/>
                <w:lang w:val="en-GB" w:eastAsia="en-GB"/>
              </w:rPr>
              <w:t>1,6</w:t>
            </w:r>
          </w:p>
        </w:tc>
      </w:tr>
    </w:tbl>
    <w:p w14:paraId="5B80225F" w14:textId="5DF4AFFA" w:rsidR="00787FD4" w:rsidRPr="006145AE" w:rsidRDefault="00D720AB" w:rsidP="00A457DF">
      <w:pPr>
        <w:pStyle w:val="054tabella-figuranote"/>
        <w:spacing w:before="60" w:after="0"/>
        <w:ind w:left="0" w:right="-6" w:firstLine="0"/>
        <w:rPr>
          <w:color w:val="000000" w:themeColor="text1"/>
        </w:rPr>
      </w:pPr>
      <w:r>
        <w:rPr>
          <w:noProof/>
          <w:color w:val="000000" w:themeColor="text1"/>
          <w:lang w:val="en-GB" w:eastAsia="en-GB"/>
        </w:rPr>
        <mc:AlternateContent>
          <mc:Choice Requires="wps">
            <w:drawing>
              <wp:anchor distT="0" distB="0" distL="114300" distR="114300" simplePos="0" relativeHeight="251657728" behindDoc="0" locked="0" layoutInCell="1" allowOverlap="1" wp14:anchorId="43075915" wp14:editId="0BF15F43">
                <wp:simplePos x="0" y="0"/>
                <wp:positionH relativeFrom="margin">
                  <wp:posOffset>4189730</wp:posOffset>
                </wp:positionH>
                <wp:positionV relativeFrom="paragraph">
                  <wp:posOffset>6325</wp:posOffset>
                </wp:positionV>
                <wp:extent cx="2281381" cy="175491"/>
                <wp:effectExtent l="0" t="0" r="5080" b="0"/>
                <wp:wrapNone/>
                <wp:docPr id="12" name="Casella di testo 1"/>
                <wp:cNvGraphicFramePr/>
                <a:graphic xmlns:a="http://schemas.openxmlformats.org/drawingml/2006/main">
                  <a:graphicData uri="http://schemas.microsoft.com/office/word/2010/wordprocessingShape">
                    <wps:wsp>
                      <wps:cNvSpPr txBox="1"/>
                      <wps:spPr bwMode="auto">
                        <a:xfrm>
                          <a:off x="0" y="0"/>
                          <a:ext cx="2281381" cy="175491"/>
                        </a:xfrm>
                        <a:prstGeom prst="rect">
                          <a:avLst/>
                        </a:prstGeom>
                        <a:noFill/>
                        <a:ln w="9525">
                          <a:noFill/>
                          <a:miter lim="800000"/>
                          <a:headEnd/>
                          <a:tailEnd/>
                        </a:ln>
                      </wps:spPr>
                      <wps:txbx>
                        <w:txbxContent>
                          <w:p w14:paraId="064ADE01" w14:textId="77777777" w:rsidR="000C58CD" w:rsidRPr="00ED1655" w:rsidRDefault="000C58CD" w:rsidP="00D720AB">
                            <w:pPr>
                              <w:pStyle w:val="054tabella-figuranote"/>
                              <w:spacing w:before="60" w:after="0"/>
                              <w:ind w:left="0" w:firstLine="0"/>
                              <w:jc w:val="right"/>
                              <w:rPr>
                                <w:rFonts w:ascii="Arial" w:hAnsi="Arial"/>
                                <w:i/>
                                <w:color w:val="000000" w:themeColor="text1"/>
                              </w:rPr>
                            </w:pPr>
                            <w:r w:rsidRPr="00ED1655">
                              <w:rPr>
                                <w:rFonts w:ascii="Arial" w:hAnsi="Arial"/>
                                <w:i/>
                                <w:color w:val="000000" w:themeColor="text1"/>
                              </w:rPr>
                              <w:t>Fonte: Eurostat, Commissione europea, Istat</w:t>
                            </w:r>
                          </w:p>
                          <w:p w14:paraId="01337DAC" w14:textId="77777777" w:rsidR="000C58CD" w:rsidRDefault="000C58CD" w:rsidP="00D720A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075915" id="_x0000_s1027" type="#_x0000_t202" style="position:absolute;left:0;text-align:left;margin-left:329.9pt;margin-top:.5pt;width:179.65pt;height:13.8pt;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" filled="f" stroked="f">
                <v:textbox inset="0,0,0,0">
                  <w:txbxContent>
                    <w:p w14:paraId="064ADE01" w14:textId="77777777" w:rsidR="000C58CD" w:rsidRPr="00ED1655" w:rsidRDefault="000C58CD" w:rsidP="00D720AB">
                      <w:pPr>
                        <w:pStyle w:val="054tabella-figuranote"/>
                        <w:spacing w:before="60" w:after="0"/>
                        <w:ind w:left="0" w:firstLine="0"/>
                        <w:jc w:val="right"/>
                        <w:rPr>
                          <w:rFonts w:ascii="Arial" w:hAnsi="Arial"/>
                          <w:i/>
                          <w:color w:val="000000" w:themeColor="text1"/>
                        </w:rPr>
                      </w:pPr>
                      <w:r w:rsidRPr="00ED1655">
                        <w:rPr>
                          <w:rFonts w:ascii="Arial" w:hAnsi="Arial"/>
                          <w:i/>
                          <w:color w:val="000000" w:themeColor="text1"/>
                        </w:rPr>
                        <w:t>Fonte: Eurostat, Commissione europea, Istat</w:t>
                      </w:r>
                    </w:p>
                    <w:p w14:paraId="01337DAC" w14:textId="77777777" w:rsidR="000C58CD" w:rsidRDefault="000C58CD" w:rsidP="00D720AB"/>
                  </w:txbxContent>
                </v:textbox>
                <w10:wrap anchorx="margin"/>
              </v:shape>
            </w:pict>
          </mc:Fallback>
        </mc:AlternateContent>
      </w:r>
      <w:r>
        <w:rPr>
          <w:color w:val="000000" w:themeColor="text1"/>
        </w:rPr>
        <w:t xml:space="preserve">* </w:t>
      </w:r>
      <w:r w:rsidRPr="00ED1655">
        <w:rPr>
          <w:rFonts w:ascii="Arial" w:hAnsi="Arial"/>
          <w:color w:val="000000" w:themeColor="text1"/>
        </w:rPr>
        <w:t xml:space="preserve">Variazioni tendenziali   ** Differenze </w:t>
      </w:r>
      <w:r>
        <w:rPr>
          <w:rFonts w:ascii="Arial" w:hAnsi="Arial"/>
          <w:color w:val="000000" w:themeColor="text1"/>
        </w:rPr>
        <w:t xml:space="preserve">assolute rispetto al </w:t>
      </w:r>
      <w:r w:rsidRPr="00ED1655">
        <w:rPr>
          <w:rFonts w:ascii="Arial" w:hAnsi="Arial"/>
          <w:color w:val="000000" w:themeColor="text1"/>
        </w:rPr>
        <w:t>mese precedente</w:t>
      </w:r>
      <w:r w:rsidR="00787FD4">
        <w:rPr>
          <w:smallCaps/>
          <w:sz w:val="24"/>
          <w:szCs w:val="24"/>
        </w:rPr>
        <w:br w:type="page"/>
      </w:r>
    </w:p>
    <w:p w14:paraId="06D28BCC" w14:textId="3B683B3C" w:rsidR="004C1120" w:rsidRPr="00292DDA" w:rsidRDefault="00F30F0E" w:rsidP="00A457DF">
      <w:pPr>
        <w:pStyle w:val="012titoloparagrafo"/>
        <w:pBdr>
          <w:top w:val="single" w:sz="8" w:space="1" w:color="068080"/>
          <w:bottom w:val="single" w:sz="8" w:space="1" w:color="068080"/>
        </w:pBdr>
        <w:shd w:val="clear" w:color="auto" w:fill="068080"/>
        <w:spacing w:before="0" w:after="0"/>
        <w:ind w:right="-6"/>
        <w:rPr>
          <w:b w:val="0"/>
          <w:bCs/>
          <w:smallCaps/>
          <w:color w:val="FFFFFF" w:themeColor="background1"/>
          <w:sz w:val="24"/>
          <w:szCs w:val="24"/>
        </w:rPr>
      </w:pPr>
      <w:r>
        <w:rPr>
          <w:b w:val="0"/>
          <w:bCs/>
          <w:smallCaps/>
          <w:color w:val="FFFFFF" w:themeColor="background1"/>
          <w:sz w:val="24"/>
          <w:szCs w:val="24"/>
        </w:rPr>
        <w:lastRenderedPageBreak/>
        <w:t xml:space="preserve"> </w:t>
      </w:r>
      <w:r w:rsidR="004C1120" w:rsidRPr="00292DDA">
        <w:rPr>
          <w:b w:val="0"/>
          <w:bCs/>
          <w:smallCaps/>
          <w:color w:val="FFFFFF" w:themeColor="background1"/>
          <w:sz w:val="24"/>
          <w:szCs w:val="24"/>
        </w:rPr>
        <w:t>IL QUADRO INTERNAZIONAL</w:t>
      </w:r>
      <w:r w:rsidR="004C1120">
        <w:rPr>
          <w:b w:val="0"/>
          <w:bCs/>
          <w:smallCaps/>
          <w:color w:val="FFFFFF" w:themeColor="background1"/>
          <w:sz w:val="24"/>
          <w:szCs w:val="24"/>
        </w:rPr>
        <w:t>E</w:t>
      </w:r>
    </w:p>
    <w:p w14:paraId="6B4DF8D9" w14:textId="26406AF7" w:rsidR="00AA1311" w:rsidRPr="00AA1311" w:rsidRDefault="004F1354" w:rsidP="003D4853">
      <w:pPr>
        <w:autoSpaceDE w:val="0"/>
        <w:autoSpaceDN w:val="0"/>
        <w:adjustRightInd w:val="0"/>
        <w:spacing w:before="120" w:after="120"/>
        <w:jc w:val="both"/>
        <w:rPr>
          <w:rFonts w:ascii="Arial" w:eastAsia="Times New Roman" w:hAnsi="Arial" w:cs="Arial"/>
          <w:color w:val="000000"/>
          <w:sz w:val="22"/>
          <w:szCs w:val="22"/>
          <w:lang w:eastAsia="it-IT"/>
        </w:rPr>
      </w:pPr>
      <w:r>
        <w:rPr>
          <w:rFonts w:ascii="Arial" w:eastAsia="Times New Roman" w:hAnsi="Arial" w:cs="Arial"/>
          <w:b/>
          <w:iCs/>
          <w:noProof/>
          <w:color w:val="008080"/>
          <w:sz w:val="22"/>
          <w:szCs w:val="22"/>
          <w:lang w:eastAsia="it-IT"/>
        </w:rPr>
        <w:t xml:space="preserve">Economia </w:t>
      </w:r>
      <w:r w:rsidR="001C3CF6" w:rsidRPr="001C3CF6">
        <w:rPr>
          <w:rFonts w:ascii="Arial" w:eastAsia="Times New Roman" w:hAnsi="Arial" w:cs="Arial"/>
          <w:b/>
          <w:iCs/>
          <w:noProof/>
          <w:color w:val="008080"/>
          <w:sz w:val="22"/>
          <w:szCs w:val="22"/>
          <w:lang w:eastAsia="it-IT"/>
        </w:rPr>
        <w:t xml:space="preserve">internazionale </w:t>
      </w:r>
      <w:r>
        <w:rPr>
          <w:rFonts w:ascii="Arial" w:eastAsia="Times New Roman" w:hAnsi="Arial" w:cs="Arial"/>
          <w:b/>
          <w:iCs/>
          <w:noProof/>
          <w:color w:val="008080"/>
          <w:sz w:val="22"/>
          <w:szCs w:val="22"/>
          <w:lang w:eastAsia="it-IT"/>
        </w:rPr>
        <w:t>resiliente</w:t>
      </w:r>
      <w:r w:rsidR="00570370">
        <w:rPr>
          <w:rFonts w:ascii="Arial" w:eastAsia="Times New Roman" w:hAnsi="Arial" w:cs="Arial"/>
          <w:b/>
          <w:iCs/>
          <w:noProof/>
          <w:color w:val="008080"/>
          <w:sz w:val="22"/>
          <w:szCs w:val="22"/>
          <w:lang w:eastAsia="it-IT"/>
        </w:rPr>
        <w:t xml:space="preserve"> nel primo semestre</w:t>
      </w:r>
      <w:r>
        <w:rPr>
          <w:rFonts w:ascii="Arial" w:eastAsia="Times New Roman" w:hAnsi="Arial" w:cs="Arial"/>
          <w:b/>
          <w:iCs/>
          <w:noProof/>
          <w:color w:val="008080"/>
          <w:sz w:val="22"/>
          <w:szCs w:val="22"/>
          <w:lang w:eastAsia="it-IT"/>
        </w:rPr>
        <w:t>…</w:t>
      </w:r>
      <w:r w:rsidR="001C3CF6">
        <w:rPr>
          <w:rFonts w:ascii="Arial" w:eastAsia="Times New Roman" w:hAnsi="Arial" w:cs="Arial"/>
          <w:b/>
          <w:iCs/>
          <w:noProof/>
          <w:color w:val="008080"/>
          <w:sz w:val="22"/>
          <w:szCs w:val="22"/>
          <w:lang w:eastAsia="it-IT"/>
        </w:rPr>
        <w:t xml:space="preserve"> </w:t>
      </w:r>
      <w:r w:rsidRPr="004F1354">
        <w:rPr>
          <w:rFonts w:ascii="Arial" w:eastAsia="Times New Roman" w:hAnsi="Arial" w:cs="Arial"/>
          <w:color w:val="000000"/>
          <w:sz w:val="22"/>
          <w:szCs w:val="22"/>
          <w:lang w:eastAsia="it-IT"/>
        </w:rPr>
        <w:t>Nel</w:t>
      </w:r>
      <w:r w:rsidR="007545A5">
        <w:rPr>
          <w:rFonts w:ascii="Arial" w:eastAsia="Times New Roman" w:hAnsi="Arial" w:cs="Arial"/>
          <w:color w:val="000000"/>
          <w:sz w:val="22"/>
          <w:szCs w:val="22"/>
          <w:lang w:eastAsia="it-IT"/>
        </w:rPr>
        <w:t>la</w:t>
      </w:r>
      <w:r w:rsidRPr="004F1354">
        <w:rPr>
          <w:rFonts w:ascii="Arial" w:eastAsia="Times New Roman" w:hAnsi="Arial" w:cs="Arial"/>
          <w:color w:val="000000"/>
          <w:sz w:val="22"/>
          <w:szCs w:val="22"/>
          <w:lang w:eastAsia="it-IT"/>
        </w:rPr>
        <w:t xml:space="preserve"> prima metà del 2025 il ciclo internazionale</w:t>
      </w:r>
      <w:r w:rsidR="008F40C0">
        <w:rPr>
          <w:rFonts w:ascii="Arial" w:eastAsia="Times New Roman" w:hAnsi="Arial" w:cs="Arial"/>
          <w:color w:val="000000"/>
          <w:sz w:val="22"/>
          <w:szCs w:val="22"/>
          <w:lang w:eastAsia="it-IT"/>
        </w:rPr>
        <w:t xml:space="preserve"> ha</w:t>
      </w:r>
      <w:r w:rsidRPr="004F1354">
        <w:rPr>
          <w:rFonts w:ascii="Arial" w:eastAsia="Times New Roman" w:hAnsi="Arial" w:cs="Arial"/>
          <w:color w:val="000000"/>
          <w:sz w:val="22"/>
          <w:szCs w:val="22"/>
          <w:lang w:eastAsia="it-IT"/>
        </w:rPr>
        <w:t xml:space="preserve"> evidenzia</w:t>
      </w:r>
      <w:r w:rsidR="008F40C0">
        <w:rPr>
          <w:rFonts w:ascii="Arial" w:eastAsia="Times New Roman" w:hAnsi="Arial" w:cs="Arial"/>
          <w:color w:val="000000"/>
          <w:sz w:val="22"/>
          <w:szCs w:val="22"/>
          <w:lang w:eastAsia="it-IT"/>
        </w:rPr>
        <w:t>to</w:t>
      </w:r>
      <w:r w:rsidRPr="004F1354">
        <w:rPr>
          <w:rFonts w:ascii="Arial" w:eastAsia="Times New Roman" w:hAnsi="Arial" w:cs="Arial"/>
          <w:color w:val="000000"/>
          <w:sz w:val="22"/>
          <w:szCs w:val="22"/>
          <w:lang w:eastAsia="it-IT"/>
        </w:rPr>
        <w:t xml:space="preserve"> segnali di resilienza. I flussi commerciali, in </w:t>
      </w:r>
      <w:r w:rsidR="007545A5">
        <w:rPr>
          <w:rFonts w:ascii="Arial" w:eastAsia="Times New Roman" w:hAnsi="Arial" w:cs="Arial"/>
          <w:color w:val="000000"/>
          <w:sz w:val="22"/>
          <w:szCs w:val="22"/>
          <w:lang w:eastAsia="it-IT"/>
        </w:rPr>
        <w:t>previsione</w:t>
      </w:r>
      <w:r w:rsidRPr="004F1354">
        <w:rPr>
          <w:rFonts w:ascii="Arial" w:eastAsia="Times New Roman" w:hAnsi="Arial" w:cs="Arial"/>
          <w:color w:val="000000"/>
          <w:sz w:val="22"/>
          <w:szCs w:val="22"/>
          <w:lang w:eastAsia="it-IT"/>
        </w:rPr>
        <w:t xml:space="preserve"> del</w:t>
      </w:r>
      <w:r w:rsidR="007545A5">
        <w:rPr>
          <w:rFonts w:ascii="Arial" w:eastAsia="Times New Roman" w:hAnsi="Arial" w:cs="Arial"/>
          <w:color w:val="000000"/>
          <w:sz w:val="22"/>
          <w:szCs w:val="22"/>
          <w:lang w:eastAsia="it-IT"/>
        </w:rPr>
        <w:t>l’annunciato</w:t>
      </w:r>
      <w:r w:rsidRPr="004F1354">
        <w:rPr>
          <w:rFonts w:ascii="Arial" w:eastAsia="Times New Roman" w:hAnsi="Arial" w:cs="Arial"/>
          <w:color w:val="000000"/>
          <w:sz w:val="22"/>
          <w:szCs w:val="22"/>
          <w:lang w:eastAsia="it-IT"/>
        </w:rPr>
        <w:t xml:space="preserve"> incremento dei dazi, sono stati particolarmente intensi</w:t>
      </w:r>
      <w:r w:rsidR="007545A5">
        <w:rPr>
          <w:rFonts w:ascii="Arial" w:eastAsia="Times New Roman" w:hAnsi="Arial" w:cs="Arial"/>
          <w:color w:val="000000"/>
          <w:sz w:val="22"/>
          <w:szCs w:val="22"/>
          <w:lang w:eastAsia="it-IT"/>
        </w:rPr>
        <w:t>.</w:t>
      </w:r>
      <w:r w:rsidRPr="004F1354">
        <w:rPr>
          <w:rFonts w:ascii="Arial" w:eastAsia="Times New Roman" w:hAnsi="Arial" w:cs="Arial"/>
          <w:color w:val="000000"/>
          <w:sz w:val="22"/>
          <w:szCs w:val="22"/>
          <w:lang w:eastAsia="it-IT"/>
        </w:rPr>
        <w:t xml:space="preserve"> </w:t>
      </w:r>
      <w:r w:rsidR="007545A5">
        <w:rPr>
          <w:rFonts w:ascii="Arial" w:eastAsia="Times New Roman" w:hAnsi="Arial" w:cs="Arial"/>
          <w:color w:val="000000"/>
          <w:sz w:val="22"/>
          <w:szCs w:val="22"/>
          <w:lang w:eastAsia="it-IT"/>
        </w:rPr>
        <w:t>L</w:t>
      </w:r>
      <w:r w:rsidRPr="004F1354">
        <w:rPr>
          <w:rFonts w:ascii="Arial" w:eastAsia="Times New Roman" w:hAnsi="Arial" w:cs="Arial"/>
          <w:color w:val="000000"/>
          <w:sz w:val="22"/>
          <w:szCs w:val="22"/>
          <w:lang w:eastAsia="it-IT"/>
        </w:rPr>
        <w:t xml:space="preserve">e aliquote medie effettive, una volta definito il quadro tariffario da parte della amministrazione statunitense, sono risultate </w:t>
      </w:r>
      <w:r w:rsidR="007545A5">
        <w:rPr>
          <w:rFonts w:ascii="Arial" w:eastAsia="Times New Roman" w:hAnsi="Arial" w:cs="Arial"/>
          <w:color w:val="000000"/>
          <w:sz w:val="22"/>
          <w:szCs w:val="22"/>
          <w:lang w:eastAsia="it-IT"/>
        </w:rPr>
        <w:t xml:space="preserve">tuttavia </w:t>
      </w:r>
      <w:r w:rsidRPr="004F1354">
        <w:rPr>
          <w:rFonts w:ascii="Arial" w:eastAsia="Times New Roman" w:hAnsi="Arial" w:cs="Arial"/>
          <w:color w:val="000000"/>
          <w:sz w:val="22"/>
          <w:szCs w:val="22"/>
          <w:lang w:eastAsia="it-IT"/>
        </w:rPr>
        <w:t>inferiori rispetto a quanto previsto</w:t>
      </w:r>
      <w:r w:rsidR="008F40C0">
        <w:rPr>
          <w:rFonts w:ascii="Arial" w:eastAsia="Times New Roman" w:hAnsi="Arial" w:cs="Arial"/>
          <w:color w:val="000000"/>
          <w:sz w:val="22"/>
          <w:szCs w:val="22"/>
          <w:lang w:eastAsia="it-IT"/>
        </w:rPr>
        <w:t>.</w:t>
      </w:r>
      <w:r w:rsidRPr="004F1354">
        <w:rPr>
          <w:rFonts w:ascii="Arial" w:eastAsia="Times New Roman" w:hAnsi="Arial" w:cs="Arial"/>
          <w:color w:val="000000"/>
          <w:sz w:val="22"/>
          <w:szCs w:val="22"/>
          <w:lang w:eastAsia="it-IT"/>
        </w:rPr>
        <w:t xml:space="preserve"> </w:t>
      </w:r>
      <w:r w:rsidR="008F40C0">
        <w:rPr>
          <w:rFonts w:ascii="Arial" w:eastAsia="Times New Roman" w:hAnsi="Arial" w:cs="Arial"/>
          <w:color w:val="000000"/>
          <w:sz w:val="22"/>
          <w:szCs w:val="22"/>
          <w:lang w:eastAsia="it-IT"/>
        </w:rPr>
        <w:t>Nello stesso periodo l</w:t>
      </w:r>
      <w:r w:rsidR="008F40C0" w:rsidRPr="004F1354">
        <w:rPr>
          <w:rFonts w:ascii="Arial" w:eastAsia="Times New Roman" w:hAnsi="Arial" w:cs="Arial"/>
          <w:color w:val="000000"/>
          <w:sz w:val="22"/>
          <w:szCs w:val="22"/>
          <w:lang w:eastAsia="it-IT"/>
        </w:rPr>
        <w:t xml:space="preserve">e </w:t>
      </w:r>
      <w:r w:rsidRPr="004F1354">
        <w:rPr>
          <w:rFonts w:ascii="Arial" w:eastAsia="Times New Roman" w:hAnsi="Arial" w:cs="Arial"/>
          <w:color w:val="000000"/>
          <w:sz w:val="22"/>
          <w:szCs w:val="22"/>
          <w:lang w:eastAsia="it-IT"/>
        </w:rPr>
        <w:t>condizi</w:t>
      </w:r>
      <w:r w:rsidR="00CA2C96">
        <w:rPr>
          <w:rFonts w:ascii="Arial" w:eastAsia="Times New Roman" w:hAnsi="Arial" w:cs="Arial"/>
          <w:color w:val="000000"/>
          <w:sz w:val="22"/>
          <w:szCs w:val="22"/>
          <w:lang w:eastAsia="it-IT"/>
        </w:rPr>
        <w:t>oni finanziarie sono migliorate</w:t>
      </w:r>
      <w:r w:rsidRPr="004F1354">
        <w:rPr>
          <w:rFonts w:ascii="Arial" w:eastAsia="Times New Roman" w:hAnsi="Arial" w:cs="Arial"/>
          <w:color w:val="000000"/>
          <w:sz w:val="22"/>
          <w:szCs w:val="22"/>
          <w:lang w:eastAsia="it-IT"/>
        </w:rPr>
        <w:t xml:space="preserve"> e si è ridotta la volatilità sui mercati azionari. Sulla base di questi elementi, il F</w:t>
      </w:r>
      <w:r w:rsidR="007545A5">
        <w:rPr>
          <w:rFonts w:ascii="Arial" w:eastAsia="Times New Roman" w:hAnsi="Arial" w:cs="Arial"/>
          <w:color w:val="000000"/>
          <w:sz w:val="22"/>
          <w:szCs w:val="22"/>
          <w:lang w:eastAsia="it-IT"/>
        </w:rPr>
        <w:t xml:space="preserve">ondo </w:t>
      </w:r>
      <w:r w:rsidRPr="004F1354">
        <w:rPr>
          <w:rFonts w:ascii="Arial" w:eastAsia="Times New Roman" w:hAnsi="Arial" w:cs="Arial"/>
          <w:color w:val="000000"/>
          <w:sz w:val="22"/>
          <w:szCs w:val="22"/>
          <w:lang w:eastAsia="it-IT"/>
        </w:rPr>
        <w:t>M</w:t>
      </w:r>
      <w:r w:rsidR="007545A5">
        <w:rPr>
          <w:rFonts w:ascii="Arial" w:eastAsia="Times New Roman" w:hAnsi="Arial" w:cs="Arial"/>
          <w:color w:val="000000"/>
          <w:sz w:val="22"/>
          <w:szCs w:val="22"/>
          <w:lang w:eastAsia="it-IT"/>
        </w:rPr>
        <w:t xml:space="preserve">onetario </w:t>
      </w:r>
      <w:r w:rsidRPr="004F1354">
        <w:rPr>
          <w:rFonts w:ascii="Arial" w:eastAsia="Times New Roman" w:hAnsi="Arial" w:cs="Arial"/>
          <w:color w:val="000000"/>
          <w:sz w:val="22"/>
          <w:szCs w:val="22"/>
          <w:lang w:eastAsia="it-IT"/>
        </w:rPr>
        <w:t>I</w:t>
      </w:r>
      <w:r w:rsidR="007545A5">
        <w:rPr>
          <w:rFonts w:ascii="Arial" w:eastAsia="Times New Roman" w:hAnsi="Arial" w:cs="Arial"/>
          <w:color w:val="000000"/>
          <w:sz w:val="22"/>
          <w:szCs w:val="22"/>
          <w:lang w:eastAsia="it-IT"/>
        </w:rPr>
        <w:t>nternazionale</w:t>
      </w:r>
      <w:r w:rsidRPr="004F1354">
        <w:rPr>
          <w:rFonts w:ascii="Arial" w:eastAsia="Times New Roman" w:hAnsi="Arial" w:cs="Arial"/>
          <w:color w:val="000000"/>
          <w:sz w:val="22"/>
          <w:szCs w:val="22"/>
          <w:lang w:eastAsia="it-IT"/>
        </w:rPr>
        <w:t xml:space="preserve"> ha rivisto al rialzo le proprie stime sulla crescita mon</w:t>
      </w:r>
      <w:r w:rsidR="002A2162">
        <w:rPr>
          <w:rFonts w:ascii="Arial" w:eastAsia="Times New Roman" w:hAnsi="Arial" w:cs="Arial"/>
          <w:color w:val="000000"/>
          <w:sz w:val="22"/>
          <w:szCs w:val="22"/>
          <w:lang w:eastAsia="it-IT"/>
        </w:rPr>
        <w:t>diale: il Pil</w:t>
      </w:r>
      <w:r w:rsidR="00E27C2F">
        <w:rPr>
          <w:rFonts w:ascii="Arial" w:eastAsia="Times New Roman" w:hAnsi="Arial" w:cs="Arial"/>
          <w:color w:val="000000"/>
          <w:sz w:val="22"/>
          <w:szCs w:val="22"/>
          <w:lang w:eastAsia="it-IT"/>
        </w:rPr>
        <w:t xml:space="preserve"> </w:t>
      </w:r>
      <w:r w:rsidR="008F40C0">
        <w:rPr>
          <w:rFonts w:ascii="Arial" w:eastAsia="Times New Roman" w:hAnsi="Arial" w:cs="Arial"/>
          <w:color w:val="000000"/>
          <w:sz w:val="22"/>
          <w:szCs w:val="22"/>
          <w:lang w:eastAsia="it-IT"/>
        </w:rPr>
        <w:t xml:space="preserve">aumenterebbe </w:t>
      </w:r>
      <w:r w:rsidR="00E27C2F">
        <w:rPr>
          <w:rFonts w:ascii="Arial" w:eastAsia="Times New Roman" w:hAnsi="Arial" w:cs="Arial"/>
          <w:color w:val="000000"/>
          <w:sz w:val="22"/>
          <w:szCs w:val="22"/>
          <w:lang w:eastAsia="it-IT"/>
        </w:rPr>
        <w:t>del 3,</w:t>
      </w:r>
      <w:r w:rsidRPr="004F1354">
        <w:rPr>
          <w:rFonts w:ascii="Arial" w:eastAsia="Times New Roman" w:hAnsi="Arial" w:cs="Arial"/>
          <w:color w:val="000000"/>
          <w:sz w:val="22"/>
          <w:szCs w:val="22"/>
          <w:lang w:eastAsia="it-IT"/>
        </w:rPr>
        <w:t>0% nel 2025 (+0,2 p.p. rispetto alle previsioni di aprile) e del 3,1% (+0,1p.p.) nel 2026.</w:t>
      </w:r>
    </w:p>
    <w:p w14:paraId="4A1A745B" w14:textId="14CE6007" w:rsidR="00A624C2" w:rsidRDefault="00A624C2" w:rsidP="00A624C2">
      <w:pPr>
        <w:autoSpaceDE w:val="0"/>
        <w:autoSpaceDN w:val="0"/>
        <w:adjustRightInd w:val="0"/>
        <w:spacing w:before="60" w:after="120"/>
        <w:jc w:val="both"/>
        <w:rPr>
          <w:rFonts w:ascii="Arial" w:eastAsia="Times New Roman" w:hAnsi="Arial" w:cs="Arial"/>
          <w:color w:val="000000"/>
          <w:sz w:val="22"/>
          <w:szCs w:val="22"/>
          <w:lang w:eastAsia="it-IT"/>
        </w:rPr>
      </w:pPr>
      <w:r>
        <w:rPr>
          <w:rFonts w:ascii="Arial" w:eastAsia="Times New Roman" w:hAnsi="Arial" w:cs="Arial"/>
          <w:b/>
          <w:iCs/>
          <w:noProof/>
          <w:color w:val="008080"/>
          <w:sz w:val="22"/>
          <w:szCs w:val="22"/>
          <w:lang w:eastAsia="it-IT"/>
        </w:rPr>
        <w:t xml:space="preserve">…ma prospettive ancora incerte. </w:t>
      </w:r>
      <w:r w:rsidRPr="00A624C2">
        <w:rPr>
          <w:rFonts w:ascii="Arial" w:eastAsia="Times New Roman" w:hAnsi="Arial" w:cs="Arial"/>
          <w:color w:val="000000"/>
          <w:sz w:val="22"/>
          <w:szCs w:val="22"/>
          <w:lang w:eastAsia="it-IT"/>
        </w:rPr>
        <w:t xml:space="preserve">L’incertezza, tuttavia, continua a caratterizzare l’evoluzione del ciclo economico </w:t>
      </w:r>
      <w:r w:rsidR="002A2162">
        <w:rPr>
          <w:rFonts w:ascii="Arial" w:eastAsia="Times New Roman" w:hAnsi="Arial" w:cs="Arial"/>
          <w:color w:val="000000"/>
          <w:sz w:val="22"/>
          <w:szCs w:val="22"/>
          <w:lang w:eastAsia="it-IT"/>
        </w:rPr>
        <w:t xml:space="preserve">mondiale </w:t>
      </w:r>
      <w:r w:rsidRPr="00A624C2">
        <w:rPr>
          <w:rFonts w:ascii="Arial" w:eastAsia="Times New Roman" w:hAnsi="Arial" w:cs="Arial"/>
          <w:color w:val="000000"/>
          <w:sz w:val="22"/>
          <w:szCs w:val="22"/>
          <w:lang w:eastAsia="it-IT"/>
        </w:rPr>
        <w:t>per i prossimi mesi.</w:t>
      </w:r>
      <w:r w:rsidR="002F4A3C">
        <w:rPr>
          <w:rFonts w:ascii="Arial" w:eastAsia="Times New Roman" w:hAnsi="Arial" w:cs="Arial"/>
          <w:color w:val="000000"/>
          <w:sz w:val="22"/>
          <w:szCs w:val="22"/>
          <w:lang w:eastAsia="it-IT"/>
        </w:rPr>
        <w:t xml:space="preserve"> </w:t>
      </w:r>
      <w:r w:rsidRPr="00A624C2">
        <w:rPr>
          <w:rFonts w:ascii="Arial" w:eastAsia="Times New Roman" w:hAnsi="Arial" w:cs="Arial"/>
          <w:color w:val="000000"/>
          <w:sz w:val="22"/>
          <w:szCs w:val="22"/>
          <w:lang w:eastAsia="it-IT"/>
        </w:rPr>
        <w:t>Gli scambi internazionali di merci in volume (</w:t>
      </w:r>
      <w:r w:rsidR="00C82FC0">
        <w:rPr>
          <w:rFonts w:ascii="Arial" w:eastAsia="Times New Roman" w:hAnsi="Arial" w:cs="Arial"/>
          <w:color w:val="000000"/>
          <w:sz w:val="22"/>
          <w:szCs w:val="22"/>
          <w:lang w:eastAsia="it-IT"/>
        </w:rPr>
        <w:t>f</w:t>
      </w:r>
      <w:r w:rsidRPr="00A624C2">
        <w:rPr>
          <w:rFonts w:ascii="Arial" w:eastAsia="Times New Roman" w:hAnsi="Arial" w:cs="Arial"/>
          <w:color w:val="000000"/>
          <w:sz w:val="22"/>
          <w:szCs w:val="22"/>
          <w:lang w:eastAsia="it-IT"/>
        </w:rPr>
        <w:t>onte CPB), dopo il decremento di maggio (-0,4% rispetto al mese precedente) hanno evidenziato una nuova contrazione in giugno (-0,3%). Per quanto riguarda le importazioni, si evidenzia un forte calo per gli Stati Uniti (-4,5% su base congiunturale, dopo il +0,3</w:t>
      </w:r>
      <w:r w:rsidR="002A25BD">
        <w:rPr>
          <w:rFonts w:ascii="Arial" w:eastAsia="Times New Roman" w:hAnsi="Arial" w:cs="Arial"/>
          <w:color w:val="000000"/>
          <w:sz w:val="22"/>
          <w:szCs w:val="22"/>
          <w:lang w:eastAsia="it-IT"/>
        </w:rPr>
        <w:t>%</w:t>
      </w:r>
      <w:r w:rsidRPr="00A624C2">
        <w:rPr>
          <w:rFonts w:ascii="Arial" w:eastAsia="Times New Roman" w:hAnsi="Arial" w:cs="Arial"/>
          <w:color w:val="000000"/>
          <w:sz w:val="22"/>
          <w:szCs w:val="22"/>
          <w:lang w:eastAsia="it-IT"/>
        </w:rPr>
        <w:t xml:space="preserve"> e il -20%</w:t>
      </w:r>
      <w:r w:rsidR="00093281">
        <w:rPr>
          <w:rFonts w:ascii="Arial" w:eastAsia="Times New Roman" w:hAnsi="Arial" w:cs="Arial"/>
          <w:color w:val="000000"/>
          <w:sz w:val="22"/>
          <w:szCs w:val="22"/>
          <w:lang w:eastAsia="it-IT"/>
        </w:rPr>
        <w:t>,</w:t>
      </w:r>
      <w:r w:rsidRPr="00A624C2">
        <w:rPr>
          <w:rFonts w:ascii="Arial" w:eastAsia="Times New Roman" w:hAnsi="Arial" w:cs="Arial"/>
          <w:color w:val="000000"/>
          <w:sz w:val="22"/>
          <w:szCs w:val="22"/>
          <w:lang w:eastAsia="it-IT"/>
        </w:rPr>
        <w:t xml:space="preserve"> rispettivamente di maggio e aprile). Su base trimestrale, nel periodo aprile-giugno la flessione delle importazioni statunitensi (-18,1% su base congiunturale) ha quasi completamente compensato il forte incremento de</w:t>
      </w:r>
      <w:r w:rsidR="00C82FC0">
        <w:rPr>
          <w:rFonts w:ascii="Arial" w:eastAsia="Times New Roman" w:hAnsi="Arial" w:cs="Arial"/>
          <w:color w:val="000000"/>
          <w:sz w:val="22"/>
          <w:szCs w:val="22"/>
          <w:lang w:eastAsia="it-IT"/>
        </w:rPr>
        <w:t xml:space="preserve">i primi tre mesi dell’anno </w:t>
      </w:r>
      <w:r w:rsidRPr="00A624C2">
        <w:rPr>
          <w:rFonts w:ascii="Arial" w:eastAsia="Times New Roman" w:hAnsi="Arial" w:cs="Arial"/>
          <w:color w:val="000000"/>
          <w:sz w:val="22"/>
          <w:szCs w:val="22"/>
          <w:lang w:eastAsia="it-IT"/>
        </w:rPr>
        <w:t xml:space="preserve">(+18,4%) che aveva a sua volta beneficiato di un effetto di anticipo sulle attese dell’aumento dei dazi. </w:t>
      </w:r>
    </w:p>
    <w:p w14:paraId="29ECFF39" w14:textId="3B1A8BBC" w:rsidR="0046476F" w:rsidRDefault="00D33A9E" w:rsidP="00A624C2">
      <w:pPr>
        <w:autoSpaceDE w:val="0"/>
        <w:autoSpaceDN w:val="0"/>
        <w:adjustRightInd w:val="0"/>
        <w:spacing w:before="60" w:after="120"/>
        <w:jc w:val="both"/>
        <w:rPr>
          <w:rFonts w:ascii="Arial" w:eastAsia="Times New Roman" w:hAnsi="Arial" w:cs="Arial"/>
          <w:color w:val="000000"/>
          <w:sz w:val="22"/>
          <w:szCs w:val="22"/>
          <w:lang w:eastAsia="it-IT"/>
        </w:rPr>
      </w:pPr>
      <w:r>
        <w:rPr>
          <w:rFonts w:ascii="Arial" w:eastAsia="Times New Roman" w:hAnsi="Arial" w:cs="Arial"/>
          <w:b/>
          <w:iCs/>
          <w:noProof/>
          <w:color w:val="008080"/>
          <w:sz w:val="22"/>
          <w:szCs w:val="22"/>
          <w:lang w:eastAsia="it-IT"/>
        </w:rPr>
        <w:t>Segnali</w:t>
      </w:r>
      <w:r w:rsidR="00336A54" w:rsidRPr="003418F8">
        <w:rPr>
          <w:rFonts w:ascii="Arial" w:eastAsia="Times New Roman" w:hAnsi="Arial" w:cs="Arial"/>
          <w:b/>
          <w:iCs/>
          <w:noProof/>
          <w:color w:val="008080"/>
          <w:sz w:val="22"/>
          <w:szCs w:val="22"/>
          <w:lang w:eastAsia="it-IT"/>
        </w:rPr>
        <w:t xml:space="preserve"> </w:t>
      </w:r>
      <w:r>
        <w:rPr>
          <w:rFonts w:ascii="Arial" w:eastAsia="Times New Roman" w:hAnsi="Arial" w:cs="Arial"/>
          <w:b/>
          <w:iCs/>
          <w:noProof/>
          <w:color w:val="008080"/>
          <w:sz w:val="22"/>
          <w:szCs w:val="22"/>
          <w:lang w:eastAsia="it-IT"/>
        </w:rPr>
        <w:t xml:space="preserve">ancora negativi </w:t>
      </w:r>
      <w:r w:rsidR="00336A54" w:rsidRPr="003418F8">
        <w:rPr>
          <w:rFonts w:ascii="Arial" w:eastAsia="Times New Roman" w:hAnsi="Arial" w:cs="Arial"/>
          <w:b/>
          <w:iCs/>
          <w:noProof/>
          <w:color w:val="008080"/>
          <w:sz w:val="22"/>
          <w:szCs w:val="22"/>
          <w:lang w:eastAsia="it-IT"/>
        </w:rPr>
        <w:t xml:space="preserve">per </w:t>
      </w:r>
      <w:r w:rsidR="00A624C2">
        <w:rPr>
          <w:rFonts w:ascii="Arial" w:eastAsia="Times New Roman" w:hAnsi="Arial" w:cs="Arial"/>
          <w:b/>
          <w:iCs/>
          <w:noProof/>
          <w:color w:val="008080"/>
          <w:sz w:val="22"/>
          <w:szCs w:val="22"/>
          <w:lang w:eastAsia="it-IT"/>
        </w:rPr>
        <w:t>il commercio mondiale</w:t>
      </w:r>
      <w:r>
        <w:rPr>
          <w:rFonts w:ascii="Arial" w:eastAsia="Times New Roman" w:hAnsi="Arial" w:cs="Arial"/>
          <w:b/>
          <w:iCs/>
          <w:noProof/>
          <w:color w:val="008080"/>
          <w:sz w:val="22"/>
          <w:szCs w:val="22"/>
          <w:lang w:eastAsia="it-IT"/>
        </w:rPr>
        <w:t>.</w:t>
      </w:r>
      <w:r w:rsidR="00336A54" w:rsidRPr="003418F8">
        <w:rPr>
          <w:rFonts w:ascii="Arial" w:eastAsia="Times New Roman" w:hAnsi="Arial" w:cs="Arial"/>
          <w:color w:val="000000"/>
          <w:sz w:val="22"/>
          <w:szCs w:val="22"/>
          <w:lang w:eastAsia="it-IT"/>
        </w:rPr>
        <w:t xml:space="preserve"> </w:t>
      </w:r>
      <w:r w:rsidR="00A624C2">
        <w:rPr>
          <w:rFonts w:ascii="Arial" w:eastAsia="Times New Roman" w:hAnsi="Arial" w:cs="Arial"/>
          <w:color w:val="000000"/>
          <w:sz w:val="22"/>
          <w:szCs w:val="22"/>
          <w:lang w:eastAsia="it-IT"/>
        </w:rPr>
        <w:t>L</w:t>
      </w:r>
      <w:r w:rsidR="00A624C2" w:rsidRPr="00A624C2">
        <w:rPr>
          <w:rFonts w:ascii="Arial" w:eastAsia="Times New Roman" w:hAnsi="Arial" w:cs="Arial"/>
          <w:color w:val="000000"/>
          <w:sz w:val="22"/>
          <w:szCs w:val="22"/>
          <w:lang w:eastAsia="it-IT"/>
        </w:rPr>
        <w:t xml:space="preserve">’indice composito globale dei manager degli acquisti (PMI, </w:t>
      </w:r>
      <w:proofErr w:type="spellStart"/>
      <w:r w:rsidR="00A624C2" w:rsidRPr="00A624C2">
        <w:rPr>
          <w:rFonts w:ascii="Arial" w:eastAsia="Times New Roman" w:hAnsi="Arial" w:cs="Arial"/>
          <w:color w:val="000000"/>
          <w:sz w:val="22"/>
          <w:szCs w:val="22"/>
          <w:lang w:eastAsia="it-IT"/>
        </w:rPr>
        <w:t>Purchasing</w:t>
      </w:r>
      <w:proofErr w:type="spellEnd"/>
      <w:r w:rsidR="00A624C2" w:rsidRPr="00A624C2">
        <w:rPr>
          <w:rFonts w:ascii="Arial" w:eastAsia="Times New Roman" w:hAnsi="Arial" w:cs="Arial"/>
          <w:color w:val="000000"/>
          <w:sz w:val="22"/>
          <w:szCs w:val="22"/>
          <w:lang w:eastAsia="it-IT"/>
        </w:rPr>
        <w:t xml:space="preserve"> Managers’ Index) per i nuovi ordini all’esportazione, che anticipa la dinamica della domanda internazionale, pur se in recupero nel bimestre maggio-giugno, ha segnato una nuova discesa in luglio (48,2) e una leggera risalita in agosto (48,7), rimanendo </w:t>
      </w:r>
      <w:r w:rsidR="00C82FC0">
        <w:rPr>
          <w:rFonts w:ascii="Arial" w:eastAsia="Times New Roman" w:hAnsi="Arial" w:cs="Arial"/>
          <w:color w:val="000000"/>
          <w:sz w:val="22"/>
          <w:szCs w:val="22"/>
          <w:lang w:eastAsia="it-IT"/>
        </w:rPr>
        <w:t xml:space="preserve">tuttavia </w:t>
      </w:r>
      <w:r w:rsidR="00A624C2" w:rsidRPr="00A624C2">
        <w:rPr>
          <w:rFonts w:ascii="Arial" w:eastAsia="Times New Roman" w:hAnsi="Arial" w:cs="Arial"/>
          <w:color w:val="000000"/>
          <w:sz w:val="22"/>
          <w:szCs w:val="22"/>
          <w:lang w:eastAsia="it-IT"/>
        </w:rPr>
        <w:t xml:space="preserve">al di sotto della soglia di espansione dei 50 punti (Figura 1). </w:t>
      </w:r>
    </w:p>
    <w:p w14:paraId="11873937" w14:textId="77777777" w:rsidR="00336A54" w:rsidRDefault="00336A54" w:rsidP="00336A54">
      <w:pPr>
        <w:autoSpaceDE w:val="0"/>
        <w:autoSpaceDN w:val="0"/>
        <w:adjustRightInd w:val="0"/>
        <w:jc w:val="both"/>
        <w:rPr>
          <w:sz w:val="22"/>
          <w:szCs w:val="22"/>
        </w:rPr>
      </w:pPr>
    </w:p>
    <w:tbl>
      <w:tblPr>
        <w:tblStyle w:val="Grigliatabella"/>
        <w:tblW w:w="10201" w:type="dxa"/>
        <w:tblLayout w:type="fixed"/>
        <w:tblLook w:val="04A0" w:firstRow="1" w:lastRow="0" w:firstColumn="1" w:lastColumn="0" w:noHBand="0" w:noVBand="1"/>
      </w:tblPr>
      <w:tblGrid>
        <w:gridCol w:w="5100"/>
        <w:gridCol w:w="5101"/>
      </w:tblGrid>
      <w:tr w:rsidR="003C7795" w14:paraId="748D9238" w14:textId="77777777" w:rsidTr="00FC4517">
        <w:tc>
          <w:tcPr>
            <w:tcW w:w="5100" w:type="dxa"/>
            <w:tcBorders>
              <w:top w:val="nil"/>
              <w:left w:val="nil"/>
              <w:bottom w:val="single" w:sz="2" w:space="0" w:color="D9D9D9" w:themeColor="background1" w:themeShade="D9"/>
              <w:right w:val="nil"/>
            </w:tcBorders>
            <w:tcMar>
              <w:left w:w="0" w:type="dxa"/>
              <w:right w:w="0" w:type="dxa"/>
            </w:tcMar>
          </w:tcPr>
          <w:p w14:paraId="705E0DD3" w14:textId="046F6D63" w:rsidR="003C7795" w:rsidRPr="00044203" w:rsidRDefault="003C7795" w:rsidP="00C82FC0">
            <w:pPr>
              <w:pStyle w:val="052tabella-figurasottotitolo"/>
              <w:tabs>
                <w:tab w:val="clear" w:pos="567"/>
              </w:tabs>
              <w:spacing w:before="120" w:after="120" w:line="240" w:lineRule="auto"/>
              <w:ind w:right="138"/>
              <w:rPr>
                <w:b/>
                <w:color w:val="595959" w:themeColor="text1" w:themeTint="A6"/>
                <w:sz w:val="20"/>
              </w:rPr>
            </w:pPr>
            <w:r w:rsidRPr="002B5F32">
              <w:rPr>
                <w:b/>
                <w:color w:val="00817F"/>
                <w:sz w:val="20"/>
              </w:rPr>
              <w:t>FIGURA 1.</w:t>
            </w:r>
            <w:r w:rsidRPr="002B5F32">
              <w:rPr>
                <w:b/>
                <w:sz w:val="20"/>
              </w:rPr>
              <w:t xml:space="preserve"> </w:t>
            </w:r>
            <w:r w:rsidRPr="00A13550">
              <w:rPr>
                <w:b/>
                <w:noProof w:val="0"/>
                <w:color w:val="595959" w:themeColor="text1" w:themeTint="A6"/>
                <w:spacing w:val="-3"/>
                <w:sz w:val="20"/>
              </w:rPr>
              <w:t>COMMERCIO MONDIALE DI</w:t>
            </w:r>
            <w:r w:rsidRPr="002B5F32">
              <w:rPr>
                <w:b/>
                <w:noProof w:val="0"/>
                <w:color w:val="595959" w:themeColor="text1" w:themeTint="A6"/>
                <w:spacing w:val="-3"/>
                <w:sz w:val="20"/>
              </w:rPr>
              <w:t xml:space="preserve"> MERCI IN VOLUME </w:t>
            </w:r>
            <w:r w:rsidR="00F30F0E" w:rsidRPr="002B5F32">
              <w:rPr>
                <w:b/>
                <w:noProof w:val="0"/>
                <w:color w:val="595959" w:themeColor="text1" w:themeTint="A6"/>
                <w:spacing w:val="-3"/>
                <w:sz w:val="20"/>
              </w:rPr>
              <w:br/>
            </w:r>
            <w:r w:rsidRPr="002B5F32">
              <w:rPr>
                <w:b/>
                <w:noProof w:val="0"/>
                <w:color w:val="595959" w:themeColor="text1" w:themeTint="A6"/>
                <w:spacing w:val="-3"/>
                <w:sz w:val="20"/>
              </w:rPr>
              <w:t>E PMI GLOBALE NUOVI ORDINI ALL’EXPORT</w:t>
            </w:r>
            <w:r w:rsidRPr="002B5F32">
              <w:rPr>
                <w:b/>
                <w:color w:val="595959" w:themeColor="text1" w:themeTint="A6"/>
                <w:sz w:val="20"/>
              </w:rPr>
              <w:t xml:space="preserve">. </w:t>
            </w:r>
            <w:r w:rsidR="00044203">
              <w:rPr>
                <w:b/>
                <w:color w:val="595959" w:themeColor="text1" w:themeTint="A6"/>
                <w:sz w:val="20"/>
              </w:rPr>
              <w:t xml:space="preserve">                       </w:t>
            </w:r>
            <w:r w:rsidR="00982DB7" w:rsidRPr="00714889">
              <w:rPr>
                <w:color w:val="auto"/>
                <w:sz w:val="19"/>
                <w:szCs w:val="19"/>
              </w:rPr>
              <w:t>Indice</w:t>
            </w:r>
            <w:r w:rsidR="00CA47E2" w:rsidRPr="00714889">
              <w:rPr>
                <w:color w:val="auto"/>
                <w:sz w:val="19"/>
                <w:szCs w:val="19"/>
              </w:rPr>
              <w:t xml:space="preserve"> 2021</w:t>
            </w:r>
            <w:r w:rsidRPr="00714889">
              <w:rPr>
                <w:color w:val="auto"/>
                <w:sz w:val="19"/>
                <w:szCs w:val="19"/>
              </w:rPr>
              <w:t xml:space="preserve">=100, </w:t>
            </w:r>
            <w:r w:rsidR="00C82FC0" w:rsidRPr="00714889">
              <w:rPr>
                <w:color w:val="auto"/>
                <w:sz w:val="19"/>
                <w:szCs w:val="19"/>
              </w:rPr>
              <w:t>PMI</w:t>
            </w:r>
            <w:r w:rsidRPr="00714889">
              <w:rPr>
                <w:color w:val="auto"/>
                <w:sz w:val="19"/>
                <w:szCs w:val="19"/>
              </w:rPr>
              <w:t>&gt;50 = espansione</w:t>
            </w:r>
          </w:p>
        </w:tc>
        <w:tc>
          <w:tcPr>
            <w:tcW w:w="5101" w:type="dxa"/>
            <w:tcBorders>
              <w:top w:val="nil"/>
              <w:left w:val="nil"/>
              <w:bottom w:val="single" w:sz="2" w:space="0" w:color="D9D9D9" w:themeColor="background1" w:themeShade="D9"/>
              <w:right w:val="nil"/>
            </w:tcBorders>
            <w:tcMar>
              <w:left w:w="0" w:type="dxa"/>
              <w:right w:w="0" w:type="dxa"/>
            </w:tcMar>
          </w:tcPr>
          <w:p w14:paraId="63454C50" w14:textId="0E9B0644" w:rsidR="00AF3CAA" w:rsidRPr="00E60345" w:rsidRDefault="00B21424" w:rsidP="00462087">
            <w:pPr>
              <w:pStyle w:val="051tabella-figuratitolo"/>
              <w:spacing w:before="120" w:after="120" w:line="240" w:lineRule="auto"/>
              <w:ind w:right="-8"/>
              <w:jc w:val="left"/>
              <w:rPr>
                <w:b w:val="0"/>
                <w:color w:val="595959" w:themeColor="text1" w:themeTint="A6"/>
                <w:sz w:val="20"/>
              </w:rPr>
            </w:pPr>
            <w:r w:rsidRPr="0081425E">
              <w:rPr>
                <w:color w:val="00817F"/>
                <w:sz w:val="20"/>
              </w:rPr>
              <w:t>FIGURA 2</w:t>
            </w:r>
            <w:r w:rsidRPr="00A13550">
              <w:rPr>
                <w:color w:val="595959" w:themeColor="text1" w:themeTint="A6"/>
                <w:sz w:val="20"/>
              </w:rPr>
              <w:t xml:space="preserve">. </w:t>
            </w:r>
            <w:r w:rsidR="00BF0469" w:rsidRPr="00AC49C1">
              <w:rPr>
                <w:color w:val="595959" w:themeColor="text1" w:themeTint="A6"/>
                <w:sz w:val="20"/>
              </w:rPr>
              <w:t>US DOLLAR INDEX E PREZZO</w:t>
            </w:r>
            <w:r w:rsidR="00BF0469" w:rsidRPr="00BF0469">
              <w:rPr>
                <w:color w:val="595959" w:themeColor="text1" w:themeTint="A6"/>
                <w:sz w:val="20"/>
              </w:rPr>
              <w:t xml:space="preserve"> DEL PETROLIO.</w:t>
            </w:r>
            <w:r w:rsidR="00F30F0E" w:rsidRPr="00A13550">
              <w:rPr>
                <w:color w:val="595959" w:themeColor="text1" w:themeTint="A6"/>
                <w:sz w:val="20"/>
              </w:rPr>
              <w:br/>
            </w:r>
            <w:r w:rsidR="008A6D6B" w:rsidRPr="00714889">
              <w:rPr>
                <w:b w:val="0"/>
                <w:color w:val="auto"/>
                <w:sz w:val="19"/>
                <w:szCs w:val="19"/>
              </w:rPr>
              <w:t>Brent: dollari al barile</w:t>
            </w:r>
            <w:r w:rsidR="00C82FC0" w:rsidRPr="00714889">
              <w:rPr>
                <w:b w:val="0"/>
                <w:color w:val="auto"/>
                <w:sz w:val="19"/>
                <w:szCs w:val="19"/>
              </w:rPr>
              <w:t>, va</w:t>
            </w:r>
            <w:r w:rsidR="00462087" w:rsidRPr="00714889">
              <w:rPr>
                <w:b w:val="0"/>
                <w:color w:val="auto"/>
                <w:sz w:val="19"/>
                <w:szCs w:val="19"/>
              </w:rPr>
              <w:t>l</w:t>
            </w:r>
            <w:r w:rsidR="00C82FC0" w:rsidRPr="00714889">
              <w:rPr>
                <w:b w:val="0"/>
                <w:color w:val="auto"/>
                <w:sz w:val="19"/>
                <w:szCs w:val="19"/>
              </w:rPr>
              <w:t>ori medi</w:t>
            </w:r>
            <w:r w:rsidR="008A6D6B" w:rsidRPr="00714889">
              <w:rPr>
                <w:b w:val="0"/>
                <w:color w:val="auto"/>
                <w:sz w:val="19"/>
                <w:szCs w:val="19"/>
              </w:rPr>
              <w:t>; USDX: numero indice</w:t>
            </w:r>
            <w:r w:rsidR="00C82FC0" w:rsidRPr="00714889">
              <w:rPr>
                <w:b w:val="0"/>
                <w:color w:val="auto"/>
                <w:sz w:val="19"/>
                <w:szCs w:val="19"/>
              </w:rPr>
              <w:t>, dati di fine mese</w:t>
            </w:r>
            <w:r w:rsidR="00742E98" w:rsidRPr="00714889">
              <w:rPr>
                <w:b w:val="0"/>
                <w:color w:val="auto"/>
                <w:sz w:val="19"/>
                <w:szCs w:val="19"/>
              </w:rPr>
              <w:t xml:space="preserve"> *</w:t>
            </w:r>
          </w:p>
        </w:tc>
      </w:tr>
      <w:tr w:rsidR="003C7795" w14:paraId="09B4E6F2" w14:textId="77777777" w:rsidTr="009A520B">
        <w:tblPrEx>
          <w:tblCellMar>
            <w:left w:w="70" w:type="dxa"/>
            <w:right w:w="70" w:type="dxa"/>
          </w:tblCellMar>
        </w:tblPrEx>
        <w:trPr>
          <w:trHeight w:val="3402"/>
        </w:trPr>
        <w:tc>
          <w:tcPr>
            <w:tcW w:w="510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62F6387" w14:textId="0781506A" w:rsidR="003C7795" w:rsidRPr="00E623BE" w:rsidRDefault="0008026E" w:rsidP="008969EE">
            <w:pPr>
              <w:pStyle w:val="016testobulletprimapagina"/>
              <w:spacing w:before="120" w:after="120" w:line="240" w:lineRule="auto"/>
              <w:ind w:left="0" w:right="-6"/>
              <w:rPr>
                <w:sz w:val="12"/>
              </w:rPr>
            </w:pPr>
            <w:r>
              <w:rPr>
                <w:noProof/>
                <w:lang w:val="en-GB" w:eastAsia="en-GB"/>
              </w:rPr>
              <w:drawing>
                <wp:inline distT="0" distB="0" distL="0" distR="0" wp14:anchorId="06F696DA" wp14:editId="2E07811D">
                  <wp:extent cx="3149600" cy="2042160"/>
                  <wp:effectExtent l="0" t="0" r="0" b="0"/>
                  <wp:docPr id="5" name="Grafico 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10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30A358C" w14:textId="51CD0DA3" w:rsidR="003C7795" w:rsidRDefault="009A520B" w:rsidP="008969EE">
            <w:pPr>
              <w:pStyle w:val="016testobulletprimapagina"/>
              <w:spacing w:before="120" w:after="120" w:line="240" w:lineRule="auto"/>
              <w:ind w:left="0" w:right="-8"/>
            </w:pPr>
            <w:r>
              <w:rPr>
                <w:noProof/>
                <w:lang w:val="en-GB" w:eastAsia="en-GB"/>
              </w:rPr>
              <w:drawing>
                <wp:inline distT="0" distB="0" distL="0" distR="0" wp14:anchorId="4290FBDC" wp14:editId="4F595F75">
                  <wp:extent cx="3150235" cy="2108835"/>
                  <wp:effectExtent l="0" t="0" r="0" b="0"/>
                  <wp:docPr id="3" name="Gra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C0C9665" w14:textId="395AD7F1" w:rsidR="003C7795" w:rsidRPr="00210891" w:rsidRDefault="003C7795" w:rsidP="00E65BDC">
      <w:pPr>
        <w:ind w:right="-6"/>
        <w:rPr>
          <w:rFonts w:ascii="Arial" w:hAnsi="Arial" w:cs="Arial"/>
          <w:sz w:val="15"/>
          <w:szCs w:val="15"/>
        </w:rPr>
      </w:pPr>
      <w:r w:rsidRPr="00210891">
        <w:rPr>
          <w:rFonts w:ascii="Arial" w:hAnsi="Arial" w:cs="Arial"/>
          <w:sz w:val="15"/>
          <w:szCs w:val="15"/>
        </w:rPr>
        <w:t>Fonte: CPB e IHS</w:t>
      </w:r>
      <w:r w:rsidR="00580B40" w:rsidRPr="00210891">
        <w:rPr>
          <w:rFonts w:ascii="Arial" w:hAnsi="Arial" w:cs="Arial"/>
          <w:sz w:val="15"/>
          <w:szCs w:val="15"/>
        </w:rPr>
        <w:t xml:space="preserve">       </w:t>
      </w:r>
      <w:r w:rsidRPr="00210891">
        <w:rPr>
          <w:rFonts w:ascii="Arial" w:hAnsi="Arial" w:cs="Arial"/>
          <w:sz w:val="15"/>
          <w:szCs w:val="15"/>
        </w:rPr>
        <w:tab/>
      </w:r>
      <w:r w:rsidR="00E65BDC" w:rsidRPr="00210891">
        <w:rPr>
          <w:rFonts w:ascii="Arial" w:hAnsi="Arial" w:cs="Arial"/>
          <w:sz w:val="15"/>
          <w:szCs w:val="15"/>
        </w:rPr>
        <w:tab/>
      </w:r>
      <w:r w:rsidR="00E65BDC" w:rsidRPr="00210891">
        <w:rPr>
          <w:rFonts w:ascii="Arial" w:hAnsi="Arial" w:cs="Arial"/>
          <w:sz w:val="15"/>
          <w:szCs w:val="15"/>
        </w:rPr>
        <w:tab/>
      </w:r>
      <w:r w:rsidR="00E65BDC" w:rsidRPr="00210891">
        <w:rPr>
          <w:rFonts w:ascii="Arial" w:hAnsi="Arial" w:cs="Arial"/>
          <w:sz w:val="15"/>
          <w:szCs w:val="15"/>
        </w:rPr>
        <w:tab/>
        <w:t xml:space="preserve">                    </w:t>
      </w:r>
      <w:r w:rsidRPr="00210891">
        <w:rPr>
          <w:rFonts w:ascii="Arial" w:hAnsi="Arial" w:cs="Arial"/>
          <w:sz w:val="15"/>
          <w:szCs w:val="15"/>
        </w:rPr>
        <w:t xml:space="preserve"> </w:t>
      </w:r>
      <w:r w:rsidR="00CC6DEA" w:rsidRPr="00210891">
        <w:rPr>
          <w:rFonts w:ascii="Arial" w:hAnsi="Arial" w:cs="Arial"/>
          <w:sz w:val="15"/>
          <w:szCs w:val="15"/>
        </w:rPr>
        <w:t xml:space="preserve">Fonte: Banca mondiale e </w:t>
      </w:r>
      <w:proofErr w:type="spellStart"/>
      <w:r w:rsidR="00CC6DEA" w:rsidRPr="00210891">
        <w:rPr>
          <w:rFonts w:ascii="Arial" w:hAnsi="Arial" w:cs="Arial"/>
          <w:sz w:val="15"/>
          <w:szCs w:val="15"/>
        </w:rPr>
        <w:t>Marketwatch</w:t>
      </w:r>
      <w:proofErr w:type="spellEnd"/>
      <w:r w:rsidR="00CC6DEA" w:rsidRPr="00210891">
        <w:rPr>
          <w:rFonts w:ascii="Arial" w:hAnsi="Arial" w:cs="Arial"/>
          <w:sz w:val="15"/>
          <w:szCs w:val="15"/>
        </w:rPr>
        <w:t xml:space="preserve"> </w:t>
      </w:r>
    </w:p>
    <w:p w14:paraId="52C13ED5" w14:textId="21FA5C62" w:rsidR="00742E98" w:rsidRPr="00635AD0" w:rsidRDefault="00742E98" w:rsidP="00E65BDC">
      <w:pPr>
        <w:ind w:left="5103" w:right="-6"/>
        <w:rPr>
          <w:rFonts w:ascii="Arial" w:hAnsi="Arial" w:cs="Arial"/>
          <w:i/>
          <w:sz w:val="12"/>
          <w:szCs w:val="12"/>
        </w:rPr>
      </w:pPr>
      <w:r w:rsidRPr="00210891">
        <w:rPr>
          <w:rFonts w:ascii="Arial" w:hAnsi="Arial" w:cs="Arial"/>
          <w:sz w:val="15"/>
          <w:szCs w:val="15"/>
        </w:rPr>
        <w:t xml:space="preserve">* </w:t>
      </w:r>
      <w:r w:rsidRPr="00210891">
        <w:rPr>
          <w:rFonts w:ascii="Arial" w:hAnsi="Arial" w:cs="Arial"/>
          <w:sz w:val="12"/>
          <w:szCs w:val="12"/>
        </w:rPr>
        <w:t>L'indice USDX viene calcolato come media geometrica ponderata</w:t>
      </w:r>
      <w:r w:rsidRPr="00635AD0">
        <w:rPr>
          <w:rFonts w:ascii="Arial" w:hAnsi="Arial" w:cs="Arial"/>
          <w:sz w:val="12"/>
          <w:szCs w:val="12"/>
        </w:rPr>
        <w:t xml:space="preserve"> del valore del dollaro rispetto a: euro, yen, sterlina britannica, dollaro canadese, corona svedese e franco svizzero.</w:t>
      </w:r>
    </w:p>
    <w:p w14:paraId="2D1F637D" w14:textId="77777777" w:rsidR="003D4853" w:rsidRDefault="003D4853" w:rsidP="00E65BDC">
      <w:pPr>
        <w:autoSpaceDE w:val="0"/>
        <w:autoSpaceDN w:val="0"/>
        <w:adjustRightInd w:val="0"/>
        <w:spacing w:before="60" w:after="120"/>
        <w:ind w:left="5103" w:right="6"/>
        <w:jc w:val="both"/>
        <w:rPr>
          <w:rFonts w:ascii="Arial" w:hAnsi="Arial" w:cs="Arial"/>
          <w:sz w:val="22"/>
          <w:szCs w:val="22"/>
        </w:rPr>
      </w:pPr>
    </w:p>
    <w:p w14:paraId="17EAD7FC" w14:textId="5CBF1C79" w:rsidR="009C16C3" w:rsidRDefault="00D5622F" w:rsidP="003D4853">
      <w:pPr>
        <w:autoSpaceDE w:val="0"/>
        <w:autoSpaceDN w:val="0"/>
        <w:adjustRightInd w:val="0"/>
        <w:spacing w:before="60" w:after="120"/>
        <w:ind w:right="6"/>
        <w:jc w:val="both"/>
        <w:rPr>
          <w:rFonts w:ascii="Segoe UI" w:hAnsi="Segoe UI" w:cs="Segoe UI"/>
          <w:sz w:val="21"/>
          <w:szCs w:val="21"/>
          <w:shd w:val="clear" w:color="auto" w:fill="FFFFFF"/>
        </w:rPr>
      </w:pPr>
      <w:r w:rsidRPr="002A0056">
        <w:rPr>
          <w:rFonts w:ascii="Arial" w:hAnsi="Arial" w:cs="Arial"/>
          <w:b/>
          <w:iCs/>
          <w:noProof/>
          <w:color w:val="008080"/>
          <w:sz w:val="22"/>
          <w:szCs w:val="22"/>
        </w:rPr>
        <w:t>Si interrompe la fase di deprezzamento del dollaro</w:t>
      </w:r>
      <w:r w:rsidR="009C16C3" w:rsidRPr="002A0056">
        <w:rPr>
          <w:rFonts w:ascii="Arial" w:hAnsi="Arial" w:cs="Arial"/>
          <w:sz w:val="22"/>
          <w:szCs w:val="22"/>
        </w:rPr>
        <w:t>.</w:t>
      </w:r>
      <w:r w:rsidR="009C16C3">
        <w:rPr>
          <w:rFonts w:ascii="Arial" w:hAnsi="Arial" w:cs="Arial"/>
          <w:sz w:val="22"/>
          <w:szCs w:val="22"/>
        </w:rPr>
        <w:t xml:space="preserve"> </w:t>
      </w:r>
      <w:r w:rsidRPr="00D5622F">
        <w:rPr>
          <w:rFonts w:ascii="Arial" w:hAnsi="Arial" w:cs="Arial"/>
          <w:sz w:val="22"/>
          <w:szCs w:val="22"/>
        </w:rPr>
        <w:t>La valuta statunite</w:t>
      </w:r>
      <w:r w:rsidR="00CA2C96">
        <w:rPr>
          <w:rFonts w:ascii="Arial" w:hAnsi="Arial" w:cs="Arial"/>
          <w:sz w:val="22"/>
          <w:szCs w:val="22"/>
        </w:rPr>
        <w:t xml:space="preserve">nse ha interrotto </w:t>
      </w:r>
      <w:r w:rsidR="008F40C0">
        <w:rPr>
          <w:rFonts w:ascii="Arial" w:hAnsi="Arial" w:cs="Arial"/>
          <w:sz w:val="22"/>
          <w:szCs w:val="22"/>
        </w:rPr>
        <w:t xml:space="preserve">la fase </w:t>
      </w:r>
      <w:r w:rsidRPr="00D5622F">
        <w:rPr>
          <w:rFonts w:ascii="Arial" w:hAnsi="Arial" w:cs="Arial"/>
          <w:sz w:val="22"/>
          <w:szCs w:val="22"/>
        </w:rPr>
        <w:t xml:space="preserve">di deprezzamento </w:t>
      </w:r>
      <w:r w:rsidR="008F40C0">
        <w:rPr>
          <w:rFonts w:ascii="Arial" w:hAnsi="Arial" w:cs="Arial"/>
          <w:sz w:val="22"/>
          <w:szCs w:val="22"/>
        </w:rPr>
        <w:t>in atto</w:t>
      </w:r>
      <w:r w:rsidR="00CA2C96">
        <w:rPr>
          <w:rFonts w:ascii="Arial" w:hAnsi="Arial" w:cs="Arial"/>
          <w:sz w:val="22"/>
          <w:szCs w:val="22"/>
        </w:rPr>
        <w:t xml:space="preserve"> </w:t>
      </w:r>
      <w:r w:rsidR="00612652">
        <w:rPr>
          <w:rFonts w:ascii="Arial" w:hAnsi="Arial" w:cs="Arial"/>
          <w:sz w:val="22"/>
          <w:szCs w:val="22"/>
        </w:rPr>
        <w:t>dall’inizio dell’anno.</w:t>
      </w:r>
      <w:r w:rsidR="005C51B5">
        <w:rPr>
          <w:rFonts w:ascii="Arial" w:hAnsi="Arial" w:cs="Arial"/>
          <w:sz w:val="22"/>
          <w:szCs w:val="22"/>
        </w:rPr>
        <w:t xml:space="preserve"> </w:t>
      </w:r>
      <w:r w:rsidRPr="00D5622F">
        <w:rPr>
          <w:rFonts w:ascii="Arial" w:hAnsi="Arial" w:cs="Arial"/>
          <w:sz w:val="22"/>
          <w:szCs w:val="22"/>
        </w:rPr>
        <w:t xml:space="preserve">Tra gennaio e luglio, la svalutazione del dollaro nei confronti dell’euro è stata in media, </w:t>
      </w:r>
      <w:r w:rsidR="007545A5">
        <w:rPr>
          <w:rFonts w:ascii="Arial" w:hAnsi="Arial" w:cs="Arial"/>
          <w:sz w:val="22"/>
          <w:szCs w:val="22"/>
        </w:rPr>
        <w:t>del</w:t>
      </w:r>
      <w:r w:rsidRPr="00D5622F">
        <w:rPr>
          <w:rFonts w:ascii="Arial" w:hAnsi="Arial" w:cs="Arial"/>
          <w:sz w:val="22"/>
          <w:szCs w:val="22"/>
        </w:rPr>
        <w:t xml:space="preserve"> 12,8%</w:t>
      </w:r>
      <w:r w:rsidR="007545A5">
        <w:rPr>
          <w:rFonts w:ascii="Arial" w:hAnsi="Arial" w:cs="Arial"/>
          <w:sz w:val="22"/>
          <w:szCs w:val="22"/>
        </w:rPr>
        <w:t>.</w:t>
      </w:r>
      <w:r w:rsidRPr="00D5622F">
        <w:rPr>
          <w:rFonts w:ascii="Arial" w:hAnsi="Arial" w:cs="Arial"/>
          <w:sz w:val="22"/>
          <w:szCs w:val="22"/>
        </w:rPr>
        <w:t xml:space="preserve"> </w:t>
      </w:r>
      <w:r w:rsidR="007545A5">
        <w:rPr>
          <w:rFonts w:ascii="Arial" w:hAnsi="Arial" w:cs="Arial"/>
          <w:sz w:val="22"/>
          <w:szCs w:val="22"/>
        </w:rPr>
        <w:t>A</w:t>
      </w:r>
      <w:r w:rsidR="005C51B5">
        <w:rPr>
          <w:rFonts w:ascii="Arial" w:hAnsi="Arial" w:cs="Arial"/>
          <w:sz w:val="22"/>
          <w:szCs w:val="22"/>
        </w:rPr>
        <w:t xml:space="preserve"> luglio e agosto </w:t>
      </w:r>
      <w:r w:rsidRPr="00D5622F">
        <w:rPr>
          <w:rFonts w:ascii="Arial" w:hAnsi="Arial" w:cs="Arial"/>
          <w:sz w:val="22"/>
          <w:szCs w:val="22"/>
        </w:rPr>
        <w:t>le quotazioni giornaliere</w:t>
      </w:r>
      <w:r w:rsidR="005C51B5">
        <w:rPr>
          <w:rFonts w:ascii="Arial" w:hAnsi="Arial" w:cs="Arial"/>
          <w:sz w:val="22"/>
          <w:szCs w:val="22"/>
        </w:rPr>
        <w:t xml:space="preserve"> hanno manifestato prima un</w:t>
      </w:r>
      <w:r w:rsidRPr="00D5622F">
        <w:rPr>
          <w:rFonts w:ascii="Arial" w:hAnsi="Arial" w:cs="Arial"/>
          <w:sz w:val="22"/>
          <w:szCs w:val="22"/>
        </w:rPr>
        <w:t xml:space="preserve"> apprezzamento</w:t>
      </w:r>
      <w:r w:rsidR="005C51B5">
        <w:rPr>
          <w:rFonts w:ascii="Arial" w:hAnsi="Arial" w:cs="Arial"/>
          <w:sz w:val="22"/>
          <w:szCs w:val="22"/>
        </w:rPr>
        <w:t xml:space="preserve"> e successivamente</w:t>
      </w:r>
      <w:r w:rsidRPr="00D5622F">
        <w:rPr>
          <w:rFonts w:ascii="Arial" w:hAnsi="Arial" w:cs="Arial"/>
          <w:sz w:val="22"/>
          <w:szCs w:val="22"/>
        </w:rPr>
        <w:t xml:space="preserve"> un nuovo indebolimento, determinando nella media del mese una sostanziale stabilizzazione rispetto a luglio (1,16 dollari per euro la media di agosto). Dinamiche simili si sono registrate anche nei confronti delle altre principali valute. L’U</w:t>
      </w:r>
      <w:r w:rsidR="00CA2C96">
        <w:rPr>
          <w:rFonts w:ascii="Arial" w:hAnsi="Arial" w:cs="Arial"/>
          <w:sz w:val="22"/>
          <w:szCs w:val="22"/>
        </w:rPr>
        <w:t>S</w:t>
      </w:r>
      <w:r w:rsidRPr="00D5622F">
        <w:rPr>
          <w:rFonts w:ascii="Arial" w:hAnsi="Arial" w:cs="Arial"/>
          <w:sz w:val="22"/>
          <w:szCs w:val="22"/>
        </w:rPr>
        <w:t xml:space="preserve"> </w:t>
      </w:r>
      <w:proofErr w:type="spellStart"/>
      <w:r w:rsidRPr="00D5622F">
        <w:rPr>
          <w:rFonts w:ascii="Arial" w:hAnsi="Arial" w:cs="Arial"/>
          <w:sz w:val="22"/>
          <w:szCs w:val="22"/>
        </w:rPr>
        <w:t>dollar</w:t>
      </w:r>
      <w:proofErr w:type="spellEnd"/>
      <w:r w:rsidRPr="00D5622F">
        <w:rPr>
          <w:rFonts w:ascii="Arial" w:hAnsi="Arial" w:cs="Arial"/>
          <w:sz w:val="22"/>
          <w:szCs w:val="22"/>
        </w:rPr>
        <w:t xml:space="preserve"> index (che misura l’andamento del cambio del dollaro nei confronti di euro, yen, sterlina, dollaro canadese, corona svedese e franco svizzero), dopo l’apprezzamento registrato a luglio, è tornato a indebolirsi</w:t>
      </w:r>
      <w:r w:rsidR="00C82FC0">
        <w:rPr>
          <w:rFonts w:ascii="Arial" w:hAnsi="Arial" w:cs="Arial"/>
          <w:sz w:val="22"/>
          <w:szCs w:val="22"/>
        </w:rPr>
        <w:t xml:space="preserve"> (Figura 2)</w:t>
      </w:r>
      <w:r w:rsidRPr="00D5622F">
        <w:rPr>
          <w:rFonts w:ascii="Arial" w:hAnsi="Arial" w:cs="Arial"/>
          <w:sz w:val="22"/>
          <w:szCs w:val="22"/>
        </w:rPr>
        <w:t xml:space="preserve">, </w:t>
      </w:r>
      <w:r w:rsidRPr="00D5622F">
        <w:rPr>
          <w:rFonts w:ascii="Arial" w:hAnsi="Arial" w:cs="Arial"/>
          <w:sz w:val="22"/>
          <w:szCs w:val="22"/>
        </w:rPr>
        <w:lastRenderedPageBreak/>
        <w:t>una tendenza guidata anche dalle aspettative di un taglio dei tassi di interesse da parte della Federal Reserve, rafforzatesi dopo i dati di inflazione di lu</w:t>
      </w:r>
      <w:r w:rsidR="00CA2C96">
        <w:rPr>
          <w:rFonts w:ascii="Arial" w:hAnsi="Arial" w:cs="Arial"/>
          <w:sz w:val="22"/>
          <w:szCs w:val="22"/>
        </w:rPr>
        <w:t>glio</w:t>
      </w:r>
      <w:r w:rsidRPr="00D5622F">
        <w:rPr>
          <w:rFonts w:ascii="Arial" w:hAnsi="Arial" w:cs="Arial"/>
          <w:sz w:val="22"/>
          <w:szCs w:val="22"/>
        </w:rPr>
        <w:t xml:space="preserve"> </w:t>
      </w:r>
      <w:r w:rsidR="008F40C0">
        <w:rPr>
          <w:rFonts w:ascii="Arial" w:hAnsi="Arial" w:cs="Arial"/>
          <w:sz w:val="22"/>
          <w:szCs w:val="22"/>
        </w:rPr>
        <w:t>inferiori</w:t>
      </w:r>
      <w:r w:rsidRPr="00D5622F">
        <w:rPr>
          <w:rFonts w:ascii="Arial" w:hAnsi="Arial" w:cs="Arial"/>
          <w:sz w:val="22"/>
          <w:szCs w:val="22"/>
        </w:rPr>
        <w:t xml:space="preserve"> alle attese. </w:t>
      </w:r>
    </w:p>
    <w:p w14:paraId="10F2502D" w14:textId="7D8AE2F0" w:rsidR="00612652" w:rsidRDefault="00612652" w:rsidP="00612652">
      <w:pPr>
        <w:autoSpaceDE w:val="0"/>
        <w:autoSpaceDN w:val="0"/>
        <w:adjustRightInd w:val="0"/>
        <w:spacing w:before="60" w:after="120"/>
        <w:ind w:right="6"/>
        <w:jc w:val="both"/>
        <w:rPr>
          <w:rFonts w:ascii="Arial" w:hAnsi="Arial" w:cs="Arial"/>
          <w:sz w:val="22"/>
          <w:szCs w:val="22"/>
        </w:rPr>
      </w:pPr>
      <w:r w:rsidRPr="00612652">
        <w:rPr>
          <w:rFonts w:ascii="Arial" w:hAnsi="Arial" w:cs="Arial"/>
          <w:b/>
          <w:iCs/>
          <w:noProof/>
          <w:color w:val="008080"/>
          <w:sz w:val="22"/>
          <w:szCs w:val="22"/>
        </w:rPr>
        <w:t>Nuovo calo delle quotazioni delle materie prime energetiche</w:t>
      </w:r>
      <w:r w:rsidR="00C57C69">
        <w:rPr>
          <w:rFonts w:ascii="Arial" w:hAnsi="Arial" w:cs="Arial"/>
          <w:sz w:val="22"/>
          <w:szCs w:val="22"/>
        </w:rPr>
        <w:t>.</w:t>
      </w:r>
      <w:r w:rsidR="00F45372" w:rsidRPr="005B6F05">
        <w:rPr>
          <w:rFonts w:ascii="Arial" w:hAnsi="Arial" w:cs="Arial"/>
          <w:sz w:val="22"/>
          <w:szCs w:val="22"/>
        </w:rPr>
        <w:t xml:space="preserve"> </w:t>
      </w:r>
      <w:r w:rsidRPr="00612652">
        <w:rPr>
          <w:rFonts w:ascii="Arial" w:hAnsi="Arial" w:cs="Arial"/>
          <w:sz w:val="22"/>
          <w:szCs w:val="22"/>
        </w:rPr>
        <w:t xml:space="preserve">Dopo la risalita </w:t>
      </w:r>
      <w:r w:rsidR="008F40C0">
        <w:rPr>
          <w:rFonts w:ascii="Arial" w:hAnsi="Arial" w:cs="Arial"/>
          <w:sz w:val="22"/>
          <w:szCs w:val="22"/>
        </w:rPr>
        <w:t xml:space="preserve">di </w:t>
      </w:r>
      <w:r w:rsidRPr="00612652">
        <w:rPr>
          <w:rFonts w:ascii="Arial" w:hAnsi="Arial" w:cs="Arial"/>
          <w:sz w:val="22"/>
          <w:szCs w:val="22"/>
        </w:rPr>
        <w:t>giugno, l’allentamento delle tensioni geopolitiche tra Iran e Israele ha favorito una nuova discesa dei prezzi di gas e petro</w:t>
      </w:r>
      <w:r w:rsidR="005D0F3A">
        <w:rPr>
          <w:rFonts w:ascii="Arial" w:hAnsi="Arial" w:cs="Arial"/>
          <w:sz w:val="22"/>
          <w:szCs w:val="22"/>
        </w:rPr>
        <w:t>lio.</w:t>
      </w:r>
      <w:r w:rsidRPr="00612652">
        <w:rPr>
          <w:rFonts w:ascii="Arial" w:hAnsi="Arial" w:cs="Arial"/>
          <w:sz w:val="22"/>
          <w:szCs w:val="22"/>
        </w:rPr>
        <w:t xml:space="preserve"> </w:t>
      </w:r>
      <w:r w:rsidR="005D0F3A">
        <w:rPr>
          <w:rFonts w:ascii="Arial" w:hAnsi="Arial" w:cs="Arial"/>
          <w:sz w:val="22"/>
          <w:szCs w:val="22"/>
        </w:rPr>
        <w:t>La quotazione media del Brent ha evidenziato in luglio una sostanziale</w:t>
      </w:r>
      <w:r w:rsidRPr="00612652">
        <w:rPr>
          <w:rFonts w:ascii="Arial" w:hAnsi="Arial" w:cs="Arial"/>
          <w:sz w:val="22"/>
          <w:szCs w:val="22"/>
        </w:rPr>
        <w:t xml:space="preserve"> stabiliz</w:t>
      </w:r>
      <w:r w:rsidR="005D0F3A">
        <w:rPr>
          <w:rFonts w:ascii="Arial" w:hAnsi="Arial" w:cs="Arial"/>
          <w:sz w:val="22"/>
          <w:szCs w:val="22"/>
        </w:rPr>
        <w:t>zazione</w:t>
      </w:r>
      <w:r w:rsidRPr="00612652">
        <w:rPr>
          <w:rFonts w:ascii="Arial" w:hAnsi="Arial" w:cs="Arial"/>
          <w:sz w:val="22"/>
          <w:szCs w:val="22"/>
        </w:rPr>
        <w:t xml:space="preserve">, </w:t>
      </w:r>
      <w:r w:rsidR="005D0F3A">
        <w:rPr>
          <w:rFonts w:ascii="Arial" w:hAnsi="Arial" w:cs="Arial"/>
          <w:sz w:val="22"/>
          <w:szCs w:val="22"/>
        </w:rPr>
        <w:t xml:space="preserve">per poi registrare </w:t>
      </w:r>
      <w:r w:rsidRPr="00612652">
        <w:rPr>
          <w:rFonts w:ascii="Arial" w:hAnsi="Arial" w:cs="Arial"/>
          <w:sz w:val="22"/>
          <w:szCs w:val="22"/>
        </w:rPr>
        <w:t xml:space="preserve">in agosto </w:t>
      </w:r>
      <w:r w:rsidR="005D0F3A">
        <w:rPr>
          <w:rFonts w:ascii="Arial" w:hAnsi="Arial" w:cs="Arial"/>
          <w:sz w:val="22"/>
          <w:szCs w:val="22"/>
        </w:rPr>
        <w:t xml:space="preserve">un calo </w:t>
      </w:r>
      <w:r w:rsidRPr="00612652">
        <w:rPr>
          <w:rFonts w:ascii="Arial" w:hAnsi="Arial" w:cs="Arial"/>
          <w:sz w:val="22"/>
          <w:szCs w:val="22"/>
        </w:rPr>
        <w:t>del 3,9% (68,2 dollar</w:t>
      </w:r>
      <w:r w:rsidR="005D0F3A">
        <w:rPr>
          <w:rFonts w:ascii="Arial" w:hAnsi="Arial" w:cs="Arial"/>
          <w:sz w:val="22"/>
          <w:szCs w:val="22"/>
        </w:rPr>
        <w:t>i al barile, da 70,9 di luglio);</w:t>
      </w:r>
      <w:r w:rsidRPr="00612652">
        <w:rPr>
          <w:rFonts w:ascii="Arial" w:hAnsi="Arial" w:cs="Arial"/>
          <w:sz w:val="22"/>
          <w:szCs w:val="22"/>
        </w:rPr>
        <w:t xml:space="preserve"> </w:t>
      </w:r>
      <w:r w:rsidR="005D0F3A">
        <w:rPr>
          <w:rFonts w:ascii="Arial" w:hAnsi="Arial" w:cs="Arial"/>
          <w:sz w:val="22"/>
          <w:szCs w:val="22"/>
        </w:rPr>
        <w:t xml:space="preserve">più accentuata la discesa </w:t>
      </w:r>
      <w:r w:rsidRPr="00612652">
        <w:rPr>
          <w:rFonts w:ascii="Arial" w:hAnsi="Arial" w:cs="Arial"/>
          <w:sz w:val="22"/>
          <w:szCs w:val="22"/>
        </w:rPr>
        <w:t>del gas naturale</w:t>
      </w:r>
      <w:r w:rsidR="005D0F3A">
        <w:rPr>
          <w:rFonts w:ascii="Arial" w:hAnsi="Arial" w:cs="Arial"/>
          <w:sz w:val="22"/>
          <w:szCs w:val="22"/>
        </w:rPr>
        <w:t>, pari</w:t>
      </w:r>
      <w:r w:rsidRPr="00612652">
        <w:rPr>
          <w:rFonts w:ascii="Arial" w:hAnsi="Arial" w:cs="Arial"/>
          <w:sz w:val="22"/>
          <w:szCs w:val="22"/>
        </w:rPr>
        <w:t xml:space="preserve"> </w:t>
      </w:r>
      <w:r w:rsidR="005D0F3A">
        <w:rPr>
          <w:rFonts w:ascii="Arial" w:hAnsi="Arial" w:cs="Arial"/>
          <w:sz w:val="22"/>
          <w:szCs w:val="22"/>
        </w:rPr>
        <w:t>a</w:t>
      </w:r>
      <w:r w:rsidRPr="00612652">
        <w:rPr>
          <w:rFonts w:ascii="Arial" w:hAnsi="Arial" w:cs="Arial"/>
          <w:sz w:val="22"/>
          <w:szCs w:val="22"/>
        </w:rPr>
        <w:t>l 5,6% (il valore dell’in</w:t>
      </w:r>
      <w:r w:rsidR="002F4A3C">
        <w:rPr>
          <w:rFonts w:ascii="Arial" w:hAnsi="Arial" w:cs="Arial"/>
          <w:sz w:val="22"/>
          <w:szCs w:val="22"/>
        </w:rPr>
        <w:t xml:space="preserve">dice è sceso a 96,3 da 102,1). </w:t>
      </w:r>
      <w:r w:rsidRPr="00612652">
        <w:rPr>
          <w:rFonts w:ascii="Arial" w:hAnsi="Arial" w:cs="Arial"/>
          <w:sz w:val="22"/>
          <w:szCs w:val="22"/>
        </w:rPr>
        <w:t>Per il petrolio, hanno inciso al ribasso sulle quotazioni anche gli aumenti di produzione annunciati dall’Opec+ per agosto e settembre.</w:t>
      </w:r>
    </w:p>
    <w:p w14:paraId="42B71858" w14:textId="6197635B" w:rsidR="0082227A" w:rsidRPr="0022133E" w:rsidRDefault="002F4A3C" w:rsidP="002F4A3C">
      <w:pPr>
        <w:autoSpaceDE w:val="0"/>
        <w:autoSpaceDN w:val="0"/>
        <w:adjustRightInd w:val="0"/>
        <w:spacing w:before="60" w:after="120"/>
        <w:ind w:right="6"/>
        <w:jc w:val="both"/>
        <w:rPr>
          <w:rFonts w:ascii="Arial" w:hAnsi="Arial" w:cs="Arial"/>
          <w:sz w:val="22"/>
          <w:szCs w:val="22"/>
        </w:rPr>
      </w:pPr>
      <w:r w:rsidRPr="0022133E">
        <w:rPr>
          <w:rFonts w:ascii="Arial" w:hAnsi="Arial" w:cs="Arial"/>
          <w:b/>
          <w:iCs/>
          <w:noProof/>
          <w:color w:val="008080"/>
          <w:sz w:val="22"/>
          <w:szCs w:val="22"/>
        </w:rPr>
        <w:t>Negli Stati Uniti la crescita nel secondo trimestre evidenzia un rimbalzo…</w:t>
      </w:r>
      <w:r w:rsidR="00EA3570" w:rsidRPr="0022133E">
        <w:rPr>
          <w:rFonts w:ascii="Arial" w:hAnsi="Arial" w:cs="Arial"/>
          <w:b/>
          <w:iCs/>
          <w:noProof/>
          <w:color w:val="008080"/>
          <w:sz w:val="22"/>
          <w:szCs w:val="22"/>
        </w:rPr>
        <w:t xml:space="preserve"> </w:t>
      </w:r>
      <w:r w:rsidR="00750085" w:rsidRPr="0022133E">
        <w:rPr>
          <w:rFonts w:ascii="Arial" w:hAnsi="Arial" w:cs="Arial"/>
          <w:sz w:val="22"/>
          <w:szCs w:val="22"/>
        </w:rPr>
        <w:t>Il Pil statunitense</w:t>
      </w:r>
      <w:r w:rsidRPr="0022133E">
        <w:rPr>
          <w:rFonts w:ascii="Arial" w:hAnsi="Arial" w:cs="Arial"/>
          <w:sz w:val="22"/>
          <w:szCs w:val="22"/>
        </w:rPr>
        <w:t>, dopo la contrazione del primo</w:t>
      </w:r>
      <w:r w:rsidR="00750085" w:rsidRPr="0022133E">
        <w:rPr>
          <w:rFonts w:ascii="Arial" w:hAnsi="Arial" w:cs="Arial"/>
          <w:sz w:val="22"/>
          <w:szCs w:val="22"/>
        </w:rPr>
        <w:t xml:space="preserve"> trimestre</w:t>
      </w:r>
      <w:r w:rsidR="00C82FC0" w:rsidRPr="0022133E">
        <w:rPr>
          <w:rFonts w:ascii="Arial" w:hAnsi="Arial" w:cs="Arial"/>
          <w:sz w:val="22"/>
          <w:szCs w:val="22"/>
        </w:rPr>
        <w:t>,</w:t>
      </w:r>
      <w:r w:rsidRPr="0022133E">
        <w:rPr>
          <w:rFonts w:ascii="Arial" w:hAnsi="Arial" w:cs="Arial"/>
          <w:sz w:val="22"/>
          <w:szCs w:val="22"/>
        </w:rPr>
        <w:t xml:space="preserve"> ha registrato </w:t>
      </w:r>
      <w:r w:rsidR="00750085" w:rsidRPr="0022133E">
        <w:rPr>
          <w:rFonts w:ascii="Arial" w:hAnsi="Arial" w:cs="Arial"/>
          <w:sz w:val="22"/>
          <w:szCs w:val="22"/>
        </w:rPr>
        <w:t xml:space="preserve">nel secondo </w:t>
      </w:r>
      <w:r w:rsidRPr="0022133E">
        <w:rPr>
          <w:rFonts w:ascii="Arial" w:hAnsi="Arial" w:cs="Arial"/>
          <w:sz w:val="22"/>
          <w:szCs w:val="22"/>
        </w:rPr>
        <w:t xml:space="preserve">un deciso rimbalzo (+3,3% la variazione congiunturale su base annua, dopo il -0,5% dei primi tre mesi del 2025), </w:t>
      </w:r>
      <w:r w:rsidR="007A2AA8">
        <w:rPr>
          <w:rFonts w:ascii="Arial" w:hAnsi="Arial" w:cs="Arial"/>
          <w:sz w:val="22"/>
          <w:szCs w:val="22"/>
        </w:rPr>
        <w:t>sintesi</w:t>
      </w:r>
      <w:r w:rsidR="007A2AA8" w:rsidRPr="0022133E">
        <w:rPr>
          <w:rFonts w:ascii="Arial" w:hAnsi="Arial" w:cs="Arial"/>
          <w:sz w:val="22"/>
          <w:szCs w:val="22"/>
        </w:rPr>
        <w:t xml:space="preserve"> </w:t>
      </w:r>
      <w:r w:rsidRPr="0022133E">
        <w:rPr>
          <w:rFonts w:ascii="Arial" w:hAnsi="Arial" w:cs="Arial"/>
          <w:sz w:val="22"/>
          <w:szCs w:val="22"/>
        </w:rPr>
        <w:t xml:space="preserve">di una </w:t>
      </w:r>
      <w:r w:rsidR="00C82FC0" w:rsidRPr="0022133E">
        <w:rPr>
          <w:rFonts w:ascii="Arial" w:hAnsi="Arial" w:cs="Arial"/>
          <w:sz w:val="22"/>
          <w:szCs w:val="22"/>
        </w:rPr>
        <w:t xml:space="preserve">forte </w:t>
      </w:r>
      <w:r w:rsidRPr="0022133E">
        <w:rPr>
          <w:rFonts w:ascii="Arial" w:hAnsi="Arial" w:cs="Arial"/>
          <w:sz w:val="22"/>
          <w:szCs w:val="22"/>
        </w:rPr>
        <w:t xml:space="preserve">diminuzione delle importazioni (-29,8%) e </w:t>
      </w:r>
      <w:r w:rsidR="00750085" w:rsidRPr="0022133E">
        <w:rPr>
          <w:rFonts w:ascii="Arial" w:hAnsi="Arial" w:cs="Arial"/>
          <w:sz w:val="22"/>
          <w:szCs w:val="22"/>
        </w:rPr>
        <w:t xml:space="preserve">di </w:t>
      </w:r>
      <w:r w:rsidRPr="0022133E">
        <w:rPr>
          <w:rFonts w:ascii="Arial" w:hAnsi="Arial" w:cs="Arial"/>
          <w:sz w:val="22"/>
          <w:szCs w:val="22"/>
        </w:rPr>
        <w:t xml:space="preserve">un aumento della spesa per consumi (+1,6%), compensati da un </w:t>
      </w:r>
      <w:r w:rsidR="00C82FC0" w:rsidRPr="0022133E">
        <w:rPr>
          <w:rFonts w:ascii="Arial" w:hAnsi="Arial" w:cs="Arial"/>
          <w:sz w:val="22"/>
          <w:szCs w:val="22"/>
        </w:rPr>
        <w:t>deciso</w:t>
      </w:r>
      <w:r w:rsidRPr="0022133E">
        <w:rPr>
          <w:rFonts w:ascii="Arial" w:hAnsi="Arial" w:cs="Arial"/>
          <w:sz w:val="22"/>
          <w:szCs w:val="22"/>
        </w:rPr>
        <w:t xml:space="preserve"> calo degli investimenti privati (-13,8%) e da quello più limitato dell’export (-1,3%). Per i prossimi mesi ci si attende un rallentamento dell’attività economica. In luglio l’indicatore </w:t>
      </w:r>
      <w:proofErr w:type="spellStart"/>
      <w:r w:rsidRPr="0022133E">
        <w:rPr>
          <w:rFonts w:ascii="Arial" w:hAnsi="Arial" w:cs="Arial"/>
          <w:sz w:val="22"/>
          <w:szCs w:val="22"/>
        </w:rPr>
        <w:t>leading</w:t>
      </w:r>
      <w:proofErr w:type="spellEnd"/>
      <w:r w:rsidRPr="0022133E">
        <w:rPr>
          <w:rFonts w:ascii="Arial" w:hAnsi="Arial" w:cs="Arial"/>
          <w:sz w:val="22"/>
          <w:szCs w:val="22"/>
        </w:rPr>
        <w:t xml:space="preserve"> del Conference Board (che segnala i punti di svolta del ciclo economico) ha segnato una nuova, contenuta discesa (-0</w:t>
      </w:r>
      <w:r w:rsidR="00C82FC0" w:rsidRPr="0022133E">
        <w:rPr>
          <w:rFonts w:ascii="Arial" w:hAnsi="Arial" w:cs="Arial"/>
          <w:sz w:val="22"/>
          <w:szCs w:val="22"/>
        </w:rPr>
        <w:t>,</w:t>
      </w:r>
      <w:r w:rsidRPr="0022133E">
        <w:rPr>
          <w:rFonts w:ascii="Arial" w:hAnsi="Arial" w:cs="Arial"/>
          <w:sz w:val="22"/>
          <w:szCs w:val="22"/>
        </w:rPr>
        <w:t xml:space="preserve">1%, dopo il -0,3% del mese precedente), proseguendo </w:t>
      </w:r>
      <w:r w:rsidR="007A2AA8">
        <w:rPr>
          <w:rFonts w:ascii="Arial" w:hAnsi="Arial" w:cs="Arial"/>
          <w:sz w:val="22"/>
          <w:szCs w:val="22"/>
        </w:rPr>
        <w:t>la</w:t>
      </w:r>
      <w:r w:rsidR="007A2AA8" w:rsidRPr="0022133E">
        <w:rPr>
          <w:rFonts w:ascii="Arial" w:hAnsi="Arial" w:cs="Arial"/>
          <w:sz w:val="22"/>
          <w:szCs w:val="22"/>
        </w:rPr>
        <w:t xml:space="preserve"> </w:t>
      </w:r>
      <w:r w:rsidRPr="0022133E">
        <w:rPr>
          <w:rFonts w:ascii="Arial" w:hAnsi="Arial" w:cs="Arial"/>
          <w:sz w:val="22"/>
          <w:szCs w:val="22"/>
        </w:rPr>
        <w:t xml:space="preserve">tendenza </w:t>
      </w:r>
      <w:r w:rsidR="007A2AA8">
        <w:rPr>
          <w:rFonts w:ascii="Arial" w:hAnsi="Arial" w:cs="Arial"/>
          <w:sz w:val="22"/>
          <w:szCs w:val="22"/>
        </w:rPr>
        <w:t xml:space="preserve">di calo </w:t>
      </w:r>
      <w:r w:rsidRPr="0022133E">
        <w:rPr>
          <w:rFonts w:ascii="Arial" w:hAnsi="Arial" w:cs="Arial"/>
          <w:sz w:val="22"/>
          <w:szCs w:val="22"/>
        </w:rPr>
        <w:t xml:space="preserve">in atto (-2,7% </w:t>
      </w:r>
      <w:r w:rsidR="00750085" w:rsidRPr="0022133E">
        <w:rPr>
          <w:rFonts w:ascii="Arial" w:hAnsi="Arial" w:cs="Arial"/>
          <w:sz w:val="22"/>
          <w:szCs w:val="22"/>
        </w:rPr>
        <w:t>tra gennaio e</w:t>
      </w:r>
      <w:r w:rsidRPr="0022133E">
        <w:rPr>
          <w:rFonts w:ascii="Arial" w:hAnsi="Arial" w:cs="Arial"/>
          <w:sz w:val="22"/>
          <w:szCs w:val="22"/>
        </w:rPr>
        <w:t xml:space="preserve"> luglio)</w:t>
      </w:r>
      <w:r w:rsidR="00C82FC0" w:rsidRPr="0022133E">
        <w:rPr>
          <w:rFonts w:ascii="Arial" w:hAnsi="Arial" w:cs="Arial"/>
          <w:sz w:val="22"/>
          <w:szCs w:val="22"/>
        </w:rPr>
        <w:t xml:space="preserve"> e</w:t>
      </w:r>
      <w:r w:rsidRPr="0022133E">
        <w:rPr>
          <w:rFonts w:ascii="Arial" w:hAnsi="Arial" w:cs="Arial"/>
          <w:sz w:val="22"/>
          <w:szCs w:val="22"/>
        </w:rPr>
        <w:t xml:space="preserve"> prefigurando un indebolimento del ciclo nella seconda metà dell’anno. </w:t>
      </w:r>
      <w:r w:rsidR="00750085" w:rsidRPr="0022133E">
        <w:rPr>
          <w:rFonts w:ascii="Arial" w:hAnsi="Arial" w:cs="Arial"/>
          <w:sz w:val="22"/>
          <w:szCs w:val="22"/>
        </w:rPr>
        <w:t xml:space="preserve">Gli effetti inflazionistici derivanti </w:t>
      </w:r>
      <w:r w:rsidRPr="0022133E">
        <w:rPr>
          <w:rFonts w:ascii="Arial" w:hAnsi="Arial" w:cs="Arial"/>
          <w:sz w:val="22"/>
          <w:szCs w:val="22"/>
        </w:rPr>
        <w:t>dall’applicazione dei dazi alle importazioni</w:t>
      </w:r>
      <w:r w:rsidR="00750085" w:rsidRPr="0022133E">
        <w:rPr>
          <w:rFonts w:ascii="Arial" w:hAnsi="Arial" w:cs="Arial"/>
          <w:sz w:val="22"/>
          <w:szCs w:val="22"/>
        </w:rPr>
        <w:t xml:space="preserve"> non </w:t>
      </w:r>
      <w:r w:rsidR="00C229C1" w:rsidRPr="0022133E">
        <w:rPr>
          <w:rFonts w:ascii="Arial" w:hAnsi="Arial" w:cs="Arial"/>
          <w:sz w:val="22"/>
          <w:szCs w:val="22"/>
        </w:rPr>
        <w:t xml:space="preserve">si </w:t>
      </w:r>
      <w:r w:rsidR="00750085" w:rsidRPr="0022133E">
        <w:rPr>
          <w:rFonts w:ascii="Arial" w:hAnsi="Arial" w:cs="Arial"/>
          <w:sz w:val="22"/>
          <w:szCs w:val="22"/>
        </w:rPr>
        <w:t xml:space="preserve">sono ancora </w:t>
      </w:r>
      <w:r w:rsidR="00C229C1" w:rsidRPr="0022133E">
        <w:rPr>
          <w:rFonts w:ascii="Arial" w:hAnsi="Arial" w:cs="Arial"/>
          <w:sz w:val="22"/>
          <w:szCs w:val="22"/>
        </w:rPr>
        <w:t>manifestati</w:t>
      </w:r>
      <w:r w:rsidR="00750085" w:rsidRPr="0022133E">
        <w:rPr>
          <w:rFonts w:ascii="Arial" w:hAnsi="Arial" w:cs="Arial"/>
          <w:sz w:val="22"/>
          <w:szCs w:val="22"/>
        </w:rPr>
        <w:t>:</w:t>
      </w:r>
      <w:r w:rsidRPr="0022133E">
        <w:rPr>
          <w:rFonts w:ascii="Arial" w:hAnsi="Arial" w:cs="Arial"/>
          <w:sz w:val="22"/>
          <w:szCs w:val="22"/>
        </w:rPr>
        <w:t xml:space="preserve"> a luglio l’in</w:t>
      </w:r>
      <w:r w:rsidR="00750085" w:rsidRPr="0022133E">
        <w:rPr>
          <w:rFonts w:ascii="Arial" w:hAnsi="Arial" w:cs="Arial"/>
          <w:sz w:val="22"/>
          <w:szCs w:val="22"/>
        </w:rPr>
        <w:t>dice dei prezzi al consumo è rimasto</w:t>
      </w:r>
      <w:r w:rsidRPr="0022133E">
        <w:rPr>
          <w:rFonts w:ascii="Arial" w:hAnsi="Arial" w:cs="Arial"/>
          <w:sz w:val="22"/>
          <w:szCs w:val="22"/>
        </w:rPr>
        <w:t xml:space="preserve"> stabile su </w:t>
      </w:r>
      <w:r w:rsidR="00C82FC0" w:rsidRPr="0022133E">
        <w:rPr>
          <w:rFonts w:ascii="Arial" w:hAnsi="Arial" w:cs="Arial"/>
          <w:sz w:val="22"/>
          <w:szCs w:val="22"/>
        </w:rPr>
        <w:t>ba</w:t>
      </w:r>
      <w:r w:rsidRPr="0022133E">
        <w:rPr>
          <w:rFonts w:ascii="Arial" w:hAnsi="Arial" w:cs="Arial"/>
          <w:sz w:val="22"/>
          <w:szCs w:val="22"/>
        </w:rPr>
        <w:t xml:space="preserve">se tendenziale (+2,7%; +0,2% </w:t>
      </w:r>
      <w:r w:rsidR="00C82FC0" w:rsidRPr="0022133E">
        <w:rPr>
          <w:rFonts w:ascii="Arial" w:hAnsi="Arial" w:cs="Arial"/>
          <w:sz w:val="22"/>
          <w:szCs w:val="22"/>
        </w:rPr>
        <w:t>rispetto al mese precedente</w:t>
      </w:r>
      <w:r w:rsidRPr="0022133E">
        <w:rPr>
          <w:rFonts w:ascii="Arial" w:hAnsi="Arial" w:cs="Arial"/>
          <w:sz w:val="22"/>
          <w:szCs w:val="22"/>
        </w:rPr>
        <w:t>),</w:t>
      </w:r>
      <w:r w:rsidR="0002320E">
        <w:rPr>
          <w:rFonts w:ascii="Arial" w:hAnsi="Arial" w:cs="Arial"/>
          <w:sz w:val="22"/>
          <w:szCs w:val="22"/>
        </w:rPr>
        <w:t xml:space="preserve"> alimentando, come sopra evidenziato, </w:t>
      </w:r>
      <w:r w:rsidRPr="0022133E">
        <w:rPr>
          <w:rFonts w:ascii="Arial" w:hAnsi="Arial" w:cs="Arial"/>
          <w:sz w:val="22"/>
          <w:szCs w:val="22"/>
        </w:rPr>
        <w:t>le attese di un allentamento della politica monetaria</w:t>
      </w:r>
      <w:r w:rsidR="00750085" w:rsidRPr="0022133E">
        <w:rPr>
          <w:rFonts w:ascii="Arial" w:hAnsi="Arial" w:cs="Arial"/>
          <w:sz w:val="22"/>
          <w:szCs w:val="22"/>
        </w:rPr>
        <w:t xml:space="preserve"> nei prossimi mesi</w:t>
      </w:r>
      <w:r w:rsidRPr="0022133E">
        <w:rPr>
          <w:rFonts w:ascii="Arial" w:hAnsi="Arial" w:cs="Arial"/>
          <w:sz w:val="22"/>
          <w:szCs w:val="22"/>
        </w:rPr>
        <w:t>.</w:t>
      </w:r>
    </w:p>
    <w:p w14:paraId="452FD9A2" w14:textId="3F25FB4D" w:rsidR="00AF4B6B" w:rsidRDefault="00114833" w:rsidP="00114833">
      <w:pPr>
        <w:pStyle w:val="Default"/>
        <w:spacing w:before="60" w:after="120"/>
        <w:ind w:right="6"/>
        <w:jc w:val="both"/>
        <w:rPr>
          <w:sz w:val="22"/>
          <w:szCs w:val="22"/>
        </w:rPr>
      </w:pPr>
      <w:r>
        <w:rPr>
          <w:b/>
          <w:iCs/>
          <w:noProof/>
          <w:color w:val="008080"/>
          <w:sz w:val="22"/>
          <w:szCs w:val="22"/>
          <w:lang w:eastAsia="it-IT"/>
        </w:rPr>
        <w:t>…</w:t>
      </w:r>
      <w:r w:rsidR="002F4A3C">
        <w:rPr>
          <w:b/>
          <w:iCs/>
          <w:noProof/>
          <w:color w:val="008080"/>
          <w:sz w:val="22"/>
          <w:szCs w:val="22"/>
          <w:lang w:eastAsia="it-IT"/>
        </w:rPr>
        <w:t>mentre rallenta in Cina</w:t>
      </w:r>
      <w:r w:rsidR="002F4A3C" w:rsidRPr="002F4A3C">
        <w:rPr>
          <w:b/>
          <w:iCs/>
          <w:noProof/>
          <w:color w:val="008080"/>
          <w:sz w:val="22"/>
          <w:szCs w:val="22"/>
          <w:lang w:eastAsia="it-IT"/>
        </w:rPr>
        <w:t>…</w:t>
      </w:r>
      <w:r w:rsidR="00181800">
        <w:rPr>
          <w:b/>
          <w:iCs/>
          <w:noProof/>
          <w:color w:val="008080"/>
          <w:sz w:val="22"/>
          <w:szCs w:val="22"/>
          <w:lang w:eastAsia="it-IT"/>
        </w:rPr>
        <w:t xml:space="preserve"> </w:t>
      </w:r>
      <w:r w:rsidRPr="00114833">
        <w:rPr>
          <w:color w:val="auto"/>
          <w:sz w:val="22"/>
          <w:szCs w:val="22"/>
        </w:rPr>
        <w:t>In Cina l’attività economica nel secondo trimestre ha segnato un marginale rallentamento rispetto al trimestre precedente (</w:t>
      </w:r>
      <w:r w:rsidR="00FA3272">
        <w:rPr>
          <w:color w:val="auto"/>
          <w:sz w:val="22"/>
          <w:szCs w:val="22"/>
        </w:rPr>
        <w:t>+</w:t>
      </w:r>
      <w:r w:rsidRPr="00114833">
        <w:rPr>
          <w:color w:val="auto"/>
          <w:sz w:val="22"/>
          <w:szCs w:val="22"/>
        </w:rPr>
        <w:t xml:space="preserve">5,2% su base tendenziale, dal </w:t>
      </w:r>
      <w:r w:rsidR="00FA3272">
        <w:rPr>
          <w:color w:val="auto"/>
          <w:sz w:val="22"/>
          <w:szCs w:val="22"/>
        </w:rPr>
        <w:t>+</w:t>
      </w:r>
      <w:r w:rsidRPr="00114833">
        <w:rPr>
          <w:color w:val="auto"/>
          <w:sz w:val="22"/>
          <w:szCs w:val="22"/>
        </w:rPr>
        <w:t>5,4% del primo trimestre)</w:t>
      </w:r>
      <w:r w:rsidR="000C58CD">
        <w:rPr>
          <w:color w:val="auto"/>
          <w:sz w:val="22"/>
          <w:szCs w:val="22"/>
        </w:rPr>
        <w:t>.</w:t>
      </w:r>
      <w:r w:rsidR="00D577E1">
        <w:rPr>
          <w:color w:val="auto"/>
          <w:sz w:val="22"/>
          <w:szCs w:val="22"/>
        </w:rPr>
        <w:t xml:space="preserve"> </w:t>
      </w:r>
      <w:r w:rsidR="000C58CD">
        <w:rPr>
          <w:color w:val="auto"/>
          <w:sz w:val="22"/>
          <w:szCs w:val="22"/>
        </w:rPr>
        <w:t>N</w:t>
      </w:r>
      <w:r w:rsidRPr="00114833">
        <w:rPr>
          <w:color w:val="auto"/>
          <w:sz w:val="22"/>
          <w:szCs w:val="22"/>
        </w:rPr>
        <w:t xml:space="preserve">onostante </w:t>
      </w:r>
      <w:r w:rsidR="000C58CD" w:rsidRPr="00114833">
        <w:rPr>
          <w:color w:val="auto"/>
          <w:sz w:val="22"/>
          <w:szCs w:val="22"/>
        </w:rPr>
        <w:t>un</w:t>
      </w:r>
      <w:r w:rsidR="000C58CD">
        <w:rPr>
          <w:color w:val="auto"/>
          <w:sz w:val="22"/>
          <w:szCs w:val="22"/>
        </w:rPr>
        <w:t xml:space="preserve"> minore </w:t>
      </w:r>
      <w:r w:rsidR="0002320E">
        <w:rPr>
          <w:color w:val="auto"/>
          <w:sz w:val="22"/>
          <w:szCs w:val="22"/>
        </w:rPr>
        <w:t>contributo</w:t>
      </w:r>
      <w:r w:rsidRPr="00114833">
        <w:rPr>
          <w:color w:val="auto"/>
          <w:sz w:val="22"/>
          <w:szCs w:val="22"/>
        </w:rPr>
        <w:t xml:space="preserve"> del</w:t>
      </w:r>
      <w:r w:rsidR="00030346">
        <w:rPr>
          <w:color w:val="auto"/>
          <w:sz w:val="22"/>
          <w:szCs w:val="22"/>
        </w:rPr>
        <w:t>le esportazioni</w:t>
      </w:r>
      <w:r w:rsidRPr="00114833">
        <w:rPr>
          <w:color w:val="auto"/>
          <w:sz w:val="22"/>
          <w:szCs w:val="22"/>
        </w:rPr>
        <w:t xml:space="preserve">, la crescita del PIL rimane in linea </w:t>
      </w:r>
      <w:r w:rsidR="000C58CD">
        <w:rPr>
          <w:color w:val="auto"/>
          <w:sz w:val="22"/>
          <w:szCs w:val="22"/>
        </w:rPr>
        <w:t>con gli</w:t>
      </w:r>
      <w:r w:rsidRPr="00114833">
        <w:rPr>
          <w:color w:val="auto"/>
          <w:sz w:val="22"/>
          <w:szCs w:val="22"/>
        </w:rPr>
        <w:t xml:space="preserve"> obbiettivi del governo (pari a una espansione “intorno al 5%” per il 2025). La produzione industriale ha segnato in luglio un rallentamento </w:t>
      </w:r>
      <w:r w:rsidR="00C8204A">
        <w:rPr>
          <w:color w:val="auto"/>
          <w:sz w:val="22"/>
          <w:szCs w:val="22"/>
        </w:rPr>
        <w:t xml:space="preserve">della crescita </w:t>
      </w:r>
      <w:r w:rsidRPr="00114833">
        <w:rPr>
          <w:color w:val="auto"/>
          <w:sz w:val="22"/>
          <w:szCs w:val="22"/>
        </w:rPr>
        <w:t>(+5,7% su base tendenziale, dal +6,8% in giugno); l’indice PMI per la manifattura, tuttavia, ha evidenziato in agosto un leggero miglioramento attestandosi appena sopra la soglia di espansione dei 50 punti (50,5 punti), grazie alla spinta dei nuovi ordinativi. In risposta al calo della domanda interna, il governo ha lanciato due programmi di aiuti per stimolare i consumi delle famiglie e sostenere le imprese dei servizi.</w:t>
      </w:r>
    </w:p>
    <w:p w14:paraId="1FFA0F33" w14:textId="216ED74E" w:rsidR="00A2707E" w:rsidRDefault="00114833" w:rsidP="00A2707E">
      <w:pPr>
        <w:autoSpaceDE w:val="0"/>
        <w:autoSpaceDN w:val="0"/>
        <w:adjustRightInd w:val="0"/>
        <w:spacing w:before="60" w:after="120"/>
        <w:ind w:right="6"/>
        <w:jc w:val="both"/>
        <w:rPr>
          <w:rFonts w:ascii="Arial" w:hAnsi="Arial" w:cs="Arial"/>
          <w:sz w:val="22"/>
          <w:szCs w:val="22"/>
        </w:rPr>
      </w:pPr>
      <w:r>
        <w:rPr>
          <w:rFonts w:ascii="Arial" w:eastAsia="Times New Roman" w:hAnsi="Arial" w:cs="Arial"/>
          <w:b/>
          <w:iCs/>
          <w:noProof/>
          <w:color w:val="008080"/>
          <w:sz w:val="22"/>
          <w:szCs w:val="22"/>
          <w:lang w:eastAsia="it-IT"/>
        </w:rPr>
        <w:t>.</w:t>
      </w:r>
      <w:r w:rsidRPr="00114833">
        <w:rPr>
          <w:rFonts w:ascii="Arial" w:eastAsia="Times New Roman" w:hAnsi="Arial" w:cs="Arial"/>
          <w:b/>
          <w:iCs/>
          <w:noProof/>
          <w:color w:val="008080"/>
          <w:sz w:val="22"/>
          <w:szCs w:val="22"/>
          <w:lang w:eastAsia="it-IT"/>
        </w:rPr>
        <w:t>..e nell’area euro</w:t>
      </w:r>
      <w:r w:rsidR="00DE3AAD">
        <w:rPr>
          <w:rFonts w:ascii="Arial" w:hAnsi="Arial" w:cs="Arial"/>
          <w:sz w:val="22"/>
          <w:szCs w:val="22"/>
        </w:rPr>
        <w:t xml:space="preserve"> </w:t>
      </w:r>
      <w:r w:rsidR="00A2707E" w:rsidRPr="00A2707E">
        <w:rPr>
          <w:rFonts w:ascii="Arial" w:hAnsi="Arial" w:cs="Arial"/>
          <w:sz w:val="22"/>
          <w:szCs w:val="22"/>
        </w:rPr>
        <w:t xml:space="preserve">l’attività economica nel secondo trimestre ha segnato un deciso rallentamento: il Pil è cresciuto dello 0,1% su base congiunturale, dopo </w:t>
      </w:r>
      <w:r w:rsidR="000C58CD">
        <w:rPr>
          <w:rFonts w:ascii="Arial" w:hAnsi="Arial" w:cs="Arial"/>
          <w:sz w:val="22"/>
          <w:szCs w:val="22"/>
        </w:rPr>
        <w:t>lo</w:t>
      </w:r>
      <w:r w:rsidR="00561629">
        <w:rPr>
          <w:rFonts w:ascii="Arial" w:hAnsi="Arial" w:cs="Arial"/>
          <w:sz w:val="22"/>
          <w:szCs w:val="22"/>
        </w:rPr>
        <w:t xml:space="preserve"> </w:t>
      </w:r>
      <w:r w:rsidR="00A2707E" w:rsidRPr="00A2707E">
        <w:rPr>
          <w:rFonts w:ascii="Arial" w:hAnsi="Arial" w:cs="Arial"/>
          <w:sz w:val="22"/>
          <w:szCs w:val="22"/>
        </w:rPr>
        <w:t>0,6% nel pr</w:t>
      </w:r>
      <w:r w:rsidR="00DE3AAD">
        <w:rPr>
          <w:rFonts w:ascii="Arial" w:hAnsi="Arial" w:cs="Arial"/>
          <w:sz w:val="22"/>
          <w:szCs w:val="22"/>
        </w:rPr>
        <w:t>imo</w:t>
      </w:r>
      <w:r w:rsidR="00A2707E" w:rsidRPr="00A2707E">
        <w:rPr>
          <w:rFonts w:ascii="Arial" w:hAnsi="Arial" w:cs="Arial"/>
          <w:sz w:val="22"/>
          <w:szCs w:val="22"/>
        </w:rPr>
        <w:t xml:space="preserve"> (+1,4% su base tendenziale, dal +1,5% del trimestre precedente). Il contributo più rilevante è stato fornito dalle scorte (</w:t>
      </w:r>
      <w:r w:rsidR="0060563B">
        <w:rPr>
          <w:rFonts w:ascii="Arial" w:hAnsi="Arial" w:cs="Arial"/>
          <w:sz w:val="22"/>
          <w:szCs w:val="22"/>
        </w:rPr>
        <w:t>+</w:t>
      </w:r>
      <w:r w:rsidR="00A2707E" w:rsidRPr="00A2707E">
        <w:rPr>
          <w:rFonts w:ascii="Arial" w:hAnsi="Arial" w:cs="Arial"/>
          <w:sz w:val="22"/>
          <w:szCs w:val="22"/>
        </w:rPr>
        <w:t xml:space="preserve">5 decimi di punto); leggermente positivo l’apporto dei consumi finali delle famiglie e di quelli pubblici (un decimo di punto); negativo, al contrario, l’apporto degli investimenti (-4 decimi) e delle esportazioni nette (-2 decimi). Per quanto riguarda le principali economie, la Spagna (+0,7%) continua a evidenziare </w:t>
      </w:r>
      <w:r w:rsidR="000C58CD">
        <w:rPr>
          <w:rFonts w:ascii="Arial" w:hAnsi="Arial" w:cs="Arial"/>
          <w:sz w:val="22"/>
          <w:szCs w:val="22"/>
        </w:rPr>
        <w:t xml:space="preserve">i </w:t>
      </w:r>
      <w:r w:rsidR="00A2707E" w:rsidRPr="00A2707E">
        <w:rPr>
          <w:rFonts w:ascii="Arial" w:hAnsi="Arial" w:cs="Arial"/>
          <w:sz w:val="22"/>
          <w:szCs w:val="22"/>
        </w:rPr>
        <w:t xml:space="preserve">ritmi di espansione più sostenuti, in linea con quelli dei precedenti tre trimestri; la Francia ha registrato una accelerazione (+0,3%, dopo il +0,1% dei primi tre mesi del 2025); la Germania, infine, è tornata a evidenziare una contrazione </w:t>
      </w:r>
      <w:r w:rsidR="000C58CD">
        <w:rPr>
          <w:rFonts w:ascii="Arial" w:hAnsi="Arial" w:cs="Arial"/>
          <w:sz w:val="22"/>
          <w:szCs w:val="22"/>
        </w:rPr>
        <w:t>dell’attività economica</w:t>
      </w:r>
      <w:r w:rsidR="00923970">
        <w:rPr>
          <w:rFonts w:ascii="Arial" w:hAnsi="Arial" w:cs="Arial"/>
          <w:sz w:val="22"/>
          <w:szCs w:val="22"/>
        </w:rPr>
        <w:t xml:space="preserve"> </w:t>
      </w:r>
      <w:r w:rsidR="00A2707E" w:rsidRPr="00A2707E">
        <w:rPr>
          <w:rFonts w:ascii="Arial" w:hAnsi="Arial" w:cs="Arial"/>
          <w:sz w:val="22"/>
          <w:szCs w:val="22"/>
        </w:rPr>
        <w:t>(-0,3%, dopo il +0,3% del periodo gennaio-marzo)</w:t>
      </w:r>
    </w:p>
    <w:p w14:paraId="32AF8DD4" w14:textId="54034A0D" w:rsidR="003426F7" w:rsidRDefault="005956E1" w:rsidP="005956E1">
      <w:pPr>
        <w:autoSpaceDE w:val="0"/>
        <w:autoSpaceDN w:val="0"/>
        <w:adjustRightInd w:val="0"/>
        <w:spacing w:before="60" w:after="120"/>
        <w:ind w:right="6"/>
        <w:jc w:val="both"/>
        <w:rPr>
          <w:rFonts w:ascii="Arial" w:hAnsi="Arial" w:cs="Arial"/>
          <w:sz w:val="22"/>
          <w:szCs w:val="22"/>
        </w:rPr>
      </w:pPr>
      <w:r w:rsidRPr="005956E1">
        <w:rPr>
          <w:rFonts w:ascii="Arial" w:hAnsi="Arial" w:cs="Arial"/>
          <w:sz w:val="22"/>
          <w:szCs w:val="22"/>
        </w:rPr>
        <w:t xml:space="preserve">L’inflazione </w:t>
      </w:r>
      <w:r w:rsidR="000C58CD">
        <w:rPr>
          <w:rFonts w:ascii="Arial" w:hAnsi="Arial" w:cs="Arial"/>
          <w:sz w:val="22"/>
          <w:szCs w:val="22"/>
        </w:rPr>
        <w:t>per l’area nel complesso ha</w:t>
      </w:r>
      <w:r w:rsidR="000C58CD" w:rsidRPr="005956E1">
        <w:rPr>
          <w:rFonts w:ascii="Arial" w:hAnsi="Arial" w:cs="Arial"/>
          <w:sz w:val="22"/>
          <w:szCs w:val="22"/>
        </w:rPr>
        <w:t xml:space="preserve"> </w:t>
      </w:r>
      <w:r w:rsidRPr="005956E1">
        <w:rPr>
          <w:rFonts w:ascii="Arial" w:hAnsi="Arial" w:cs="Arial"/>
          <w:sz w:val="22"/>
          <w:szCs w:val="22"/>
        </w:rPr>
        <w:t xml:space="preserve">leggermente accelerato </w:t>
      </w:r>
      <w:r w:rsidR="002E1FC0" w:rsidRPr="005956E1">
        <w:rPr>
          <w:rFonts w:ascii="Arial" w:hAnsi="Arial" w:cs="Arial"/>
          <w:sz w:val="22"/>
          <w:szCs w:val="22"/>
        </w:rPr>
        <w:t xml:space="preserve">in agosto </w:t>
      </w:r>
      <w:r w:rsidRPr="005956E1">
        <w:rPr>
          <w:rFonts w:ascii="Arial" w:hAnsi="Arial" w:cs="Arial"/>
          <w:sz w:val="22"/>
          <w:szCs w:val="22"/>
        </w:rPr>
        <w:t>rispetto al mese precedente (+2,1% su base tendenziale secondo la stima flash, dopo il 2,0% di luglio): alla vivace dinamica dei beni alimentari, bevande e tabacco (+3,2%) e dei servizi (+3,1%) si contrappone un andamento contenuto dei beni industriali non energetici (+0.8%) e una contrazione di quelli energetici (-1,9%). La produzione industriale dell’area euro in giugno è diminuita dell’1,3% rispetto a maggio, risultando sostanzialmente stagnante nel confronto con lo stesso mese del 2024 (+0,2%). La contrazione ha riguardato tutti i principali aggregati (beni di intermedi, di consumo e capitali), con l’eccezione di quelli energetici.</w:t>
      </w:r>
    </w:p>
    <w:p w14:paraId="58CDA19A" w14:textId="68174FAD" w:rsidR="00867545" w:rsidRPr="00867545" w:rsidRDefault="000D25DF" w:rsidP="00FB2DBD">
      <w:pPr>
        <w:autoSpaceDE w:val="0"/>
        <w:autoSpaceDN w:val="0"/>
        <w:adjustRightInd w:val="0"/>
        <w:spacing w:before="60" w:after="120"/>
        <w:ind w:right="6"/>
        <w:jc w:val="both"/>
        <w:rPr>
          <w:rFonts w:ascii="Arial" w:hAnsi="Arial" w:cs="Arial"/>
          <w:sz w:val="22"/>
          <w:szCs w:val="22"/>
          <w:highlight w:val="yellow"/>
        </w:rPr>
      </w:pPr>
      <w:r>
        <w:rPr>
          <w:rFonts w:ascii="Arial" w:eastAsia="Times New Roman" w:hAnsi="Arial" w:cs="Arial"/>
          <w:b/>
          <w:iCs/>
          <w:noProof/>
          <w:color w:val="008080"/>
          <w:sz w:val="22"/>
          <w:szCs w:val="22"/>
          <w:lang w:eastAsia="it-IT"/>
        </w:rPr>
        <w:t>…</w:t>
      </w:r>
      <w:r w:rsidRPr="000D25DF">
        <w:rPr>
          <w:rFonts w:ascii="Arial" w:eastAsia="Times New Roman" w:hAnsi="Arial" w:cs="Arial"/>
          <w:b/>
          <w:iCs/>
          <w:noProof/>
          <w:color w:val="008080"/>
          <w:sz w:val="22"/>
          <w:szCs w:val="22"/>
          <w:lang w:eastAsia="it-IT"/>
        </w:rPr>
        <w:t>con prospettive di ulteriore decelerazione</w:t>
      </w:r>
      <w:r>
        <w:rPr>
          <w:rFonts w:ascii="Arial" w:eastAsia="Times New Roman" w:hAnsi="Arial" w:cs="Arial"/>
          <w:b/>
          <w:iCs/>
          <w:noProof/>
          <w:color w:val="008080"/>
          <w:sz w:val="22"/>
          <w:szCs w:val="22"/>
          <w:lang w:eastAsia="it-IT"/>
        </w:rPr>
        <w:t>.</w:t>
      </w:r>
      <w:r w:rsidR="002D65CB" w:rsidRPr="002D65CB">
        <w:rPr>
          <w:rFonts w:ascii="Arial" w:hAnsi="Arial" w:cs="Arial"/>
          <w:sz w:val="22"/>
          <w:szCs w:val="22"/>
        </w:rPr>
        <w:t xml:space="preserve"> </w:t>
      </w:r>
      <w:r w:rsidR="0087137D">
        <w:rPr>
          <w:rFonts w:ascii="Arial" w:hAnsi="Arial" w:cs="Arial"/>
          <w:sz w:val="22"/>
          <w:szCs w:val="22"/>
        </w:rPr>
        <w:t xml:space="preserve">Le prospettive </w:t>
      </w:r>
      <w:r w:rsidR="003B6E08">
        <w:rPr>
          <w:rFonts w:ascii="Arial" w:hAnsi="Arial" w:cs="Arial"/>
          <w:sz w:val="22"/>
          <w:szCs w:val="22"/>
        </w:rPr>
        <w:t>di crescita per l’area euro p</w:t>
      </w:r>
      <w:r w:rsidR="00FB2DBD" w:rsidRPr="00FB2DBD">
        <w:rPr>
          <w:rFonts w:ascii="Arial" w:hAnsi="Arial" w:cs="Arial"/>
          <w:sz w:val="22"/>
          <w:szCs w:val="22"/>
        </w:rPr>
        <w:t xml:space="preserve">er il terzo trimestre sono di un ulteriore rallentamento, in seguito alla fine della fase di forte accelerazione delle vendite </w:t>
      </w:r>
      <w:r w:rsidR="000C58CD">
        <w:rPr>
          <w:rFonts w:ascii="Arial" w:hAnsi="Arial" w:cs="Arial"/>
          <w:sz w:val="22"/>
          <w:szCs w:val="22"/>
        </w:rPr>
        <w:t xml:space="preserve">europee </w:t>
      </w:r>
      <w:r w:rsidR="00FB2DBD" w:rsidRPr="00FB2DBD">
        <w:rPr>
          <w:rFonts w:ascii="Arial" w:hAnsi="Arial" w:cs="Arial"/>
          <w:sz w:val="22"/>
          <w:szCs w:val="22"/>
        </w:rPr>
        <w:t xml:space="preserve">all’estero determinate dalla imminente introduzione delle nuove aliquote tariffarie statunitensi. </w:t>
      </w:r>
      <w:r w:rsidR="00867545" w:rsidRPr="00867545">
        <w:rPr>
          <w:rFonts w:ascii="Arial" w:hAnsi="Arial" w:cs="Arial"/>
          <w:sz w:val="22"/>
          <w:szCs w:val="22"/>
        </w:rPr>
        <w:t xml:space="preserve">L’export </w:t>
      </w:r>
      <w:r w:rsidR="003B6E08">
        <w:rPr>
          <w:rFonts w:ascii="Arial" w:hAnsi="Arial" w:cs="Arial"/>
          <w:sz w:val="22"/>
          <w:szCs w:val="22"/>
        </w:rPr>
        <w:t xml:space="preserve">dell’area euro </w:t>
      </w:r>
      <w:r w:rsidR="00867545" w:rsidRPr="00867545">
        <w:rPr>
          <w:rFonts w:ascii="Arial" w:hAnsi="Arial" w:cs="Arial"/>
          <w:sz w:val="22"/>
          <w:szCs w:val="22"/>
        </w:rPr>
        <w:t xml:space="preserve">verso gli Stati Uniti in giugno ha già mostrato un rallentamento (il valore </w:t>
      </w:r>
      <w:r w:rsidR="002E1FC0">
        <w:rPr>
          <w:rFonts w:ascii="Arial" w:hAnsi="Arial" w:cs="Arial"/>
          <w:sz w:val="22"/>
          <w:szCs w:val="22"/>
        </w:rPr>
        <w:t xml:space="preserve">dell’export è sceso </w:t>
      </w:r>
      <w:r w:rsidR="00867545" w:rsidRPr="00867545">
        <w:rPr>
          <w:rFonts w:ascii="Arial" w:hAnsi="Arial" w:cs="Arial"/>
          <w:sz w:val="22"/>
          <w:szCs w:val="22"/>
        </w:rPr>
        <w:t>a 40,2 miliardi, una contrazione del 10,3% su base tendenziale; il surplus a 9,6 miliardi, dal 18,5 del giugno 2024). Le aliquote effettive in vigore dall’inizio di agosto (tra il 12</w:t>
      </w:r>
      <w:r w:rsidR="0060563B">
        <w:rPr>
          <w:rFonts w:ascii="Arial" w:hAnsi="Arial" w:cs="Arial"/>
          <w:sz w:val="22"/>
          <w:szCs w:val="22"/>
        </w:rPr>
        <w:t>%</w:t>
      </w:r>
      <w:r w:rsidR="00867545" w:rsidRPr="00867545">
        <w:rPr>
          <w:rFonts w:ascii="Arial" w:hAnsi="Arial" w:cs="Arial"/>
          <w:sz w:val="22"/>
          <w:szCs w:val="22"/>
        </w:rPr>
        <w:t xml:space="preserve"> e il 16%) sono tuttavia in linea </w:t>
      </w:r>
      <w:r w:rsidR="002C4BE2">
        <w:rPr>
          <w:rFonts w:ascii="Arial" w:hAnsi="Arial" w:cs="Arial"/>
          <w:sz w:val="22"/>
          <w:szCs w:val="22"/>
        </w:rPr>
        <w:t>con le</w:t>
      </w:r>
      <w:r w:rsidR="00867545" w:rsidRPr="00867545">
        <w:rPr>
          <w:rFonts w:ascii="Arial" w:hAnsi="Arial" w:cs="Arial"/>
          <w:sz w:val="22"/>
          <w:szCs w:val="22"/>
        </w:rPr>
        <w:t xml:space="preserve"> ipotesi utilizzate nelle proiezioni della BCE in giugno.</w:t>
      </w:r>
    </w:p>
    <w:p w14:paraId="13E0C20E" w14:textId="2C11327F" w:rsidR="003426F7" w:rsidRPr="00656577" w:rsidRDefault="00FB2DBD" w:rsidP="00FB2DBD">
      <w:pPr>
        <w:autoSpaceDE w:val="0"/>
        <w:autoSpaceDN w:val="0"/>
        <w:adjustRightInd w:val="0"/>
        <w:spacing w:before="60" w:after="120"/>
        <w:ind w:right="6"/>
        <w:jc w:val="both"/>
        <w:rPr>
          <w:rFonts w:ascii="Arial" w:hAnsi="Arial" w:cs="Arial"/>
          <w:sz w:val="22"/>
          <w:szCs w:val="22"/>
          <w:highlight w:val="yellow"/>
        </w:rPr>
      </w:pPr>
      <w:r w:rsidRPr="00FB2DBD">
        <w:rPr>
          <w:rFonts w:ascii="Arial" w:hAnsi="Arial" w:cs="Arial"/>
          <w:sz w:val="22"/>
          <w:szCs w:val="22"/>
        </w:rPr>
        <w:t xml:space="preserve">In agosto, l’indicatore </w:t>
      </w:r>
      <w:proofErr w:type="spellStart"/>
      <w:r w:rsidRPr="00FB2DBD">
        <w:rPr>
          <w:rFonts w:ascii="Arial" w:hAnsi="Arial" w:cs="Arial"/>
          <w:sz w:val="22"/>
          <w:szCs w:val="22"/>
        </w:rPr>
        <w:t>European</w:t>
      </w:r>
      <w:proofErr w:type="spellEnd"/>
      <w:r w:rsidRPr="00FB2DBD">
        <w:rPr>
          <w:rFonts w:ascii="Arial" w:hAnsi="Arial" w:cs="Arial"/>
          <w:sz w:val="22"/>
          <w:szCs w:val="22"/>
        </w:rPr>
        <w:t xml:space="preserve"> Sentiment </w:t>
      </w:r>
      <w:proofErr w:type="spellStart"/>
      <w:r w:rsidRPr="00FB2DBD">
        <w:rPr>
          <w:rFonts w:ascii="Arial" w:hAnsi="Arial" w:cs="Arial"/>
          <w:sz w:val="22"/>
          <w:szCs w:val="22"/>
        </w:rPr>
        <w:t>Indicator</w:t>
      </w:r>
      <w:proofErr w:type="spellEnd"/>
      <w:r w:rsidRPr="00FB2DBD">
        <w:rPr>
          <w:rFonts w:ascii="Arial" w:hAnsi="Arial" w:cs="Arial"/>
          <w:sz w:val="22"/>
          <w:szCs w:val="22"/>
        </w:rPr>
        <w:t xml:space="preserve"> (ESI) della Commissione europea è diminuito (-0,5 punti rispetto al mese precedente). La flessione è stata principalmente determinata dalla riduzione della fiducia nel settore delle costruzioni e dei servizi, a fronte di un leggero miglioramento nel comparto industriale; i</w:t>
      </w:r>
      <w:r w:rsidR="00570370">
        <w:rPr>
          <w:rFonts w:ascii="Arial" w:hAnsi="Arial" w:cs="Arial"/>
          <w:sz w:val="22"/>
          <w:szCs w:val="22"/>
        </w:rPr>
        <w:t>l</w:t>
      </w:r>
      <w:r w:rsidRPr="00FB2DBD">
        <w:rPr>
          <w:rFonts w:ascii="Arial" w:hAnsi="Arial" w:cs="Arial"/>
          <w:sz w:val="22"/>
          <w:szCs w:val="22"/>
        </w:rPr>
        <w:t xml:space="preserve"> deterioramento più marcato ha riguardato i consumatori, in particolare </w:t>
      </w:r>
      <w:r w:rsidR="00570370">
        <w:rPr>
          <w:rFonts w:ascii="Arial" w:hAnsi="Arial" w:cs="Arial"/>
          <w:sz w:val="22"/>
          <w:szCs w:val="22"/>
        </w:rPr>
        <w:t xml:space="preserve">per quanto riguarda </w:t>
      </w:r>
      <w:r w:rsidRPr="00FB2DBD">
        <w:rPr>
          <w:rFonts w:ascii="Arial" w:hAnsi="Arial" w:cs="Arial"/>
          <w:sz w:val="22"/>
          <w:szCs w:val="22"/>
        </w:rPr>
        <w:t>la situazione finanziaria nei successivi 12 mesi. A livello nazionale, tra i principali paesi dell’area</w:t>
      </w:r>
      <w:r w:rsidR="00133C29">
        <w:rPr>
          <w:rFonts w:ascii="Arial" w:hAnsi="Arial" w:cs="Arial"/>
          <w:sz w:val="22"/>
          <w:szCs w:val="22"/>
        </w:rPr>
        <w:t>,</w:t>
      </w:r>
      <w:r w:rsidRPr="00FB2DBD">
        <w:rPr>
          <w:rFonts w:ascii="Arial" w:hAnsi="Arial" w:cs="Arial"/>
          <w:sz w:val="22"/>
          <w:szCs w:val="22"/>
        </w:rPr>
        <w:t xml:space="preserve"> l'ESI è diminuito in Spagna (-2,6 punti) Germania e Italia (-1,0 punti), mentre è cresciuto marginalmente in Francia (+0,1 punti).</w:t>
      </w:r>
    </w:p>
    <w:p w14:paraId="4B0E0B23" w14:textId="77777777" w:rsidR="00E827E2" w:rsidRPr="004040AC" w:rsidRDefault="00E827E2" w:rsidP="004040AC">
      <w:pPr>
        <w:shd w:val="clear" w:color="auto" w:fill="FFFFFF"/>
        <w:spacing w:before="60" w:after="120"/>
        <w:ind w:right="-6"/>
        <w:jc w:val="both"/>
        <w:rPr>
          <w:rFonts w:ascii="Arial" w:hAnsi="Arial" w:cs="Arial"/>
          <w:sz w:val="22"/>
          <w:szCs w:val="22"/>
        </w:rPr>
      </w:pPr>
    </w:p>
    <w:p w14:paraId="2E123FD3" w14:textId="77777777" w:rsidR="00663E93" w:rsidRPr="00292DDA" w:rsidRDefault="00663E93" w:rsidP="00A457DF">
      <w:pPr>
        <w:pStyle w:val="012titoloparagrafo"/>
        <w:pBdr>
          <w:top w:val="single" w:sz="8" w:space="1" w:color="068080"/>
          <w:bottom w:val="single" w:sz="8" w:space="1" w:color="068080"/>
        </w:pBdr>
        <w:shd w:val="clear" w:color="auto" w:fill="068080"/>
        <w:spacing w:before="0" w:after="0"/>
        <w:ind w:right="-6"/>
        <w:rPr>
          <w:b w:val="0"/>
          <w:bCs/>
          <w:smallCaps/>
          <w:color w:val="FFFFFF" w:themeColor="background1"/>
          <w:sz w:val="24"/>
          <w:szCs w:val="24"/>
        </w:rPr>
      </w:pPr>
      <w:r>
        <w:rPr>
          <w:b w:val="0"/>
          <w:bCs/>
          <w:smallCaps/>
          <w:color w:val="FFFFFF" w:themeColor="background1"/>
          <w:sz w:val="24"/>
          <w:szCs w:val="24"/>
        </w:rPr>
        <w:t xml:space="preserve"> </w:t>
      </w:r>
      <w:r w:rsidRPr="00292DDA">
        <w:rPr>
          <w:b w:val="0"/>
          <w:bCs/>
          <w:smallCaps/>
          <w:color w:val="FFFFFF" w:themeColor="background1"/>
          <w:sz w:val="24"/>
          <w:szCs w:val="24"/>
        </w:rPr>
        <w:t>LA CONGIUNTURA ITALIANA</w:t>
      </w:r>
    </w:p>
    <w:p w14:paraId="22157427" w14:textId="22794AA4" w:rsidR="009E6C54" w:rsidRDefault="00903E2E" w:rsidP="005A7DE3">
      <w:pPr>
        <w:shd w:val="clear" w:color="auto" w:fill="FFFFFF"/>
        <w:spacing w:before="120" w:after="120"/>
        <w:ind w:right="-6"/>
        <w:jc w:val="both"/>
        <w:rPr>
          <w:rFonts w:ascii="Arial" w:hAnsi="Arial" w:cs="Arial"/>
          <w:sz w:val="22"/>
          <w:szCs w:val="22"/>
        </w:rPr>
      </w:pPr>
      <w:r>
        <w:rPr>
          <w:rFonts w:ascii="Arial" w:eastAsia="Times New Roman" w:hAnsi="Arial" w:cs="Arial"/>
          <w:b/>
          <w:iCs/>
          <w:noProof/>
          <w:color w:val="008080"/>
          <w:sz w:val="22"/>
          <w:szCs w:val="22"/>
          <w:lang w:eastAsia="it-IT"/>
        </w:rPr>
        <w:t>Pil in f</w:t>
      </w:r>
      <w:r w:rsidR="009E6C54">
        <w:rPr>
          <w:rFonts w:ascii="Arial" w:eastAsia="Times New Roman" w:hAnsi="Arial" w:cs="Arial"/>
          <w:b/>
          <w:iCs/>
          <w:noProof/>
          <w:color w:val="008080"/>
          <w:sz w:val="22"/>
          <w:szCs w:val="22"/>
          <w:lang w:eastAsia="it-IT"/>
        </w:rPr>
        <w:t xml:space="preserve">lessione </w:t>
      </w:r>
      <w:r>
        <w:rPr>
          <w:rFonts w:ascii="Arial" w:eastAsia="Times New Roman" w:hAnsi="Arial" w:cs="Arial"/>
          <w:b/>
          <w:iCs/>
          <w:noProof/>
          <w:color w:val="008080"/>
          <w:sz w:val="22"/>
          <w:szCs w:val="22"/>
          <w:lang w:eastAsia="it-IT"/>
        </w:rPr>
        <w:t>nel sec</w:t>
      </w:r>
      <w:r w:rsidR="00844783">
        <w:rPr>
          <w:rFonts w:ascii="Arial" w:eastAsia="Times New Roman" w:hAnsi="Arial" w:cs="Arial"/>
          <w:b/>
          <w:iCs/>
          <w:noProof/>
          <w:color w:val="008080"/>
          <w:sz w:val="22"/>
          <w:szCs w:val="22"/>
          <w:lang w:eastAsia="it-IT"/>
        </w:rPr>
        <w:t>o</w:t>
      </w:r>
      <w:r>
        <w:rPr>
          <w:rFonts w:ascii="Arial" w:eastAsia="Times New Roman" w:hAnsi="Arial" w:cs="Arial"/>
          <w:b/>
          <w:iCs/>
          <w:noProof/>
          <w:color w:val="008080"/>
          <w:sz w:val="22"/>
          <w:szCs w:val="22"/>
          <w:lang w:eastAsia="it-IT"/>
        </w:rPr>
        <w:t>ndo trimestre</w:t>
      </w:r>
      <w:r w:rsidR="009E6C54">
        <w:rPr>
          <w:rFonts w:ascii="Arial" w:eastAsia="Times New Roman" w:hAnsi="Arial" w:cs="Arial"/>
          <w:b/>
          <w:iCs/>
          <w:noProof/>
          <w:color w:val="008080"/>
          <w:sz w:val="22"/>
          <w:szCs w:val="22"/>
          <w:lang w:eastAsia="it-IT"/>
        </w:rPr>
        <w:t xml:space="preserve">. </w:t>
      </w:r>
      <w:r>
        <w:rPr>
          <w:rFonts w:ascii="Arial" w:hAnsi="Arial" w:cs="Arial"/>
          <w:sz w:val="22"/>
          <w:szCs w:val="22"/>
        </w:rPr>
        <w:t>I</w:t>
      </w:r>
      <w:r w:rsidR="005A7DE3" w:rsidRPr="005A7DE3">
        <w:rPr>
          <w:rFonts w:ascii="Arial" w:hAnsi="Arial" w:cs="Arial"/>
          <w:sz w:val="22"/>
          <w:szCs w:val="22"/>
        </w:rPr>
        <w:t xml:space="preserve">l </w:t>
      </w:r>
      <w:hyperlink r:id="rId14" w:history="1">
        <w:r w:rsidR="005A7DE3" w:rsidRPr="005B68BB">
          <w:rPr>
            <w:rStyle w:val="Collegamentoipertestuale"/>
            <w:rFonts w:ascii="Arial" w:hAnsi="Arial" w:cs="Arial"/>
            <w:sz w:val="22"/>
            <w:szCs w:val="22"/>
          </w:rPr>
          <w:t>prodotto interno lordo</w:t>
        </w:r>
      </w:hyperlink>
      <w:r w:rsidR="005A7DE3" w:rsidRPr="005A7DE3">
        <w:rPr>
          <w:rFonts w:ascii="Arial" w:hAnsi="Arial" w:cs="Arial"/>
          <w:sz w:val="22"/>
          <w:szCs w:val="22"/>
        </w:rPr>
        <w:t xml:space="preserve"> (Pil), espresso in valori concatenati con anno di riferimento 2020, corretto per gli effetti di calendario e destagionalizzato, ha registrato </w:t>
      </w:r>
      <w:r>
        <w:rPr>
          <w:rFonts w:ascii="Arial" w:hAnsi="Arial" w:cs="Arial"/>
          <w:sz w:val="22"/>
          <w:szCs w:val="22"/>
        </w:rPr>
        <w:t>n</w:t>
      </w:r>
      <w:r w:rsidRPr="005A7DE3">
        <w:rPr>
          <w:rFonts w:ascii="Arial" w:hAnsi="Arial" w:cs="Arial"/>
          <w:sz w:val="22"/>
          <w:szCs w:val="22"/>
        </w:rPr>
        <w:t xml:space="preserve">el secondo trimestre </w:t>
      </w:r>
      <w:r w:rsidR="005A7DE3" w:rsidRPr="005A7DE3">
        <w:rPr>
          <w:rFonts w:ascii="Arial" w:hAnsi="Arial" w:cs="Arial"/>
          <w:sz w:val="22"/>
          <w:szCs w:val="22"/>
        </w:rPr>
        <w:t xml:space="preserve">un lieve calo </w:t>
      </w:r>
      <w:r>
        <w:rPr>
          <w:rFonts w:ascii="Arial" w:hAnsi="Arial" w:cs="Arial"/>
          <w:sz w:val="22"/>
          <w:szCs w:val="22"/>
        </w:rPr>
        <w:t xml:space="preserve">su base congiunturale </w:t>
      </w:r>
      <w:r w:rsidR="005A7DE3" w:rsidRPr="005A7DE3">
        <w:rPr>
          <w:rFonts w:ascii="Arial" w:hAnsi="Arial" w:cs="Arial"/>
          <w:sz w:val="22"/>
          <w:szCs w:val="22"/>
        </w:rPr>
        <w:t xml:space="preserve">(-0,1%), interrompendo il periodo di crescita iniziato nel terzo trimestre del 2023. </w:t>
      </w:r>
    </w:p>
    <w:p w14:paraId="6C1727CB" w14:textId="7411E062" w:rsidR="009E6C54" w:rsidRDefault="005A7DE3" w:rsidP="009E6C54">
      <w:pPr>
        <w:shd w:val="clear" w:color="auto" w:fill="FFFFFF"/>
        <w:spacing w:before="60" w:after="120"/>
        <w:ind w:right="-6"/>
        <w:jc w:val="both"/>
        <w:rPr>
          <w:rFonts w:ascii="Arial" w:hAnsi="Arial" w:cs="Arial"/>
          <w:sz w:val="22"/>
          <w:szCs w:val="22"/>
        </w:rPr>
      </w:pPr>
      <w:r w:rsidRPr="005A7DE3">
        <w:rPr>
          <w:rFonts w:ascii="Arial" w:hAnsi="Arial" w:cs="Arial"/>
          <w:sz w:val="22"/>
          <w:szCs w:val="22"/>
        </w:rPr>
        <w:t xml:space="preserve">Tra le </w:t>
      </w:r>
      <w:hyperlink r:id="rId15" w:history="1">
        <w:r w:rsidRPr="005B68BB">
          <w:rPr>
            <w:rStyle w:val="Collegamentoipertestuale"/>
            <w:rFonts w:ascii="Arial" w:hAnsi="Arial" w:cs="Arial"/>
            <w:sz w:val="22"/>
            <w:szCs w:val="22"/>
          </w:rPr>
          <w:t>componenti aggregate</w:t>
        </w:r>
      </w:hyperlink>
      <w:r w:rsidRPr="005A7DE3">
        <w:rPr>
          <w:rFonts w:ascii="Arial" w:hAnsi="Arial" w:cs="Arial"/>
          <w:sz w:val="22"/>
          <w:szCs w:val="22"/>
        </w:rPr>
        <w:t>, le scorte hanno fornito un contributo positivo (+0,4 punti percentuali), mentre la domanda estera netta ha inciso negativamente (-0,7 punti percentuali)</w:t>
      </w:r>
      <w:r w:rsidR="00844783">
        <w:rPr>
          <w:rFonts w:ascii="Arial" w:hAnsi="Arial" w:cs="Arial"/>
          <w:sz w:val="22"/>
          <w:szCs w:val="22"/>
        </w:rPr>
        <w:t>,</w:t>
      </w:r>
      <w:r w:rsidRPr="005A7DE3">
        <w:rPr>
          <w:rFonts w:ascii="Arial" w:hAnsi="Arial" w:cs="Arial"/>
          <w:sz w:val="22"/>
          <w:szCs w:val="22"/>
        </w:rPr>
        <w:t xml:space="preserve"> per effetto del marcato rallentamento delle esportazioni</w:t>
      </w:r>
      <w:r w:rsidR="005A3F2F">
        <w:rPr>
          <w:rFonts w:ascii="Arial" w:hAnsi="Arial" w:cs="Arial"/>
          <w:sz w:val="22"/>
          <w:szCs w:val="22"/>
        </w:rPr>
        <w:t xml:space="preserve"> </w:t>
      </w:r>
      <w:r w:rsidR="00B45D83">
        <w:rPr>
          <w:rFonts w:ascii="Arial" w:hAnsi="Arial" w:cs="Arial"/>
          <w:sz w:val="22"/>
          <w:szCs w:val="22"/>
        </w:rPr>
        <w:t>di beni e servizi</w:t>
      </w:r>
      <w:r w:rsidR="00844783">
        <w:rPr>
          <w:rFonts w:ascii="Arial" w:hAnsi="Arial" w:cs="Arial"/>
          <w:sz w:val="22"/>
          <w:szCs w:val="22"/>
        </w:rPr>
        <w:t xml:space="preserve"> (-1,7%) a fronte di una variazione positiva, seppur contenuta, </w:t>
      </w:r>
      <w:r w:rsidRPr="005A7DE3">
        <w:rPr>
          <w:rFonts w:ascii="Arial" w:hAnsi="Arial" w:cs="Arial"/>
          <w:sz w:val="22"/>
          <w:szCs w:val="22"/>
        </w:rPr>
        <w:t>delle importazioni (+0,4%)</w:t>
      </w:r>
      <w:r w:rsidR="00844783">
        <w:rPr>
          <w:rFonts w:ascii="Arial" w:hAnsi="Arial" w:cs="Arial"/>
          <w:sz w:val="22"/>
          <w:szCs w:val="22"/>
        </w:rPr>
        <w:t>;</w:t>
      </w:r>
      <w:r w:rsidRPr="005A7DE3">
        <w:rPr>
          <w:rFonts w:ascii="Arial" w:hAnsi="Arial" w:cs="Arial"/>
          <w:sz w:val="22"/>
          <w:szCs w:val="22"/>
        </w:rPr>
        <w:t xml:space="preserve"> </w:t>
      </w:r>
      <w:r w:rsidR="00844783">
        <w:rPr>
          <w:rFonts w:ascii="Arial" w:hAnsi="Arial" w:cs="Arial"/>
          <w:sz w:val="22"/>
          <w:szCs w:val="22"/>
        </w:rPr>
        <w:t>l</w:t>
      </w:r>
      <w:r w:rsidRPr="005A7DE3">
        <w:rPr>
          <w:rFonts w:ascii="Arial" w:hAnsi="Arial" w:cs="Arial"/>
          <w:sz w:val="22"/>
          <w:szCs w:val="22"/>
        </w:rPr>
        <w:t xml:space="preserve">a domanda interna al netto delle scorte ha invece </w:t>
      </w:r>
      <w:r w:rsidR="00D577E1">
        <w:rPr>
          <w:rFonts w:ascii="Arial" w:hAnsi="Arial" w:cs="Arial"/>
          <w:sz w:val="22"/>
          <w:szCs w:val="22"/>
        </w:rPr>
        <w:t>fornito</w:t>
      </w:r>
      <w:r w:rsidRPr="005A7DE3">
        <w:rPr>
          <w:rFonts w:ascii="Arial" w:hAnsi="Arial" w:cs="Arial"/>
          <w:sz w:val="22"/>
          <w:szCs w:val="22"/>
        </w:rPr>
        <w:t xml:space="preserve"> un </w:t>
      </w:r>
      <w:r w:rsidR="009D657E">
        <w:rPr>
          <w:rFonts w:ascii="Arial" w:hAnsi="Arial" w:cs="Arial"/>
          <w:sz w:val="22"/>
          <w:szCs w:val="22"/>
        </w:rPr>
        <w:t xml:space="preserve">contenuto </w:t>
      </w:r>
      <w:r w:rsidRPr="005A7DE3">
        <w:rPr>
          <w:rFonts w:ascii="Arial" w:hAnsi="Arial" w:cs="Arial"/>
          <w:sz w:val="22"/>
          <w:szCs w:val="22"/>
        </w:rPr>
        <w:t>contributo positivo (+0,2 punti percentuali</w:t>
      </w:r>
      <w:r w:rsidRPr="000C58CD">
        <w:rPr>
          <w:rFonts w:ascii="Arial" w:hAnsi="Arial" w:cs="Arial"/>
          <w:sz w:val="22"/>
          <w:szCs w:val="22"/>
        </w:rPr>
        <w:t>)</w:t>
      </w:r>
      <w:r w:rsidR="000451F7" w:rsidRPr="000C58CD">
        <w:rPr>
          <w:rFonts w:ascii="Arial" w:hAnsi="Arial" w:cs="Arial"/>
          <w:sz w:val="22"/>
          <w:szCs w:val="22"/>
        </w:rPr>
        <w:t xml:space="preserve"> </w:t>
      </w:r>
      <w:r w:rsidR="00430698" w:rsidRPr="000C58CD">
        <w:rPr>
          <w:rFonts w:ascii="Arial" w:hAnsi="Arial" w:cs="Arial"/>
          <w:sz w:val="22"/>
          <w:szCs w:val="22"/>
        </w:rPr>
        <w:t>(</w:t>
      </w:r>
      <w:r w:rsidR="00430698" w:rsidRPr="00923970">
        <w:rPr>
          <w:rFonts w:ascii="Arial" w:hAnsi="Arial" w:cs="Arial"/>
          <w:sz w:val="22"/>
          <w:szCs w:val="22"/>
        </w:rPr>
        <w:t>Figura 3</w:t>
      </w:r>
      <w:r w:rsidR="00430698" w:rsidRPr="000C58CD">
        <w:rPr>
          <w:rFonts w:ascii="Arial" w:hAnsi="Arial" w:cs="Arial"/>
          <w:sz w:val="22"/>
          <w:szCs w:val="22"/>
        </w:rPr>
        <w:t>)</w:t>
      </w:r>
      <w:r w:rsidRPr="000C58CD">
        <w:rPr>
          <w:rFonts w:ascii="Arial" w:hAnsi="Arial" w:cs="Arial"/>
          <w:sz w:val="22"/>
          <w:szCs w:val="22"/>
        </w:rPr>
        <w:t>. I</w:t>
      </w:r>
      <w:r w:rsidRPr="005A7DE3">
        <w:rPr>
          <w:rFonts w:ascii="Arial" w:hAnsi="Arial" w:cs="Arial"/>
          <w:sz w:val="22"/>
          <w:szCs w:val="22"/>
        </w:rPr>
        <w:t xml:space="preserve"> consumi finali nazionali sono rimasti invariati rispetto al trimestre precedente, sintesi di un leggero aumento della spesa delle AP (+0,2% congiunturale) e della stazionarietà </w:t>
      </w:r>
      <w:r w:rsidR="00844783">
        <w:rPr>
          <w:rFonts w:ascii="Arial" w:hAnsi="Arial" w:cs="Arial"/>
          <w:sz w:val="22"/>
          <w:szCs w:val="22"/>
        </w:rPr>
        <w:t>di quella</w:t>
      </w:r>
      <w:r w:rsidRPr="005A7DE3">
        <w:rPr>
          <w:rFonts w:ascii="Arial" w:hAnsi="Arial" w:cs="Arial"/>
          <w:sz w:val="22"/>
          <w:szCs w:val="22"/>
        </w:rPr>
        <w:t xml:space="preserve"> delle famiglie residenti e delle ISP. La spesa delle famiglie sul territorio economico è cresciuta di più per i beni durevoli che per quelli non durevoli (rispettivamente +0,5% e +0,1%), mentre il consumo di beni semidurevoli è diminuito (-0,6%) e quello dei servizi è rimasto stabile. Tra i principali aggregati, gli investimenti hanno registrato l’aumento più elevato (+1,0%</w:t>
      </w:r>
      <w:r w:rsidR="007F3E33">
        <w:rPr>
          <w:rFonts w:ascii="Arial" w:hAnsi="Arial" w:cs="Arial"/>
          <w:sz w:val="22"/>
          <w:szCs w:val="22"/>
        </w:rPr>
        <w:t xml:space="preserve"> su base congiunturale</w:t>
      </w:r>
      <w:r w:rsidRPr="005A7DE3">
        <w:rPr>
          <w:rFonts w:ascii="Arial" w:hAnsi="Arial" w:cs="Arial"/>
          <w:sz w:val="22"/>
          <w:szCs w:val="22"/>
        </w:rPr>
        <w:t>), seppur in leggero rallentamento rispetto ai due trimestri precedenti. La crescita ha interessato tutte le tipologie: molto marcata in impianti, macchinari e armamenti (+2,1%)</w:t>
      </w:r>
      <w:r w:rsidR="007F3E33">
        <w:rPr>
          <w:rFonts w:ascii="Arial" w:hAnsi="Arial" w:cs="Arial"/>
          <w:sz w:val="22"/>
          <w:szCs w:val="22"/>
        </w:rPr>
        <w:t>, più contenuta</w:t>
      </w:r>
      <w:r w:rsidRPr="005A7DE3">
        <w:rPr>
          <w:rFonts w:ascii="Arial" w:hAnsi="Arial" w:cs="Arial"/>
          <w:sz w:val="22"/>
          <w:szCs w:val="22"/>
        </w:rPr>
        <w:t xml:space="preserve"> quella in abitazioni e in fabbricati non residenziali e altre opere (+0,6% e +0,7%); quasi nulla quella in prodotti di p</w:t>
      </w:r>
      <w:r w:rsidR="009E6C54">
        <w:rPr>
          <w:rFonts w:ascii="Arial" w:hAnsi="Arial" w:cs="Arial"/>
          <w:sz w:val="22"/>
          <w:szCs w:val="22"/>
        </w:rPr>
        <w:t>roprietà intellettuale (+0,1%).</w:t>
      </w:r>
    </w:p>
    <w:p w14:paraId="75513344" w14:textId="68394D43" w:rsidR="005A7DE3" w:rsidRPr="005A7DE3" w:rsidRDefault="005A7DE3" w:rsidP="009E6C54">
      <w:pPr>
        <w:shd w:val="clear" w:color="auto" w:fill="FFFFFF"/>
        <w:spacing w:before="60" w:after="120"/>
        <w:ind w:right="-6"/>
        <w:jc w:val="both"/>
        <w:rPr>
          <w:rFonts w:ascii="Arial" w:hAnsi="Arial" w:cs="Arial"/>
          <w:sz w:val="22"/>
          <w:szCs w:val="22"/>
        </w:rPr>
      </w:pPr>
      <w:r w:rsidRPr="005A7DE3">
        <w:rPr>
          <w:rFonts w:ascii="Arial" w:hAnsi="Arial" w:cs="Arial"/>
          <w:sz w:val="22"/>
          <w:szCs w:val="22"/>
        </w:rPr>
        <w:t xml:space="preserve">Dal </w:t>
      </w:r>
      <w:hyperlink r:id="rId16" w:history="1">
        <w:r w:rsidRPr="00AB6BFA">
          <w:rPr>
            <w:rFonts w:ascii="Arial" w:hAnsi="Arial" w:cs="Arial"/>
            <w:sz w:val="22"/>
            <w:szCs w:val="22"/>
          </w:rPr>
          <w:t>lato dell’offerta</w:t>
        </w:r>
      </w:hyperlink>
      <w:r w:rsidRPr="005A7DE3">
        <w:rPr>
          <w:rFonts w:ascii="Arial" w:hAnsi="Arial" w:cs="Arial"/>
          <w:sz w:val="22"/>
          <w:szCs w:val="22"/>
        </w:rPr>
        <w:t xml:space="preserve">, nel secondo trimestre il valore aggiunto dell’industria in senso stretto è diminuito (-0,7%), mentre è cresciuto quello delle costruzioni (+0,9%). Nel settore dei servizi, complessivamente stabile, le attività professionali hanno segnato un incremento (+0,4%) superiore a quello delle attività artistiche, di intrattenimento e altri servizi (+0,2%); in diminuzione il valore aggiunto del commercio, trasporto, alloggio e ristorazione, quello dei servizi di informazione e comunicazione (-0,1% </w:t>
      </w:r>
      <w:r w:rsidR="00742D4D">
        <w:rPr>
          <w:rFonts w:ascii="Arial" w:hAnsi="Arial" w:cs="Arial"/>
          <w:sz w:val="22"/>
          <w:szCs w:val="22"/>
        </w:rPr>
        <w:t>per entrambi);</w:t>
      </w:r>
      <w:r w:rsidRPr="005A7DE3">
        <w:rPr>
          <w:rFonts w:ascii="Arial" w:hAnsi="Arial" w:cs="Arial"/>
          <w:sz w:val="22"/>
          <w:szCs w:val="22"/>
        </w:rPr>
        <w:t xml:space="preserve"> più accentuata la flessione delle attività finanziarie e assicurative (-0,4%).</w:t>
      </w:r>
    </w:p>
    <w:p w14:paraId="05F8202C" w14:textId="530D608D" w:rsidR="00FB4899" w:rsidRPr="00274125" w:rsidRDefault="005A7DE3" w:rsidP="001F0E46">
      <w:pPr>
        <w:spacing w:before="60" w:after="120"/>
        <w:ind w:right="-6"/>
        <w:jc w:val="both"/>
      </w:pPr>
      <w:r w:rsidRPr="00695309">
        <w:rPr>
          <w:rFonts w:ascii="Arial" w:eastAsia="Times New Roman" w:hAnsi="Arial" w:cs="Arial"/>
          <w:b/>
          <w:iCs/>
          <w:noProof/>
          <w:color w:val="008080"/>
          <w:sz w:val="22"/>
          <w:szCs w:val="22"/>
          <w:lang w:eastAsia="it-IT"/>
        </w:rPr>
        <w:t>…</w:t>
      </w:r>
      <w:r w:rsidR="00FB4899" w:rsidRPr="00695309">
        <w:rPr>
          <w:rFonts w:ascii="Arial" w:eastAsia="Times New Roman" w:hAnsi="Arial" w:cs="Arial"/>
          <w:b/>
          <w:iCs/>
          <w:noProof/>
          <w:color w:val="008080"/>
          <w:sz w:val="22"/>
          <w:szCs w:val="22"/>
          <w:lang w:eastAsia="it-IT"/>
        </w:rPr>
        <w:t xml:space="preserve">ma </w:t>
      </w:r>
      <w:r w:rsidRPr="00695309">
        <w:rPr>
          <w:rFonts w:ascii="Arial" w:eastAsia="Times New Roman" w:hAnsi="Arial" w:cs="Arial"/>
          <w:b/>
          <w:iCs/>
          <w:noProof/>
          <w:color w:val="008080"/>
          <w:sz w:val="22"/>
          <w:szCs w:val="22"/>
          <w:lang w:eastAsia="it-IT"/>
        </w:rPr>
        <w:t>produzione industriale</w:t>
      </w:r>
      <w:r w:rsidR="00FB4899" w:rsidRPr="00695309">
        <w:rPr>
          <w:rFonts w:ascii="Arial" w:eastAsia="Times New Roman" w:hAnsi="Arial" w:cs="Arial"/>
          <w:b/>
          <w:iCs/>
          <w:noProof/>
          <w:color w:val="008080"/>
          <w:sz w:val="22"/>
          <w:szCs w:val="22"/>
          <w:lang w:eastAsia="it-IT"/>
        </w:rPr>
        <w:t xml:space="preserve"> in leggera crescita</w:t>
      </w:r>
      <w:r w:rsidRPr="00695309">
        <w:rPr>
          <w:rFonts w:ascii="Arial" w:eastAsia="Times New Roman" w:hAnsi="Arial" w:cs="Arial"/>
          <w:b/>
          <w:iCs/>
          <w:noProof/>
          <w:color w:val="008080"/>
          <w:sz w:val="22"/>
          <w:szCs w:val="22"/>
          <w:lang w:eastAsia="it-IT"/>
        </w:rPr>
        <w:t>.</w:t>
      </w:r>
      <w:r w:rsidRPr="00695309">
        <w:rPr>
          <w:rFonts w:ascii="Arial" w:hAnsi="Arial" w:cs="Arial"/>
          <w:sz w:val="22"/>
          <w:szCs w:val="22"/>
        </w:rPr>
        <w:t xml:space="preserve"> </w:t>
      </w:r>
      <w:r w:rsidR="00FB4899" w:rsidRPr="00695309">
        <w:rPr>
          <w:rFonts w:ascii="Arial" w:hAnsi="Arial" w:cs="Arial"/>
          <w:sz w:val="22"/>
          <w:szCs w:val="22"/>
        </w:rPr>
        <w:t>Dopo l’aumento registrato a giugno (+0,2% in termini congiunturali), l’</w:t>
      </w:r>
      <w:hyperlink r:id="rId17" w:history="1">
        <w:r w:rsidR="00FB4899" w:rsidRPr="005B68BB">
          <w:rPr>
            <w:rStyle w:val="Collegamentoipertestuale"/>
            <w:rFonts w:ascii="Arial" w:hAnsi="Arial" w:cs="Arial"/>
            <w:sz w:val="22"/>
            <w:szCs w:val="22"/>
          </w:rPr>
          <w:t>indice destagionalizzato della produzione industriale</w:t>
        </w:r>
      </w:hyperlink>
      <w:r w:rsidR="00FB4899" w:rsidRPr="00695309">
        <w:rPr>
          <w:rFonts w:ascii="Arial" w:hAnsi="Arial" w:cs="Arial"/>
          <w:sz w:val="22"/>
          <w:szCs w:val="22"/>
        </w:rPr>
        <w:t xml:space="preserve"> ha continuato a </w:t>
      </w:r>
      <w:r w:rsidR="00B20001">
        <w:rPr>
          <w:rFonts w:ascii="Arial" w:hAnsi="Arial" w:cs="Arial"/>
          <w:sz w:val="22"/>
          <w:szCs w:val="22"/>
        </w:rPr>
        <w:t>crescere</w:t>
      </w:r>
      <w:r w:rsidR="000C58CD" w:rsidRPr="00695309">
        <w:rPr>
          <w:rFonts w:ascii="Arial" w:hAnsi="Arial" w:cs="Arial"/>
          <w:sz w:val="22"/>
          <w:szCs w:val="22"/>
        </w:rPr>
        <w:t xml:space="preserve"> </w:t>
      </w:r>
      <w:r w:rsidR="00FB4899" w:rsidRPr="00695309">
        <w:rPr>
          <w:rFonts w:ascii="Arial" w:hAnsi="Arial" w:cs="Arial"/>
          <w:sz w:val="22"/>
          <w:szCs w:val="22"/>
        </w:rPr>
        <w:t xml:space="preserve">anche a luglio (+0,4%). Di conseguenza, nella media del periodo maggio-luglio si è osservato un incremento del livello della produzione </w:t>
      </w:r>
      <w:r w:rsidR="0076025E">
        <w:rPr>
          <w:rFonts w:ascii="Arial" w:hAnsi="Arial" w:cs="Arial"/>
          <w:sz w:val="22"/>
          <w:szCs w:val="22"/>
        </w:rPr>
        <w:t>(</w:t>
      </w:r>
      <w:r w:rsidR="00D577E1">
        <w:rPr>
          <w:rFonts w:ascii="Arial" w:hAnsi="Arial" w:cs="Arial"/>
          <w:sz w:val="22"/>
          <w:szCs w:val="22"/>
        </w:rPr>
        <w:t>+0,2</w:t>
      </w:r>
      <w:r w:rsidR="00FB4899" w:rsidRPr="00695309">
        <w:rPr>
          <w:rFonts w:ascii="Arial" w:hAnsi="Arial" w:cs="Arial"/>
          <w:sz w:val="22"/>
          <w:szCs w:val="22"/>
        </w:rPr>
        <w:t>%</w:t>
      </w:r>
      <w:r w:rsidR="0076025E">
        <w:rPr>
          <w:rFonts w:ascii="Arial" w:hAnsi="Arial" w:cs="Arial"/>
          <w:sz w:val="22"/>
          <w:szCs w:val="22"/>
        </w:rPr>
        <w:t>)</w:t>
      </w:r>
      <w:r w:rsidR="00FB4899" w:rsidRPr="00695309">
        <w:rPr>
          <w:rFonts w:ascii="Arial" w:hAnsi="Arial" w:cs="Arial"/>
          <w:sz w:val="22"/>
          <w:szCs w:val="22"/>
        </w:rPr>
        <w:t xml:space="preserve"> rispetto ai tre mesi precedenti. Ad eccezione del settore energetico (-7,8%), a luglio la crescita ha interessato tutti i principali raggruppamenti di industria, risultando meno marcata per i beni intermedi (+0,7%) rispetto ai beni strumentali (+1,6%) e ai beni di consumo (+2,1%).</w:t>
      </w:r>
    </w:p>
    <w:p w14:paraId="2E584133" w14:textId="13E2908B" w:rsidR="00AF49E0" w:rsidRDefault="002620EF" w:rsidP="001F0E46">
      <w:pPr>
        <w:shd w:val="clear" w:color="auto" w:fill="FFFFFF"/>
        <w:spacing w:before="60" w:after="120"/>
        <w:ind w:right="-6"/>
        <w:jc w:val="both"/>
        <w:rPr>
          <w:rFonts w:ascii="Arial" w:hAnsi="Arial" w:cs="Arial"/>
          <w:sz w:val="22"/>
          <w:szCs w:val="22"/>
        </w:rPr>
      </w:pPr>
      <w:r w:rsidRPr="002620EF">
        <w:rPr>
          <w:rFonts w:ascii="Arial" w:eastAsia="Times New Roman" w:hAnsi="Arial" w:cs="Arial"/>
          <w:b/>
          <w:iCs/>
          <w:noProof/>
          <w:color w:val="008080"/>
          <w:sz w:val="22"/>
          <w:szCs w:val="22"/>
          <w:lang w:eastAsia="it-IT"/>
        </w:rPr>
        <w:t>Ad agosto 2025 l’indice di fiducia delle imprese è rimasto stabile</w:t>
      </w:r>
      <w:r>
        <w:rPr>
          <w:rFonts w:ascii="Arial" w:eastAsia="Times New Roman" w:hAnsi="Arial" w:cs="Arial"/>
          <w:b/>
          <w:iCs/>
          <w:noProof/>
          <w:color w:val="008080"/>
          <w:sz w:val="22"/>
          <w:szCs w:val="22"/>
          <w:lang w:eastAsia="it-IT"/>
        </w:rPr>
        <w:t xml:space="preserve">, </w:t>
      </w:r>
      <w:r w:rsidR="005A7DE3" w:rsidRPr="005A7DE3">
        <w:rPr>
          <w:rFonts w:ascii="Arial" w:hAnsi="Arial" w:cs="Arial"/>
          <w:sz w:val="22"/>
          <w:szCs w:val="22"/>
        </w:rPr>
        <w:t>riflettendo andamenti differenziati tra i settori. Nei servizi di mercato si è registrato un netto recupero, trainato soprattutto dai settori del trasporto e magazzinaggio e da quello dell’informazione e comunicazione</w:t>
      </w:r>
      <w:r w:rsidR="001504A5">
        <w:rPr>
          <w:rFonts w:ascii="Arial" w:hAnsi="Arial" w:cs="Arial"/>
          <w:sz w:val="22"/>
          <w:szCs w:val="22"/>
        </w:rPr>
        <w:t>.</w:t>
      </w:r>
      <w:r w:rsidR="005A7DE3" w:rsidRPr="005A7DE3">
        <w:rPr>
          <w:rFonts w:ascii="Arial" w:hAnsi="Arial" w:cs="Arial"/>
          <w:sz w:val="22"/>
          <w:szCs w:val="22"/>
        </w:rPr>
        <w:t xml:space="preserve"> </w:t>
      </w:r>
      <w:r w:rsidR="001504A5">
        <w:rPr>
          <w:rFonts w:ascii="Arial" w:hAnsi="Arial" w:cs="Arial"/>
          <w:sz w:val="22"/>
          <w:szCs w:val="22"/>
        </w:rPr>
        <w:t>N</w:t>
      </w:r>
      <w:r w:rsidR="005A7DE3" w:rsidRPr="005A7DE3">
        <w:rPr>
          <w:rFonts w:ascii="Arial" w:hAnsi="Arial" w:cs="Arial"/>
          <w:sz w:val="22"/>
          <w:szCs w:val="22"/>
        </w:rPr>
        <w:t xml:space="preserve">el turismo si è invece manifestato un arretramento. Nella manifattura il deterioramento </w:t>
      </w:r>
      <w:hyperlink r:id="rId18" w:history="1">
        <w:r w:rsidR="000C58CD" w:rsidRPr="001529C1">
          <w:rPr>
            <w:rStyle w:val="Collegamentoipertestuale"/>
            <w:rFonts w:ascii="Arial" w:hAnsi="Arial" w:cs="Arial"/>
            <w:sz w:val="22"/>
            <w:szCs w:val="22"/>
          </w:rPr>
          <w:t>della fiducia delle imprese</w:t>
        </w:r>
      </w:hyperlink>
      <w:r w:rsidR="005A7DE3" w:rsidRPr="005A7DE3">
        <w:rPr>
          <w:rFonts w:ascii="Arial" w:hAnsi="Arial" w:cs="Arial"/>
          <w:sz w:val="22"/>
          <w:szCs w:val="22"/>
        </w:rPr>
        <w:t xml:space="preserve"> deriva dal peggioramento delle attese sulla produzione e da un aumento delle scorte di prodotti finiti; risultano in miglioramento, tut</w:t>
      </w:r>
      <w:r w:rsidR="00AF49E0">
        <w:rPr>
          <w:rFonts w:ascii="Arial" w:hAnsi="Arial" w:cs="Arial"/>
          <w:sz w:val="22"/>
          <w:szCs w:val="22"/>
        </w:rPr>
        <w:t xml:space="preserve">tavia, i giudizi sugli ordini. </w:t>
      </w:r>
      <w:r w:rsidR="005A7DE3" w:rsidRPr="005A7DE3">
        <w:rPr>
          <w:rFonts w:ascii="Arial" w:hAnsi="Arial" w:cs="Arial"/>
          <w:sz w:val="22"/>
          <w:szCs w:val="22"/>
        </w:rPr>
        <w:t xml:space="preserve">Nelle costruzioni si segnala il secondo </w:t>
      </w:r>
      <w:r w:rsidR="00713927">
        <w:rPr>
          <w:rFonts w:ascii="Arial" w:hAnsi="Arial" w:cs="Arial"/>
          <w:sz w:val="22"/>
          <w:szCs w:val="22"/>
        </w:rPr>
        <w:t xml:space="preserve">calo </w:t>
      </w:r>
      <w:r w:rsidR="005A7DE3" w:rsidRPr="005A7DE3">
        <w:rPr>
          <w:rFonts w:ascii="Arial" w:hAnsi="Arial" w:cs="Arial"/>
          <w:sz w:val="22"/>
          <w:szCs w:val="22"/>
        </w:rPr>
        <w:t>consecutivo, guidato da un peggioramento dei giudizi sugli ordini.</w:t>
      </w:r>
    </w:p>
    <w:p w14:paraId="1F02815B" w14:textId="2DDC7675" w:rsidR="00AF49E0" w:rsidRPr="00AF49E0" w:rsidRDefault="00AF49E0" w:rsidP="00AF49E0">
      <w:pPr>
        <w:shd w:val="clear" w:color="auto" w:fill="FFFFFF"/>
        <w:spacing w:before="60" w:after="120"/>
        <w:ind w:right="-6"/>
        <w:jc w:val="both"/>
        <w:rPr>
          <w:rFonts w:ascii="Arial" w:eastAsia="Times New Roman" w:hAnsi="Arial" w:cs="Arial"/>
          <w:bCs/>
          <w:iCs/>
          <w:noProof/>
          <w:sz w:val="22"/>
          <w:szCs w:val="22"/>
          <w:lang w:eastAsia="it-IT"/>
        </w:rPr>
      </w:pPr>
      <w:r w:rsidRPr="00AF49E0">
        <w:rPr>
          <w:rFonts w:ascii="Arial" w:eastAsia="Times New Roman" w:hAnsi="Arial" w:cs="Arial"/>
          <w:b/>
          <w:iCs/>
          <w:noProof/>
          <w:color w:val="008080"/>
          <w:sz w:val="22"/>
          <w:szCs w:val="22"/>
          <w:lang w:eastAsia="it-IT"/>
        </w:rPr>
        <w:t xml:space="preserve">In rallentamento la dinamica del commercio estero…. </w:t>
      </w:r>
      <w:r w:rsidRPr="00AF49E0">
        <w:rPr>
          <w:rFonts w:ascii="Arial" w:eastAsia="Times New Roman" w:hAnsi="Arial" w:cs="Arial"/>
          <w:bCs/>
          <w:iCs/>
          <w:noProof/>
          <w:sz w:val="22"/>
          <w:szCs w:val="22"/>
          <w:lang w:eastAsia="it-IT"/>
        </w:rPr>
        <w:t>Dopo aver registrato una decisa accelerazione nel primo trimestre, anche in previsione dell’introdu</w:t>
      </w:r>
      <w:r w:rsidR="00666A6D">
        <w:rPr>
          <w:rFonts w:ascii="Arial" w:eastAsia="Times New Roman" w:hAnsi="Arial" w:cs="Arial"/>
          <w:bCs/>
          <w:iCs/>
          <w:noProof/>
          <w:sz w:val="22"/>
          <w:szCs w:val="22"/>
          <w:lang w:eastAsia="it-IT"/>
        </w:rPr>
        <w:t>zione di dazi da parte degli Stati Uniti</w:t>
      </w:r>
      <w:r w:rsidRPr="00AF49E0">
        <w:rPr>
          <w:rFonts w:ascii="Arial" w:eastAsia="Times New Roman" w:hAnsi="Arial" w:cs="Arial"/>
          <w:bCs/>
          <w:iCs/>
          <w:noProof/>
          <w:sz w:val="22"/>
          <w:szCs w:val="22"/>
          <w:lang w:eastAsia="it-IT"/>
        </w:rPr>
        <w:t xml:space="preserve">, nel secondo trimestre dell’anno la dinamica degli </w:t>
      </w:r>
      <w:hyperlink r:id="rId19" w:history="1">
        <w:r w:rsidRPr="00EE2F3D">
          <w:rPr>
            <w:rStyle w:val="Collegamentoipertestuale"/>
            <w:rFonts w:ascii="Arial" w:eastAsia="Times New Roman" w:hAnsi="Arial" w:cs="Arial"/>
            <w:bCs/>
            <w:iCs/>
            <w:noProof/>
            <w:sz w:val="22"/>
            <w:szCs w:val="22"/>
            <w:lang w:eastAsia="it-IT"/>
          </w:rPr>
          <w:t>scambi commerciali</w:t>
        </w:r>
      </w:hyperlink>
      <w:r w:rsidRPr="00AF49E0">
        <w:rPr>
          <w:rFonts w:ascii="Arial" w:eastAsia="Times New Roman" w:hAnsi="Arial" w:cs="Arial"/>
          <w:bCs/>
          <w:iCs/>
          <w:noProof/>
          <w:sz w:val="22"/>
          <w:szCs w:val="22"/>
          <w:lang w:eastAsia="it-IT"/>
        </w:rPr>
        <w:t xml:space="preserve"> ha mostrato un</w:t>
      </w:r>
      <w:r w:rsidR="008370DA">
        <w:rPr>
          <w:rFonts w:ascii="Arial" w:eastAsia="Times New Roman" w:hAnsi="Arial" w:cs="Arial"/>
          <w:bCs/>
          <w:iCs/>
          <w:noProof/>
          <w:sz w:val="22"/>
          <w:szCs w:val="22"/>
          <w:lang w:eastAsia="it-IT"/>
        </w:rPr>
        <w:t>a decelerazione</w:t>
      </w:r>
      <w:r w:rsidRPr="00AF49E0">
        <w:rPr>
          <w:rFonts w:ascii="Arial" w:eastAsia="Times New Roman" w:hAnsi="Arial" w:cs="Arial"/>
          <w:bCs/>
          <w:iCs/>
          <w:noProof/>
          <w:sz w:val="22"/>
          <w:szCs w:val="22"/>
          <w:lang w:eastAsia="it-IT"/>
        </w:rPr>
        <w:t xml:space="preserve">: tra aprile e giugno le esportazioni </w:t>
      </w:r>
      <w:r w:rsidR="00B45D83">
        <w:rPr>
          <w:rFonts w:ascii="Arial" w:eastAsia="Times New Roman" w:hAnsi="Arial" w:cs="Arial"/>
          <w:bCs/>
          <w:iCs/>
          <w:noProof/>
          <w:sz w:val="22"/>
          <w:szCs w:val="22"/>
          <w:lang w:eastAsia="it-IT"/>
        </w:rPr>
        <w:t xml:space="preserve">di beni in valore </w:t>
      </w:r>
      <w:r w:rsidRPr="00AF49E0">
        <w:rPr>
          <w:rFonts w:ascii="Arial" w:eastAsia="Times New Roman" w:hAnsi="Arial" w:cs="Arial"/>
          <w:bCs/>
          <w:iCs/>
          <w:noProof/>
          <w:sz w:val="22"/>
          <w:szCs w:val="22"/>
          <w:lang w:eastAsia="it-IT"/>
        </w:rPr>
        <w:t xml:space="preserve">sono cresciute in termini tendenziali dell’1,1% (+3,2% nel primo trimestre), le importazioni del 2,9% (dal +6,2%). </w:t>
      </w:r>
    </w:p>
    <w:p w14:paraId="10592F98" w14:textId="47BDDB1F" w:rsidR="000451F7" w:rsidRPr="00AF49E0" w:rsidRDefault="00AF49E0" w:rsidP="000451F7">
      <w:pPr>
        <w:shd w:val="clear" w:color="auto" w:fill="FFFFFF"/>
        <w:spacing w:before="60" w:after="120"/>
        <w:ind w:right="-6"/>
        <w:jc w:val="both"/>
        <w:rPr>
          <w:rFonts w:ascii="Arial" w:eastAsia="Times New Roman" w:hAnsi="Arial" w:cs="Arial"/>
          <w:bCs/>
          <w:iCs/>
          <w:noProof/>
          <w:sz w:val="22"/>
          <w:szCs w:val="22"/>
          <w:lang w:eastAsia="it-IT"/>
        </w:rPr>
      </w:pPr>
      <w:r w:rsidRPr="00AF49E0">
        <w:rPr>
          <w:rFonts w:ascii="Arial" w:eastAsia="Times New Roman" w:hAnsi="Arial" w:cs="Arial"/>
          <w:b/>
          <w:iCs/>
          <w:noProof/>
          <w:color w:val="008080"/>
          <w:sz w:val="22"/>
          <w:szCs w:val="22"/>
          <w:lang w:eastAsia="it-IT"/>
        </w:rPr>
        <w:t>…sia nei mercati UE…</w:t>
      </w:r>
      <w:r w:rsidRPr="00AF49E0">
        <w:rPr>
          <w:rFonts w:ascii="Arial" w:eastAsia="Times New Roman" w:hAnsi="Arial" w:cs="Arial"/>
          <w:bCs/>
          <w:iCs/>
          <w:noProof/>
          <w:sz w:val="22"/>
          <w:szCs w:val="22"/>
          <w:lang w:eastAsia="it-IT"/>
        </w:rPr>
        <w:t>Tali andamenti sono stati determinati da una dinamica relativamente meno favorevole dell’interscambio verso i mercati Ue (+2,5% l’export su base tendenziale, dal +3,1% del trimestre precendente; +0,8% la crescita dell’import, dal +2,4</w:t>
      </w:r>
      <w:r w:rsidRPr="000C58CD">
        <w:rPr>
          <w:rFonts w:ascii="Arial" w:eastAsia="Times New Roman" w:hAnsi="Arial" w:cs="Arial"/>
          <w:bCs/>
          <w:iCs/>
          <w:noProof/>
          <w:sz w:val="22"/>
          <w:szCs w:val="22"/>
          <w:lang w:eastAsia="it-IT"/>
        </w:rPr>
        <w:t>%) (</w:t>
      </w:r>
      <w:r w:rsidR="00430698" w:rsidRPr="00923970">
        <w:rPr>
          <w:rFonts w:ascii="Arial" w:eastAsia="Times New Roman" w:hAnsi="Arial" w:cs="Arial"/>
          <w:bCs/>
          <w:iCs/>
          <w:noProof/>
          <w:sz w:val="22"/>
          <w:szCs w:val="22"/>
          <w:lang w:eastAsia="it-IT"/>
        </w:rPr>
        <w:t>F</w:t>
      </w:r>
      <w:r w:rsidRPr="00923970">
        <w:rPr>
          <w:rFonts w:ascii="Arial" w:eastAsia="Times New Roman" w:hAnsi="Arial" w:cs="Arial"/>
          <w:bCs/>
          <w:iCs/>
          <w:noProof/>
          <w:sz w:val="22"/>
          <w:szCs w:val="22"/>
          <w:lang w:eastAsia="it-IT"/>
        </w:rPr>
        <w:t>igura</w:t>
      </w:r>
      <w:r w:rsidR="00430698" w:rsidRPr="00923970">
        <w:rPr>
          <w:rFonts w:ascii="Arial" w:eastAsia="Times New Roman" w:hAnsi="Arial" w:cs="Arial"/>
          <w:bCs/>
          <w:iCs/>
          <w:noProof/>
          <w:sz w:val="22"/>
          <w:szCs w:val="22"/>
          <w:lang w:eastAsia="it-IT"/>
        </w:rPr>
        <w:t xml:space="preserve"> 4</w:t>
      </w:r>
      <w:r w:rsidRPr="000C58CD">
        <w:rPr>
          <w:rFonts w:ascii="Arial" w:eastAsia="Times New Roman" w:hAnsi="Arial" w:cs="Arial"/>
          <w:bCs/>
          <w:iCs/>
          <w:noProof/>
          <w:sz w:val="22"/>
          <w:szCs w:val="22"/>
          <w:lang w:eastAsia="it-IT"/>
        </w:rPr>
        <w:t>). Per</w:t>
      </w:r>
      <w:r w:rsidRPr="00AF49E0">
        <w:rPr>
          <w:rFonts w:ascii="Arial" w:eastAsia="Times New Roman" w:hAnsi="Arial" w:cs="Arial"/>
          <w:bCs/>
          <w:iCs/>
          <w:noProof/>
          <w:sz w:val="22"/>
          <w:szCs w:val="22"/>
          <w:lang w:eastAsia="it-IT"/>
        </w:rPr>
        <w:t xml:space="preserve"> quanto riguarda </w:t>
      </w:r>
      <w:r w:rsidR="00817A59">
        <w:rPr>
          <w:rFonts w:ascii="Arial" w:eastAsia="Times New Roman" w:hAnsi="Arial" w:cs="Arial"/>
          <w:bCs/>
          <w:iCs/>
          <w:noProof/>
          <w:sz w:val="22"/>
          <w:szCs w:val="22"/>
          <w:lang w:eastAsia="it-IT"/>
        </w:rPr>
        <w:t>i flussi</w:t>
      </w:r>
      <w:r w:rsidRPr="00AF49E0">
        <w:rPr>
          <w:rFonts w:ascii="Arial" w:eastAsia="Times New Roman" w:hAnsi="Arial" w:cs="Arial"/>
          <w:bCs/>
          <w:iCs/>
          <w:noProof/>
          <w:sz w:val="22"/>
          <w:szCs w:val="22"/>
          <w:lang w:eastAsia="it-IT"/>
        </w:rPr>
        <w:t xml:space="preserve"> con i singoli paesi, se da un lato si è confermata la buona dinamica delle vendite verso Francia e soprattutto Spagna (rispettivamente +2,0</w:t>
      </w:r>
      <w:r w:rsidR="008B0719">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xml:space="preserve"> e +13,8% la variazione tendenziale, che segue un aumento del +1,8</w:t>
      </w:r>
      <w:r w:rsidR="008B0719">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xml:space="preserve"> e +9,6% del primo trimestre), dall’altro si evidenzia una calo per le esportazioni dirette </w:t>
      </w:r>
      <w:r w:rsidR="000451F7" w:rsidRPr="00AF49E0">
        <w:rPr>
          <w:rFonts w:ascii="Arial" w:eastAsia="Times New Roman" w:hAnsi="Arial" w:cs="Arial"/>
          <w:bCs/>
          <w:iCs/>
          <w:noProof/>
          <w:sz w:val="22"/>
          <w:szCs w:val="22"/>
          <w:lang w:eastAsia="it-IT"/>
        </w:rPr>
        <w:t>in Germania e nei Paesi Bassi (-0,2</w:t>
      </w:r>
      <w:r w:rsidR="00462087">
        <w:rPr>
          <w:rFonts w:ascii="Arial" w:eastAsia="Times New Roman" w:hAnsi="Arial" w:cs="Arial"/>
          <w:bCs/>
          <w:iCs/>
          <w:noProof/>
          <w:sz w:val="22"/>
          <w:szCs w:val="22"/>
          <w:lang w:eastAsia="it-IT"/>
        </w:rPr>
        <w:t>%</w:t>
      </w:r>
      <w:r w:rsidR="000451F7" w:rsidRPr="00AF49E0">
        <w:rPr>
          <w:rFonts w:ascii="Arial" w:eastAsia="Times New Roman" w:hAnsi="Arial" w:cs="Arial"/>
          <w:bCs/>
          <w:iCs/>
          <w:noProof/>
          <w:sz w:val="22"/>
          <w:szCs w:val="22"/>
          <w:lang w:eastAsia="it-IT"/>
        </w:rPr>
        <w:t xml:space="preserve"> e -8,3%, dopo gli incrementi rispettivamente del +5,4 e +</w:t>
      </w:r>
      <w:r w:rsidR="00B45D83">
        <w:rPr>
          <w:rFonts w:ascii="Arial" w:eastAsia="Times New Roman" w:hAnsi="Arial" w:cs="Arial"/>
          <w:bCs/>
          <w:iCs/>
          <w:noProof/>
          <w:sz w:val="22"/>
          <w:szCs w:val="22"/>
          <w:lang w:eastAsia="it-IT"/>
        </w:rPr>
        <w:t>7,8</w:t>
      </w:r>
      <w:r w:rsidR="000451F7" w:rsidRPr="00AF49E0">
        <w:rPr>
          <w:rFonts w:ascii="Arial" w:eastAsia="Times New Roman" w:hAnsi="Arial" w:cs="Arial"/>
          <w:bCs/>
          <w:iCs/>
          <w:noProof/>
          <w:sz w:val="22"/>
          <w:szCs w:val="22"/>
          <w:lang w:eastAsia="it-IT"/>
        </w:rPr>
        <w:t>%).</w:t>
      </w:r>
    </w:p>
    <w:p w14:paraId="1E4071ED" w14:textId="77777777" w:rsidR="005E7629" w:rsidRPr="005568A9" w:rsidRDefault="005E7629" w:rsidP="005568A9">
      <w:pPr>
        <w:shd w:val="clear" w:color="auto" w:fill="FFFFFF"/>
        <w:spacing w:before="60" w:after="120"/>
        <w:ind w:right="-6"/>
        <w:jc w:val="both"/>
        <w:rPr>
          <w:sz w:val="22"/>
          <w:szCs w:val="22"/>
        </w:rPr>
      </w:pPr>
    </w:p>
    <w:tbl>
      <w:tblPr>
        <w:tblStyle w:val="Grigliatabel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0"/>
        <w:gridCol w:w="5101"/>
      </w:tblGrid>
      <w:tr w:rsidR="00663E93" w14:paraId="15AF9FB7" w14:textId="77777777" w:rsidTr="00A104B8">
        <w:tc>
          <w:tcPr>
            <w:tcW w:w="5100" w:type="dxa"/>
            <w:tcBorders>
              <w:bottom w:val="single" w:sz="2" w:space="0" w:color="D9D9D9" w:themeColor="background1" w:themeShade="D9"/>
            </w:tcBorders>
            <w:tcMar>
              <w:left w:w="0" w:type="dxa"/>
              <w:right w:w="0" w:type="dxa"/>
            </w:tcMar>
          </w:tcPr>
          <w:p w14:paraId="1B6B2AA8" w14:textId="7B52080F" w:rsidR="00BD0FA1" w:rsidRPr="00813002" w:rsidRDefault="00663E93" w:rsidP="00265BBD">
            <w:pPr>
              <w:pStyle w:val="052tabella-figurasottotitolo"/>
              <w:spacing w:before="60" w:after="120" w:line="240" w:lineRule="auto"/>
              <w:ind w:right="142"/>
              <w:rPr>
                <w:b/>
                <w:color w:val="595959" w:themeColor="text1" w:themeTint="A6"/>
                <w:sz w:val="20"/>
              </w:rPr>
            </w:pPr>
            <w:r w:rsidRPr="00813002">
              <w:rPr>
                <w:b/>
                <w:color w:val="00817F"/>
                <w:sz w:val="20"/>
              </w:rPr>
              <w:t>FIGURA 3.</w:t>
            </w:r>
            <w:r w:rsidRPr="00813002">
              <w:rPr>
                <w:b/>
                <w:sz w:val="20"/>
              </w:rPr>
              <w:t xml:space="preserve"> </w:t>
            </w:r>
            <w:r w:rsidR="00362A7C" w:rsidRPr="00362A7C">
              <w:rPr>
                <w:b/>
                <w:color w:val="595959" w:themeColor="text1" w:themeTint="A6"/>
                <w:sz w:val="20"/>
              </w:rPr>
              <w:t>CONTRIBUTI ALLA CRESCITA DEL PIL.</w:t>
            </w:r>
            <w:r w:rsidR="0036409C" w:rsidRPr="00813002">
              <w:rPr>
                <w:b/>
                <w:color w:val="595959" w:themeColor="text1" w:themeTint="A6"/>
                <w:sz w:val="20"/>
              </w:rPr>
              <w:t xml:space="preserve">                                                                         </w:t>
            </w:r>
            <w:r w:rsidR="0003382E" w:rsidRPr="00813002">
              <w:rPr>
                <w:b/>
                <w:color w:val="595959" w:themeColor="text1" w:themeTint="A6"/>
                <w:sz w:val="20"/>
              </w:rPr>
              <w:t xml:space="preserve">          </w:t>
            </w:r>
            <w:r w:rsidR="00362A7C" w:rsidRPr="00714889">
              <w:rPr>
                <w:color w:val="auto"/>
                <w:sz w:val="19"/>
                <w:szCs w:val="19"/>
              </w:rPr>
              <w:t>Variazioni congiunturali e punti percentuali</w:t>
            </w:r>
          </w:p>
        </w:tc>
        <w:tc>
          <w:tcPr>
            <w:tcW w:w="5101" w:type="dxa"/>
            <w:tcBorders>
              <w:bottom w:val="single" w:sz="2" w:space="0" w:color="D9D9D9" w:themeColor="background1" w:themeShade="D9"/>
            </w:tcBorders>
            <w:tcMar>
              <w:left w:w="0" w:type="dxa"/>
              <w:right w:w="0" w:type="dxa"/>
            </w:tcMar>
          </w:tcPr>
          <w:p w14:paraId="79503935" w14:textId="7D7B0E99" w:rsidR="00663E93" w:rsidRPr="00813002" w:rsidRDefault="008D65E3" w:rsidP="00CF1DE0">
            <w:pPr>
              <w:pStyle w:val="052tabella-figurasottotitolo"/>
              <w:spacing w:before="60" w:after="120" w:line="240" w:lineRule="auto"/>
              <w:ind w:right="142"/>
              <w:rPr>
                <w:b/>
                <w:color w:val="595959" w:themeColor="text1" w:themeTint="A6"/>
                <w:sz w:val="20"/>
              </w:rPr>
            </w:pPr>
            <w:r w:rsidRPr="00813002">
              <w:rPr>
                <w:b/>
                <w:color w:val="00817F"/>
                <w:sz w:val="20"/>
              </w:rPr>
              <w:t>FIGURA 4</w:t>
            </w:r>
            <w:r w:rsidR="00FA6BDA" w:rsidRPr="00813002">
              <w:rPr>
                <w:b/>
                <w:color w:val="00817F"/>
                <w:sz w:val="20"/>
              </w:rPr>
              <w:t>.</w:t>
            </w:r>
            <w:r w:rsidR="00644FA7" w:rsidRPr="00813002">
              <w:rPr>
                <w:b/>
                <w:color w:val="595959" w:themeColor="text1" w:themeTint="A6"/>
                <w:sz w:val="20"/>
              </w:rPr>
              <w:t xml:space="preserve"> </w:t>
            </w:r>
            <w:r w:rsidR="00AE74E9" w:rsidRPr="00AE74E9">
              <w:rPr>
                <w:b/>
                <w:color w:val="595959" w:themeColor="text1" w:themeTint="A6"/>
                <w:sz w:val="20"/>
              </w:rPr>
              <w:t xml:space="preserve">VARIAZIONE </w:t>
            </w:r>
            <w:r w:rsidR="00AE74E9">
              <w:rPr>
                <w:b/>
                <w:color w:val="595959" w:themeColor="text1" w:themeTint="A6"/>
                <w:sz w:val="20"/>
              </w:rPr>
              <w:t xml:space="preserve">DEGLI SCAMBI DI BENI CON </w:t>
            </w:r>
            <w:r w:rsidR="00AE028B">
              <w:rPr>
                <w:b/>
                <w:color w:val="595959" w:themeColor="text1" w:themeTint="A6"/>
                <w:sz w:val="20"/>
              </w:rPr>
              <w:t xml:space="preserve">I </w:t>
            </w:r>
            <w:r w:rsidR="00AE74E9">
              <w:rPr>
                <w:b/>
                <w:color w:val="595959" w:themeColor="text1" w:themeTint="A6"/>
                <w:sz w:val="20"/>
              </w:rPr>
              <w:t xml:space="preserve">PAESI </w:t>
            </w:r>
            <w:r w:rsidR="00AE74E9" w:rsidRPr="00AE74E9">
              <w:rPr>
                <w:b/>
                <w:color w:val="595959" w:themeColor="text1" w:themeTint="A6"/>
                <w:sz w:val="20"/>
              </w:rPr>
              <w:t>UE</w:t>
            </w:r>
            <w:r w:rsidR="00AE74E9">
              <w:rPr>
                <w:b/>
                <w:color w:val="595959" w:themeColor="text1" w:themeTint="A6"/>
                <w:sz w:val="20"/>
              </w:rPr>
              <w:t xml:space="preserve"> ED EXTRA UE</w:t>
            </w:r>
            <w:r w:rsidR="00CF1DE0">
              <w:rPr>
                <w:b/>
                <w:color w:val="595959" w:themeColor="text1" w:themeTint="A6"/>
                <w:sz w:val="20"/>
              </w:rPr>
              <w:t xml:space="preserve">. </w:t>
            </w:r>
            <w:r w:rsidR="003B419C" w:rsidRPr="00714889">
              <w:rPr>
                <w:color w:val="auto"/>
                <w:sz w:val="19"/>
                <w:szCs w:val="19"/>
              </w:rPr>
              <w:t>Variazioni percentuali tendenziali</w:t>
            </w:r>
          </w:p>
        </w:tc>
      </w:tr>
      <w:tr w:rsidR="00663E93" w14:paraId="70881B86" w14:textId="77777777" w:rsidTr="00890854">
        <w:tblPrEx>
          <w:tblCellMar>
            <w:left w:w="70" w:type="dxa"/>
            <w:right w:w="70" w:type="dxa"/>
          </w:tblCellMar>
        </w:tblPrEx>
        <w:trPr>
          <w:trHeight w:val="3402"/>
        </w:trPr>
        <w:tc>
          <w:tcPr>
            <w:tcW w:w="510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D8EF3E5" w14:textId="5258CAA8" w:rsidR="00663E93" w:rsidRPr="00E623BE" w:rsidRDefault="00362A7C" w:rsidP="00505110">
            <w:pPr>
              <w:pStyle w:val="016testobulletprimapagina"/>
              <w:spacing w:before="60" w:after="120" w:line="240" w:lineRule="auto"/>
              <w:ind w:left="0" w:right="-8"/>
              <w:rPr>
                <w:sz w:val="12"/>
              </w:rPr>
            </w:pPr>
            <w:r>
              <w:rPr>
                <w:noProof/>
                <w:lang w:val="en-GB" w:eastAsia="en-GB"/>
              </w:rPr>
              <w:drawing>
                <wp:inline distT="0" distB="0" distL="0" distR="0" wp14:anchorId="33636427" wp14:editId="1E652067">
                  <wp:extent cx="3149600" cy="2060575"/>
                  <wp:effectExtent l="0" t="0" r="0" b="0"/>
                  <wp:docPr id="9" name="Grafico 9">
                    <a:extLst xmlns:a="http://schemas.openxmlformats.org/drawingml/2006/main">
                      <a:ext uri="{FF2B5EF4-FFF2-40B4-BE49-F238E27FC236}">
                        <a16:creationId xmlns:a16="http://schemas.microsoft.com/office/drawing/2014/main" id="{3EAD91D1-3639-447E-B30E-778812E31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510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02F4573" w14:textId="4381FA82" w:rsidR="00663E93" w:rsidRDefault="00890854" w:rsidP="00505110">
            <w:pPr>
              <w:pStyle w:val="016testobulletprimapagina"/>
              <w:spacing w:before="60" w:after="120" w:line="240" w:lineRule="auto"/>
              <w:ind w:left="0" w:right="-8"/>
            </w:pPr>
            <w:r>
              <w:rPr>
                <w:noProof/>
                <w:lang w:val="en-GB" w:eastAsia="en-GB"/>
              </w:rPr>
              <w:drawing>
                <wp:inline distT="0" distB="0" distL="0" distR="0" wp14:anchorId="6C742664" wp14:editId="6BA9618C">
                  <wp:extent cx="3150235" cy="2132965"/>
                  <wp:effectExtent l="0" t="0" r="0" b="635"/>
                  <wp:docPr id="4" name="Grafico 4">
                    <a:extLst xmlns:a="http://schemas.openxmlformats.org/drawingml/2006/main">
                      <a:ext uri="{FF2B5EF4-FFF2-40B4-BE49-F238E27FC236}">
                        <a16:creationId xmlns:a16="http://schemas.microsoft.com/office/drawing/2014/main" id="{C92EE4E5-77EE-4118-9E6E-E060C3EC91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3094E036" w14:textId="1FD94D9D" w:rsidR="00663E93" w:rsidRPr="00307AB9" w:rsidRDefault="002121A0" w:rsidP="00505110">
      <w:pPr>
        <w:spacing w:before="60" w:after="120"/>
        <w:ind w:right="-8"/>
        <w:rPr>
          <w:rFonts w:ascii="Arial" w:hAnsi="Arial" w:cs="Arial"/>
          <w:sz w:val="15"/>
          <w:szCs w:val="15"/>
        </w:rPr>
      </w:pPr>
      <w:r w:rsidRPr="00307AB9">
        <w:rPr>
          <w:rFonts w:ascii="Arial" w:hAnsi="Arial" w:cs="Arial"/>
          <w:sz w:val="15"/>
          <w:szCs w:val="15"/>
        </w:rPr>
        <w:t>Fonte: Istat</w:t>
      </w:r>
      <w:r w:rsidR="0063063B" w:rsidRPr="00307AB9">
        <w:rPr>
          <w:rFonts w:ascii="Arial" w:hAnsi="Arial" w:cs="Arial"/>
          <w:sz w:val="15"/>
          <w:szCs w:val="15"/>
        </w:rPr>
        <w:tab/>
      </w:r>
      <w:r w:rsidRPr="00307AB9">
        <w:rPr>
          <w:rFonts w:ascii="Arial" w:hAnsi="Arial" w:cs="Arial"/>
          <w:sz w:val="15"/>
          <w:szCs w:val="15"/>
        </w:rPr>
        <w:tab/>
      </w:r>
      <w:r w:rsidR="00A5609A" w:rsidRPr="00307AB9">
        <w:rPr>
          <w:rFonts w:ascii="Arial" w:hAnsi="Arial" w:cs="Arial"/>
          <w:sz w:val="15"/>
          <w:szCs w:val="15"/>
        </w:rPr>
        <w:tab/>
      </w:r>
      <w:r w:rsidR="00A5609A" w:rsidRPr="00307AB9">
        <w:rPr>
          <w:rFonts w:ascii="Arial" w:hAnsi="Arial" w:cs="Arial"/>
          <w:sz w:val="15"/>
          <w:szCs w:val="15"/>
        </w:rPr>
        <w:tab/>
      </w:r>
      <w:r w:rsidR="00A5609A" w:rsidRPr="00307AB9">
        <w:rPr>
          <w:rFonts w:ascii="Arial" w:hAnsi="Arial" w:cs="Arial"/>
          <w:sz w:val="15"/>
          <w:szCs w:val="15"/>
        </w:rPr>
        <w:tab/>
      </w:r>
      <w:r w:rsidR="00A5609A" w:rsidRPr="00307AB9">
        <w:rPr>
          <w:rFonts w:ascii="Arial" w:hAnsi="Arial" w:cs="Arial"/>
          <w:sz w:val="15"/>
          <w:szCs w:val="15"/>
        </w:rPr>
        <w:tab/>
      </w:r>
      <w:r w:rsidR="00663E93" w:rsidRPr="00307AB9">
        <w:rPr>
          <w:rFonts w:ascii="Arial" w:hAnsi="Arial" w:cs="Arial"/>
          <w:sz w:val="15"/>
          <w:szCs w:val="15"/>
        </w:rPr>
        <w:t xml:space="preserve">   Fonte: Istat</w:t>
      </w:r>
    </w:p>
    <w:p w14:paraId="67ECEDAB" w14:textId="77777777" w:rsidR="00076EB3" w:rsidRDefault="00076EB3" w:rsidP="0027503F">
      <w:pPr>
        <w:spacing w:after="120"/>
        <w:jc w:val="both"/>
        <w:rPr>
          <w:rFonts w:ascii="Arial" w:hAnsi="Arial" w:cs="Arial"/>
          <w:b/>
          <w:iCs/>
          <w:noProof/>
          <w:color w:val="008080"/>
          <w:spacing w:val="2"/>
          <w:sz w:val="22"/>
          <w:szCs w:val="22"/>
        </w:rPr>
      </w:pPr>
    </w:p>
    <w:p w14:paraId="6318A79F" w14:textId="3D62E192" w:rsidR="000451F7" w:rsidRPr="00AF49E0" w:rsidRDefault="000451F7" w:rsidP="000451F7">
      <w:pPr>
        <w:shd w:val="clear" w:color="auto" w:fill="FFFFFF"/>
        <w:spacing w:before="60" w:after="120"/>
        <w:ind w:right="-6"/>
        <w:jc w:val="both"/>
        <w:rPr>
          <w:rFonts w:ascii="Arial" w:eastAsia="Times New Roman" w:hAnsi="Arial" w:cs="Arial"/>
          <w:bCs/>
          <w:iCs/>
          <w:noProof/>
          <w:sz w:val="22"/>
          <w:szCs w:val="22"/>
          <w:lang w:eastAsia="it-IT"/>
        </w:rPr>
      </w:pPr>
      <w:r w:rsidRPr="00AF49E0">
        <w:rPr>
          <w:rFonts w:ascii="Arial" w:eastAsia="Times New Roman" w:hAnsi="Arial" w:cs="Arial"/>
          <w:b/>
          <w:iCs/>
          <w:noProof/>
          <w:color w:val="008080"/>
          <w:sz w:val="22"/>
          <w:szCs w:val="22"/>
          <w:lang w:eastAsia="it-IT"/>
        </w:rPr>
        <w:t>…sia in quelli extraUE.</w:t>
      </w:r>
      <w:r w:rsidRPr="00AF49E0">
        <w:rPr>
          <w:rFonts w:ascii="Arial" w:eastAsia="Times New Roman" w:hAnsi="Arial" w:cs="Arial"/>
          <w:bCs/>
          <w:iCs/>
          <w:noProof/>
          <w:sz w:val="22"/>
          <w:szCs w:val="22"/>
          <w:lang w:eastAsia="it-IT"/>
        </w:rPr>
        <w:t xml:space="preserve"> La dinamica di rallentamento ha riguardato anche i </w:t>
      </w:r>
      <w:hyperlink r:id="rId22" w:history="1">
        <w:r w:rsidRPr="00452B35">
          <w:rPr>
            <w:rStyle w:val="Collegamentoipertestuale"/>
            <w:rFonts w:ascii="Arial" w:eastAsia="Times New Roman" w:hAnsi="Arial" w:cs="Arial"/>
            <w:bCs/>
            <w:iCs/>
            <w:noProof/>
            <w:sz w:val="22"/>
            <w:szCs w:val="22"/>
            <w:lang w:eastAsia="it-IT"/>
          </w:rPr>
          <w:t>mercati extr</w:t>
        </w:r>
        <w:r w:rsidR="003D5432" w:rsidRPr="00452B35">
          <w:rPr>
            <w:rStyle w:val="Collegamentoipertestuale"/>
            <w:rFonts w:ascii="Arial" w:eastAsia="Times New Roman" w:hAnsi="Arial" w:cs="Arial"/>
            <w:bCs/>
            <w:iCs/>
            <w:noProof/>
            <w:sz w:val="22"/>
            <w:szCs w:val="22"/>
            <w:lang w:eastAsia="it-IT"/>
          </w:rPr>
          <w:t xml:space="preserve">a </w:t>
        </w:r>
        <w:r w:rsidRPr="00452B35">
          <w:rPr>
            <w:rStyle w:val="Collegamentoipertestuale"/>
            <w:rFonts w:ascii="Arial" w:eastAsia="Times New Roman" w:hAnsi="Arial" w:cs="Arial"/>
            <w:bCs/>
            <w:iCs/>
            <w:noProof/>
            <w:sz w:val="22"/>
            <w:szCs w:val="22"/>
            <w:lang w:eastAsia="it-IT"/>
          </w:rPr>
          <w:t>UE</w:t>
        </w:r>
      </w:hyperlink>
      <w:r w:rsidRPr="00AF49E0">
        <w:rPr>
          <w:rFonts w:ascii="Arial" w:eastAsia="Times New Roman" w:hAnsi="Arial" w:cs="Arial"/>
          <w:bCs/>
          <w:iCs/>
          <w:noProof/>
          <w:sz w:val="22"/>
          <w:szCs w:val="22"/>
          <w:lang w:eastAsia="it-IT"/>
        </w:rPr>
        <w:t xml:space="preserve">. Nel secondo trimestre le </w:t>
      </w:r>
      <w:r>
        <w:rPr>
          <w:rFonts w:ascii="Arial" w:eastAsia="Times New Roman" w:hAnsi="Arial" w:cs="Arial"/>
          <w:bCs/>
          <w:iCs/>
          <w:noProof/>
          <w:sz w:val="22"/>
          <w:szCs w:val="22"/>
          <w:lang w:eastAsia="it-IT"/>
        </w:rPr>
        <w:t xml:space="preserve">esportazioni </w:t>
      </w:r>
      <w:r w:rsidRPr="00AF49E0">
        <w:rPr>
          <w:rFonts w:ascii="Arial" w:eastAsia="Times New Roman" w:hAnsi="Arial" w:cs="Arial"/>
          <w:bCs/>
          <w:iCs/>
          <w:noProof/>
          <w:sz w:val="22"/>
          <w:szCs w:val="22"/>
          <w:lang w:eastAsia="it-IT"/>
        </w:rPr>
        <w:t>si sono ridotte dello 0,4% rispetto al primo (erano aumentate del 3,3</w:t>
      </w:r>
      <w:r w:rsidR="00B458BD">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xml:space="preserve"> tra gennaio e marzo). Le importazioni, pur rimanendo sostenute, hanno registrato  un aumento più contenuto rispetto al </w:t>
      </w:r>
      <w:r w:rsidR="002F1CA8">
        <w:rPr>
          <w:rFonts w:ascii="Arial" w:eastAsia="Times New Roman" w:hAnsi="Arial" w:cs="Arial"/>
          <w:bCs/>
          <w:iCs/>
          <w:noProof/>
          <w:sz w:val="22"/>
          <w:szCs w:val="22"/>
          <w:lang w:eastAsia="it-IT"/>
        </w:rPr>
        <w:t xml:space="preserve">primo </w:t>
      </w:r>
      <w:r w:rsidRPr="00AF49E0">
        <w:rPr>
          <w:rFonts w:ascii="Arial" w:eastAsia="Times New Roman" w:hAnsi="Arial" w:cs="Arial"/>
          <w:bCs/>
          <w:iCs/>
          <w:noProof/>
          <w:sz w:val="22"/>
          <w:szCs w:val="22"/>
          <w:lang w:eastAsia="it-IT"/>
        </w:rPr>
        <w:t>trimestre (+5,8% contro il +11,7</w:t>
      </w:r>
      <w:r>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Sull’andamento delle esportazioni hanno inciso da un lato la decelerazione dell’export verso</w:t>
      </w:r>
      <w:r w:rsidR="007A66F7">
        <w:rPr>
          <w:rFonts w:ascii="Arial" w:eastAsia="Times New Roman" w:hAnsi="Arial" w:cs="Arial"/>
          <w:bCs/>
          <w:iCs/>
          <w:noProof/>
          <w:sz w:val="22"/>
          <w:szCs w:val="22"/>
          <w:lang w:eastAsia="it-IT"/>
        </w:rPr>
        <w:t xml:space="preserve"> gli Stati Uniti, dopo la forte crescita</w:t>
      </w:r>
      <w:r w:rsidRPr="00AF49E0">
        <w:rPr>
          <w:rFonts w:ascii="Arial" w:eastAsia="Times New Roman" w:hAnsi="Arial" w:cs="Arial"/>
          <w:bCs/>
          <w:iCs/>
          <w:noProof/>
          <w:sz w:val="22"/>
          <w:szCs w:val="22"/>
          <w:lang w:eastAsia="it-IT"/>
        </w:rPr>
        <w:t xml:space="preserve"> dei tre mesi precedenti (+3,7%, da +11,8%), dall’altro il calo delle vendite nel Regno Unito (-6,4%, da +9,2%) e la </w:t>
      </w:r>
      <w:r w:rsidR="006F169D">
        <w:rPr>
          <w:rFonts w:ascii="Arial" w:eastAsia="Times New Roman" w:hAnsi="Arial" w:cs="Arial"/>
          <w:bCs/>
          <w:iCs/>
          <w:noProof/>
          <w:sz w:val="22"/>
          <w:szCs w:val="22"/>
          <w:lang w:eastAsia="it-IT"/>
        </w:rPr>
        <w:t>nuova</w:t>
      </w:r>
      <w:r w:rsidRPr="00AF49E0">
        <w:rPr>
          <w:rFonts w:ascii="Arial" w:eastAsia="Times New Roman" w:hAnsi="Arial" w:cs="Arial"/>
          <w:bCs/>
          <w:iCs/>
          <w:noProof/>
          <w:sz w:val="22"/>
          <w:szCs w:val="22"/>
          <w:lang w:eastAsia="it-IT"/>
        </w:rPr>
        <w:t xml:space="preserve"> contrazione verso la Cina (-12,2%, da -11,1%), la Russia  (-17,5% dopo il -17,1%) e la Turchia (-18,7%, da -17,8%). Tali andamenti sono stati solo parzialmente compensati dall’aumento delle vendite dirette verso la Svizzera (+15,5%, da </w:t>
      </w:r>
      <w:r w:rsidR="002F1CA8">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11,2%), altro rilevante mercato di destinazione dell’export italiano.</w:t>
      </w:r>
    </w:p>
    <w:p w14:paraId="43E36CD5" w14:textId="09FBED90" w:rsidR="000451F7" w:rsidRDefault="000451F7" w:rsidP="000451F7">
      <w:pPr>
        <w:shd w:val="clear" w:color="auto" w:fill="FFFFFF"/>
        <w:spacing w:before="60" w:after="120"/>
        <w:ind w:right="-6"/>
        <w:jc w:val="both"/>
        <w:rPr>
          <w:rFonts w:ascii="Arial" w:eastAsia="Times New Roman" w:hAnsi="Arial" w:cs="Arial"/>
          <w:bCs/>
          <w:iCs/>
          <w:noProof/>
          <w:sz w:val="22"/>
          <w:szCs w:val="22"/>
          <w:lang w:eastAsia="it-IT"/>
        </w:rPr>
      </w:pPr>
      <w:r w:rsidRPr="00AF49E0">
        <w:rPr>
          <w:rFonts w:ascii="Arial" w:eastAsia="Times New Roman" w:hAnsi="Arial" w:cs="Arial"/>
          <w:b/>
          <w:iCs/>
          <w:noProof/>
          <w:color w:val="008080"/>
          <w:sz w:val="22"/>
          <w:szCs w:val="22"/>
          <w:lang w:eastAsia="it-IT"/>
        </w:rPr>
        <w:t>In forte accelerazione l’export della farmaceutica verso gli Stati Uniti</w:t>
      </w:r>
      <w:r w:rsidRPr="00AF49E0">
        <w:rPr>
          <w:rFonts w:ascii="Arial" w:eastAsia="Times New Roman" w:hAnsi="Arial" w:cs="Arial"/>
          <w:bCs/>
          <w:iCs/>
          <w:noProof/>
          <w:sz w:val="22"/>
          <w:szCs w:val="22"/>
          <w:lang w:eastAsia="it-IT"/>
        </w:rPr>
        <w:t xml:space="preserve">. </w:t>
      </w:r>
      <w:r w:rsidR="00B45D83">
        <w:rPr>
          <w:rFonts w:ascii="Arial" w:eastAsia="Times New Roman" w:hAnsi="Arial" w:cs="Arial"/>
          <w:bCs/>
          <w:iCs/>
          <w:noProof/>
          <w:sz w:val="22"/>
          <w:szCs w:val="22"/>
          <w:lang w:eastAsia="it-IT"/>
        </w:rPr>
        <w:t>P</w:t>
      </w:r>
      <w:r w:rsidRPr="00AF49E0">
        <w:rPr>
          <w:rFonts w:ascii="Arial" w:eastAsia="Times New Roman" w:hAnsi="Arial" w:cs="Arial"/>
          <w:bCs/>
          <w:iCs/>
          <w:noProof/>
          <w:sz w:val="22"/>
          <w:szCs w:val="22"/>
          <w:lang w:eastAsia="it-IT"/>
        </w:rPr>
        <w:t>er quanto attiene l’interscambio con gli Stati Uniti</w:t>
      </w:r>
      <w:r w:rsidR="00045464">
        <w:rPr>
          <w:rFonts w:ascii="Arial" w:eastAsia="Times New Roman" w:hAnsi="Arial" w:cs="Arial"/>
          <w:bCs/>
          <w:iCs/>
          <w:noProof/>
          <w:sz w:val="22"/>
          <w:szCs w:val="22"/>
          <w:lang w:eastAsia="it-IT"/>
        </w:rPr>
        <w:t xml:space="preserve"> (dati provvisori)</w:t>
      </w:r>
      <w:r w:rsidRPr="00AF49E0">
        <w:rPr>
          <w:rFonts w:ascii="Arial" w:eastAsia="Times New Roman" w:hAnsi="Arial" w:cs="Arial"/>
          <w:bCs/>
          <w:iCs/>
          <w:noProof/>
          <w:sz w:val="22"/>
          <w:szCs w:val="22"/>
          <w:lang w:eastAsia="it-IT"/>
        </w:rPr>
        <w:t>, le esportazioni del comparto della farmaceutica, dove è rilevante la presenza di multinazionali,</w:t>
      </w:r>
      <w:r w:rsidR="00B45D83">
        <w:rPr>
          <w:rFonts w:ascii="Arial" w:eastAsia="Times New Roman" w:hAnsi="Arial" w:cs="Arial"/>
          <w:bCs/>
          <w:iCs/>
          <w:noProof/>
          <w:sz w:val="22"/>
          <w:szCs w:val="22"/>
          <w:lang w:eastAsia="it-IT"/>
        </w:rPr>
        <w:t xml:space="preserve"> </w:t>
      </w:r>
      <w:r w:rsidRPr="00AF49E0">
        <w:rPr>
          <w:rFonts w:ascii="Arial" w:eastAsia="Times New Roman" w:hAnsi="Arial" w:cs="Arial"/>
          <w:bCs/>
          <w:iCs/>
          <w:noProof/>
          <w:sz w:val="22"/>
          <w:szCs w:val="22"/>
          <w:lang w:eastAsia="it-IT"/>
        </w:rPr>
        <w:t xml:space="preserve">sono quasi raddoppiate </w:t>
      </w:r>
      <w:r w:rsidR="00045464">
        <w:rPr>
          <w:rFonts w:ascii="Arial" w:eastAsia="Times New Roman" w:hAnsi="Arial" w:cs="Arial"/>
          <w:bCs/>
          <w:iCs/>
          <w:noProof/>
          <w:sz w:val="22"/>
          <w:szCs w:val="22"/>
          <w:lang w:eastAsia="it-IT"/>
        </w:rPr>
        <w:t>n</w:t>
      </w:r>
      <w:r w:rsidR="00045464" w:rsidRPr="00AF49E0">
        <w:rPr>
          <w:rFonts w:ascii="Arial" w:eastAsia="Times New Roman" w:hAnsi="Arial" w:cs="Arial"/>
          <w:bCs/>
          <w:iCs/>
          <w:noProof/>
          <w:sz w:val="22"/>
          <w:szCs w:val="22"/>
          <w:lang w:eastAsia="it-IT"/>
        </w:rPr>
        <w:t xml:space="preserve">el primo trimestre </w:t>
      </w:r>
      <w:r w:rsidRPr="00AF49E0">
        <w:rPr>
          <w:rFonts w:ascii="Arial" w:eastAsia="Times New Roman" w:hAnsi="Arial" w:cs="Arial"/>
          <w:bCs/>
          <w:iCs/>
          <w:noProof/>
          <w:sz w:val="22"/>
          <w:szCs w:val="22"/>
          <w:lang w:eastAsia="it-IT"/>
        </w:rPr>
        <w:t>rispetto allo stesso periodo del 2024 e, sono aumentate di oltre il 60% nel secondo</w:t>
      </w:r>
      <w:r w:rsidR="000C58CD">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xml:space="preserve"> </w:t>
      </w:r>
      <w:r w:rsidR="000C58CD">
        <w:rPr>
          <w:rFonts w:ascii="Arial" w:eastAsia="Times New Roman" w:hAnsi="Arial" w:cs="Arial"/>
          <w:bCs/>
          <w:iCs/>
          <w:noProof/>
          <w:sz w:val="22"/>
          <w:szCs w:val="22"/>
          <w:lang w:eastAsia="it-IT"/>
        </w:rPr>
        <w:t>L</w:t>
      </w:r>
      <w:r w:rsidRPr="00AF49E0">
        <w:rPr>
          <w:rFonts w:ascii="Arial" w:eastAsia="Times New Roman" w:hAnsi="Arial" w:cs="Arial"/>
          <w:bCs/>
          <w:iCs/>
          <w:noProof/>
          <w:sz w:val="22"/>
          <w:szCs w:val="22"/>
          <w:lang w:eastAsia="it-IT"/>
        </w:rPr>
        <w:t xml:space="preserve">e vendite di questo settore rappresentano all’incirca un quarto dei flussi complessivi diretti negli Stati Uniti. Sono invece diminuite le </w:t>
      </w:r>
      <w:r w:rsidR="00045464">
        <w:rPr>
          <w:rFonts w:ascii="Arial" w:eastAsia="Times New Roman" w:hAnsi="Arial" w:cs="Arial"/>
          <w:bCs/>
          <w:iCs/>
          <w:noProof/>
          <w:sz w:val="22"/>
          <w:szCs w:val="22"/>
          <w:lang w:eastAsia="it-IT"/>
        </w:rPr>
        <w:t>esportazioni</w:t>
      </w:r>
      <w:r w:rsidRPr="00AF49E0">
        <w:rPr>
          <w:rFonts w:ascii="Arial" w:eastAsia="Times New Roman" w:hAnsi="Arial" w:cs="Arial"/>
          <w:bCs/>
          <w:iCs/>
          <w:noProof/>
          <w:sz w:val="22"/>
          <w:szCs w:val="22"/>
          <w:lang w:eastAsia="it-IT"/>
        </w:rPr>
        <w:t xml:space="preserve"> di bevande (-2,7%, da +13,9%)</w:t>
      </w:r>
      <w:r>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xml:space="preserve"> di macchinari (-9,7% da -8,4%) e mezzi di trasporto (</w:t>
      </w:r>
      <w:r>
        <w:rPr>
          <w:rFonts w:ascii="Arial" w:eastAsia="Times New Roman" w:hAnsi="Arial" w:cs="Arial"/>
          <w:bCs/>
          <w:iCs/>
          <w:noProof/>
          <w:sz w:val="22"/>
          <w:szCs w:val="22"/>
          <w:lang w:eastAsia="it-IT"/>
        </w:rPr>
        <w:t xml:space="preserve">in particolare </w:t>
      </w:r>
      <w:r w:rsidRPr="00AF49E0">
        <w:rPr>
          <w:rFonts w:ascii="Arial" w:eastAsia="Times New Roman" w:hAnsi="Arial" w:cs="Arial"/>
          <w:bCs/>
          <w:iCs/>
          <w:noProof/>
          <w:sz w:val="22"/>
          <w:szCs w:val="22"/>
          <w:lang w:eastAsia="it-IT"/>
        </w:rPr>
        <w:t>-35,8</w:t>
      </w:r>
      <w:r>
        <w:rPr>
          <w:rFonts w:ascii="Arial" w:eastAsia="Times New Roman" w:hAnsi="Arial" w:cs="Arial"/>
          <w:bCs/>
          <w:iCs/>
          <w:noProof/>
          <w:sz w:val="22"/>
          <w:szCs w:val="22"/>
          <w:lang w:eastAsia="it-IT"/>
        </w:rPr>
        <w:t xml:space="preserve">% gli autoveicoli, dal </w:t>
      </w:r>
      <w:r w:rsidR="00A85D26">
        <w:rPr>
          <w:rFonts w:ascii="Arial" w:eastAsia="Times New Roman" w:hAnsi="Arial" w:cs="Arial"/>
          <w:bCs/>
          <w:iCs/>
          <w:noProof/>
          <w:sz w:val="22"/>
          <w:szCs w:val="22"/>
          <w:lang w:eastAsia="it-IT"/>
        </w:rPr>
        <w:t>+9,2%</w:t>
      </w:r>
      <w:r>
        <w:rPr>
          <w:rFonts w:ascii="Arial" w:eastAsia="Times New Roman" w:hAnsi="Arial" w:cs="Arial"/>
          <w:bCs/>
          <w:iCs/>
          <w:noProof/>
          <w:sz w:val="22"/>
          <w:szCs w:val="22"/>
          <w:lang w:eastAsia="it-IT"/>
        </w:rPr>
        <w:t xml:space="preserve"> precedente; </w:t>
      </w:r>
      <w:r w:rsidRPr="00AF49E0">
        <w:rPr>
          <w:rFonts w:ascii="Arial" w:eastAsia="Times New Roman" w:hAnsi="Arial" w:cs="Arial"/>
          <w:bCs/>
          <w:iCs/>
          <w:noProof/>
          <w:sz w:val="22"/>
          <w:szCs w:val="22"/>
          <w:lang w:eastAsia="it-IT"/>
        </w:rPr>
        <w:t xml:space="preserve"> -</w:t>
      </w:r>
      <w:r w:rsidR="00A85D26">
        <w:rPr>
          <w:rFonts w:ascii="Arial" w:eastAsia="Times New Roman" w:hAnsi="Arial" w:cs="Arial"/>
          <w:bCs/>
          <w:iCs/>
          <w:noProof/>
          <w:sz w:val="22"/>
          <w:szCs w:val="22"/>
          <w:lang w:eastAsia="it-IT"/>
        </w:rPr>
        <w:t>6,5</w:t>
      </w:r>
      <w:r>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xml:space="preserve"> da +15,9%, gli altri mezzi di trasporto)</w:t>
      </w:r>
      <w:r w:rsidR="008370DA">
        <w:rPr>
          <w:rFonts w:ascii="Arial" w:eastAsia="Times New Roman" w:hAnsi="Arial" w:cs="Arial"/>
          <w:bCs/>
          <w:iCs/>
          <w:noProof/>
          <w:sz w:val="22"/>
          <w:szCs w:val="22"/>
          <w:lang w:eastAsia="it-IT"/>
        </w:rPr>
        <w:t>, mentre è</w:t>
      </w:r>
      <w:r>
        <w:rPr>
          <w:rFonts w:ascii="Arial" w:eastAsia="Times New Roman" w:hAnsi="Arial" w:cs="Arial"/>
          <w:bCs/>
          <w:iCs/>
          <w:noProof/>
          <w:sz w:val="22"/>
          <w:szCs w:val="22"/>
          <w:lang w:eastAsia="it-IT"/>
        </w:rPr>
        <w:t xml:space="preserve"> </w:t>
      </w:r>
      <w:r w:rsidRPr="00AF49E0">
        <w:rPr>
          <w:rFonts w:ascii="Arial" w:eastAsia="Times New Roman" w:hAnsi="Arial" w:cs="Arial"/>
          <w:bCs/>
          <w:iCs/>
          <w:noProof/>
          <w:sz w:val="22"/>
          <w:szCs w:val="22"/>
          <w:lang w:eastAsia="it-IT"/>
        </w:rPr>
        <w:t>rallentat</w:t>
      </w:r>
      <w:r w:rsidR="008370DA">
        <w:rPr>
          <w:rFonts w:ascii="Arial" w:eastAsia="Times New Roman" w:hAnsi="Arial" w:cs="Arial"/>
          <w:bCs/>
          <w:iCs/>
          <w:noProof/>
          <w:sz w:val="22"/>
          <w:szCs w:val="22"/>
          <w:lang w:eastAsia="it-IT"/>
        </w:rPr>
        <w:t>a</w:t>
      </w:r>
      <w:r w:rsidRPr="00AF49E0">
        <w:rPr>
          <w:rFonts w:ascii="Arial" w:eastAsia="Times New Roman" w:hAnsi="Arial" w:cs="Arial"/>
          <w:bCs/>
          <w:iCs/>
          <w:noProof/>
          <w:sz w:val="22"/>
          <w:szCs w:val="22"/>
          <w:lang w:eastAsia="it-IT"/>
        </w:rPr>
        <w:t xml:space="preserve"> </w:t>
      </w:r>
      <w:r>
        <w:rPr>
          <w:rFonts w:ascii="Arial" w:eastAsia="Times New Roman" w:hAnsi="Arial" w:cs="Arial"/>
          <w:bCs/>
          <w:iCs/>
          <w:noProof/>
          <w:sz w:val="22"/>
          <w:szCs w:val="22"/>
          <w:lang w:eastAsia="it-IT"/>
        </w:rPr>
        <w:t>la crescita dell’</w:t>
      </w:r>
      <w:r w:rsidRPr="00AF49E0">
        <w:rPr>
          <w:rFonts w:ascii="Arial" w:eastAsia="Times New Roman" w:hAnsi="Arial" w:cs="Arial"/>
          <w:bCs/>
          <w:iCs/>
          <w:noProof/>
          <w:sz w:val="22"/>
          <w:szCs w:val="22"/>
          <w:lang w:eastAsia="it-IT"/>
        </w:rPr>
        <w:t>e</w:t>
      </w:r>
      <w:r>
        <w:rPr>
          <w:rFonts w:ascii="Arial" w:eastAsia="Times New Roman" w:hAnsi="Arial" w:cs="Arial"/>
          <w:bCs/>
          <w:iCs/>
          <w:noProof/>
          <w:sz w:val="22"/>
          <w:szCs w:val="22"/>
          <w:lang w:eastAsia="it-IT"/>
        </w:rPr>
        <w:t>xport</w:t>
      </w:r>
      <w:r w:rsidRPr="00AF49E0">
        <w:rPr>
          <w:rFonts w:ascii="Arial" w:eastAsia="Times New Roman" w:hAnsi="Arial" w:cs="Arial"/>
          <w:bCs/>
          <w:iCs/>
          <w:noProof/>
          <w:sz w:val="22"/>
          <w:szCs w:val="22"/>
          <w:lang w:eastAsia="it-IT"/>
        </w:rPr>
        <w:t xml:space="preserve"> di beni alimentari (+1,1</w:t>
      </w:r>
      <w:r>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xml:space="preserve"> da +9,2%).</w:t>
      </w:r>
    </w:p>
    <w:p w14:paraId="06D2FAB4" w14:textId="40EB0526" w:rsidR="000451F7" w:rsidRPr="00AF49E0" w:rsidRDefault="000451F7" w:rsidP="000451F7">
      <w:pPr>
        <w:shd w:val="clear" w:color="auto" w:fill="FFFFFF"/>
        <w:spacing w:before="60" w:after="120"/>
        <w:ind w:right="-6"/>
        <w:jc w:val="both"/>
        <w:rPr>
          <w:rFonts w:ascii="Calibri" w:eastAsia="Calibri" w:hAnsi="Calibri" w:cs="Times New Roman"/>
        </w:rPr>
      </w:pPr>
      <w:r w:rsidRPr="00AF49E0">
        <w:rPr>
          <w:rFonts w:ascii="Arial" w:eastAsia="Times New Roman" w:hAnsi="Arial" w:cs="Arial"/>
          <w:bCs/>
          <w:iCs/>
          <w:noProof/>
          <w:sz w:val="22"/>
          <w:szCs w:val="22"/>
          <w:lang w:eastAsia="it-IT"/>
        </w:rPr>
        <w:t>Dal lato delle importazioni, gli acquisti di prodotti farmaceutici, diminuiti nel primo trimestre (-38,9% la variazione in termini tendenziali)</w:t>
      </w:r>
      <w:r>
        <w:rPr>
          <w:rFonts w:ascii="Arial" w:eastAsia="Times New Roman" w:hAnsi="Arial" w:cs="Arial"/>
          <w:bCs/>
          <w:iCs/>
          <w:noProof/>
          <w:sz w:val="22"/>
          <w:szCs w:val="22"/>
          <w:lang w:eastAsia="it-IT"/>
        </w:rPr>
        <w:t>,</w:t>
      </w:r>
      <w:r w:rsidRPr="00AF49E0">
        <w:rPr>
          <w:rFonts w:ascii="Arial" w:eastAsia="Times New Roman" w:hAnsi="Arial" w:cs="Arial"/>
          <w:bCs/>
          <w:iCs/>
          <w:noProof/>
          <w:sz w:val="22"/>
          <w:szCs w:val="22"/>
          <w:lang w:eastAsia="it-IT"/>
        </w:rPr>
        <w:t xml:space="preserve"> sono quasi raddoppiati tra aprile e giugno (+91,2%). Tra gli altri </w:t>
      </w:r>
      <w:r w:rsidR="000C58CD">
        <w:rPr>
          <w:rFonts w:ascii="Arial" w:eastAsia="Times New Roman" w:hAnsi="Arial" w:cs="Arial"/>
          <w:bCs/>
          <w:iCs/>
          <w:noProof/>
          <w:sz w:val="22"/>
          <w:szCs w:val="22"/>
          <w:lang w:eastAsia="it-IT"/>
        </w:rPr>
        <w:t>beni</w:t>
      </w:r>
      <w:r w:rsidRPr="00AF49E0">
        <w:rPr>
          <w:rFonts w:ascii="Arial" w:eastAsia="Times New Roman" w:hAnsi="Arial" w:cs="Arial"/>
          <w:bCs/>
          <w:iCs/>
          <w:noProof/>
          <w:sz w:val="22"/>
          <w:szCs w:val="22"/>
          <w:lang w:eastAsia="it-IT"/>
        </w:rPr>
        <w:t xml:space="preserve"> si è invece osservato un incremento delle importazioni di metalli di base (+19,7% e +59,2% la variazione rispettivamente nel primo e nel secondo trimestre dell’anno), computer (+9,0% e +13,7%) e prodotti di elettronica (+16,1% e +14,9%). </w:t>
      </w:r>
    </w:p>
    <w:p w14:paraId="2F4F6083" w14:textId="4C86A2F3" w:rsidR="000451F7" w:rsidRPr="004F26F0" w:rsidRDefault="000451F7" w:rsidP="000451F7">
      <w:pPr>
        <w:shd w:val="clear" w:color="auto" w:fill="FFFFFF"/>
        <w:spacing w:before="60" w:after="120"/>
        <w:ind w:right="-6"/>
        <w:jc w:val="both"/>
        <w:rPr>
          <w:rFonts w:ascii="Arial" w:eastAsia="Times New Roman" w:hAnsi="Arial" w:cs="Arial"/>
          <w:bCs/>
          <w:iCs/>
          <w:noProof/>
          <w:sz w:val="22"/>
          <w:szCs w:val="22"/>
          <w:lang w:eastAsia="it-IT"/>
        </w:rPr>
      </w:pPr>
      <w:r w:rsidRPr="004F26F0">
        <w:rPr>
          <w:rFonts w:ascii="Arial" w:hAnsi="Arial" w:cs="Arial"/>
          <w:b/>
          <w:iCs/>
          <w:noProof/>
          <w:color w:val="008080"/>
          <w:spacing w:val="2"/>
          <w:sz w:val="22"/>
          <w:szCs w:val="22"/>
        </w:rPr>
        <w:t>Continua a crescere l’occupazione</w:t>
      </w:r>
      <w:r>
        <w:rPr>
          <w:rFonts w:ascii="Arial" w:eastAsia="Times New Roman" w:hAnsi="Arial" w:cs="Arial"/>
          <w:b/>
          <w:iCs/>
          <w:noProof/>
          <w:color w:val="008080"/>
          <w:spacing w:val="2"/>
          <w:sz w:val="22"/>
          <w:szCs w:val="22"/>
        </w:rPr>
        <w:t>.</w:t>
      </w:r>
      <w:r w:rsidRPr="005E7629">
        <w:rPr>
          <w:sz w:val="22"/>
          <w:szCs w:val="22"/>
        </w:rPr>
        <w:t xml:space="preserve"> A</w:t>
      </w:r>
      <w:r w:rsidRPr="004F26F0">
        <w:rPr>
          <w:rFonts w:ascii="Arial" w:eastAsia="Times New Roman" w:hAnsi="Arial" w:cs="Arial"/>
          <w:bCs/>
          <w:iCs/>
          <w:noProof/>
          <w:sz w:val="22"/>
          <w:szCs w:val="22"/>
          <w:lang w:eastAsia="it-IT"/>
        </w:rPr>
        <w:t xml:space="preserve"> luglio si registra un nuovo incremento dell’occupazione, co</w:t>
      </w:r>
      <w:r w:rsidR="00C11CD4" w:rsidRPr="004F26F0">
        <w:rPr>
          <w:rFonts w:ascii="Arial" w:eastAsia="Times New Roman" w:hAnsi="Arial" w:cs="Arial"/>
          <w:bCs/>
          <w:iCs/>
          <w:noProof/>
          <w:sz w:val="22"/>
          <w:szCs w:val="22"/>
          <w:lang w:eastAsia="it-IT"/>
        </w:rPr>
        <w:t xml:space="preserve">n </w:t>
      </w:r>
      <w:hyperlink r:id="rId23" w:history="1">
        <w:r w:rsidR="00C11CD4" w:rsidRPr="00452B35">
          <w:rPr>
            <w:rStyle w:val="Collegamentoipertestuale"/>
            <w:rFonts w:ascii="Arial" w:eastAsia="Times New Roman" w:hAnsi="Arial" w:cs="Arial"/>
            <w:bCs/>
            <w:iCs/>
            <w:noProof/>
            <w:sz w:val="22"/>
            <w:szCs w:val="22"/>
            <w:lang w:eastAsia="it-IT"/>
          </w:rPr>
          <w:t>il numero di occupati</w:t>
        </w:r>
      </w:hyperlink>
      <w:r w:rsidR="00C11CD4" w:rsidRPr="004F26F0">
        <w:rPr>
          <w:rFonts w:ascii="Arial" w:eastAsia="Times New Roman" w:hAnsi="Arial" w:cs="Arial"/>
          <w:bCs/>
          <w:iCs/>
          <w:noProof/>
          <w:sz w:val="22"/>
          <w:szCs w:val="22"/>
          <w:lang w:eastAsia="it-IT"/>
        </w:rPr>
        <w:t xml:space="preserve"> che </w:t>
      </w:r>
      <w:r w:rsidRPr="004F26F0">
        <w:rPr>
          <w:rFonts w:ascii="Arial" w:eastAsia="Times New Roman" w:hAnsi="Arial" w:cs="Arial"/>
          <w:bCs/>
          <w:iCs/>
          <w:noProof/>
          <w:sz w:val="22"/>
          <w:szCs w:val="22"/>
          <w:lang w:eastAsia="it-IT"/>
        </w:rPr>
        <w:t>risulta pari a 24 milioni 217mila di unità</w:t>
      </w:r>
      <w:r w:rsidR="00E27C2F" w:rsidRPr="004F26F0">
        <w:rPr>
          <w:rFonts w:ascii="Arial" w:eastAsia="Times New Roman" w:hAnsi="Arial" w:cs="Arial"/>
          <w:bCs/>
          <w:iCs/>
          <w:noProof/>
          <w:sz w:val="22"/>
          <w:szCs w:val="22"/>
          <w:lang w:eastAsia="it-IT"/>
        </w:rPr>
        <w:t xml:space="preserve"> (+0,1% rispetto a giugno, pari a </w:t>
      </w:r>
      <w:r w:rsidR="00B072E6" w:rsidRPr="004F26F0">
        <w:rPr>
          <w:rFonts w:ascii="Arial" w:eastAsia="Times New Roman" w:hAnsi="Arial" w:cs="Arial"/>
          <w:bCs/>
          <w:iCs/>
          <w:noProof/>
          <w:sz w:val="22"/>
          <w:szCs w:val="22"/>
          <w:lang w:eastAsia="it-IT"/>
        </w:rPr>
        <w:t>+</w:t>
      </w:r>
      <w:r w:rsidR="00E27C2F" w:rsidRPr="004F26F0">
        <w:rPr>
          <w:rFonts w:ascii="Arial" w:eastAsia="Times New Roman" w:hAnsi="Arial" w:cs="Arial"/>
          <w:bCs/>
          <w:iCs/>
          <w:noProof/>
          <w:sz w:val="22"/>
          <w:szCs w:val="22"/>
          <w:lang w:eastAsia="it-IT"/>
        </w:rPr>
        <w:t>13 mila unità)</w:t>
      </w:r>
      <w:r w:rsidRPr="004F26F0">
        <w:rPr>
          <w:rFonts w:ascii="Arial" w:eastAsia="Times New Roman" w:hAnsi="Arial" w:cs="Arial"/>
          <w:bCs/>
          <w:iCs/>
          <w:noProof/>
          <w:sz w:val="22"/>
          <w:szCs w:val="22"/>
          <w:lang w:eastAsia="it-IT"/>
        </w:rPr>
        <w:t>. La crescita coinvolge</w:t>
      </w:r>
      <w:r w:rsidR="00B072E6" w:rsidRPr="004F26F0">
        <w:rPr>
          <w:rFonts w:ascii="Arial" w:eastAsia="Times New Roman" w:hAnsi="Arial" w:cs="Arial"/>
          <w:bCs/>
          <w:iCs/>
          <w:noProof/>
          <w:sz w:val="22"/>
          <w:szCs w:val="22"/>
          <w:lang w:eastAsia="it-IT"/>
        </w:rPr>
        <w:t>,</w:t>
      </w:r>
      <w:r w:rsidRPr="004F26F0">
        <w:rPr>
          <w:rFonts w:ascii="Arial" w:eastAsia="Times New Roman" w:hAnsi="Arial" w:cs="Arial"/>
          <w:bCs/>
          <w:iCs/>
          <w:noProof/>
          <w:sz w:val="22"/>
          <w:szCs w:val="22"/>
          <w:lang w:eastAsia="it-IT"/>
        </w:rPr>
        <w:t xml:space="preserve"> tra gli uomini</w:t>
      </w:r>
      <w:r w:rsidR="00B072E6" w:rsidRPr="004F26F0">
        <w:rPr>
          <w:rFonts w:ascii="Arial" w:eastAsia="Times New Roman" w:hAnsi="Arial" w:cs="Arial"/>
          <w:bCs/>
          <w:iCs/>
          <w:noProof/>
          <w:sz w:val="22"/>
          <w:szCs w:val="22"/>
          <w:lang w:eastAsia="it-IT"/>
        </w:rPr>
        <w:t>,</w:t>
      </w:r>
      <w:r w:rsidRPr="004F26F0">
        <w:rPr>
          <w:rFonts w:ascii="Arial" w:eastAsia="Times New Roman" w:hAnsi="Arial" w:cs="Arial"/>
          <w:bCs/>
          <w:iCs/>
          <w:noProof/>
          <w:sz w:val="22"/>
          <w:szCs w:val="22"/>
          <w:lang w:eastAsia="it-IT"/>
        </w:rPr>
        <w:t xml:space="preserve"> i 15-24enni e i 35-49enni; per posizione professionale l’occupazione aumenta sia tra i dipendenti permanenti, sia tra quelli a termine e cala tra gli autonomi. Il tasso di occupazione sale al 62,8%.</w:t>
      </w:r>
    </w:p>
    <w:p w14:paraId="13363B10" w14:textId="5EE04691" w:rsidR="000451F7" w:rsidRPr="004F26F0" w:rsidRDefault="000451F7" w:rsidP="000451F7">
      <w:pPr>
        <w:shd w:val="clear" w:color="auto" w:fill="FFFFFF"/>
        <w:spacing w:before="60" w:after="120"/>
        <w:ind w:right="-6"/>
        <w:jc w:val="both"/>
        <w:rPr>
          <w:rFonts w:ascii="Arial" w:eastAsia="Times New Roman" w:hAnsi="Arial" w:cs="Arial"/>
          <w:bCs/>
          <w:iCs/>
          <w:noProof/>
          <w:sz w:val="22"/>
          <w:szCs w:val="22"/>
          <w:lang w:eastAsia="it-IT"/>
        </w:rPr>
      </w:pPr>
      <w:r w:rsidRPr="004F26F0">
        <w:rPr>
          <w:rFonts w:ascii="Arial" w:eastAsia="Times New Roman" w:hAnsi="Arial" w:cs="Arial"/>
          <w:bCs/>
          <w:iCs/>
          <w:noProof/>
          <w:sz w:val="22"/>
          <w:szCs w:val="22"/>
          <w:lang w:eastAsia="it-IT"/>
        </w:rPr>
        <w:t>Rispetto a</w:t>
      </w:r>
      <w:r w:rsidR="000C58CD">
        <w:rPr>
          <w:rFonts w:ascii="Arial" w:eastAsia="Times New Roman" w:hAnsi="Arial" w:cs="Arial"/>
          <w:bCs/>
          <w:iCs/>
          <w:noProof/>
          <w:sz w:val="22"/>
          <w:szCs w:val="22"/>
          <w:lang w:eastAsia="it-IT"/>
        </w:rPr>
        <w:t xml:space="preserve"> giugno</w:t>
      </w:r>
      <w:r w:rsidRPr="004F26F0">
        <w:rPr>
          <w:rFonts w:ascii="Arial" w:eastAsia="Times New Roman" w:hAnsi="Arial" w:cs="Arial"/>
          <w:bCs/>
          <w:iCs/>
          <w:noProof/>
          <w:sz w:val="22"/>
          <w:szCs w:val="22"/>
          <w:lang w:eastAsia="it-IT"/>
        </w:rPr>
        <w:t>, il tasso di disoccupazione è in calo (-0,3 punti, pari al 6%) per effetto di una diminuzione che coinvolge entrambe le componenti di genere e gli individui di tutte le di età; ancora più marcata la discesa di quello giovanile (-1,4 punti, al 18,7%)</w:t>
      </w:r>
      <w:r w:rsidR="00B87FA9" w:rsidRPr="004F26F0">
        <w:rPr>
          <w:rFonts w:ascii="Arial" w:eastAsia="Times New Roman" w:hAnsi="Arial" w:cs="Arial"/>
          <w:bCs/>
          <w:iCs/>
          <w:noProof/>
          <w:sz w:val="22"/>
          <w:szCs w:val="22"/>
          <w:lang w:eastAsia="it-IT"/>
        </w:rPr>
        <w:t xml:space="preserve"> (Figura 5)</w:t>
      </w:r>
      <w:r w:rsidR="000921CE">
        <w:rPr>
          <w:rFonts w:ascii="Arial" w:eastAsia="Times New Roman" w:hAnsi="Arial" w:cs="Arial"/>
          <w:bCs/>
          <w:iCs/>
          <w:noProof/>
          <w:sz w:val="22"/>
          <w:szCs w:val="22"/>
          <w:lang w:eastAsia="it-IT"/>
        </w:rPr>
        <w:t>;</w:t>
      </w:r>
      <w:r w:rsidR="00045464">
        <w:rPr>
          <w:rFonts w:ascii="Arial" w:eastAsia="Times New Roman" w:hAnsi="Arial" w:cs="Arial"/>
          <w:bCs/>
          <w:iCs/>
          <w:noProof/>
          <w:sz w:val="22"/>
          <w:szCs w:val="22"/>
          <w:lang w:eastAsia="it-IT"/>
        </w:rPr>
        <w:t xml:space="preserve"> </w:t>
      </w:r>
      <w:r w:rsidRPr="004F26F0">
        <w:rPr>
          <w:rFonts w:ascii="Arial" w:eastAsia="Times New Roman" w:hAnsi="Arial" w:cs="Arial"/>
          <w:bCs/>
          <w:iCs/>
          <w:noProof/>
          <w:sz w:val="22"/>
          <w:szCs w:val="22"/>
          <w:lang w:eastAsia="it-IT"/>
        </w:rPr>
        <w:t>infine, è in crescita al 33,2% (+0,1 punti) il tasso d’inattività.</w:t>
      </w:r>
    </w:p>
    <w:p w14:paraId="50B96BFB" w14:textId="13314F29" w:rsidR="00076EB3" w:rsidRPr="009856CF" w:rsidRDefault="00076EB3" w:rsidP="00294CF7">
      <w:pPr>
        <w:shd w:val="clear" w:color="auto" w:fill="FFFFFF"/>
        <w:spacing w:before="60" w:after="120"/>
        <w:ind w:right="-6"/>
        <w:jc w:val="both"/>
        <w:rPr>
          <w:rFonts w:ascii="Arial" w:hAnsi="Arial" w:cs="Arial"/>
          <w:sz w:val="22"/>
          <w:szCs w:val="22"/>
        </w:rPr>
      </w:pPr>
      <w:r w:rsidRPr="009856CF">
        <w:rPr>
          <w:rFonts w:ascii="Arial" w:hAnsi="Arial" w:cs="Arial"/>
          <w:sz w:val="22"/>
          <w:szCs w:val="22"/>
        </w:rPr>
        <w:t xml:space="preserve">Anche confrontando il trimestre maggio-luglio con quello precedente (febbraio-aprile), si registra un aumento del livello di occupazione </w:t>
      </w:r>
      <w:r w:rsidR="00FB4899">
        <w:rPr>
          <w:rFonts w:ascii="Arial" w:hAnsi="Arial" w:cs="Arial"/>
          <w:sz w:val="22"/>
          <w:szCs w:val="22"/>
        </w:rPr>
        <w:t>(</w:t>
      </w:r>
      <w:r w:rsidRPr="009856CF">
        <w:rPr>
          <w:rFonts w:ascii="Arial" w:hAnsi="Arial" w:cs="Arial"/>
          <w:sz w:val="22"/>
          <w:szCs w:val="22"/>
        </w:rPr>
        <w:t xml:space="preserve">pari al </w:t>
      </w:r>
      <w:r w:rsidR="00FB4899">
        <w:rPr>
          <w:rFonts w:ascii="Arial" w:hAnsi="Arial" w:cs="Arial"/>
          <w:sz w:val="22"/>
          <w:szCs w:val="22"/>
        </w:rPr>
        <w:t>+</w:t>
      </w:r>
      <w:r w:rsidRPr="009856CF">
        <w:rPr>
          <w:rFonts w:ascii="Arial" w:hAnsi="Arial" w:cs="Arial"/>
          <w:sz w:val="22"/>
          <w:szCs w:val="22"/>
        </w:rPr>
        <w:t>0,2%</w:t>
      </w:r>
      <w:r w:rsidR="00FB4899">
        <w:rPr>
          <w:rFonts w:ascii="Arial" w:hAnsi="Arial" w:cs="Arial"/>
          <w:sz w:val="22"/>
          <w:szCs w:val="22"/>
        </w:rPr>
        <w:t>)</w:t>
      </w:r>
      <w:r w:rsidRPr="009856CF">
        <w:rPr>
          <w:rFonts w:ascii="Arial" w:hAnsi="Arial" w:cs="Arial"/>
          <w:sz w:val="22"/>
          <w:szCs w:val="22"/>
        </w:rPr>
        <w:t>, per un totale di 51mila occupati, che interessa i maschi e le femmine, i dipendenti permanenti, gli autonomi, i 25-34enni e chi ha almeno 50 anni d’età. La crescita dell’occupazione, osservata nel confronto trimestrale, si associa a</w:t>
      </w:r>
      <w:r w:rsidR="002568D0">
        <w:rPr>
          <w:rFonts w:ascii="Arial" w:hAnsi="Arial" w:cs="Arial"/>
          <w:sz w:val="22"/>
          <w:szCs w:val="22"/>
        </w:rPr>
        <w:t xml:space="preserve"> quella</w:t>
      </w:r>
      <w:r w:rsidRPr="009856CF">
        <w:rPr>
          <w:rFonts w:ascii="Arial" w:hAnsi="Arial" w:cs="Arial"/>
          <w:sz w:val="22"/>
          <w:szCs w:val="22"/>
        </w:rPr>
        <w:t xml:space="preserve"> delle persone in cerca di lavoro (+1,8%, pari a +28mila unità) e alla diminuzione degli inattivi (-0,5% pari a -67 mila unità).</w:t>
      </w:r>
    </w:p>
    <w:p w14:paraId="74705C2A" w14:textId="65B68EE4" w:rsidR="00076EB3" w:rsidRPr="009856CF" w:rsidRDefault="00076EB3" w:rsidP="00294CF7">
      <w:pPr>
        <w:shd w:val="clear" w:color="auto" w:fill="FFFFFF"/>
        <w:spacing w:before="60" w:after="120"/>
        <w:ind w:right="-6"/>
        <w:jc w:val="both"/>
        <w:rPr>
          <w:rFonts w:ascii="Arial" w:hAnsi="Arial" w:cs="Arial"/>
          <w:sz w:val="22"/>
          <w:szCs w:val="22"/>
        </w:rPr>
      </w:pPr>
      <w:r w:rsidRPr="009856CF">
        <w:rPr>
          <w:rFonts w:ascii="Arial" w:hAnsi="Arial" w:cs="Arial"/>
          <w:sz w:val="22"/>
          <w:szCs w:val="22"/>
        </w:rPr>
        <w:t>Nel confronto tendenziale</w:t>
      </w:r>
      <w:r w:rsidR="00C1045A">
        <w:rPr>
          <w:rFonts w:ascii="Arial" w:hAnsi="Arial" w:cs="Arial"/>
          <w:sz w:val="22"/>
          <w:szCs w:val="22"/>
        </w:rPr>
        <w:t>, in luglio</w:t>
      </w:r>
      <w:r w:rsidRPr="009856CF">
        <w:rPr>
          <w:rFonts w:ascii="Arial" w:hAnsi="Arial" w:cs="Arial"/>
          <w:sz w:val="22"/>
          <w:szCs w:val="22"/>
        </w:rPr>
        <w:t xml:space="preserve"> gli occupati sono 218mila in più (+0,9%)</w:t>
      </w:r>
      <w:r w:rsidR="00FB4899">
        <w:rPr>
          <w:rFonts w:ascii="Arial" w:hAnsi="Arial" w:cs="Arial"/>
          <w:sz w:val="22"/>
          <w:szCs w:val="22"/>
        </w:rPr>
        <w:t>,</w:t>
      </w:r>
      <w:r w:rsidRPr="009856CF">
        <w:rPr>
          <w:rFonts w:ascii="Arial" w:hAnsi="Arial" w:cs="Arial"/>
          <w:sz w:val="22"/>
          <w:szCs w:val="22"/>
        </w:rPr>
        <w:t xml:space="preserve"> con il tasso di occupazione in crescita di 0,4 punti rispetto a luglio 2024. </w:t>
      </w:r>
      <w:r w:rsidR="00CB1FE4">
        <w:rPr>
          <w:rFonts w:ascii="Arial" w:hAnsi="Arial" w:cs="Arial"/>
          <w:sz w:val="22"/>
          <w:szCs w:val="22"/>
        </w:rPr>
        <w:t>I</w:t>
      </w:r>
      <w:r w:rsidR="00452B35">
        <w:rPr>
          <w:rFonts w:ascii="Arial" w:hAnsi="Arial" w:cs="Arial"/>
          <w:sz w:val="22"/>
          <w:szCs w:val="22"/>
        </w:rPr>
        <w:t xml:space="preserve">l </w:t>
      </w:r>
      <w:hyperlink r:id="rId24" w:history="1">
        <w:r w:rsidR="00452B35" w:rsidRPr="00452B35">
          <w:rPr>
            <w:rStyle w:val="Collegamentoipertestuale"/>
            <w:rFonts w:ascii="Arial" w:hAnsi="Arial" w:cs="Arial"/>
            <w:sz w:val="22"/>
            <w:szCs w:val="22"/>
          </w:rPr>
          <w:t>numero di disoccupati</w:t>
        </w:r>
      </w:hyperlink>
      <w:r w:rsidR="00452B35">
        <w:rPr>
          <w:rFonts w:ascii="Arial" w:hAnsi="Arial" w:cs="Arial"/>
          <w:sz w:val="22"/>
          <w:szCs w:val="22"/>
        </w:rPr>
        <w:t xml:space="preserve"> </w:t>
      </w:r>
      <w:r w:rsidRPr="009856CF">
        <w:rPr>
          <w:rFonts w:ascii="Arial" w:hAnsi="Arial" w:cs="Arial"/>
          <w:sz w:val="22"/>
          <w:szCs w:val="22"/>
        </w:rPr>
        <w:t>in un anno è diminuito di 114mila unità</w:t>
      </w:r>
      <w:r w:rsidR="00C1045A">
        <w:rPr>
          <w:rFonts w:ascii="Arial" w:hAnsi="Arial" w:cs="Arial"/>
          <w:sz w:val="22"/>
          <w:szCs w:val="22"/>
        </w:rPr>
        <w:t>,</w:t>
      </w:r>
      <w:r w:rsidRPr="009856CF">
        <w:rPr>
          <w:rFonts w:ascii="Arial" w:hAnsi="Arial" w:cs="Arial"/>
          <w:sz w:val="22"/>
          <w:szCs w:val="22"/>
        </w:rPr>
        <w:t xml:space="preserve"> pari a </w:t>
      </w:r>
      <w:r w:rsidR="00CB1FE4">
        <w:rPr>
          <w:rFonts w:ascii="Arial" w:hAnsi="Arial" w:cs="Arial"/>
          <w:sz w:val="22"/>
          <w:szCs w:val="22"/>
        </w:rPr>
        <w:t>-</w:t>
      </w:r>
      <w:r w:rsidRPr="009856CF">
        <w:rPr>
          <w:rFonts w:ascii="Arial" w:hAnsi="Arial" w:cs="Arial"/>
          <w:sz w:val="22"/>
          <w:szCs w:val="22"/>
        </w:rPr>
        <w:t xml:space="preserve">6,9%. </w:t>
      </w:r>
      <w:r w:rsidR="002568D0">
        <w:rPr>
          <w:rFonts w:ascii="Arial" w:hAnsi="Arial" w:cs="Arial"/>
          <w:sz w:val="22"/>
          <w:szCs w:val="22"/>
        </w:rPr>
        <w:t>Rispetto al</w:t>
      </w:r>
      <w:r w:rsidRPr="009856CF">
        <w:rPr>
          <w:rFonts w:ascii="Arial" w:hAnsi="Arial" w:cs="Arial"/>
          <w:sz w:val="22"/>
          <w:szCs w:val="22"/>
        </w:rPr>
        <w:t>l’anno precedente il tasso di disoccupazione cala di 0,5 punti nel complesso e di 2,8 punti tra i giovani. Diminuisce sull’anno anche il numero di inattivi (-0,7% pari a -81mila unità) e il tasso di inattività (-0,1 punti).</w:t>
      </w:r>
    </w:p>
    <w:p w14:paraId="35529509" w14:textId="09C10D69" w:rsidR="009856CF" w:rsidRPr="009856CF" w:rsidRDefault="000451F7" w:rsidP="009856CF">
      <w:pPr>
        <w:spacing w:before="60" w:after="120"/>
        <w:ind w:right="-6"/>
        <w:jc w:val="both"/>
        <w:rPr>
          <w:rFonts w:ascii="Arial" w:hAnsi="Arial" w:cs="Arial"/>
          <w:color w:val="383838"/>
          <w:sz w:val="22"/>
          <w:szCs w:val="22"/>
          <w:shd w:val="clear" w:color="auto" w:fill="FFFFFF"/>
        </w:rPr>
      </w:pPr>
      <w:r>
        <w:rPr>
          <w:rFonts w:ascii="Arial" w:hAnsi="Arial" w:cs="Arial"/>
          <w:b/>
          <w:iCs/>
          <w:noProof/>
          <w:color w:val="008080"/>
          <w:spacing w:val="2"/>
          <w:sz w:val="22"/>
          <w:szCs w:val="22"/>
        </w:rPr>
        <w:t>Segnali non positivi dal c</w:t>
      </w:r>
      <w:r w:rsidR="009856CF" w:rsidRPr="009856CF">
        <w:rPr>
          <w:rFonts w:ascii="Arial" w:hAnsi="Arial" w:cs="Arial"/>
          <w:b/>
          <w:iCs/>
          <w:noProof/>
          <w:color w:val="008080"/>
          <w:spacing w:val="2"/>
          <w:sz w:val="22"/>
          <w:szCs w:val="22"/>
        </w:rPr>
        <w:t>lima di fiducia dei consumatori</w:t>
      </w:r>
      <w:r>
        <w:rPr>
          <w:rFonts w:ascii="Arial" w:hAnsi="Arial" w:cs="Arial"/>
          <w:b/>
          <w:iCs/>
          <w:noProof/>
          <w:color w:val="008080"/>
          <w:spacing w:val="2"/>
          <w:sz w:val="22"/>
          <w:szCs w:val="22"/>
        </w:rPr>
        <w:t>….</w:t>
      </w:r>
      <w:r w:rsidR="009856CF" w:rsidRPr="009856CF">
        <w:rPr>
          <w:rFonts w:ascii="Arial" w:hAnsi="Arial" w:cs="Arial"/>
          <w:b/>
          <w:iCs/>
          <w:noProof/>
          <w:color w:val="008080"/>
          <w:spacing w:val="2"/>
          <w:sz w:val="22"/>
          <w:szCs w:val="22"/>
        </w:rPr>
        <w:t xml:space="preserve"> </w:t>
      </w:r>
      <w:r w:rsidR="009856CF" w:rsidRPr="009856CF">
        <w:rPr>
          <w:rFonts w:ascii="Arial" w:hAnsi="Arial" w:cs="Arial"/>
          <w:color w:val="383838"/>
          <w:sz w:val="22"/>
          <w:szCs w:val="22"/>
          <w:shd w:val="clear" w:color="auto" w:fill="FFFFFF"/>
        </w:rPr>
        <w:t xml:space="preserve">L’indicatore del </w:t>
      </w:r>
      <w:hyperlink r:id="rId25" w:history="1">
        <w:r w:rsidR="009856CF" w:rsidRPr="00EB184A">
          <w:rPr>
            <w:rStyle w:val="Collegamentoipertestuale"/>
            <w:rFonts w:ascii="Arial" w:hAnsi="Arial" w:cs="Arial"/>
            <w:sz w:val="22"/>
            <w:szCs w:val="22"/>
            <w:shd w:val="clear" w:color="auto" w:fill="FFFFFF"/>
          </w:rPr>
          <w:t>clima di fiducia dei consumatori</w:t>
        </w:r>
      </w:hyperlink>
      <w:r w:rsidR="009856CF" w:rsidRPr="009856CF">
        <w:rPr>
          <w:rFonts w:ascii="Arial" w:hAnsi="Arial" w:cs="Arial"/>
          <w:color w:val="383838"/>
          <w:sz w:val="22"/>
          <w:szCs w:val="22"/>
          <w:shd w:val="clear" w:color="auto" w:fill="FFFFFF"/>
        </w:rPr>
        <w:t xml:space="preserve"> segnala in agosto un deterioramento (l’indice varia da 97,2 di luglio a 96,2), esteso a tutte le componenti: le diminuzioni più significative riguardano il clima futuro e quello economico (rispettivamente da 93,9 a 92,2 e da 98,2 a 97,0); più contenute le flessioni del clima personale e di quello corrente (da 96,9 a 95,9 e da 99,7 a 99,2).</w:t>
      </w:r>
    </w:p>
    <w:p w14:paraId="09B23E39" w14:textId="2794A71B" w:rsidR="009856CF" w:rsidRPr="009856CF" w:rsidRDefault="000451F7" w:rsidP="009856CF">
      <w:pPr>
        <w:pStyle w:val="NormaleWeb"/>
        <w:shd w:val="clear" w:color="auto" w:fill="FFFFFF"/>
        <w:spacing w:before="60" w:beforeAutospacing="0" w:after="120" w:afterAutospacing="0"/>
        <w:ind w:right="-6"/>
        <w:jc w:val="both"/>
        <w:rPr>
          <w:rFonts w:ascii="Arial" w:hAnsi="Arial" w:cs="Arial"/>
          <w:color w:val="383838"/>
          <w:sz w:val="22"/>
          <w:szCs w:val="22"/>
        </w:rPr>
      </w:pPr>
      <w:r>
        <w:rPr>
          <w:rFonts w:ascii="Arial" w:hAnsi="Arial" w:cs="Arial"/>
          <w:b/>
          <w:iCs/>
          <w:noProof/>
          <w:color w:val="008080"/>
          <w:spacing w:val="2"/>
          <w:sz w:val="22"/>
          <w:szCs w:val="22"/>
        </w:rPr>
        <w:t xml:space="preserve">.. e dalle </w:t>
      </w:r>
      <w:r w:rsidR="009856CF" w:rsidRPr="009856CF">
        <w:rPr>
          <w:rFonts w:ascii="Arial" w:hAnsi="Arial" w:cs="Arial"/>
          <w:b/>
          <w:iCs/>
          <w:noProof/>
          <w:color w:val="008080"/>
          <w:spacing w:val="2"/>
          <w:sz w:val="22"/>
          <w:szCs w:val="22"/>
        </w:rPr>
        <w:t>vendite al dettaglio.</w:t>
      </w:r>
      <w:r w:rsidR="009856CF" w:rsidRPr="009856CF">
        <w:rPr>
          <w:rFonts w:ascii="Arial" w:hAnsi="Arial" w:cs="Arial"/>
          <w:color w:val="383838"/>
          <w:sz w:val="22"/>
          <w:szCs w:val="22"/>
          <w:shd w:val="clear" w:color="auto" w:fill="FFFFFF"/>
        </w:rPr>
        <w:t xml:space="preserve"> </w:t>
      </w:r>
      <w:r w:rsidR="004E0F66">
        <w:rPr>
          <w:rFonts w:ascii="Arial" w:hAnsi="Arial" w:cs="Arial"/>
          <w:color w:val="383838"/>
          <w:sz w:val="22"/>
          <w:szCs w:val="22"/>
          <w:shd w:val="clear" w:color="auto" w:fill="FFFFFF"/>
        </w:rPr>
        <w:t>A</w:t>
      </w:r>
      <w:r w:rsidR="009856CF" w:rsidRPr="009856CF">
        <w:rPr>
          <w:rFonts w:ascii="Arial" w:hAnsi="Arial" w:cs="Arial"/>
          <w:color w:val="383838"/>
          <w:sz w:val="22"/>
          <w:szCs w:val="22"/>
          <w:shd w:val="clear" w:color="auto" w:fill="FFFFFF"/>
        </w:rPr>
        <w:t xml:space="preserve"> luglio l’</w:t>
      </w:r>
      <w:hyperlink r:id="rId26" w:history="1">
        <w:r w:rsidR="009856CF" w:rsidRPr="00FD45F7">
          <w:rPr>
            <w:rStyle w:val="Collegamentoipertestuale"/>
            <w:rFonts w:ascii="Arial" w:hAnsi="Arial" w:cs="Arial"/>
            <w:sz w:val="22"/>
            <w:szCs w:val="22"/>
            <w:shd w:val="clear" w:color="auto" w:fill="FFFFFF"/>
          </w:rPr>
          <w:t>indicatore delle vendite al dettaglio</w:t>
        </w:r>
      </w:hyperlink>
      <w:r w:rsidR="009856CF" w:rsidRPr="009856CF">
        <w:rPr>
          <w:rFonts w:ascii="Arial" w:hAnsi="Arial" w:cs="Arial"/>
          <w:color w:val="383838"/>
          <w:sz w:val="22"/>
          <w:szCs w:val="22"/>
          <w:shd w:val="clear" w:color="auto" w:fill="FFFFFF"/>
        </w:rPr>
        <w:t xml:space="preserve"> segnala una stabilizzazione in valore </w:t>
      </w:r>
      <w:r w:rsidR="009856CF" w:rsidRPr="009856CF">
        <w:rPr>
          <w:rFonts w:ascii="Arial" w:hAnsi="Arial" w:cs="Arial"/>
          <w:color w:val="383838"/>
          <w:sz w:val="22"/>
          <w:szCs w:val="22"/>
        </w:rPr>
        <w:t xml:space="preserve">rispetto al mese precedente, con una lieve diminuzione in volume (-0,2%). Nello specifico, diminuiscono le vendite dei beni alimentari (-0,4% in valore e -0,9% in volume), mentre aumentano quelle dei beni non alimentari sia in valore sia in volume (+0,3%). </w:t>
      </w:r>
    </w:p>
    <w:p w14:paraId="1609B3C7" w14:textId="0CDB8E54" w:rsidR="009856CF" w:rsidRPr="009856CF" w:rsidRDefault="009856CF" w:rsidP="009856CF">
      <w:pPr>
        <w:pStyle w:val="NormaleWeb"/>
        <w:shd w:val="clear" w:color="auto" w:fill="FFFFFF"/>
        <w:spacing w:before="60" w:beforeAutospacing="0" w:after="120" w:afterAutospacing="0"/>
        <w:ind w:right="-6"/>
        <w:jc w:val="both"/>
        <w:rPr>
          <w:rFonts w:ascii="Arial" w:hAnsi="Arial" w:cs="Arial"/>
          <w:color w:val="383838"/>
          <w:sz w:val="22"/>
          <w:szCs w:val="22"/>
        </w:rPr>
      </w:pPr>
      <w:r w:rsidRPr="009856CF">
        <w:rPr>
          <w:rFonts w:ascii="Arial" w:hAnsi="Arial" w:cs="Arial"/>
          <w:color w:val="383838"/>
          <w:sz w:val="22"/>
          <w:szCs w:val="22"/>
        </w:rPr>
        <w:t>Su base trimestrale, tuttavia, nel periodo maggio-</w:t>
      </w:r>
      <w:r w:rsidR="00FD45F7">
        <w:rPr>
          <w:rFonts w:ascii="Arial" w:hAnsi="Arial" w:cs="Arial"/>
          <w:color w:val="383838"/>
          <w:sz w:val="22"/>
          <w:szCs w:val="22"/>
        </w:rPr>
        <w:t xml:space="preserve">luglio, le vendite al dettaglio </w:t>
      </w:r>
      <w:r w:rsidRPr="009856CF">
        <w:rPr>
          <w:rFonts w:ascii="Arial" w:hAnsi="Arial" w:cs="Arial"/>
          <w:color w:val="383838"/>
          <w:sz w:val="22"/>
          <w:szCs w:val="22"/>
        </w:rPr>
        <w:t xml:space="preserve">sono aumentate in termini congiunturali dello 0,6% in valore e dello 0,1% in volume, con un incremento sia dei beni alimentari (+1,1% in valore e +0,1% in volume) sia di quelli non alimentari (+0,4% in valore e +0,2% in volume). Su base tendenziale, si registra una variazione positiva in valore (+1,8%) e una invarianza in volume. In particolare, le vendite di beni alimentari aumentano in valore (+2,9%) e diminuiscono in volume (-0,8%), mentre quelle di beni non alimentari crescono sia in valore (+1,0%) sia in volume (+0,5%). </w:t>
      </w:r>
    </w:p>
    <w:p w14:paraId="4D2AB2B8" w14:textId="10052317" w:rsidR="009856CF" w:rsidRPr="009856CF" w:rsidRDefault="00A12E1C" w:rsidP="009856CF">
      <w:pPr>
        <w:spacing w:before="60" w:after="120"/>
        <w:ind w:right="-6"/>
        <w:jc w:val="both"/>
        <w:rPr>
          <w:rFonts w:ascii="Arial" w:hAnsi="Arial" w:cs="Arial"/>
          <w:iCs/>
          <w:sz w:val="22"/>
          <w:szCs w:val="22"/>
        </w:rPr>
      </w:pPr>
      <w:r>
        <w:rPr>
          <w:rFonts w:ascii="Arial" w:hAnsi="Arial" w:cs="Arial"/>
          <w:b/>
          <w:iCs/>
          <w:noProof/>
          <w:color w:val="008080"/>
          <w:spacing w:val="2"/>
          <w:sz w:val="22"/>
          <w:szCs w:val="22"/>
        </w:rPr>
        <w:t xml:space="preserve">In </w:t>
      </w:r>
      <w:r w:rsidR="005368A3">
        <w:rPr>
          <w:rFonts w:ascii="Arial" w:hAnsi="Arial" w:cs="Arial"/>
          <w:b/>
          <w:iCs/>
          <w:noProof/>
          <w:color w:val="008080"/>
          <w:spacing w:val="2"/>
          <w:sz w:val="22"/>
          <w:szCs w:val="22"/>
        </w:rPr>
        <w:t>lieve diminuzione</w:t>
      </w:r>
      <w:r>
        <w:rPr>
          <w:rFonts w:ascii="Arial" w:hAnsi="Arial" w:cs="Arial"/>
          <w:b/>
          <w:iCs/>
          <w:noProof/>
          <w:color w:val="008080"/>
          <w:spacing w:val="2"/>
          <w:sz w:val="22"/>
          <w:szCs w:val="22"/>
        </w:rPr>
        <w:t xml:space="preserve"> </w:t>
      </w:r>
      <w:r w:rsidR="009856CF" w:rsidRPr="009856CF">
        <w:rPr>
          <w:rFonts w:ascii="Arial" w:hAnsi="Arial" w:cs="Arial"/>
          <w:b/>
          <w:iCs/>
          <w:noProof/>
          <w:color w:val="008080"/>
          <w:spacing w:val="2"/>
          <w:sz w:val="22"/>
          <w:szCs w:val="22"/>
        </w:rPr>
        <w:t>le attese sull’occupazione</w:t>
      </w:r>
      <w:r w:rsidR="009856CF" w:rsidRPr="00C1045A">
        <w:rPr>
          <w:rFonts w:ascii="Arial" w:hAnsi="Arial" w:cs="Arial"/>
          <w:b/>
          <w:iCs/>
          <w:noProof/>
          <w:color w:val="008080"/>
          <w:spacing w:val="2"/>
          <w:sz w:val="22"/>
          <w:szCs w:val="22"/>
        </w:rPr>
        <w:t xml:space="preserve"> delle imprese </w:t>
      </w:r>
      <w:r>
        <w:rPr>
          <w:rFonts w:ascii="Arial" w:hAnsi="Arial" w:cs="Arial"/>
          <w:b/>
          <w:iCs/>
          <w:noProof/>
          <w:color w:val="008080"/>
          <w:spacing w:val="2"/>
          <w:sz w:val="22"/>
          <w:szCs w:val="22"/>
        </w:rPr>
        <w:t xml:space="preserve">manifatturiere e dei servizi </w:t>
      </w:r>
      <w:r w:rsidR="00390270">
        <w:rPr>
          <w:rFonts w:ascii="Arial" w:hAnsi="Arial" w:cs="Arial"/>
          <w:iCs/>
          <w:sz w:val="22"/>
          <w:szCs w:val="22"/>
        </w:rPr>
        <w:t>ad agosto</w:t>
      </w:r>
      <w:r w:rsidR="009856CF" w:rsidRPr="009856CF">
        <w:rPr>
          <w:rFonts w:ascii="Arial" w:hAnsi="Arial" w:cs="Arial"/>
          <w:iCs/>
          <w:sz w:val="22"/>
          <w:szCs w:val="22"/>
        </w:rPr>
        <w:t xml:space="preserve"> rispetto al mese precedent</w:t>
      </w:r>
      <w:r w:rsidR="00C1045A">
        <w:rPr>
          <w:rFonts w:ascii="Arial" w:hAnsi="Arial" w:cs="Arial"/>
          <w:iCs/>
          <w:sz w:val="22"/>
          <w:szCs w:val="22"/>
        </w:rPr>
        <w:t xml:space="preserve">e, </w:t>
      </w:r>
      <w:r>
        <w:rPr>
          <w:rFonts w:ascii="Arial" w:hAnsi="Arial" w:cs="Arial"/>
          <w:iCs/>
          <w:sz w:val="22"/>
          <w:szCs w:val="22"/>
        </w:rPr>
        <w:t xml:space="preserve">così come nel </w:t>
      </w:r>
      <w:r w:rsidR="000921CE">
        <w:rPr>
          <w:rFonts w:ascii="Arial" w:hAnsi="Arial" w:cs="Arial"/>
          <w:iCs/>
          <w:sz w:val="22"/>
          <w:szCs w:val="22"/>
        </w:rPr>
        <w:t>c</w:t>
      </w:r>
      <w:r>
        <w:rPr>
          <w:rFonts w:ascii="Arial" w:hAnsi="Arial" w:cs="Arial"/>
          <w:iCs/>
          <w:sz w:val="22"/>
          <w:szCs w:val="22"/>
        </w:rPr>
        <w:t xml:space="preserve">ommercio al dettaglio; migliorano invece nelle </w:t>
      </w:r>
      <w:r w:rsidR="000921CE">
        <w:rPr>
          <w:rFonts w:ascii="Arial" w:hAnsi="Arial" w:cs="Arial"/>
          <w:iCs/>
          <w:sz w:val="22"/>
          <w:szCs w:val="22"/>
        </w:rPr>
        <w:t>c</w:t>
      </w:r>
      <w:r>
        <w:rPr>
          <w:rFonts w:ascii="Arial" w:hAnsi="Arial" w:cs="Arial"/>
          <w:iCs/>
          <w:sz w:val="22"/>
          <w:szCs w:val="22"/>
        </w:rPr>
        <w:t>ostruzioni</w:t>
      </w:r>
      <w:r w:rsidR="009856CF" w:rsidRPr="009856CF">
        <w:rPr>
          <w:rFonts w:ascii="Arial" w:hAnsi="Arial" w:cs="Arial"/>
          <w:iCs/>
          <w:sz w:val="22"/>
          <w:szCs w:val="22"/>
        </w:rPr>
        <w:t xml:space="preserve">. </w:t>
      </w:r>
    </w:p>
    <w:p w14:paraId="66042442" w14:textId="5387EDA9" w:rsidR="009856CF" w:rsidRPr="009856CF" w:rsidRDefault="009856CF" w:rsidP="009856CF">
      <w:pPr>
        <w:pStyle w:val="NormaleWeb"/>
        <w:shd w:val="clear" w:color="auto" w:fill="FFFFFF"/>
        <w:spacing w:before="60" w:beforeAutospacing="0" w:after="120" w:afterAutospacing="0"/>
        <w:ind w:right="-6"/>
        <w:jc w:val="both"/>
        <w:rPr>
          <w:rFonts w:ascii="Arial" w:hAnsi="Arial" w:cs="Arial"/>
          <w:color w:val="383838"/>
          <w:sz w:val="22"/>
          <w:szCs w:val="22"/>
        </w:rPr>
      </w:pPr>
      <w:r w:rsidRPr="009856CF">
        <w:rPr>
          <w:rFonts w:ascii="Arial" w:hAnsi="Arial" w:cs="Arial"/>
          <w:b/>
          <w:iCs/>
          <w:noProof/>
          <w:color w:val="008080"/>
          <w:spacing w:val="2"/>
          <w:sz w:val="22"/>
          <w:szCs w:val="22"/>
        </w:rPr>
        <w:t>Si conferma l’andamento positivo dell’indice delle retribuzioni contrattuali orarie</w:t>
      </w:r>
      <w:r w:rsidRPr="009856CF">
        <w:rPr>
          <w:rFonts w:ascii="Arial" w:hAnsi="Arial" w:cs="Arial"/>
          <w:color w:val="383838"/>
          <w:sz w:val="22"/>
          <w:szCs w:val="22"/>
          <w:shd w:val="clear" w:color="auto" w:fill="FFFFFF"/>
        </w:rPr>
        <w:t>. L’</w:t>
      </w:r>
      <w:hyperlink r:id="rId27" w:history="1">
        <w:r w:rsidRPr="00FD45F7">
          <w:rPr>
            <w:rStyle w:val="Collegamentoipertestuale"/>
            <w:rFonts w:ascii="Arial" w:hAnsi="Arial" w:cs="Arial"/>
            <w:sz w:val="22"/>
            <w:szCs w:val="22"/>
            <w:shd w:val="clear" w:color="auto" w:fill="FFFFFF"/>
          </w:rPr>
          <w:t>indice</w:t>
        </w:r>
      </w:hyperlink>
      <w:r w:rsidRPr="009856CF">
        <w:rPr>
          <w:rFonts w:ascii="Arial" w:hAnsi="Arial" w:cs="Arial"/>
          <w:color w:val="383838"/>
          <w:sz w:val="22"/>
          <w:szCs w:val="22"/>
          <w:shd w:val="clear" w:color="auto" w:fill="FFFFFF"/>
        </w:rPr>
        <w:t xml:space="preserve"> cresce dello 0,5% </w:t>
      </w:r>
      <w:r w:rsidR="00890B63">
        <w:rPr>
          <w:rFonts w:ascii="Arial" w:hAnsi="Arial" w:cs="Arial"/>
          <w:color w:val="383838"/>
          <w:sz w:val="22"/>
          <w:szCs w:val="22"/>
          <w:shd w:val="clear" w:color="auto" w:fill="FFFFFF"/>
        </w:rPr>
        <w:t xml:space="preserve">a giugno </w:t>
      </w:r>
      <w:r w:rsidRPr="009856CF">
        <w:rPr>
          <w:rFonts w:ascii="Arial" w:hAnsi="Arial" w:cs="Arial"/>
          <w:color w:val="383838"/>
          <w:sz w:val="22"/>
          <w:szCs w:val="22"/>
          <w:shd w:val="clear" w:color="auto" w:fill="FFFFFF"/>
        </w:rPr>
        <w:t>rispetto al mese precedente e del 2,7% rispetto a</w:t>
      </w:r>
      <w:r w:rsidR="00890B63">
        <w:rPr>
          <w:rFonts w:ascii="Arial" w:hAnsi="Arial" w:cs="Arial"/>
          <w:color w:val="383838"/>
          <w:sz w:val="22"/>
          <w:szCs w:val="22"/>
          <w:shd w:val="clear" w:color="auto" w:fill="FFFFFF"/>
        </w:rPr>
        <w:t>llo stesso mese</w:t>
      </w:r>
      <w:r w:rsidRPr="009856CF">
        <w:rPr>
          <w:rFonts w:ascii="Arial" w:hAnsi="Arial" w:cs="Arial"/>
          <w:color w:val="383838"/>
          <w:sz w:val="22"/>
          <w:szCs w:val="22"/>
          <w:shd w:val="clear" w:color="auto" w:fill="FFFFFF"/>
        </w:rPr>
        <w:t xml:space="preserve"> </w:t>
      </w:r>
      <w:r w:rsidR="00890B63">
        <w:rPr>
          <w:rFonts w:ascii="Arial" w:hAnsi="Arial" w:cs="Arial"/>
          <w:color w:val="383838"/>
          <w:sz w:val="22"/>
          <w:szCs w:val="22"/>
          <w:shd w:val="clear" w:color="auto" w:fill="FFFFFF"/>
        </w:rPr>
        <w:t xml:space="preserve">del </w:t>
      </w:r>
      <w:r w:rsidRPr="009856CF">
        <w:rPr>
          <w:rFonts w:ascii="Arial" w:hAnsi="Arial" w:cs="Arial"/>
          <w:color w:val="383838"/>
          <w:sz w:val="22"/>
          <w:szCs w:val="22"/>
          <w:shd w:val="clear" w:color="auto" w:fill="FFFFFF"/>
        </w:rPr>
        <w:t xml:space="preserve">2024. </w:t>
      </w:r>
      <w:r w:rsidRPr="009856CF">
        <w:rPr>
          <w:rFonts w:ascii="Arial" w:hAnsi="Arial" w:cs="Arial"/>
          <w:color w:val="383838"/>
          <w:sz w:val="22"/>
          <w:szCs w:val="22"/>
        </w:rPr>
        <w:t>L’aumento tendenziale è stato del 2,3% per i dipendenti dell’industria, del 2,7% per quelli dei servizi privati e del 2,9% per i lavoratori della pubblica amministrazione. I settori che presentano gli aumenti tendenziali più elevati sono: ministeri (+6,9%), militari-difesa e energia elettrica (+6,7%) e forze dell’ordine (+5,8%). L’incremento è invece nullo per farmacie private e telecomunicazioni.</w:t>
      </w:r>
    </w:p>
    <w:p w14:paraId="0635CF42" w14:textId="77777777" w:rsidR="0087137D" w:rsidRPr="003977A7" w:rsidRDefault="0087137D" w:rsidP="0087137D">
      <w:pPr>
        <w:autoSpaceDE w:val="0"/>
        <w:autoSpaceDN w:val="0"/>
        <w:adjustRightInd w:val="0"/>
        <w:spacing w:before="60" w:after="120"/>
        <w:ind w:right="-6"/>
        <w:jc w:val="both"/>
        <w:rPr>
          <w:rFonts w:ascii="Arial" w:eastAsia="Times New Roman" w:hAnsi="Arial" w:cs="Arial"/>
          <w:sz w:val="22"/>
          <w:szCs w:val="22"/>
        </w:rPr>
      </w:pPr>
      <w:r w:rsidRPr="003977A7">
        <w:rPr>
          <w:rFonts w:ascii="Arial" w:eastAsia="Times New Roman" w:hAnsi="Arial" w:cs="Arial"/>
          <w:b/>
          <w:iCs/>
          <w:noProof/>
          <w:color w:val="008080"/>
          <w:spacing w:val="2"/>
          <w:sz w:val="22"/>
          <w:szCs w:val="22"/>
        </w:rPr>
        <w:t xml:space="preserve">L’inflazione al consumo torna a ridursi… </w:t>
      </w:r>
      <w:r w:rsidRPr="003977A7">
        <w:rPr>
          <w:rFonts w:ascii="Arial" w:eastAsia="Times New Roman" w:hAnsi="Arial" w:cs="Arial"/>
          <w:color w:val="000000"/>
          <w:sz w:val="22"/>
          <w:szCs w:val="22"/>
        </w:rPr>
        <w:t xml:space="preserve">La dinamica tendenziale </w:t>
      </w:r>
      <w:r w:rsidRPr="003977A7">
        <w:rPr>
          <w:rFonts w:ascii="Arial" w:eastAsia="Times New Roman" w:hAnsi="Arial" w:cs="Arial"/>
          <w:sz w:val="22"/>
          <w:szCs w:val="22"/>
        </w:rPr>
        <w:t>dell’</w:t>
      </w:r>
      <w:hyperlink r:id="rId28" w:history="1">
        <w:r w:rsidRPr="00DE521E">
          <w:rPr>
            <w:rStyle w:val="Collegamentoipertestuale"/>
            <w:rFonts w:ascii="Arial" w:eastAsia="Times New Roman" w:hAnsi="Arial" w:cs="Arial"/>
            <w:sz w:val="22"/>
            <w:szCs w:val="22"/>
          </w:rPr>
          <w:t>indice dei prezzi al consumo per l’intera collettività</w:t>
        </w:r>
      </w:hyperlink>
      <w:r w:rsidRPr="003977A7">
        <w:rPr>
          <w:rFonts w:ascii="Arial" w:eastAsia="Times New Roman" w:hAnsi="Arial" w:cs="Arial"/>
          <w:sz w:val="22"/>
          <w:szCs w:val="22"/>
        </w:rPr>
        <w:t xml:space="preserve"> </w:t>
      </w:r>
      <w:r w:rsidRPr="003977A7">
        <w:rPr>
          <w:rFonts w:ascii="Arial" w:eastAsia="Times New Roman" w:hAnsi="Arial" w:cs="Arial"/>
          <w:color w:val="000000"/>
          <w:sz w:val="22"/>
          <w:szCs w:val="22"/>
        </w:rPr>
        <w:t xml:space="preserve">(NIC) è scesa (secondo le stime preliminari) all’1,6% in agosto, dall’1,7% di luglio. In termini congiunturali l’indice è cresciuto dello 0,1% (+0,4% in luglio), per effetto degli aumenti dei prezzi dei servizi e dei beni alimentari che hanno più che compensato la sensibile riduzione </w:t>
      </w:r>
      <w:r w:rsidRPr="003977A7">
        <w:rPr>
          <w:rFonts w:ascii="Arial" w:eastAsia="Times New Roman" w:hAnsi="Arial" w:cs="Arial"/>
          <w:sz w:val="22"/>
          <w:szCs w:val="22"/>
        </w:rPr>
        <w:t>degli energetici.</w:t>
      </w:r>
      <w:r w:rsidRPr="003977A7">
        <w:rPr>
          <w:rFonts w:ascii="Arial" w:eastAsia="Times New Roman" w:hAnsi="Arial" w:cs="Arial"/>
          <w:color w:val="000000"/>
          <w:sz w:val="22"/>
          <w:szCs w:val="22"/>
        </w:rPr>
        <w:t xml:space="preserve"> L’inflazione acquisita ad agosto per il 2025 è pari a 1,7%.</w:t>
      </w:r>
      <w:r w:rsidRPr="003977A7">
        <w:rPr>
          <w:rFonts w:ascii="Arial" w:eastAsia="Times New Roman" w:hAnsi="Arial" w:cs="Arial"/>
          <w:sz w:val="22"/>
          <w:szCs w:val="22"/>
        </w:rPr>
        <w:t xml:space="preserve">   </w:t>
      </w:r>
    </w:p>
    <w:p w14:paraId="595CCF65" w14:textId="77777777" w:rsidR="0087137D" w:rsidRPr="003977A7" w:rsidRDefault="0087137D" w:rsidP="0087137D">
      <w:pPr>
        <w:autoSpaceDE w:val="0"/>
        <w:autoSpaceDN w:val="0"/>
        <w:adjustRightInd w:val="0"/>
        <w:spacing w:before="60" w:after="120"/>
        <w:ind w:right="-6"/>
        <w:jc w:val="both"/>
        <w:rPr>
          <w:rFonts w:ascii="Arial" w:eastAsia="Times New Roman" w:hAnsi="Arial" w:cs="Arial"/>
          <w:sz w:val="22"/>
          <w:szCs w:val="22"/>
        </w:rPr>
      </w:pPr>
      <w:r w:rsidRPr="003977A7">
        <w:rPr>
          <w:rFonts w:ascii="Arial" w:eastAsia="Times New Roman" w:hAnsi="Arial" w:cs="Arial"/>
          <w:b/>
          <w:iCs/>
          <w:noProof/>
          <w:color w:val="008080"/>
          <w:spacing w:val="2"/>
          <w:sz w:val="22"/>
          <w:szCs w:val="22"/>
        </w:rPr>
        <w:t xml:space="preserve">..grazie alla discesa dei beni energetici. </w:t>
      </w:r>
      <w:r w:rsidRPr="003977A7">
        <w:rPr>
          <w:rFonts w:ascii="Arial" w:eastAsia="Times New Roman" w:hAnsi="Arial" w:cs="Arial"/>
          <w:sz w:val="22"/>
          <w:szCs w:val="22"/>
        </w:rPr>
        <w:t>I prezzi dei beni energetici ad agosto hanno registrato una flessione dell’1,6% su base congiunturale, recuperando in parte l’aumento di luglio (+2,2%) e portandosi a un livello inferiore del 7% rispetto a quello di inizio d’anno e del 4,4% più basso rispetto allo stesso mese dell’anno precedente (a luglio la dinamica tendenziale era pari a -3,4%).</w:t>
      </w:r>
    </w:p>
    <w:p w14:paraId="588D4D47" w14:textId="77777777" w:rsidR="0087137D" w:rsidRPr="003977A7" w:rsidRDefault="0087137D" w:rsidP="0087137D">
      <w:pPr>
        <w:autoSpaceDE w:val="0"/>
        <w:autoSpaceDN w:val="0"/>
        <w:adjustRightInd w:val="0"/>
        <w:spacing w:before="60" w:after="120"/>
        <w:ind w:right="-6"/>
        <w:jc w:val="both"/>
        <w:rPr>
          <w:rFonts w:ascii="Arial" w:eastAsia="Times New Roman" w:hAnsi="Arial" w:cs="Arial"/>
          <w:sz w:val="22"/>
          <w:szCs w:val="22"/>
        </w:rPr>
      </w:pPr>
      <w:r>
        <w:rPr>
          <w:rFonts w:ascii="Arial" w:eastAsia="Times New Roman" w:hAnsi="Arial" w:cs="Arial"/>
          <w:b/>
          <w:iCs/>
          <w:noProof/>
          <w:color w:val="008080"/>
          <w:spacing w:val="2"/>
          <w:sz w:val="22"/>
          <w:szCs w:val="22"/>
        </w:rPr>
        <w:t xml:space="preserve">Riprende la crescita dei </w:t>
      </w:r>
      <w:r w:rsidRPr="003977A7">
        <w:rPr>
          <w:rFonts w:ascii="Arial" w:eastAsia="Times New Roman" w:hAnsi="Arial" w:cs="Arial"/>
          <w:b/>
          <w:iCs/>
          <w:noProof/>
          <w:color w:val="008080"/>
          <w:spacing w:val="2"/>
          <w:sz w:val="22"/>
          <w:szCs w:val="22"/>
        </w:rPr>
        <w:t xml:space="preserve">prezzi dei beni alimentari… </w:t>
      </w:r>
      <w:r w:rsidRPr="003977A7">
        <w:rPr>
          <w:rFonts w:ascii="Arial" w:eastAsia="Times New Roman" w:hAnsi="Arial" w:cs="Arial"/>
          <w:sz w:val="22"/>
          <w:szCs w:val="22"/>
        </w:rPr>
        <w:t>Dopo la stabilizzazione registrata nei due mesi precedenti, il prezzo dei beni alimentari è cresciuto dello 0,4% ad agosto</w:t>
      </w:r>
      <w:r>
        <w:rPr>
          <w:rFonts w:ascii="Arial" w:eastAsia="Times New Roman" w:hAnsi="Arial" w:cs="Arial"/>
          <w:sz w:val="22"/>
          <w:szCs w:val="22"/>
        </w:rPr>
        <w:t>;</w:t>
      </w:r>
      <w:r w:rsidRPr="003977A7">
        <w:rPr>
          <w:rFonts w:ascii="Arial" w:eastAsia="Times New Roman" w:hAnsi="Arial" w:cs="Arial"/>
          <w:sz w:val="22"/>
          <w:szCs w:val="22"/>
        </w:rPr>
        <w:t xml:space="preserve"> l’aumento è pari al</w:t>
      </w:r>
      <w:r>
        <w:rPr>
          <w:rFonts w:ascii="Arial" w:eastAsia="Times New Roman" w:hAnsi="Arial" w:cs="Arial"/>
          <w:sz w:val="22"/>
          <w:szCs w:val="22"/>
        </w:rPr>
        <w:t>l’</w:t>
      </w:r>
      <w:r w:rsidRPr="003977A7">
        <w:rPr>
          <w:rFonts w:ascii="Arial" w:eastAsia="Times New Roman" w:hAnsi="Arial" w:cs="Arial"/>
          <w:sz w:val="22"/>
          <w:szCs w:val="22"/>
        </w:rPr>
        <w:t>1,4% rispetto ad inizio d’anno e a</w:t>
      </w:r>
      <w:r>
        <w:rPr>
          <w:rFonts w:ascii="Arial" w:eastAsia="Times New Roman" w:hAnsi="Arial" w:cs="Arial"/>
          <w:sz w:val="22"/>
          <w:szCs w:val="22"/>
        </w:rPr>
        <w:t>l</w:t>
      </w:r>
      <w:r w:rsidRPr="003977A7">
        <w:rPr>
          <w:rFonts w:ascii="Arial" w:eastAsia="Times New Roman" w:hAnsi="Arial" w:cs="Arial"/>
          <w:sz w:val="22"/>
          <w:szCs w:val="22"/>
        </w:rPr>
        <w:t xml:space="preserve"> 4% rispetto ad agosto 2024 (+3,7% in luglio). Tale dinamica ha riflesso il forte aumento degli alimentari lavorati (+0,7%; +0,3% nel mese precedente) in presenza di una lieve flessione di prezzo di quelli non lavorati (-0,1%; -0,6% a luglio).</w:t>
      </w:r>
    </w:p>
    <w:p w14:paraId="3FDA72BC" w14:textId="5756DA99" w:rsidR="0087137D" w:rsidRDefault="0087137D" w:rsidP="0087137D">
      <w:pPr>
        <w:autoSpaceDE w:val="0"/>
        <w:autoSpaceDN w:val="0"/>
        <w:adjustRightInd w:val="0"/>
        <w:spacing w:before="60" w:after="120"/>
        <w:ind w:right="-6"/>
        <w:jc w:val="both"/>
        <w:rPr>
          <w:rFonts w:ascii="Arial" w:eastAsia="Times New Roman" w:hAnsi="Arial" w:cs="Arial"/>
          <w:sz w:val="22"/>
          <w:szCs w:val="22"/>
        </w:rPr>
      </w:pPr>
      <w:r w:rsidRPr="003977A7">
        <w:rPr>
          <w:rFonts w:ascii="Arial" w:eastAsia="Times New Roman" w:hAnsi="Arial" w:cs="Arial"/>
          <w:sz w:val="22"/>
          <w:szCs w:val="22"/>
        </w:rPr>
        <w:t xml:space="preserve">In conseguenza della forte impennata registrata </w:t>
      </w:r>
      <w:r>
        <w:rPr>
          <w:rFonts w:ascii="Arial" w:eastAsia="Times New Roman" w:hAnsi="Arial" w:cs="Arial"/>
          <w:sz w:val="22"/>
          <w:szCs w:val="22"/>
        </w:rPr>
        <w:t>tra la</w:t>
      </w:r>
      <w:r w:rsidRPr="003977A7">
        <w:rPr>
          <w:rFonts w:ascii="Arial" w:eastAsia="Times New Roman" w:hAnsi="Arial" w:cs="Arial"/>
          <w:sz w:val="22"/>
          <w:szCs w:val="22"/>
        </w:rPr>
        <w:t xml:space="preserve"> fine del 2021 </w:t>
      </w:r>
      <w:r>
        <w:rPr>
          <w:rFonts w:ascii="Arial" w:eastAsia="Times New Roman" w:hAnsi="Arial" w:cs="Arial"/>
          <w:sz w:val="22"/>
          <w:szCs w:val="22"/>
        </w:rPr>
        <w:t xml:space="preserve">e </w:t>
      </w:r>
      <w:r w:rsidRPr="003977A7">
        <w:rPr>
          <w:rFonts w:ascii="Arial" w:eastAsia="Times New Roman" w:hAnsi="Arial" w:cs="Arial"/>
          <w:sz w:val="22"/>
          <w:szCs w:val="22"/>
        </w:rPr>
        <w:t>i primi mesi del 2023 e al successivo perdurare di una significativa, seppure più moderata, tendenza alla crescita (fenomeni che hanno riguardato l’intera Europa), i prezz</w:t>
      </w:r>
      <w:r>
        <w:rPr>
          <w:rFonts w:ascii="Arial" w:eastAsia="Times New Roman" w:hAnsi="Arial" w:cs="Arial"/>
          <w:sz w:val="22"/>
          <w:szCs w:val="22"/>
        </w:rPr>
        <w:t>i</w:t>
      </w:r>
      <w:r w:rsidRPr="003977A7">
        <w:rPr>
          <w:rFonts w:ascii="Arial" w:eastAsia="Times New Roman" w:hAnsi="Arial" w:cs="Arial"/>
          <w:sz w:val="22"/>
          <w:szCs w:val="22"/>
        </w:rPr>
        <w:t xml:space="preserve"> al consumo (indice armonizzato) dei beni alimentari (cibo e bevande non alcoliche) risulta</w:t>
      </w:r>
      <w:r>
        <w:rPr>
          <w:rFonts w:ascii="Arial" w:eastAsia="Times New Roman" w:hAnsi="Arial" w:cs="Arial"/>
          <w:sz w:val="22"/>
          <w:szCs w:val="22"/>
        </w:rPr>
        <w:t>no</w:t>
      </w:r>
      <w:r w:rsidRPr="003977A7">
        <w:rPr>
          <w:rFonts w:ascii="Arial" w:eastAsia="Times New Roman" w:hAnsi="Arial" w:cs="Arial"/>
          <w:sz w:val="22"/>
          <w:szCs w:val="22"/>
        </w:rPr>
        <w:t xml:space="preserve"> in Italia avere raggiunto a luglio 2025 (ultimo dato disponibile) un livello </w:t>
      </w:r>
      <w:r>
        <w:rPr>
          <w:rFonts w:ascii="Arial" w:eastAsia="Times New Roman" w:hAnsi="Arial" w:cs="Arial"/>
          <w:sz w:val="22"/>
          <w:szCs w:val="22"/>
        </w:rPr>
        <w:t>più elevato</w:t>
      </w:r>
      <w:r w:rsidRPr="003977A7">
        <w:rPr>
          <w:rFonts w:ascii="Arial" w:eastAsia="Times New Roman" w:hAnsi="Arial" w:cs="Arial"/>
          <w:sz w:val="22"/>
          <w:szCs w:val="22"/>
        </w:rPr>
        <w:t xml:space="preserve"> del 30,1% rispetto a quello medio del 2019. Nel confronto europeo, </w:t>
      </w:r>
      <w:r>
        <w:rPr>
          <w:rFonts w:ascii="Arial" w:eastAsia="Times New Roman" w:hAnsi="Arial" w:cs="Arial"/>
          <w:sz w:val="22"/>
          <w:szCs w:val="22"/>
        </w:rPr>
        <w:t xml:space="preserve">tuttavia, </w:t>
      </w:r>
      <w:r w:rsidRPr="003977A7">
        <w:rPr>
          <w:rFonts w:ascii="Arial" w:eastAsia="Times New Roman" w:hAnsi="Arial" w:cs="Arial"/>
          <w:sz w:val="22"/>
          <w:szCs w:val="22"/>
        </w:rPr>
        <w:t>tale dinamica appare sensibilmente più contenuta sia rispetto alla media UE27 (+39,2%) sia, tra gli altri principali paesi, rispetto a Germania (+40</w:t>
      </w:r>
      <w:r w:rsidRPr="000921CE">
        <w:rPr>
          <w:rFonts w:ascii="Arial" w:eastAsia="Times New Roman" w:hAnsi="Arial" w:cs="Arial"/>
          <w:sz w:val="22"/>
          <w:szCs w:val="22"/>
        </w:rPr>
        <w:t>,3%) e Spagna (+38,2%); nello stesso periodo l’aumento in Francia è stato invece</w:t>
      </w:r>
      <w:r w:rsidR="00DB1525">
        <w:rPr>
          <w:rFonts w:ascii="Arial" w:eastAsia="Times New Roman" w:hAnsi="Arial" w:cs="Arial"/>
          <w:sz w:val="22"/>
          <w:szCs w:val="22"/>
        </w:rPr>
        <w:t xml:space="preserve"> relativamente</w:t>
      </w:r>
      <w:r w:rsidRPr="000921CE">
        <w:rPr>
          <w:rFonts w:ascii="Arial" w:eastAsia="Times New Roman" w:hAnsi="Arial" w:cs="Arial"/>
          <w:sz w:val="22"/>
          <w:szCs w:val="22"/>
        </w:rPr>
        <w:t xml:space="preserve"> m</w:t>
      </w:r>
      <w:r w:rsidR="00DB1525">
        <w:rPr>
          <w:rFonts w:ascii="Arial" w:eastAsia="Times New Roman" w:hAnsi="Arial" w:cs="Arial"/>
          <w:sz w:val="22"/>
          <w:szCs w:val="22"/>
        </w:rPr>
        <w:t>inore</w:t>
      </w:r>
      <w:r w:rsidRPr="000921CE">
        <w:rPr>
          <w:rFonts w:ascii="Arial" w:eastAsia="Times New Roman" w:hAnsi="Arial" w:cs="Arial"/>
          <w:sz w:val="22"/>
          <w:szCs w:val="22"/>
        </w:rPr>
        <w:t xml:space="preserve"> (+27,5%) (</w:t>
      </w:r>
      <w:r w:rsidRPr="00923970">
        <w:rPr>
          <w:rFonts w:ascii="Arial" w:eastAsia="Times New Roman" w:hAnsi="Arial" w:cs="Arial"/>
          <w:sz w:val="22"/>
          <w:szCs w:val="22"/>
        </w:rPr>
        <w:t>Figura 6</w:t>
      </w:r>
      <w:r w:rsidRPr="000921CE">
        <w:rPr>
          <w:rFonts w:ascii="Arial" w:eastAsia="Times New Roman" w:hAnsi="Arial" w:cs="Arial"/>
          <w:sz w:val="22"/>
          <w:szCs w:val="22"/>
        </w:rPr>
        <w:t>).</w:t>
      </w:r>
      <w:r w:rsidRPr="003977A7">
        <w:rPr>
          <w:rFonts w:ascii="Arial" w:eastAsia="Times New Roman" w:hAnsi="Arial" w:cs="Arial"/>
          <w:sz w:val="22"/>
          <w:szCs w:val="22"/>
        </w:rPr>
        <w:t xml:space="preserve">  </w:t>
      </w:r>
    </w:p>
    <w:p w14:paraId="0C387338" w14:textId="77777777" w:rsidR="007A66F7" w:rsidRPr="003977A7" w:rsidRDefault="007A66F7" w:rsidP="0087137D">
      <w:pPr>
        <w:autoSpaceDE w:val="0"/>
        <w:autoSpaceDN w:val="0"/>
        <w:adjustRightInd w:val="0"/>
        <w:spacing w:before="60" w:after="120"/>
        <w:ind w:right="-6"/>
        <w:jc w:val="both"/>
        <w:rPr>
          <w:rFonts w:ascii="Arial" w:eastAsia="Times New Roman" w:hAnsi="Arial" w:cs="Arial"/>
          <w:sz w:val="22"/>
          <w:szCs w:val="22"/>
        </w:rPr>
      </w:pPr>
    </w:p>
    <w:tbl>
      <w:tblPr>
        <w:tblStyle w:val="Grigliatabel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0"/>
        <w:gridCol w:w="5101"/>
      </w:tblGrid>
      <w:tr w:rsidR="00663E93" w:rsidRPr="001E23DD" w14:paraId="1B978180" w14:textId="77777777" w:rsidTr="00C657FD">
        <w:tc>
          <w:tcPr>
            <w:tcW w:w="5100" w:type="dxa"/>
            <w:tcBorders>
              <w:bottom w:val="single" w:sz="2" w:space="0" w:color="D9D9D9" w:themeColor="background1" w:themeShade="D9"/>
            </w:tcBorders>
            <w:tcMar>
              <w:left w:w="0" w:type="dxa"/>
              <w:right w:w="0" w:type="dxa"/>
            </w:tcMar>
          </w:tcPr>
          <w:p w14:paraId="4ACD4A7B" w14:textId="4D65E01F" w:rsidR="0086191C" w:rsidRPr="00FB592B" w:rsidRDefault="00F608C6" w:rsidP="004841BF">
            <w:pPr>
              <w:pStyle w:val="052tabella-figurasottotitolo"/>
              <w:spacing w:after="120" w:line="240" w:lineRule="auto"/>
              <w:ind w:right="142"/>
              <w:rPr>
                <w:color w:val="595959" w:themeColor="text1" w:themeTint="A6"/>
                <w:sz w:val="20"/>
              </w:rPr>
            </w:pPr>
            <w:r w:rsidRPr="00FB592B">
              <w:rPr>
                <w:b/>
                <w:color w:val="00817F"/>
                <w:sz w:val="20"/>
              </w:rPr>
              <w:t>FIGURA 5</w:t>
            </w:r>
            <w:r w:rsidR="00C970AA" w:rsidRPr="00FB592B">
              <w:rPr>
                <w:b/>
                <w:sz w:val="20"/>
              </w:rPr>
              <w:t xml:space="preserve">. </w:t>
            </w:r>
            <w:r w:rsidR="00C40E80">
              <w:rPr>
                <w:b/>
                <w:color w:val="595959" w:themeColor="text1" w:themeTint="A6"/>
                <w:sz w:val="20"/>
              </w:rPr>
              <w:t>TASSO DI O</w:t>
            </w:r>
            <w:r w:rsidR="007F4561">
              <w:rPr>
                <w:b/>
                <w:color w:val="595959" w:themeColor="text1" w:themeTint="A6"/>
                <w:sz w:val="20"/>
              </w:rPr>
              <w:t>CCUPAZIONE (15-6</w:t>
            </w:r>
            <w:r w:rsidR="007F4561" w:rsidRPr="007F4561">
              <w:rPr>
                <w:b/>
                <w:color w:val="595959" w:themeColor="text1" w:themeTint="A6"/>
                <w:sz w:val="20"/>
              </w:rPr>
              <w:t>4 ANNI</w:t>
            </w:r>
            <w:r w:rsidR="007F4561">
              <w:rPr>
                <w:b/>
                <w:color w:val="595959" w:themeColor="text1" w:themeTint="A6"/>
                <w:sz w:val="20"/>
              </w:rPr>
              <w:t xml:space="preserve">), </w:t>
            </w:r>
            <w:r w:rsidR="00C40E80">
              <w:rPr>
                <w:b/>
                <w:color w:val="595959" w:themeColor="text1" w:themeTint="A6"/>
                <w:sz w:val="20"/>
              </w:rPr>
              <w:t xml:space="preserve">DI </w:t>
            </w:r>
            <w:r w:rsidR="007F4561">
              <w:rPr>
                <w:b/>
                <w:color w:val="595959" w:themeColor="text1" w:themeTint="A6"/>
                <w:sz w:val="20"/>
              </w:rPr>
              <w:t xml:space="preserve">DISOCCUPAZIONE TOTALE E GIOVANILE </w:t>
            </w:r>
            <w:r w:rsidR="007F4561" w:rsidRPr="007F4561">
              <w:rPr>
                <w:b/>
                <w:color w:val="595959" w:themeColor="text1" w:themeTint="A6"/>
                <w:sz w:val="20"/>
              </w:rPr>
              <w:t>(15-24 ANNI)</w:t>
            </w:r>
            <w:r w:rsidR="007F3BFB" w:rsidRPr="007F3BFB">
              <w:rPr>
                <w:b/>
                <w:color w:val="595959" w:themeColor="text1" w:themeTint="A6"/>
                <w:sz w:val="20"/>
              </w:rPr>
              <w:t>.</w:t>
            </w:r>
            <w:r w:rsidR="003715C6">
              <w:rPr>
                <w:b/>
                <w:color w:val="595959" w:themeColor="text1" w:themeTint="A6"/>
                <w:sz w:val="20"/>
              </w:rPr>
              <w:t xml:space="preserve">                                                                     </w:t>
            </w:r>
            <w:r w:rsidR="00976406" w:rsidRPr="00FB592B">
              <w:rPr>
                <w:b/>
                <w:color w:val="595959" w:themeColor="text1" w:themeTint="A6"/>
                <w:sz w:val="20"/>
              </w:rPr>
              <w:t xml:space="preserve">  </w:t>
            </w:r>
            <w:r w:rsidR="007F4561">
              <w:rPr>
                <w:b/>
                <w:color w:val="595959" w:themeColor="text1" w:themeTint="A6"/>
                <w:sz w:val="20"/>
              </w:rPr>
              <w:t xml:space="preserve">     </w:t>
            </w:r>
            <w:r w:rsidR="007F4561">
              <w:rPr>
                <w:color w:val="595959" w:themeColor="text1" w:themeTint="A6"/>
                <w:sz w:val="20"/>
              </w:rPr>
              <w:t xml:space="preserve">  </w:t>
            </w:r>
            <w:r w:rsidR="004841BF">
              <w:rPr>
                <w:color w:val="595959" w:themeColor="text1" w:themeTint="A6"/>
                <w:sz w:val="20"/>
              </w:rPr>
              <w:t xml:space="preserve"> </w:t>
            </w:r>
            <w:r w:rsidR="004841BF" w:rsidRPr="00714889">
              <w:rPr>
                <w:color w:val="auto"/>
                <w:sz w:val="19"/>
                <w:szCs w:val="19"/>
              </w:rPr>
              <w:t xml:space="preserve">Numeri indice: base </w:t>
            </w:r>
            <w:r w:rsidR="007F4561" w:rsidRPr="00714889">
              <w:rPr>
                <w:color w:val="auto"/>
                <w:sz w:val="19"/>
                <w:szCs w:val="19"/>
              </w:rPr>
              <w:t>media 2019</w:t>
            </w:r>
            <w:r w:rsidR="00DA170E" w:rsidRPr="00714889">
              <w:rPr>
                <w:color w:val="auto"/>
                <w:sz w:val="19"/>
                <w:szCs w:val="19"/>
              </w:rPr>
              <w:t>, dati</w:t>
            </w:r>
            <w:r w:rsidR="007F4561" w:rsidRPr="00714889">
              <w:rPr>
                <w:color w:val="auto"/>
                <w:sz w:val="19"/>
                <w:szCs w:val="19"/>
              </w:rPr>
              <w:t xml:space="preserve"> destagionalizzati</w:t>
            </w:r>
          </w:p>
        </w:tc>
        <w:tc>
          <w:tcPr>
            <w:tcW w:w="5101" w:type="dxa"/>
            <w:tcBorders>
              <w:bottom w:val="single" w:sz="2" w:space="0" w:color="D9D9D9" w:themeColor="background1" w:themeShade="D9"/>
            </w:tcBorders>
            <w:tcMar>
              <w:left w:w="0" w:type="dxa"/>
              <w:right w:w="0" w:type="dxa"/>
            </w:tcMar>
          </w:tcPr>
          <w:p w14:paraId="40AF2E7E" w14:textId="38B1DD78" w:rsidR="007462ED" w:rsidRPr="00FB592B" w:rsidRDefault="001E23DD" w:rsidP="00921AD2">
            <w:pPr>
              <w:spacing w:after="0" w:line="240" w:lineRule="auto"/>
              <w:rPr>
                <w:rFonts w:ascii="Arial Narrow" w:hAnsi="Arial Narrow" w:cs="Arial"/>
                <w:b/>
                <w:iCs/>
                <w:noProof/>
                <w:color w:val="595959" w:themeColor="text1" w:themeTint="A6"/>
              </w:rPr>
            </w:pPr>
            <w:r w:rsidRPr="00C82E6F">
              <w:rPr>
                <w:rFonts w:ascii="Arial Narrow" w:hAnsi="Arial Narrow" w:cs="Arial"/>
                <w:b/>
                <w:iCs/>
                <w:noProof/>
                <w:color w:val="00817F"/>
              </w:rPr>
              <w:t>FIGURA 6</w:t>
            </w:r>
            <w:r w:rsidRPr="00C82E6F">
              <w:rPr>
                <w:rFonts w:ascii="Arial Narrow" w:hAnsi="Arial Narrow" w:cs="Arial"/>
                <w:b/>
                <w:iCs/>
                <w:noProof/>
                <w:color w:val="008080"/>
              </w:rPr>
              <w:t xml:space="preserve">. </w:t>
            </w:r>
            <w:r w:rsidR="00885EEC" w:rsidRPr="00C82E6F">
              <w:rPr>
                <w:rFonts w:ascii="Arial Narrow" w:hAnsi="Arial Narrow" w:cs="Arial"/>
                <w:b/>
                <w:iCs/>
                <w:noProof/>
                <w:color w:val="595959" w:themeColor="text1" w:themeTint="A6"/>
              </w:rPr>
              <w:t xml:space="preserve">PREZZI AL CONSUMO </w:t>
            </w:r>
            <w:r w:rsidR="00921AD2">
              <w:rPr>
                <w:rFonts w:ascii="Arial Narrow" w:hAnsi="Arial Narrow" w:cs="Arial"/>
                <w:b/>
                <w:iCs/>
                <w:noProof/>
                <w:color w:val="595959" w:themeColor="text1" w:themeTint="A6"/>
              </w:rPr>
              <w:t xml:space="preserve">DEI BENI ALIMENTARI* (IPCA) </w:t>
            </w:r>
            <w:r w:rsidR="00257F4E">
              <w:rPr>
                <w:rFonts w:ascii="Arial Narrow" w:hAnsi="Arial Narrow" w:cs="Arial"/>
                <w:b/>
                <w:iCs/>
                <w:noProof/>
                <w:color w:val="595959" w:themeColor="text1" w:themeTint="A6"/>
              </w:rPr>
              <w:t xml:space="preserve">NEI PRINCIPALI PAESI </w:t>
            </w:r>
            <w:r w:rsidR="00921AD2">
              <w:rPr>
                <w:rFonts w:ascii="Arial Narrow" w:hAnsi="Arial Narrow" w:cs="Arial"/>
                <w:b/>
                <w:iCs/>
                <w:noProof/>
                <w:color w:val="595959" w:themeColor="text1" w:themeTint="A6"/>
              </w:rPr>
              <w:t>DELL’UNIONE EUROPEA</w:t>
            </w:r>
            <w:r w:rsidR="00DC6B59" w:rsidRPr="00C82E6F">
              <w:rPr>
                <w:rFonts w:ascii="Arial Narrow" w:hAnsi="Arial Narrow" w:cs="Arial"/>
                <w:b/>
                <w:iCs/>
                <w:noProof/>
                <w:color w:val="008080"/>
              </w:rPr>
              <w:t>.</w:t>
            </w:r>
            <w:r w:rsidR="00172E3C" w:rsidRPr="00FB592B">
              <w:rPr>
                <w:rFonts w:ascii="Arial Narrow" w:hAnsi="Arial Narrow" w:cs="Arial"/>
                <w:b/>
                <w:iCs/>
                <w:noProof/>
                <w:color w:val="008080"/>
              </w:rPr>
              <w:t xml:space="preserve"> </w:t>
            </w:r>
            <w:r w:rsidR="009F6728" w:rsidRPr="00FB592B">
              <w:rPr>
                <w:rFonts w:ascii="Arial Narrow" w:hAnsi="Arial Narrow" w:cs="Arial"/>
                <w:b/>
                <w:iCs/>
                <w:noProof/>
                <w:color w:val="008080"/>
              </w:rPr>
              <w:t xml:space="preserve"> </w:t>
            </w:r>
            <w:r w:rsidR="00172E3C" w:rsidRPr="00FB592B">
              <w:rPr>
                <w:rFonts w:ascii="Arial Narrow" w:hAnsi="Arial Narrow" w:cs="Arial"/>
                <w:b/>
                <w:iCs/>
                <w:noProof/>
                <w:color w:val="008080"/>
              </w:rPr>
              <w:t xml:space="preserve">     </w:t>
            </w:r>
            <w:r w:rsidRPr="00FB592B">
              <w:rPr>
                <w:rFonts w:ascii="Arial Narrow" w:hAnsi="Arial Narrow" w:cs="Arial"/>
                <w:b/>
                <w:iCs/>
                <w:noProof/>
                <w:color w:val="595959" w:themeColor="text1" w:themeTint="A6"/>
              </w:rPr>
              <w:t xml:space="preserve">            </w:t>
            </w:r>
            <w:r w:rsidR="00FD712E" w:rsidRPr="00FB592B">
              <w:rPr>
                <w:rFonts w:ascii="Arial Narrow" w:hAnsi="Arial Narrow" w:cs="Arial"/>
                <w:b/>
                <w:iCs/>
                <w:noProof/>
                <w:color w:val="595959" w:themeColor="text1" w:themeTint="A6"/>
              </w:rPr>
              <w:t xml:space="preserve">                                    </w:t>
            </w:r>
            <w:r w:rsidR="00F009B9" w:rsidRPr="00FB592B">
              <w:rPr>
                <w:rFonts w:ascii="Arial Narrow" w:hAnsi="Arial Narrow" w:cs="Arial"/>
                <w:b/>
                <w:iCs/>
                <w:noProof/>
                <w:color w:val="595959" w:themeColor="text1" w:themeTint="A6"/>
              </w:rPr>
              <w:t xml:space="preserve">                 </w:t>
            </w:r>
            <w:r w:rsidR="00921AD2" w:rsidRPr="00714889">
              <w:rPr>
                <w:rFonts w:ascii="Arial Narrow" w:hAnsi="Arial Narrow" w:cs="Arial"/>
                <w:iCs/>
                <w:noProof/>
                <w:sz w:val="19"/>
                <w:szCs w:val="19"/>
              </w:rPr>
              <w:t>Numeri indice base 2015=100</w:t>
            </w:r>
          </w:p>
        </w:tc>
      </w:tr>
      <w:tr w:rsidR="00663E93" w14:paraId="6C7E86A7" w14:textId="77777777" w:rsidTr="005844EA">
        <w:tblPrEx>
          <w:tblCellMar>
            <w:left w:w="70" w:type="dxa"/>
            <w:right w:w="70" w:type="dxa"/>
          </w:tblCellMar>
        </w:tblPrEx>
        <w:trPr>
          <w:trHeight w:val="3402"/>
        </w:trPr>
        <w:tc>
          <w:tcPr>
            <w:tcW w:w="510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E4FCA4B" w14:textId="58E596BE" w:rsidR="00663E93" w:rsidRPr="00E623BE" w:rsidRDefault="006100BC" w:rsidP="00505110">
            <w:pPr>
              <w:pStyle w:val="016testobulletprimapagina"/>
              <w:spacing w:before="60" w:after="120" w:line="240" w:lineRule="auto"/>
              <w:ind w:left="0" w:right="-8"/>
              <w:rPr>
                <w:sz w:val="12"/>
              </w:rPr>
            </w:pPr>
            <w:r>
              <w:rPr>
                <w:noProof/>
                <w:lang w:val="en-GB" w:eastAsia="en-GB"/>
              </w:rPr>
              <w:drawing>
                <wp:inline distT="0" distB="0" distL="0" distR="0" wp14:anchorId="7AD4DF8C" wp14:editId="36A10036">
                  <wp:extent cx="3149600" cy="2115820"/>
                  <wp:effectExtent l="0" t="0" r="0" b="0"/>
                  <wp:docPr id="11" name="Grafico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0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6105AF6" w14:textId="5EAD3BD4" w:rsidR="00663E93" w:rsidRDefault="005844EA" w:rsidP="00505110">
            <w:pPr>
              <w:pStyle w:val="016testobulletprimapagina"/>
              <w:spacing w:before="60" w:after="120" w:line="240" w:lineRule="auto"/>
              <w:ind w:left="0" w:right="-8"/>
            </w:pPr>
            <w:r>
              <w:rPr>
                <w:noProof/>
                <w:lang w:val="en-GB" w:eastAsia="en-GB"/>
              </w:rPr>
              <w:drawing>
                <wp:inline distT="0" distB="0" distL="0" distR="0" wp14:anchorId="36DD2874" wp14:editId="5E1EE00C">
                  <wp:extent cx="3150235" cy="2115820"/>
                  <wp:effectExtent l="0" t="0" r="0" b="0"/>
                  <wp:docPr id="7" name="Grafico 7">
                    <a:extLst xmlns:a="http://schemas.openxmlformats.org/drawingml/2006/main">
                      <a:ext uri="{FF2B5EF4-FFF2-40B4-BE49-F238E27FC236}">
                        <a16:creationId xmlns:a16="http://schemas.microsoft.com/office/drawing/2014/main" id="{3EAD91D1-3639-447E-B30E-778812E31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7FFC64D3" w14:textId="13BB4409" w:rsidR="00F009B9" w:rsidRPr="00307AB9" w:rsidRDefault="0060472E" w:rsidP="00E65BDC">
      <w:pPr>
        <w:spacing w:before="60"/>
        <w:ind w:right="-6"/>
        <w:rPr>
          <w:rFonts w:ascii="Arial" w:hAnsi="Arial" w:cs="Arial"/>
          <w:sz w:val="15"/>
          <w:szCs w:val="15"/>
        </w:rPr>
      </w:pPr>
      <w:r w:rsidRPr="00307AB9">
        <w:rPr>
          <w:rFonts w:ascii="Arial" w:hAnsi="Arial" w:cs="Arial"/>
          <w:sz w:val="15"/>
          <w:szCs w:val="15"/>
        </w:rPr>
        <w:t>Fonte: Istat</w:t>
      </w:r>
      <w:r w:rsidR="005759E2" w:rsidRPr="00307AB9">
        <w:rPr>
          <w:rFonts w:ascii="Arial" w:hAnsi="Arial" w:cs="Arial"/>
          <w:sz w:val="15"/>
          <w:szCs w:val="15"/>
        </w:rPr>
        <w:tab/>
      </w:r>
      <w:r w:rsidR="005759E2" w:rsidRPr="00307AB9">
        <w:rPr>
          <w:rFonts w:ascii="Arial" w:hAnsi="Arial" w:cs="Arial"/>
          <w:sz w:val="15"/>
          <w:szCs w:val="15"/>
        </w:rPr>
        <w:tab/>
      </w:r>
      <w:r w:rsidR="005759E2" w:rsidRPr="00307AB9">
        <w:rPr>
          <w:rFonts w:ascii="Arial" w:hAnsi="Arial" w:cs="Arial"/>
          <w:sz w:val="15"/>
          <w:szCs w:val="15"/>
        </w:rPr>
        <w:tab/>
      </w:r>
      <w:r w:rsidR="005759E2" w:rsidRPr="00307AB9">
        <w:rPr>
          <w:rFonts w:ascii="Arial" w:hAnsi="Arial" w:cs="Arial"/>
          <w:sz w:val="15"/>
          <w:szCs w:val="15"/>
        </w:rPr>
        <w:tab/>
      </w:r>
      <w:r w:rsidR="005759E2" w:rsidRPr="00307AB9">
        <w:rPr>
          <w:rFonts w:ascii="Arial" w:hAnsi="Arial" w:cs="Arial"/>
          <w:sz w:val="15"/>
          <w:szCs w:val="15"/>
        </w:rPr>
        <w:tab/>
      </w:r>
      <w:r w:rsidR="005759E2" w:rsidRPr="00307AB9">
        <w:rPr>
          <w:rFonts w:ascii="Arial" w:hAnsi="Arial" w:cs="Arial"/>
          <w:sz w:val="15"/>
          <w:szCs w:val="15"/>
        </w:rPr>
        <w:tab/>
      </w:r>
      <w:r w:rsidR="009F6728" w:rsidRPr="00307AB9">
        <w:rPr>
          <w:rFonts w:ascii="Arial" w:hAnsi="Arial" w:cs="Arial"/>
          <w:sz w:val="15"/>
          <w:szCs w:val="15"/>
        </w:rPr>
        <w:t xml:space="preserve">    </w:t>
      </w:r>
      <w:r w:rsidR="00A255B0" w:rsidRPr="00307AB9">
        <w:rPr>
          <w:rFonts w:ascii="Arial" w:hAnsi="Arial" w:cs="Arial"/>
          <w:sz w:val="15"/>
          <w:szCs w:val="15"/>
        </w:rPr>
        <w:t>Fonte: Euro</w:t>
      </w:r>
      <w:r w:rsidR="00267B63" w:rsidRPr="00307AB9">
        <w:rPr>
          <w:rFonts w:ascii="Arial" w:hAnsi="Arial" w:cs="Arial"/>
          <w:sz w:val="15"/>
          <w:szCs w:val="15"/>
        </w:rPr>
        <w:t>stat</w:t>
      </w:r>
      <w:r w:rsidR="00172E3C" w:rsidRPr="00307AB9">
        <w:rPr>
          <w:rFonts w:ascii="Arial" w:hAnsi="Arial" w:cs="Arial"/>
          <w:sz w:val="15"/>
          <w:szCs w:val="15"/>
        </w:rPr>
        <w:t xml:space="preserve"> </w:t>
      </w:r>
    </w:p>
    <w:p w14:paraId="2958FE3B" w14:textId="5322B7AF" w:rsidR="00921AD2" w:rsidRPr="00635AD0" w:rsidRDefault="00921AD2" w:rsidP="00E65BDC">
      <w:pPr>
        <w:spacing w:after="120"/>
        <w:ind w:left="4956" w:right="-6"/>
        <w:rPr>
          <w:rFonts w:ascii="Arial" w:hAnsi="Arial" w:cs="Arial"/>
          <w:i/>
          <w:sz w:val="12"/>
          <w:szCs w:val="12"/>
        </w:rPr>
      </w:pPr>
      <w:r w:rsidRPr="00FC4517">
        <w:rPr>
          <w:rFonts w:ascii="Arial" w:hAnsi="Arial" w:cs="Arial"/>
          <w:sz w:val="15"/>
          <w:szCs w:val="15"/>
        </w:rPr>
        <w:t xml:space="preserve">* </w:t>
      </w:r>
      <w:r w:rsidRPr="00921AD2">
        <w:rPr>
          <w:rFonts w:ascii="Arial" w:hAnsi="Arial" w:cs="Arial"/>
          <w:sz w:val="12"/>
          <w:szCs w:val="12"/>
        </w:rPr>
        <w:t>Indice armonizzato dei prezzi al consumo di cibo e bevande non alcoliche</w:t>
      </w:r>
      <w:r>
        <w:rPr>
          <w:rFonts w:ascii="Arial" w:hAnsi="Arial" w:cs="Arial"/>
          <w:sz w:val="12"/>
          <w:szCs w:val="12"/>
        </w:rPr>
        <w:t>.</w:t>
      </w:r>
    </w:p>
    <w:p w14:paraId="037430B7" w14:textId="77777777" w:rsidR="00D80AEB" w:rsidRPr="004508BE" w:rsidRDefault="00D80AEB" w:rsidP="009D0F31">
      <w:pPr>
        <w:autoSpaceDE w:val="0"/>
        <w:autoSpaceDN w:val="0"/>
        <w:adjustRightInd w:val="0"/>
        <w:spacing w:before="60" w:after="120"/>
        <w:ind w:right="-6"/>
        <w:jc w:val="both"/>
        <w:rPr>
          <w:rFonts w:ascii="Arial" w:eastAsia="Times New Roman" w:hAnsi="Arial" w:cs="Arial"/>
          <w:b/>
          <w:iCs/>
          <w:noProof/>
          <w:color w:val="008080"/>
          <w:spacing w:val="2"/>
          <w:sz w:val="22"/>
          <w:szCs w:val="22"/>
        </w:rPr>
      </w:pPr>
    </w:p>
    <w:p w14:paraId="5CF324FE" w14:textId="4E45551A" w:rsidR="003977A7" w:rsidRDefault="003977A7" w:rsidP="003977A7">
      <w:pPr>
        <w:spacing w:before="60" w:after="120"/>
        <w:ind w:right="-6"/>
        <w:jc w:val="both"/>
        <w:rPr>
          <w:rFonts w:ascii="Arial" w:eastAsia="Times New Roman" w:hAnsi="Arial" w:cs="Arial"/>
          <w:sz w:val="22"/>
          <w:szCs w:val="22"/>
        </w:rPr>
      </w:pPr>
      <w:r w:rsidRPr="003977A7">
        <w:rPr>
          <w:rFonts w:ascii="Arial" w:eastAsia="Times New Roman" w:hAnsi="Arial" w:cs="Arial"/>
          <w:b/>
          <w:iCs/>
          <w:noProof/>
          <w:color w:val="008080"/>
          <w:spacing w:val="2"/>
          <w:sz w:val="22"/>
          <w:szCs w:val="22"/>
        </w:rPr>
        <w:t xml:space="preserve">..che incide sul carrello della spesa. </w:t>
      </w:r>
      <w:r w:rsidRPr="003977A7">
        <w:rPr>
          <w:rFonts w:ascii="Arial" w:eastAsia="Times New Roman" w:hAnsi="Arial" w:cs="Arial"/>
          <w:sz w:val="22"/>
          <w:szCs w:val="22"/>
        </w:rPr>
        <w:t>La forte dinamica dei prezzi dei beni alimentari, che rappresentano l’88,5% (dato 2025) del totale dei beni inclusi nel carrello della spesa (beni alimentari e beni per la cura della casa e della persona), ha condizionato l’andamento di questo indice, le cui variazioni tendenziali sono passate dal 3,2% di luglio al 3,5% in agosto. Si è così ulteriormente ampliato il differenziale d’inflazione tra il carrello della spesa e l’indice complessivo, quest’ultimo influenzato anche dalla dinamica degli energetici</w:t>
      </w:r>
      <w:r w:rsidR="00462087">
        <w:rPr>
          <w:rFonts w:ascii="Arial" w:eastAsia="Times New Roman" w:hAnsi="Arial" w:cs="Arial"/>
          <w:sz w:val="22"/>
          <w:szCs w:val="22"/>
        </w:rPr>
        <w:t xml:space="preserve">: </w:t>
      </w:r>
      <w:r w:rsidRPr="003977A7">
        <w:rPr>
          <w:rFonts w:ascii="Arial" w:eastAsia="Times New Roman" w:hAnsi="Arial" w:cs="Arial"/>
          <w:sz w:val="22"/>
          <w:szCs w:val="22"/>
        </w:rPr>
        <w:t xml:space="preserve">dai 2 decimi di punto a marzo 2025 a 1,9 punti percentuali ad agosto. </w:t>
      </w:r>
    </w:p>
    <w:p w14:paraId="76DF108B" w14:textId="5555C50B" w:rsidR="003977A7" w:rsidRPr="003977A7" w:rsidRDefault="003977A7" w:rsidP="003977A7">
      <w:pPr>
        <w:spacing w:before="60" w:after="120"/>
        <w:ind w:right="-6"/>
        <w:jc w:val="both"/>
        <w:rPr>
          <w:rFonts w:ascii="Arial" w:eastAsia="Times New Roman" w:hAnsi="Arial" w:cs="Arial"/>
          <w:bCs/>
          <w:iCs/>
          <w:noProof/>
          <w:spacing w:val="2"/>
          <w:sz w:val="22"/>
          <w:szCs w:val="22"/>
        </w:rPr>
      </w:pPr>
      <w:r w:rsidRPr="003977A7">
        <w:rPr>
          <w:rFonts w:ascii="Arial" w:eastAsia="Times New Roman" w:hAnsi="Arial" w:cs="Arial"/>
          <w:b/>
          <w:iCs/>
          <w:noProof/>
          <w:color w:val="008080"/>
          <w:spacing w:val="2"/>
          <w:sz w:val="22"/>
          <w:szCs w:val="22"/>
        </w:rPr>
        <w:t>Continuano ad aumentare i prezzi nei servizi</w:t>
      </w:r>
      <w:r w:rsidR="002D1514">
        <w:rPr>
          <w:rFonts w:ascii="Arial" w:eastAsia="Times New Roman" w:hAnsi="Arial" w:cs="Arial"/>
          <w:b/>
          <w:iCs/>
          <w:noProof/>
          <w:color w:val="008080"/>
          <w:spacing w:val="2"/>
          <w:sz w:val="22"/>
          <w:szCs w:val="22"/>
        </w:rPr>
        <w:t xml:space="preserve">. </w:t>
      </w:r>
      <w:r w:rsidR="002D1514">
        <w:rPr>
          <w:rFonts w:ascii="Arial" w:eastAsia="Times New Roman" w:hAnsi="Arial" w:cs="Arial"/>
          <w:bCs/>
          <w:iCs/>
          <w:noProof/>
          <w:spacing w:val="2"/>
          <w:sz w:val="22"/>
          <w:szCs w:val="22"/>
        </w:rPr>
        <w:t xml:space="preserve">In </w:t>
      </w:r>
      <w:r w:rsidRPr="003977A7">
        <w:rPr>
          <w:rFonts w:ascii="Arial" w:eastAsia="Times New Roman" w:hAnsi="Arial" w:cs="Arial"/>
          <w:bCs/>
          <w:iCs/>
          <w:noProof/>
          <w:spacing w:val="2"/>
          <w:sz w:val="22"/>
          <w:szCs w:val="22"/>
        </w:rPr>
        <w:t>agosto i prezzi dei servizi aumen</w:t>
      </w:r>
      <w:r w:rsidR="002D1514">
        <w:rPr>
          <w:rFonts w:ascii="Arial" w:eastAsia="Times New Roman" w:hAnsi="Arial" w:cs="Arial"/>
          <w:bCs/>
          <w:iCs/>
          <w:noProof/>
          <w:spacing w:val="2"/>
          <w:sz w:val="22"/>
          <w:szCs w:val="22"/>
        </w:rPr>
        <w:t xml:space="preserve">tano </w:t>
      </w:r>
      <w:r w:rsidR="000921CE">
        <w:rPr>
          <w:rFonts w:ascii="Arial" w:eastAsia="Times New Roman" w:hAnsi="Arial" w:cs="Arial"/>
          <w:bCs/>
          <w:iCs/>
          <w:noProof/>
          <w:spacing w:val="2"/>
          <w:sz w:val="22"/>
          <w:szCs w:val="22"/>
        </w:rPr>
        <w:t>(+</w:t>
      </w:r>
      <w:r w:rsidRPr="003977A7">
        <w:rPr>
          <w:rFonts w:ascii="Arial" w:eastAsia="Times New Roman" w:hAnsi="Arial" w:cs="Arial"/>
          <w:bCs/>
          <w:iCs/>
          <w:noProof/>
          <w:spacing w:val="2"/>
          <w:sz w:val="22"/>
          <w:szCs w:val="22"/>
        </w:rPr>
        <w:t>0,5% ri</w:t>
      </w:r>
      <w:r w:rsidR="002D1514">
        <w:rPr>
          <w:rFonts w:ascii="Arial" w:eastAsia="Times New Roman" w:hAnsi="Arial" w:cs="Arial"/>
          <w:bCs/>
          <w:iCs/>
          <w:noProof/>
          <w:spacing w:val="2"/>
          <w:sz w:val="22"/>
          <w:szCs w:val="22"/>
        </w:rPr>
        <w:t xml:space="preserve">spetto al mese precedente e </w:t>
      </w:r>
      <w:r w:rsidR="000921CE">
        <w:rPr>
          <w:rFonts w:ascii="Arial" w:eastAsia="Times New Roman" w:hAnsi="Arial" w:cs="Arial"/>
          <w:bCs/>
          <w:iCs/>
          <w:noProof/>
          <w:spacing w:val="2"/>
          <w:sz w:val="22"/>
          <w:szCs w:val="22"/>
        </w:rPr>
        <w:t>+</w:t>
      </w:r>
      <w:r w:rsidRPr="003977A7">
        <w:rPr>
          <w:rFonts w:ascii="Arial" w:eastAsia="Times New Roman" w:hAnsi="Arial" w:cs="Arial"/>
          <w:bCs/>
          <w:iCs/>
          <w:noProof/>
          <w:spacing w:val="2"/>
          <w:sz w:val="22"/>
          <w:szCs w:val="22"/>
        </w:rPr>
        <w:t>2,7%</w:t>
      </w:r>
      <w:r w:rsidR="00291976">
        <w:rPr>
          <w:rFonts w:ascii="Arial" w:eastAsia="Times New Roman" w:hAnsi="Arial" w:cs="Arial"/>
          <w:bCs/>
          <w:iCs/>
          <w:noProof/>
          <w:spacing w:val="2"/>
          <w:sz w:val="22"/>
          <w:szCs w:val="22"/>
        </w:rPr>
        <w:t xml:space="preserve"> rispetto allo stesso mese del </w:t>
      </w:r>
      <w:r w:rsidRPr="003977A7">
        <w:rPr>
          <w:rFonts w:ascii="Arial" w:eastAsia="Times New Roman" w:hAnsi="Arial" w:cs="Arial"/>
          <w:bCs/>
          <w:iCs/>
          <w:noProof/>
          <w:spacing w:val="2"/>
          <w:sz w:val="22"/>
          <w:szCs w:val="22"/>
        </w:rPr>
        <w:t>2024</w:t>
      </w:r>
      <w:r w:rsidR="000921CE">
        <w:rPr>
          <w:rFonts w:ascii="Arial" w:eastAsia="Times New Roman" w:hAnsi="Arial" w:cs="Arial"/>
          <w:bCs/>
          <w:iCs/>
          <w:noProof/>
          <w:spacing w:val="2"/>
          <w:sz w:val="22"/>
          <w:szCs w:val="22"/>
        </w:rPr>
        <w:t>)</w:t>
      </w:r>
      <w:r w:rsidR="002D1514">
        <w:rPr>
          <w:rFonts w:ascii="Arial" w:eastAsia="Times New Roman" w:hAnsi="Arial" w:cs="Arial"/>
          <w:bCs/>
          <w:iCs/>
          <w:noProof/>
          <w:spacing w:val="2"/>
          <w:sz w:val="22"/>
          <w:szCs w:val="22"/>
        </w:rPr>
        <w:t>.</w:t>
      </w:r>
      <w:r w:rsidRPr="003977A7">
        <w:rPr>
          <w:rFonts w:ascii="Arial" w:eastAsia="Times New Roman" w:hAnsi="Arial" w:cs="Arial"/>
          <w:bCs/>
          <w:iCs/>
          <w:noProof/>
          <w:spacing w:val="2"/>
          <w:sz w:val="22"/>
          <w:szCs w:val="22"/>
        </w:rPr>
        <w:t xml:space="preserve"> La crescita è dovuta soprattutto al deciso </w:t>
      </w:r>
      <w:r w:rsidR="002D1514">
        <w:rPr>
          <w:rFonts w:ascii="Arial" w:eastAsia="Times New Roman" w:hAnsi="Arial" w:cs="Arial"/>
          <w:bCs/>
          <w:iCs/>
          <w:noProof/>
          <w:spacing w:val="2"/>
          <w:sz w:val="22"/>
          <w:szCs w:val="22"/>
        </w:rPr>
        <w:t>rialzo</w:t>
      </w:r>
      <w:r w:rsidRPr="003977A7">
        <w:rPr>
          <w:rFonts w:ascii="Arial" w:eastAsia="Times New Roman" w:hAnsi="Arial" w:cs="Arial"/>
          <w:bCs/>
          <w:iCs/>
          <w:noProof/>
          <w:spacing w:val="2"/>
          <w:sz w:val="22"/>
          <w:szCs w:val="22"/>
        </w:rPr>
        <w:t xml:space="preserve"> nei servizi di trasporto </w:t>
      </w:r>
      <w:r w:rsidRPr="003977A7">
        <w:rPr>
          <w:rFonts w:ascii="Arial" w:eastAsia="Times New Roman" w:hAnsi="Arial" w:cs="Arial"/>
          <w:sz w:val="22"/>
          <w:szCs w:val="22"/>
        </w:rPr>
        <w:t>(+2,1% in termini congiunturali) e, seppure in misura minore, nei servizi ricreativi (+0,3%), mentre è proseguita la riduzione, iniziata nel secondo trimestre dell’anno, nei servizi di comunicazione (-0,2%).</w:t>
      </w:r>
    </w:p>
    <w:p w14:paraId="668A9064" w14:textId="2A696740" w:rsidR="003977A7" w:rsidRPr="003977A7" w:rsidRDefault="003977A7" w:rsidP="003977A7">
      <w:pPr>
        <w:autoSpaceDE w:val="0"/>
        <w:autoSpaceDN w:val="0"/>
        <w:adjustRightInd w:val="0"/>
        <w:spacing w:before="60" w:after="120"/>
        <w:ind w:right="-6"/>
        <w:jc w:val="both"/>
        <w:rPr>
          <w:rFonts w:ascii="Arial" w:eastAsia="Times New Roman" w:hAnsi="Arial" w:cs="Arial"/>
          <w:sz w:val="22"/>
          <w:szCs w:val="22"/>
        </w:rPr>
      </w:pPr>
      <w:r w:rsidRPr="003977A7">
        <w:rPr>
          <w:rFonts w:ascii="Arial" w:eastAsia="Times New Roman" w:hAnsi="Arial" w:cs="Arial"/>
          <w:b/>
          <w:iCs/>
          <w:noProof/>
          <w:color w:val="008080"/>
          <w:spacing w:val="2"/>
          <w:sz w:val="22"/>
          <w:szCs w:val="22"/>
        </w:rPr>
        <w:t>L’inflazione di fondo supera il 2</w:t>
      </w:r>
      <w:r w:rsidR="000921CE">
        <w:rPr>
          <w:rFonts w:ascii="Arial" w:eastAsia="Times New Roman" w:hAnsi="Arial" w:cs="Arial"/>
          <w:b/>
          <w:iCs/>
          <w:noProof/>
          <w:color w:val="008080"/>
          <w:spacing w:val="2"/>
          <w:sz w:val="22"/>
          <w:szCs w:val="22"/>
        </w:rPr>
        <w:t>,0</w:t>
      </w:r>
      <w:r w:rsidRPr="003977A7">
        <w:rPr>
          <w:rFonts w:ascii="Arial" w:eastAsia="Times New Roman" w:hAnsi="Arial" w:cs="Arial"/>
          <w:b/>
          <w:iCs/>
          <w:noProof/>
          <w:color w:val="008080"/>
          <w:spacing w:val="2"/>
          <w:sz w:val="22"/>
          <w:szCs w:val="22"/>
        </w:rPr>
        <w:t>%</w:t>
      </w:r>
      <w:r w:rsidRPr="003977A7">
        <w:rPr>
          <w:rFonts w:ascii="Arial" w:eastAsia="Times New Roman" w:hAnsi="Arial" w:cs="Arial"/>
          <w:sz w:val="22"/>
          <w:szCs w:val="22"/>
        </w:rPr>
        <w:t xml:space="preserve">. L’inflazione relativa alla componente di fondo (al netto degli energetici e alimentari non lavorati) in agosto è stata pari al 2,1% (2% in media negli ultimi 5 mesi; 1,7% in media nel primo trimestre dell’anno), portando l’inflazione di fondo acquisita per il 2025 al 2,1%, dall’1,9% di luglio. </w:t>
      </w:r>
    </w:p>
    <w:p w14:paraId="6CD23BBE" w14:textId="1E614686" w:rsidR="003977A7" w:rsidRPr="003977A7" w:rsidRDefault="003977A7" w:rsidP="003977A7">
      <w:pPr>
        <w:spacing w:before="60" w:after="120"/>
        <w:ind w:right="-6"/>
        <w:jc w:val="both"/>
        <w:rPr>
          <w:rFonts w:ascii="Arial" w:eastAsia="Times New Roman" w:hAnsi="Arial" w:cs="Arial"/>
          <w:sz w:val="22"/>
          <w:szCs w:val="22"/>
        </w:rPr>
      </w:pPr>
      <w:r w:rsidRPr="003977A7">
        <w:rPr>
          <w:rFonts w:ascii="Arial" w:eastAsia="Times New Roman" w:hAnsi="Arial" w:cs="Arial"/>
          <w:b/>
          <w:iCs/>
          <w:noProof/>
          <w:color w:val="008080"/>
          <w:spacing w:val="2"/>
          <w:sz w:val="22"/>
          <w:szCs w:val="22"/>
        </w:rPr>
        <w:t>Stabile l’inflazione IPCA in Italia e ancora significativamente più bassa della media dell’area euro.</w:t>
      </w:r>
      <w:r w:rsidRPr="003977A7">
        <w:rPr>
          <w:rFonts w:ascii="Arial" w:eastAsia="Times New Roman" w:hAnsi="Arial" w:cs="Arial"/>
          <w:spacing w:val="-3"/>
          <w:sz w:val="22"/>
          <w:szCs w:val="22"/>
        </w:rPr>
        <w:t xml:space="preserve"> Ad agosto in Italia l’</w:t>
      </w:r>
      <w:hyperlink r:id="rId31" w:history="1">
        <w:r w:rsidRPr="00DE521E">
          <w:rPr>
            <w:rStyle w:val="Collegamentoipertestuale"/>
            <w:rFonts w:ascii="Arial" w:eastAsia="Times New Roman" w:hAnsi="Arial" w:cs="Arial"/>
            <w:spacing w:val="-3"/>
            <w:sz w:val="22"/>
            <w:szCs w:val="22"/>
          </w:rPr>
          <w:t>indice armonizzato dei prezzi al consumo</w:t>
        </w:r>
      </w:hyperlink>
      <w:r w:rsidRPr="003977A7">
        <w:rPr>
          <w:rFonts w:ascii="Arial" w:eastAsia="Times New Roman" w:hAnsi="Arial" w:cs="Arial"/>
          <w:spacing w:val="-3"/>
          <w:sz w:val="22"/>
          <w:szCs w:val="22"/>
        </w:rPr>
        <w:t xml:space="preserve"> </w:t>
      </w:r>
      <w:r w:rsidRPr="003977A7">
        <w:rPr>
          <w:rFonts w:ascii="Arial" w:eastAsia="Times New Roman" w:hAnsi="Arial" w:cs="Arial"/>
          <w:sz w:val="22"/>
          <w:szCs w:val="22"/>
        </w:rPr>
        <w:t xml:space="preserve">(IPCA) registra una variazione in termini congiunturali pari a -0,2% (-1% a luglio), a causa dei saldi estivi di cui l’indice NIC non tiene conto; su base tendenziale rimane stabile rispetto a luglio (+1,7%) e inferiore alla media dell’area euro (+2% a luglio e +2,1% ad agosto). Il confronto con gli altri principali paesi europei evidenzia una dinamica più contenuta </w:t>
      </w:r>
      <w:r w:rsidR="00B754A6" w:rsidRPr="003977A7">
        <w:rPr>
          <w:rFonts w:ascii="Arial" w:eastAsia="Times New Roman" w:hAnsi="Arial" w:cs="Arial"/>
          <w:sz w:val="22"/>
          <w:szCs w:val="22"/>
        </w:rPr>
        <w:t xml:space="preserve">sia </w:t>
      </w:r>
      <w:r w:rsidRPr="003977A7">
        <w:rPr>
          <w:rFonts w:ascii="Arial" w:eastAsia="Times New Roman" w:hAnsi="Arial" w:cs="Arial"/>
          <w:sz w:val="22"/>
          <w:szCs w:val="22"/>
        </w:rPr>
        <w:t>rispetto alla Germania (+1,8% a luglio; +2,1% in agosto) sia alla Spagna (+2,7% in entrambi i mesi), mentre in Francia la crescita dei prezzi risulta più moderata</w:t>
      </w:r>
      <w:r w:rsidR="00B754A6">
        <w:rPr>
          <w:rFonts w:ascii="Arial" w:eastAsia="Times New Roman" w:hAnsi="Arial" w:cs="Arial"/>
          <w:sz w:val="22"/>
          <w:szCs w:val="22"/>
        </w:rPr>
        <w:t xml:space="preserve"> </w:t>
      </w:r>
      <w:r w:rsidRPr="003977A7">
        <w:rPr>
          <w:rFonts w:ascii="Arial" w:eastAsia="Times New Roman" w:hAnsi="Arial" w:cs="Arial"/>
          <w:sz w:val="22"/>
          <w:szCs w:val="22"/>
        </w:rPr>
        <w:t xml:space="preserve">(+0,9%a luglio; +0,8% in agosto). </w:t>
      </w:r>
    </w:p>
    <w:p w14:paraId="584AEC0C" w14:textId="4913F10D" w:rsidR="003977A7" w:rsidRPr="003977A7" w:rsidRDefault="005368A3" w:rsidP="003977A7">
      <w:pPr>
        <w:spacing w:before="60" w:after="120"/>
        <w:ind w:right="-6"/>
        <w:jc w:val="both"/>
        <w:rPr>
          <w:rFonts w:ascii="Arial" w:eastAsia="Times New Roman" w:hAnsi="Arial" w:cs="Arial"/>
          <w:sz w:val="22"/>
          <w:szCs w:val="22"/>
        </w:rPr>
      </w:pPr>
      <w:r>
        <w:rPr>
          <w:rFonts w:ascii="Arial" w:eastAsia="Times New Roman" w:hAnsi="Arial" w:cs="Arial"/>
          <w:b/>
          <w:iCs/>
          <w:noProof/>
          <w:color w:val="008080"/>
          <w:spacing w:val="2"/>
          <w:sz w:val="22"/>
          <w:szCs w:val="22"/>
        </w:rPr>
        <w:t>Aumentano</w:t>
      </w:r>
      <w:r w:rsidRPr="003977A7">
        <w:rPr>
          <w:rFonts w:ascii="Arial" w:eastAsia="Times New Roman" w:hAnsi="Arial" w:cs="Arial"/>
          <w:b/>
          <w:iCs/>
          <w:noProof/>
          <w:color w:val="008080"/>
          <w:spacing w:val="2"/>
          <w:sz w:val="22"/>
          <w:szCs w:val="22"/>
        </w:rPr>
        <w:t xml:space="preserve"> </w:t>
      </w:r>
      <w:r w:rsidR="003977A7" w:rsidRPr="003977A7">
        <w:rPr>
          <w:rFonts w:ascii="Arial" w:eastAsia="Times New Roman" w:hAnsi="Arial" w:cs="Arial"/>
          <w:b/>
          <w:iCs/>
          <w:noProof/>
          <w:color w:val="008080"/>
          <w:spacing w:val="2"/>
          <w:sz w:val="22"/>
          <w:szCs w:val="22"/>
        </w:rPr>
        <w:t xml:space="preserve">lievemente i prezzi dei prodotti industriali importati. </w:t>
      </w:r>
      <w:r w:rsidR="003977A7" w:rsidRPr="003977A7">
        <w:rPr>
          <w:rFonts w:ascii="Arial" w:eastAsia="Times New Roman" w:hAnsi="Arial" w:cs="Arial"/>
          <w:spacing w:val="-3"/>
          <w:sz w:val="22"/>
          <w:szCs w:val="22"/>
        </w:rPr>
        <w:t xml:space="preserve">A giugno 2025 (ultimo dato disponibile) i </w:t>
      </w:r>
      <w:hyperlink r:id="rId32" w:history="1">
        <w:r w:rsidR="003977A7" w:rsidRPr="00EE2F3D">
          <w:rPr>
            <w:rStyle w:val="Collegamentoipertestuale"/>
            <w:rFonts w:ascii="Arial" w:eastAsia="Times New Roman" w:hAnsi="Arial" w:cs="Arial"/>
            <w:spacing w:val="-3"/>
            <w:sz w:val="22"/>
            <w:szCs w:val="22"/>
          </w:rPr>
          <w:t>prezzi dei prodotti importati</w:t>
        </w:r>
      </w:hyperlink>
      <w:r w:rsidR="003977A7" w:rsidRPr="003977A7">
        <w:rPr>
          <w:rFonts w:ascii="Arial" w:eastAsia="Times New Roman" w:hAnsi="Arial" w:cs="Arial"/>
          <w:spacing w:val="-3"/>
          <w:sz w:val="22"/>
          <w:szCs w:val="22"/>
        </w:rPr>
        <w:t xml:space="preserve">, dopo tre mesi di discesa (-3,5% la variazione da marzo a maggio), sono aumentati dello 0,2 per cento in termini congiunturali, </w:t>
      </w:r>
      <w:r w:rsidR="003977A7" w:rsidRPr="003977A7">
        <w:rPr>
          <w:rFonts w:ascii="Arial" w:eastAsia="Times New Roman" w:hAnsi="Arial" w:cs="Arial"/>
          <w:sz w:val="22"/>
          <w:szCs w:val="22"/>
        </w:rPr>
        <w:t>per effetto della risalita dei prezzi dei beni energetici (+3%) in presenza di una lieve discesa dei prezzi degli altri prodotti (-0,1). In termini tendenziali la dinamica è rimasta negativa (-2,7%; -3% a maggio).</w:t>
      </w:r>
    </w:p>
    <w:p w14:paraId="4D4E644C" w14:textId="00E93B1A" w:rsidR="003977A7" w:rsidRPr="003977A7" w:rsidRDefault="003977A7" w:rsidP="003977A7">
      <w:pPr>
        <w:spacing w:before="60" w:after="120"/>
        <w:ind w:right="-6"/>
        <w:jc w:val="both"/>
        <w:rPr>
          <w:rFonts w:ascii="Arial" w:eastAsia="Times New Roman" w:hAnsi="Arial" w:cs="Arial"/>
          <w:color w:val="000000"/>
          <w:spacing w:val="-3"/>
          <w:sz w:val="22"/>
          <w:szCs w:val="22"/>
        </w:rPr>
      </w:pPr>
      <w:r w:rsidRPr="003977A7">
        <w:rPr>
          <w:rFonts w:ascii="Arial" w:eastAsia="Times New Roman" w:hAnsi="Arial" w:cs="Arial"/>
          <w:b/>
          <w:iCs/>
          <w:noProof/>
          <w:color w:val="008080"/>
          <w:spacing w:val="2"/>
          <w:sz w:val="22"/>
          <w:szCs w:val="22"/>
        </w:rPr>
        <w:t>A luglio hanno ripreso a crescere i prezzi alla produzione nel comparto energetico…</w:t>
      </w:r>
      <w:r w:rsidRPr="003977A7">
        <w:rPr>
          <w:rFonts w:ascii="Arial" w:eastAsia="Times New Roman" w:hAnsi="Arial" w:cs="Arial"/>
          <w:color w:val="000000"/>
          <w:spacing w:val="-3"/>
          <w:sz w:val="22"/>
          <w:szCs w:val="22"/>
        </w:rPr>
        <w:t xml:space="preserve"> Dopo tre mesi di ribassi, a giugno e a luglio i </w:t>
      </w:r>
      <w:hyperlink r:id="rId33" w:history="1">
        <w:r w:rsidRPr="00DE521E">
          <w:rPr>
            <w:rStyle w:val="Collegamentoipertestuale"/>
            <w:rFonts w:ascii="Arial" w:eastAsia="Times New Roman" w:hAnsi="Arial" w:cs="Arial"/>
            <w:spacing w:val="-3"/>
            <w:sz w:val="22"/>
            <w:szCs w:val="22"/>
          </w:rPr>
          <w:t>prezzi alla produzione dell’industria</w:t>
        </w:r>
      </w:hyperlink>
      <w:r w:rsidRPr="003977A7">
        <w:rPr>
          <w:rFonts w:ascii="Arial" w:eastAsia="Times New Roman" w:hAnsi="Arial" w:cs="Arial"/>
          <w:spacing w:val="-3"/>
          <w:sz w:val="22"/>
          <w:szCs w:val="22"/>
        </w:rPr>
        <w:t xml:space="preserve"> hanno ripreso a crescere (+1,4% e +0,5% rispettivamente)</w:t>
      </w:r>
      <w:r w:rsidRPr="003977A7">
        <w:rPr>
          <w:rFonts w:ascii="Arial" w:eastAsia="Times New Roman" w:hAnsi="Arial" w:cs="Arial"/>
          <w:color w:val="000000"/>
          <w:spacing w:val="-3"/>
          <w:sz w:val="22"/>
          <w:szCs w:val="22"/>
        </w:rPr>
        <w:t xml:space="preserve">, principalmente a causa degli andamenti nel comparto energetico (+6,2% a giugno e +1,7% a luglio). Negli altri comparti industriali, i prezzi alla produzione sono rimasti invariati a luglio (-0,2% a giugno). Complessivamente si registra un aumento tendenziale pari all’1,6% (+2,4% nel mese precedente). </w:t>
      </w:r>
    </w:p>
    <w:p w14:paraId="536A8C94" w14:textId="77777777" w:rsidR="003977A7" w:rsidRPr="003977A7" w:rsidRDefault="003977A7" w:rsidP="003977A7">
      <w:pPr>
        <w:spacing w:before="60" w:after="120"/>
        <w:ind w:right="-6"/>
        <w:jc w:val="both"/>
        <w:rPr>
          <w:rFonts w:ascii="Arial" w:eastAsia="Times New Roman" w:hAnsi="Arial" w:cs="Arial"/>
          <w:color w:val="000000"/>
          <w:spacing w:val="-3"/>
          <w:sz w:val="22"/>
          <w:szCs w:val="22"/>
        </w:rPr>
      </w:pPr>
      <w:r w:rsidRPr="003977A7">
        <w:rPr>
          <w:rFonts w:ascii="Arial" w:eastAsia="Times New Roman" w:hAnsi="Arial" w:cs="Arial"/>
          <w:b/>
          <w:iCs/>
          <w:noProof/>
          <w:color w:val="008080"/>
          <w:spacing w:val="2"/>
          <w:sz w:val="22"/>
          <w:szCs w:val="22"/>
        </w:rPr>
        <w:t>.. e, in misura più limitata, nelle costruzioni</w:t>
      </w:r>
      <w:r w:rsidRPr="003977A7">
        <w:rPr>
          <w:rFonts w:ascii="Arial" w:eastAsia="Times New Roman" w:hAnsi="Arial" w:cs="Arial"/>
          <w:color w:val="000000"/>
          <w:spacing w:val="-3"/>
          <w:sz w:val="22"/>
          <w:szCs w:val="22"/>
        </w:rPr>
        <w:t>. Nel settore delle costruzioni i prezzi alla produzione in termini congiunturali aumentano nel mese di luglio dello 0,1% per gli edifici (-0,3% a giugno) e dello 0,2% per strade e ferrovie (-0,1% nel mese precedente). In termini tendenziali la dinamica rallenta per gli edifici (+1% da +1,8%) e risulta stazionaria per strade e ferrovie (+0,3% in giugno).</w:t>
      </w:r>
    </w:p>
    <w:p w14:paraId="399FE2DB" w14:textId="610B3B96" w:rsidR="003977A7" w:rsidRPr="003977A7" w:rsidRDefault="003977A7" w:rsidP="003977A7">
      <w:pPr>
        <w:spacing w:before="60" w:after="120"/>
        <w:ind w:right="-6"/>
        <w:jc w:val="both"/>
        <w:rPr>
          <w:rFonts w:ascii="Arial" w:eastAsia="Times New Roman" w:hAnsi="Arial" w:cs="Arial"/>
          <w:sz w:val="22"/>
          <w:szCs w:val="22"/>
        </w:rPr>
      </w:pPr>
      <w:r w:rsidRPr="003977A7">
        <w:rPr>
          <w:rFonts w:ascii="Arial" w:eastAsia="Times New Roman" w:hAnsi="Arial" w:cs="Arial"/>
          <w:b/>
          <w:iCs/>
          <w:noProof/>
          <w:color w:val="008080"/>
          <w:spacing w:val="2"/>
          <w:sz w:val="22"/>
          <w:szCs w:val="22"/>
        </w:rPr>
        <w:t xml:space="preserve">Tra i consumatori aumentano le attese di rialzo dell’inflazione… </w:t>
      </w:r>
      <w:r w:rsidRPr="003977A7">
        <w:rPr>
          <w:rFonts w:ascii="Arial" w:eastAsia="Times New Roman" w:hAnsi="Arial" w:cs="Arial"/>
          <w:sz w:val="22"/>
          <w:szCs w:val="22"/>
        </w:rPr>
        <w:t xml:space="preserve">Ad agosto tra i consumatori aumenta, per il secondo mese consecutivo, la quota di coloro che si </w:t>
      </w:r>
      <w:hyperlink r:id="rId34" w:history="1">
        <w:r w:rsidRPr="00EB184A">
          <w:rPr>
            <w:rStyle w:val="Collegamentoipertestuale"/>
            <w:rFonts w:ascii="Arial" w:eastAsia="Times New Roman" w:hAnsi="Arial" w:cs="Arial"/>
            <w:sz w:val="22"/>
            <w:szCs w:val="22"/>
          </w:rPr>
          <w:t>attendono un rialzo dell’inflazione</w:t>
        </w:r>
      </w:hyperlink>
      <w:r w:rsidRPr="003977A7">
        <w:rPr>
          <w:rFonts w:ascii="Arial" w:eastAsia="Times New Roman" w:hAnsi="Arial" w:cs="Arial"/>
          <w:sz w:val="22"/>
          <w:szCs w:val="22"/>
        </w:rPr>
        <w:t xml:space="preserve"> nei successivi 12 mesi rispetto ai 12 mesi passati (45,6% rispetto al 42,6% in luglio) e diminuisce il numero di coloro che si attendono una stabilità (14,5% rispetto al 17% di luglio), a fronte di una quota invariata di coloro che si aspettano una riduzione (39,1% in entrambi i mesi). </w:t>
      </w:r>
    </w:p>
    <w:p w14:paraId="1B36506B" w14:textId="1C0A444F" w:rsidR="005432BF" w:rsidRPr="005432BF" w:rsidRDefault="003977A7" w:rsidP="005432BF">
      <w:pPr>
        <w:spacing w:before="60" w:after="120"/>
        <w:ind w:right="-6"/>
        <w:jc w:val="both"/>
        <w:rPr>
          <w:rFonts w:ascii="Arial" w:eastAsia="Times New Roman" w:hAnsi="Arial" w:cs="Arial"/>
          <w:sz w:val="22"/>
          <w:szCs w:val="22"/>
        </w:rPr>
      </w:pPr>
      <w:r w:rsidRPr="003977A7">
        <w:rPr>
          <w:rFonts w:ascii="Arial" w:eastAsia="Times New Roman" w:hAnsi="Arial" w:cs="Arial"/>
          <w:b/>
          <w:iCs/>
          <w:noProof/>
          <w:color w:val="008080"/>
          <w:spacing w:val="2"/>
          <w:sz w:val="22"/>
          <w:szCs w:val="22"/>
        </w:rPr>
        <w:t>.. ma anche la quota delle imprese che intendono mantenere stabili i listini</w:t>
      </w:r>
      <w:r w:rsidRPr="003977A7">
        <w:rPr>
          <w:rFonts w:ascii="Arial" w:eastAsia="Times New Roman" w:hAnsi="Arial" w:cs="Arial"/>
          <w:color w:val="000000"/>
          <w:sz w:val="22"/>
          <w:szCs w:val="22"/>
        </w:rPr>
        <w:t xml:space="preserve">. La quota delle imprese che intendono mantenere stabili i listini nei successivi tre mesi aumenta ad agosto in tutti i comparti (da 87,9% di luglio a 88,4% nel comparto manifatturiero; da 91,4% a 93,6% in quello delle costruzioni; da 83,3% a 83,4% nel comparto del commercio al dettaglio; da 88,6% a 89,7% nei servizi di mercato). </w:t>
      </w:r>
      <w:r w:rsidR="005432BF" w:rsidRPr="00C80DA9">
        <w:rPr>
          <w:rFonts w:ascii="Arial" w:eastAsia="Times New Roman" w:hAnsi="Arial" w:cs="Arial"/>
          <w:color w:val="000000"/>
          <w:sz w:val="22"/>
          <w:szCs w:val="22"/>
        </w:rPr>
        <w:t>Parallelamente, il saldo tra le quote relative alle attese di rialzo e quelle di ribasso si riduce in tutti i settori ad eccezione del commercio: nella manifattura da 4,7 di luglio a 4,6 punti percentuali; nelle costruzioni da 4,6 a 3,7; nei servizi di mercato da 5,1 a 4,6 punti; nel commercio il saldo invece aumenta da 9,4 di luglio a 10,3 punti in agosto.</w:t>
      </w:r>
    </w:p>
    <w:p w14:paraId="4CEAA43E" w14:textId="77777777" w:rsidR="002938E6" w:rsidRPr="002938E6" w:rsidRDefault="002938E6" w:rsidP="002938E6">
      <w:pPr>
        <w:spacing w:before="60" w:after="120"/>
        <w:ind w:right="-6"/>
        <w:jc w:val="both"/>
        <w:rPr>
          <w:rFonts w:ascii="Arial" w:eastAsia="Times New Roman" w:hAnsi="Arial" w:cs="Arial"/>
          <w:sz w:val="22"/>
          <w:szCs w:val="22"/>
        </w:rPr>
      </w:pPr>
      <w:r w:rsidRPr="002938E6">
        <w:rPr>
          <w:rFonts w:ascii="Arial" w:eastAsia="Times New Roman" w:hAnsi="Arial" w:cs="Arial"/>
          <w:sz w:val="22"/>
          <w:szCs w:val="22"/>
        </w:rPr>
        <w:br w:type="page"/>
      </w:r>
    </w:p>
    <w:p w14:paraId="60ABC027" w14:textId="77777777" w:rsidR="002938E6" w:rsidRPr="002938E6" w:rsidRDefault="002938E6" w:rsidP="002938E6">
      <w:r w:rsidRPr="002938E6">
        <w:rPr>
          <w:noProof/>
          <w:spacing w:val="2"/>
          <w:sz w:val="20"/>
          <w:lang w:val="en-GB" w:eastAsia="en-GB"/>
        </w:rPr>
        <w:drawing>
          <wp:anchor distT="0" distB="0" distL="114300" distR="114300" simplePos="0" relativeHeight="251678720" behindDoc="0" locked="0" layoutInCell="1" allowOverlap="1" wp14:anchorId="66CC2F14" wp14:editId="42370E7F">
            <wp:simplePos x="0" y="0"/>
            <wp:positionH relativeFrom="column">
              <wp:posOffset>-2782570</wp:posOffset>
            </wp:positionH>
            <wp:positionV relativeFrom="paragraph">
              <wp:posOffset>16493</wp:posOffset>
            </wp:positionV>
            <wp:extent cx="4050000" cy="431661"/>
            <wp:effectExtent l="0" t="0" r="1905" b="63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35"/>
                    <a:stretch>
                      <a:fillRect/>
                    </a:stretch>
                  </pic:blipFill>
                  <pic:spPr>
                    <a:xfrm>
                      <a:off x="0" y="0"/>
                      <a:ext cx="4050000" cy="431661"/>
                    </a:xfrm>
                    <a:prstGeom prst="rect">
                      <a:avLst/>
                    </a:prstGeom>
                  </pic:spPr>
                </pic:pic>
              </a:graphicData>
            </a:graphic>
            <wp14:sizeRelH relativeFrom="margin">
              <wp14:pctWidth>0</wp14:pctWidth>
            </wp14:sizeRelH>
            <wp14:sizeRelV relativeFrom="margin">
              <wp14:pctHeight>0</wp14:pctHeight>
            </wp14:sizeRelV>
          </wp:anchor>
        </w:drawing>
      </w:r>
    </w:p>
    <w:p w14:paraId="37F78C02" w14:textId="77777777" w:rsidR="002938E6" w:rsidRPr="002938E6" w:rsidRDefault="002938E6" w:rsidP="002938E6">
      <w:pPr>
        <w:ind w:right="284"/>
        <w:jc w:val="both"/>
        <w:rPr>
          <w:rFonts w:ascii="Arial" w:eastAsia="Times New Roman" w:hAnsi="Arial" w:cs="Arial"/>
          <w:iCs/>
          <w:color w:val="008080"/>
          <w:spacing w:val="2"/>
          <w:sz w:val="20"/>
          <w:szCs w:val="19"/>
        </w:rPr>
      </w:pPr>
    </w:p>
    <w:p w14:paraId="2EC2FB86" w14:textId="77777777" w:rsidR="002938E6" w:rsidRPr="002938E6" w:rsidRDefault="002938E6" w:rsidP="002938E6">
      <w:pPr>
        <w:suppressAutoHyphens/>
        <w:ind w:right="2124"/>
        <w:rPr>
          <w:rFonts w:ascii="Arial" w:hAnsi="Arial" w:cs="Arial"/>
          <w:b/>
          <w:color w:val="008080"/>
          <w:spacing w:val="-2"/>
          <w:sz w:val="26"/>
          <w:szCs w:val="26"/>
        </w:rPr>
      </w:pPr>
    </w:p>
    <w:p w14:paraId="1091DA87" w14:textId="77777777" w:rsidR="003B2F18" w:rsidRPr="00F94D5B" w:rsidRDefault="003B2F18" w:rsidP="003B2F18">
      <w:pPr>
        <w:suppressAutoHyphens/>
        <w:spacing w:after="120"/>
        <w:contextualSpacing/>
        <w:jc w:val="both"/>
        <w:rPr>
          <w:rFonts w:ascii="Arial" w:hAnsi="Arial" w:cs="Times New Roman"/>
          <w:b/>
          <w:color w:val="008080"/>
          <w:spacing w:val="-2"/>
          <w:sz w:val="28"/>
          <w:szCs w:val="28"/>
          <w:vertAlign w:val="superscript"/>
        </w:rPr>
      </w:pPr>
      <w:r>
        <w:rPr>
          <w:rFonts w:ascii="Arial" w:hAnsi="Arial" w:cs="Arial"/>
          <w:b/>
          <w:color w:val="008080"/>
          <w:spacing w:val="-2"/>
        </w:rPr>
        <w:t>L’</w:t>
      </w:r>
      <w:r w:rsidRPr="00F94D5B">
        <w:rPr>
          <w:rFonts w:ascii="Arial" w:hAnsi="Arial" w:cs="Arial"/>
          <w:b/>
          <w:color w:val="008080"/>
          <w:spacing w:val="-2"/>
        </w:rPr>
        <w:t xml:space="preserve">IMPATTO DEI BONUS </w:t>
      </w:r>
      <w:r>
        <w:rPr>
          <w:rFonts w:ascii="Arial" w:hAnsi="Arial" w:cs="Arial"/>
          <w:b/>
          <w:color w:val="008080"/>
          <w:spacing w:val="-2"/>
        </w:rPr>
        <w:t>SOCIALI SULLA POVERTÀ ENERGETICA</w:t>
      </w:r>
      <w:r>
        <w:rPr>
          <w:rStyle w:val="Rimandonotaapidipagina"/>
          <w:rFonts w:ascii="Arial" w:hAnsi="Arial"/>
          <w:b/>
          <w:color w:val="008080"/>
          <w:spacing w:val="-2"/>
          <w:sz w:val="28"/>
          <w:szCs w:val="28"/>
        </w:rPr>
        <w:footnoteReference w:customMarkFollows="1" w:id="1"/>
        <w:t>*</w:t>
      </w:r>
    </w:p>
    <w:p w14:paraId="46792D8F" w14:textId="77777777" w:rsidR="003B2F18" w:rsidRPr="00F94D5B" w:rsidRDefault="003B2F18" w:rsidP="003B2F18">
      <w:pPr>
        <w:suppressAutoHyphens/>
        <w:spacing w:after="120"/>
        <w:contextualSpacing/>
        <w:jc w:val="both"/>
        <w:rPr>
          <w:rFonts w:ascii="Arial" w:hAnsi="Arial"/>
          <w:b/>
          <w:color w:val="008080"/>
          <w:spacing w:val="-2"/>
          <w:sz w:val="28"/>
          <w:szCs w:val="28"/>
        </w:rPr>
      </w:pPr>
    </w:p>
    <w:p w14:paraId="50FEF8B8" w14:textId="3CB3E3C4" w:rsidR="007C0E23" w:rsidRPr="000E6B9D" w:rsidRDefault="007C0E23" w:rsidP="007C0E23">
      <w:pPr>
        <w:jc w:val="both"/>
        <w:rPr>
          <w:rFonts w:ascii="Arial" w:hAnsi="Arial" w:cs="Arial"/>
          <w:iCs/>
          <w:color w:val="104875"/>
          <w:sz w:val="20"/>
          <w:szCs w:val="20"/>
        </w:rPr>
      </w:pPr>
      <w:r w:rsidRPr="002046EA">
        <w:rPr>
          <w:rFonts w:ascii="Arial" w:hAnsi="Arial" w:cs="Arial"/>
          <w:iCs/>
          <w:color w:val="104875"/>
          <w:sz w:val="20"/>
          <w:szCs w:val="20"/>
        </w:rPr>
        <w:t xml:space="preserve">La </w:t>
      </w:r>
      <w:r>
        <w:rPr>
          <w:rFonts w:ascii="Arial" w:hAnsi="Arial" w:cs="Arial"/>
          <w:iCs/>
          <w:color w:val="104875"/>
          <w:sz w:val="20"/>
          <w:szCs w:val="20"/>
        </w:rPr>
        <w:t>ripresa della domanda di energia</w:t>
      </w:r>
      <w:r w:rsidRPr="002046EA">
        <w:rPr>
          <w:rFonts w:ascii="Arial" w:hAnsi="Arial" w:cs="Arial"/>
          <w:iCs/>
          <w:color w:val="104875"/>
          <w:sz w:val="20"/>
          <w:szCs w:val="20"/>
        </w:rPr>
        <w:t xml:space="preserve">, generata in particolare dal forte rimbalzo dell’economia </w:t>
      </w:r>
      <w:r>
        <w:rPr>
          <w:rFonts w:ascii="Arial" w:hAnsi="Arial" w:cs="Arial"/>
          <w:iCs/>
          <w:color w:val="104875"/>
          <w:sz w:val="20"/>
          <w:szCs w:val="20"/>
        </w:rPr>
        <w:t>nel periodo post-pandemico</w:t>
      </w:r>
      <w:r w:rsidRPr="002046EA">
        <w:rPr>
          <w:rFonts w:ascii="Arial" w:hAnsi="Arial" w:cs="Arial"/>
          <w:iCs/>
          <w:color w:val="104875"/>
          <w:sz w:val="20"/>
          <w:szCs w:val="20"/>
        </w:rPr>
        <w:t xml:space="preserve"> </w:t>
      </w:r>
      <w:r>
        <w:rPr>
          <w:rFonts w:ascii="Arial" w:hAnsi="Arial" w:cs="Arial"/>
          <w:iCs/>
          <w:color w:val="104875"/>
          <w:sz w:val="20"/>
          <w:szCs w:val="20"/>
        </w:rPr>
        <w:t xml:space="preserve">e gli effetti generati </w:t>
      </w:r>
      <w:r w:rsidRPr="002046EA">
        <w:rPr>
          <w:rFonts w:ascii="Arial" w:hAnsi="Arial" w:cs="Arial"/>
          <w:iCs/>
          <w:color w:val="104875"/>
          <w:sz w:val="20"/>
          <w:szCs w:val="20"/>
        </w:rPr>
        <w:t>dal conflitto russo-ucraino</w:t>
      </w:r>
      <w:r>
        <w:rPr>
          <w:rFonts w:ascii="Arial" w:hAnsi="Arial" w:cs="Arial"/>
          <w:iCs/>
          <w:color w:val="104875"/>
          <w:sz w:val="20"/>
          <w:szCs w:val="20"/>
        </w:rPr>
        <w:t>,</w:t>
      </w:r>
      <w:r w:rsidRPr="002046EA">
        <w:rPr>
          <w:rFonts w:ascii="Arial" w:hAnsi="Arial" w:cs="Arial"/>
          <w:iCs/>
          <w:color w:val="104875"/>
          <w:sz w:val="20"/>
          <w:szCs w:val="20"/>
        </w:rPr>
        <w:t xml:space="preserve"> ha</w:t>
      </w:r>
      <w:r>
        <w:rPr>
          <w:rFonts w:ascii="Arial" w:hAnsi="Arial" w:cs="Arial"/>
          <w:iCs/>
          <w:color w:val="104875"/>
          <w:sz w:val="20"/>
          <w:szCs w:val="20"/>
        </w:rPr>
        <w:t>nno</w:t>
      </w:r>
      <w:r w:rsidRPr="002046EA">
        <w:rPr>
          <w:rFonts w:ascii="Arial" w:hAnsi="Arial" w:cs="Arial"/>
          <w:iCs/>
          <w:color w:val="104875"/>
          <w:sz w:val="20"/>
          <w:szCs w:val="20"/>
        </w:rPr>
        <w:t xml:space="preserve"> determinato una impennata dei costi dell’energia che ha avuto un forte impatto sui bilanci d</w:t>
      </w:r>
      <w:r>
        <w:rPr>
          <w:rFonts w:ascii="Arial" w:hAnsi="Arial" w:cs="Arial"/>
          <w:iCs/>
          <w:color w:val="104875"/>
          <w:sz w:val="20"/>
          <w:szCs w:val="20"/>
        </w:rPr>
        <w:t xml:space="preserve">elle </w:t>
      </w:r>
      <w:r w:rsidRPr="002046EA">
        <w:rPr>
          <w:rFonts w:ascii="Arial" w:hAnsi="Arial" w:cs="Arial"/>
          <w:iCs/>
          <w:color w:val="104875"/>
          <w:sz w:val="20"/>
          <w:szCs w:val="20"/>
        </w:rPr>
        <w:t>famiglie</w:t>
      </w:r>
      <w:r>
        <w:rPr>
          <w:rFonts w:ascii="Arial" w:hAnsi="Arial" w:cs="Arial"/>
          <w:iCs/>
          <w:color w:val="104875"/>
          <w:sz w:val="20"/>
          <w:szCs w:val="20"/>
        </w:rPr>
        <w:t>, sia</w:t>
      </w:r>
      <w:r w:rsidRPr="002046EA">
        <w:rPr>
          <w:rFonts w:ascii="Arial" w:hAnsi="Arial" w:cs="Arial"/>
          <w:iCs/>
          <w:color w:val="104875"/>
          <w:sz w:val="20"/>
          <w:szCs w:val="20"/>
        </w:rPr>
        <w:t xml:space="preserve"> in Italia </w:t>
      </w:r>
      <w:r>
        <w:rPr>
          <w:rFonts w:ascii="Arial" w:hAnsi="Arial" w:cs="Arial"/>
          <w:iCs/>
          <w:color w:val="104875"/>
          <w:sz w:val="20"/>
          <w:szCs w:val="20"/>
        </w:rPr>
        <w:t>sia</w:t>
      </w:r>
      <w:r w:rsidRPr="002046EA">
        <w:rPr>
          <w:rFonts w:ascii="Arial" w:hAnsi="Arial" w:cs="Arial"/>
          <w:iCs/>
          <w:color w:val="104875"/>
          <w:sz w:val="20"/>
          <w:szCs w:val="20"/>
        </w:rPr>
        <w:t xml:space="preserve"> in numerosi altri paesi europei</w:t>
      </w:r>
      <w:r w:rsidRPr="000E6B9D">
        <w:rPr>
          <w:rFonts w:ascii="Arial" w:hAnsi="Arial" w:cs="Arial"/>
          <w:iCs/>
          <w:color w:val="104875"/>
          <w:sz w:val="20"/>
          <w:szCs w:val="20"/>
        </w:rPr>
        <w:t xml:space="preserve">. </w:t>
      </w:r>
    </w:p>
    <w:p w14:paraId="60989C5C" w14:textId="77777777" w:rsidR="007C0E23" w:rsidRDefault="007C0E23" w:rsidP="007C0E23">
      <w:pPr>
        <w:suppressAutoHyphens/>
        <w:spacing w:after="80"/>
        <w:jc w:val="both"/>
        <w:rPr>
          <w:rFonts w:ascii="Arial" w:hAnsi="Arial" w:cs="Arial"/>
          <w:iCs/>
          <w:color w:val="104875"/>
          <w:sz w:val="20"/>
          <w:szCs w:val="20"/>
        </w:rPr>
      </w:pPr>
      <w:r>
        <w:rPr>
          <w:rFonts w:ascii="Arial" w:hAnsi="Arial" w:cs="Arial"/>
          <w:iCs/>
          <w:color w:val="104875"/>
          <w:sz w:val="20"/>
          <w:szCs w:val="20"/>
        </w:rPr>
        <w:t>Gi</w:t>
      </w:r>
      <w:r w:rsidRPr="000E6B9D">
        <w:rPr>
          <w:rFonts w:ascii="Arial" w:hAnsi="Arial" w:cs="Arial"/>
          <w:iCs/>
          <w:color w:val="104875"/>
          <w:sz w:val="20"/>
          <w:szCs w:val="20"/>
        </w:rPr>
        <w:t xml:space="preserve">à a partire dal 2008 </w:t>
      </w:r>
      <w:r>
        <w:rPr>
          <w:rFonts w:ascii="Arial" w:hAnsi="Arial" w:cs="Arial"/>
          <w:iCs/>
          <w:color w:val="104875"/>
          <w:sz w:val="20"/>
          <w:szCs w:val="20"/>
        </w:rPr>
        <w:t xml:space="preserve">era </w:t>
      </w:r>
      <w:r w:rsidRPr="000E6B9D">
        <w:rPr>
          <w:rFonts w:ascii="Arial" w:hAnsi="Arial" w:cs="Arial"/>
          <w:iCs/>
          <w:color w:val="104875"/>
          <w:sz w:val="20"/>
          <w:szCs w:val="20"/>
        </w:rPr>
        <w:t>stat</w:t>
      </w:r>
      <w:r>
        <w:rPr>
          <w:rFonts w:ascii="Arial" w:hAnsi="Arial" w:cs="Arial"/>
          <w:iCs/>
          <w:color w:val="104875"/>
          <w:sz w:val="20"/>
          <w:szCs w:val="20"/>
        </w:rPr>
        <w:t>o</w:t>
      </w:r>
      <w:r w:rsidRPr="000E6B9D">
        <w:rPr>
          <w:rFonts w:ascii="Arial" w:hAnsi="Arial" w:cs="Arial"/>
          <w:iCs/>
          <w:color w:val="104875"/>
          <w:sz w:val="20"/>
          <w:szCs w:val="20"/>
        </w:rPr>
        <w:t xml:space="preserve"> introdott</w:t>
      </w:r>
      <w:r>
        <w:rPr>
          <w:rFonts w:ascii="Arial" w:hAnsi="Arial" w:cs="Arial"/>
          <w:iCs/>
          <w:color w:val="104875"/>
          <w:sz w:val="20"/>
          <w:szCs w:val="20"/>
        </w:rPr>
        <w:t>o</w:t>
      </w:r>
      <w:r w:rsidRPr="000E6B9D">
        <w:rPr>
          <w:rFonts w:ascii="Arial" w:hAnsi="Arial" w:cs="Arial"/>
          <w:iCs/>
          <w:color w:val="104875"/>
          <w:sz w:val="20"/>
          <w:szCs w:val="20"/>
        </w:rPr>
        <w:t xml:space="preserve"> dal governo italiano </w:t>
      </w:r>
      <w:r w:rsidRPr="00F94D5B">
        <w:rPr>
          <w:rFonts w:ascii="Arial" w:hAnsi="Arial" w:cs="Arial"/>
          <w:iCs/>
          <w:color w:val="104875"/>
          <w:sz w:val="20"/>
          <w:szCs w:val="20"/>
        </w:rPr>
        <w:t>un sistema di sussidi</w:t>
      </w:r>
      <w:r>
        <w:rPr>
          <w:rFonts w:ascii="Arial" w:hAnsi="Arial" w:cs="Arial"/>
          <w:iCs/>
          <w:color w:val="104875"/>
          <w:sz w:val="20"/>
          <w:szCs w:val="20"/>
        </w:rPr>
        <w:t xml:space="preserve"> (c.d. bonus sociali), in forma di sconto in bolletta, rivolti alle famiglie a basso reddito per sostenere le spese di elettricità e gas. A partire dal</w:t>
      </w:r>
      <w:r w:rsidRPr="00F94D5B">
        <w:rPr>
          <w:rFonts w:ascii="Arial" w:hAnsi="Arial" w:cs="Arial"/>
          <w:iCs/>
          <w:color w:val="104875"/>
          <w:sz w:val="20"/>
          <w:szCs w:val="20"/>
        </w:rPr>
        <w:t xml:space="preserve"> 2021</w:t>
      </w:r>
      <w:r>
        <w:rPr>
          <w:rFonts w:ascii="Arial" w:hAnsi="Arial" w:cs="Arial"/>
          <w:iCs/>
          <w:color w:val="104875"/>
          <w:sz w:val="20"/>
          <w:szCs w:val="20"/>
        </w:rPr>
        <w:t xml:space="preserve"> tali misure sono state rafforzate. Si sono succeduti infatti numerosi interventi di aggiornamento legislativo (ad esempio, per l’accesso al bonus non è più necessario presentare domanda ma</w:t>
      </w:r>
      <w:r w:rsidRPr="00F94D5B">
        <w:rPr>
          <w:rFonts w:ascii="Arial" w:hAnsi="Arial" w:cs="Arial"/>
          <w:iCs/>
          <w:color w:val="104875"/>
          <w:sz w:val="20"/>
          <w:szCs w:val="20"/>
        </w:rPr>
        <w:t xml:space="preserve"> </w:t>
      </w:r>
      <w:r>
        <w:rPr>
          <w:rFonts w:ascii="Arial" w:hAnsi="Arial" w:cs="Arial"/>
          <w:iCs/>
          <w:color w:val="104875"/>
          <w:sz w:val="20"/>
          <w:szCs w:val="20"/>
        </w:rPr>
        <w:t xml:space="preserve">è sufficiente aver ottenuto una attestazione ISEE) </w:t>
      </w:r>
      <w:r w:rsidRPr="00F94D5B">
        <w:rPr>
          <w:rFonts w:ascii="Arial" w:hAnsi="Arial" w:cs="Arial"/>
          <w:iCs/>
          <w:color w:val="104875"/>
          <w:sz w:val="20"/>
          <w:szCs w:val="20"/>
        </w:rPr>
        <w:t xml:space="preserve">e sono state stanziate ulteriori risorse finanziarie </w:t>
      </w:r>
      <w:r>
        <w:rPr>
          <w:rFonts w:ascii="Arial" w:hAnsi="Arial" w:cs="Arial"/>
          <w:iCs/>
          <w:color w:val="104875"/>
          <w:sz w:val="20"/>
          <w:szCs w:val="20"/>
        </w:rPr>
        <w:t>che hanno permesso di elevare, in alcuni periodi, l’offerta di sussidi in termini di soglie di accesso e importi</w:t>
      </w:r>
      <w:r w:rsidRPr="00F94D5B">
        <w:rPr>
          <w:rFonts w:ascii="Arial" w:hAnsi="Arial" w:cs="Arial"/>
          <w:iCs/>
          <w:color w:val="104875"/>
          <w:sz w:val="20"/>
          <w:szCs w:val="20"/>
        </w:rPr>
        <w:t xml:space="preserve">. </w:t>
      </w:r>
    </w:p>
    <w:p w14:paraId="59B35661" w14:textId="77777777" w:rsidR="007C0E23" w:rsidRDefault="007C0E23" w:rsidP="007C0E23">
      <w:pPr>
        <w:suppressAutoHyphens/>
        <w:spacing w:after="80"/>
        <w:jc w:val="both"/>
        <w:rPr>
          <w:rFonts w:ascii="Arial" w:hAnsi="Arial" w:cs="Arial"/>
          <w:iCs/>
          <w:color w:val="104875"/>
          <w:sz w:val="20"/>
          <w:szCs w:val="20"/>
        </w:rPr>
      </w:pPr>
      <w:r w:rsidRPr="00F94D5B">
        <w:rPr>
          <w:rFonts w:ascii="Arial" w:hAnsi="Arial" w:cs="Arial"/>
          <w:iCs/>
          <w:color w:val="104875"/>
          <w:sz w:val="20"/>
          <w:szCs w:val="20"/>
        </w:rPr>
        <w:t xml:space="preserve">In questo focus </w:t>
      </w:r>
      <w:r>
        <w:rPr>
          <w:rFonts w:ascii="Arial" w:hAnsi="Arial" w:cs="Arial"/>
          <w:iCs/>
          <w:color w:val="104875"/>
          <w:sz w:val="20"/>
          <w:szCs w:val="20"/>
        </w:rPr>
        <w:t xml:space="preserve">si presenta un’analisi, condotta utilizzando il modello di micro-simulazione dell’Istat </w:t>
      </w:r>
      <w:proofErr w:type="spellStart"/>
      <w:r>
        <w:rPr>
          <w:rFonts w:ascii="Arial" w:hAnsi="Arial" w:cs="Arial"/>
          <w:iCs/>
          <w:color w:val="104875"/>
          <w:sz w:val="20"/>
          <w:szCs w:val="20"/>
        </w:rPr>
        <w:t>FaMiMod</w:t>
      </w:r>
      <w:proofErr w:type="spellEnd"/>
      <w:r>
        <w:rPr>
          <w:rStyle w:val="Rimandonotaapidipagina"/>
          <w:rFonts w:ascii="Arial" w:hAnsi="Arial" w:cs="Arial"/>
          <w:iCs/>
          <w:color w:val="104875"/>
          <w:sz w:val="20"/>
          <w:szCs w:val="20"/>
        </w:rPr>
        <w:footnoteReference w:id="2"/>
      </w:r>
      <w:r>
        <w:rPr>
          <w:rFonts w:ascii="Arial" w:hAnsi="Arial" w:cs="Arial"/>
          <w:iCs/>
          <w:color w:val="104875"/>
          <w:sz w:val="20"/>
          <w:szCs w:val="20"/>
        </w:rPr>
        <w:t xml:space="preserve">, con l’obiettivo di individuare il profilo distributivo dei redditi delle </w:t>
      </w:r>
      <w:r w:rsidRPr="00F94D5B">
        <w:rPr>
          <w:rFonts w:ascii="Arial" w:hAnsi="Arial" w:cs="Arial"/>
          <w:iCs/>
          <w:color w:val="104875"/>
          <w:sz w:val="20"/>
          <w:szCs w:val="20"/>
        </w:rPr>
        <w:t>famiglie</w:t>
      </w:r>
      <w:r>
        <w:rPr>
          <w:rFonts w:ascii="Arial" w:hAnsi="Arial" w:cs="Arial"/>
          <w:iCs/>
          <w:color w:val="104875"/>
          <w:sz w:val="20"/>
          <w:szCs w:val="20"/>
        </w:rPr>
        <w:t xml:space="preserve"> beneficiarie dei sussidi energetici e l’efficacia di questi ultimi nel ridurre l’incidenza della</w:t>
      </w:r>
      <w:r w:rsidRPr="00F94D5B">
        <w:rPr>
          <w:rFonts w:ascii="Arial" w:hAnsi="Arial" w:cs="Arial"/>
          <w:iCs/>
          <w:color w:val="104875"/>
          <w:sz w:val="20"/>
          <w:szCs w:val="20"/>
        </w:rPr>
        <w:t xml:space="preserve"> povertà energetica</w:t>
      </w:r>
      <w:r>
        <w:rPr>
          <w:rStyle w:val="Rimandonotaapidipagina"/>
          <w:rFonts w:ascii="Arial" w:hAnsi="Arial" w:cs="Arial"/>
          <w:iCs/>
          <w:color w:val="104875"/>
          <w:sz w:val="20"/>
          <w:szCs w:val="20"/>
        </w:rPr>
        <w:footnoteReference w:id="3"/>
      </w:r>
      <w:r w:rsidRPr="00F94D5B">
        <w:rPr>
          <w:rFonts w:ascii="Arial" w:hAnsi="Arial" w:cs="Arial"/>
          <w:iCs/>
          <w:color w:val="104875"/>
          <w:sz w:val="20"/>
          <w:szCs w:val="20"/>
        </w:rPr>
        <w:t xml:space="preserve">. </w:t>
      </w:r>
    </w:p>
    <w:p w14:paraId="0F423EF8" w14:textId="77777777" w:rsidR="003B2F18" w:rsidRDefault="003B2F18" w:rsidP="003B2F18">
      <w:pPr>
        <w:suppressAutoHyphens/>
        <w:spacing w:after="80"/>
        <w:jc w:val="both"/>
        <w:rPr>
          <w:rFonts w:ascii="Arial" w:hAnsi="Arial" w:cs="Arial"/>
          <w:iCs/>
          <w:color w:val="104875"/>
          <w:sz w:val="20"/>
          <w:szCs w:val="20"/>
        </w:rPr>
      </w:pPr>
    </w:p>
    <w:p w14:paraId="7B7674CD" w14:textId="77777777" w:rsidR="003B2F18" w:rsidRPr="00E65BDC" w:rsidRDefault="003B2F18" w:rsidP="003B2F18">
      <w:pPr>
        <w:suppressAutoHyphens/>
        <w:spacing w:after="120"/>
        <w:ind w:right="-6"/>
        <w:rPr>
          <w:rFonts w:ascii="Arial Narrow" w:hAnsi="Arial Narrow" w:cs="Arial"/>
          <w:bCs/>
          <w:iCs/>
          <w:noProof/>
          <w:color w:val="000000" w:themeColor="text1"/>
          <w:spacing w:val="2"/>
          <w:sz w:val="20"/>
          <w:szCs w:val="22"/>
        </w:rPr>
      </w:pPr>
      <w:r w:rsidRPr="0050029E">
        <w:rPr>
          <w:rFonts w:ascii="Arial Narrow" w:hAnsi="Arial Narrow" w:cs="Arial"/>
          <w:b/>
          <w:iCs/>
          <w:noProof/>
          <w:color w:val="00817F"/>
          <w:sz w:val="22"/>
          <w:szCs w:val="22"/>
        </w:rPr>
        <w:t>FIGURA F1.</w:t>
      </w:r>
      <w:r w:rsidRPr="0050029E">
        <w:t xml:space="preserve"> </w:t>
      </w:r>
      <w:r w:rsidRPr="00B55140">
        <w:rPr>
          <w:rFonts w:ascii="Arial Narrow" w:hAnsi="Arial Narrow" w:cs="Arial"/>
          <w:b/>
          <w:iCs/>
          <w:noProof/>
          <w:color w:val="595959" w:themeColor="text1" w:themeTint="A6"/>
          <w:spacing w:val="2"/>
          <w:sz w:val="22"/>
          <w:szCs w:val="22"/>
        </w:rPr>
        <w:t xml:space="preserve">FAMIGLIE PERCETTRICI DEI BONUS </w:t>
      </w:r>
      <w:r>
        <w:rPr>
          <w:rFonts w:ascii="Arial Narrow" w:hAnsi="Arial Narrow" w:cs="Arial"/>
          <w:b/>
          <w:iCs/>
          <w:noProof/>
          <w:color w:val="595959" w:themeColor="text1" w:themeTint="A6"/>
          <w:spacing w:val="2"/>
          <w:sz w:val="22"/>
          <w:szCs w:val="22"/>
        </w:rPr>
        <w:t xml:space="preserve">SOCIALI </w:t>
      </w:r>
      <w:r w:rsidRPr="00B55140">
        <w:rPr>
          <w:rFonts w:ascii="Arial Narrow" w:hAnsi="Arial Narrow" w:cs="Arial"/>
          <w:b/>
          <w:iCs/>
          <w:noProof/>
          <w:color w:val="595959" w:themeColor="text1" w:themeTint="A6"/>
          <w:spacing w:val="2"/>
          <w:sz w:val="22"/>
          <w:szCs w:val="22"/>
        </w:rPr>
        <w:t>PER QUINT</w:t>
      </w:r>
      <w:r>
        <w:rPr>
          <w:rFonts w:ascii="Arial Narrow" w:hAnsi="Arial Narrow" w:cs="Arial"/>
          <w:b/>
          <w:iCs/>
          <w:noProof/>
          <w:color w:val="595959" w:themeColor="text1" w:themeTint="A6"/>
          <w:spacing w:val="2"/>
          <w:sz w:val="22"/>
          <w:szCs w:val="22"/>
        </w:rPr>
        <w:t>I</w:t>
      </w:r>
      <w:r w:rsidRPr="00B55140">
        <w:rPr>
          <w:rFonts w:ascii="Arial Narrow" w:hAnsi="Arial Narrow" w:cs="Arial"/>
          <w:b/>
          <w:iCs/>
          <w:noProof/>
          <w:color w:val="595959" w:themeColor="text1" w:themeTint="A6"/>
          <w:spacing w:val="2"/>
          <w:sz w:val="22"/>
          <w:szCs w:val="22"/>
        </w:rPr>
        <w:t xml:space="preserve"> DI REDDI</w:t>
      </w:r>
      <w:r>
        <w:rPr>
          <w:rFonts w:ascii="Arial Narrow" w:hAnsi="Arial Narrow" w:cs="Arial"/>
          <w:b/>
          <w:iCs/>
          <w:noProof/>
          <w:color w:val="595959" w:themeColor="text1" w:themeTint="A6"/>
          <w:spacing w:val="2"/>
          <w:sz w:val="22"/>
          <w:szCs w:val="22"/>
        </w:rPr>
        <w:t>T</w:t>
      </w:r>
      <w:r w:rsidRPr="00B55140">
        <w:rPr>
          <w:rFonts w:ascii="Arial Narrow" w:hAnsi="Arial Narrow" w:cs="Arial"/>
          <w:b/>
          <w:iCs/>
          <w:noProof/>
          <w:color w:val="595959" w:themeColor="text1" w:themeTint="A6"/>
          <w:spacing w:val="2"/>
          <w:sz w:val="22"/>
          <w:szCs w:val="22"/>
        </w:rPr>
        <w:t>O</w:t>
      </w:r>
      <w:r>
        <w:rPr>
          <w:rFonts w:ascii="Arial Narrow" w:hAnsi="Arial Narrow" w:cs="Arial"/>
          <w:b/>
          <w:iCs/>
          <w:noProof/>
          <w:color w:val="595959" w:themeColor="text1" w:themeTint="A6"/>
          <w:spacing w:val="2"/>
          <w:sz w:val="22"/>
          <w:szCs w:val="22"/>
        </w:rPr>
        <w:t xml:space="preserve"> FAMILIARE EQUIVALENTE</w:t>
      </w:r>
      <w:r w:rsidRPr="00B55140">
        <w:rPr>
          <w:rFonts w:ascii="Arial Narrow" w:hAnsi="Arial Narrow" w:cs="Arial"/>
          <w:b/>
          <w:iCs/>
          <w:noProof/>
          <w:color w:val="595959" w:themeColor="text1" w:themeTint="A6"/>
          <w:spacing w:val="2"/>
          <w:sz w:val="22"/>
          <w:szCs w:val="22"/>
        </w:rPr>
        <w:t xml:space="preserve">. </w:t>
      </w:r>
      <w:r w:rsidRPr="00E65BDC">
        <w:rPr>
          <w:rFonts w:ascii="Arial Narrow" w:hAnsi="Arial Narrow" w:cs="Arial"/>
          <w:bCs/>
          <w:iCs/>
          <w:noProof/>
          <w:color w:val="000000" w:themeColor="text1"/>
          <w:spacing w:val="2"/>
          <w:sz w:val="20"/>
          <w:szCs w:val="22"/>
        </w:rPr>
        <w:t>Anni 2021-2024 (valori assoluti e percentuali)</w:t>
      </w:r>
    </w:p>
    <w:p w14:paraId="0A6BCBF8" w14:textId="77777777" w:rsidR="003B2F18" w:rsidRPr="00B55140" w:rsidRDefault="003B2F18" w:rsidP="00E65BDC">
      <w:pPr>
        <w:suppressAutoHyphens/>
        <w:spacing w:after="60"/>
        <w:ind w:right="-6"/>
        <w:rPr>
          <w:rFonts w:ascii="Arial Narrow" w:hAnsi="Arial Narrow" w:cs="Arial"/>
          <w:b/>
          <w:iCs/>
          <w:noProof/>
          <w:color w:val="595959" w:themeColor="text1" w:themeTint="A6"/>
          <w:spacing w:val="2"/>
          <w:sz w:val="22"/>
          <w:szCs w:val="22"/>
        </w:rPr>
      </w:pPr>
      <w:r>
        <w:rPr>
          <w:noProof/>
          <w:lang w:val="en-GB" w:eastAsia="en-GB"/>
        </w:rPr>
        <w:drawing>
          <wp:inline distT="0" distB="0" distL="0" distR="0" wp14:anchorId="7FA2C8F5" wp14:editId="6529374F">
            <wp:extent cx="6475730" cy="2160000"/>
            <wp:effectExtent l="0" t="0" r="1270" b="12065"/>
            <wp:docPr id="947886705" name="Grafico 947886705">
              <a:extLst xmlns:a="http://schemas.openxmlformats.org/drawingml/2006/main">
                <a:ext uri="{FF2B5EF4-FFF2-40B4-BE49-F238E27FC236}">
                  <a16:creationId xmlns:a16="http://schemas.microsoft.com/office/drawing/2014/main" id="{A5C7F45E-6313-46CF-B7F2-FD8B9C35FB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7CA75B" w14:textId="77777777" w:rsidR="003B2F18" w:rsidRPr="00853E82" w:rsidRDefault="003B2F18" w:rsidP="003B2F18">
      <w:pPr>
        <w:tabs>
          <w:tab w:val="left" w:pos="5954"/>
        </w:tabs>
        <w:suppressAutoHyphens/>
        <w:spacing w:before="60" w:after="60"/>
        <w:ind w:right="1695"/>
        <w:rPr>
          <w:rFonts w:ascii="Arial" w:hAnsi="Arial" w:cs="Arial"/>
          <w:noProof/>
          <w:sz w:val="15"/>
          <w:szCs w:val="15"/>
          <w:lang w:eastAsia="it-IT"/>
        </w:rPr>
      </w:pPr>
      <w:r w:rsidRPr="00853E82">
        <w:rPr>
          <w:rFonts w:ascii="Arial Narrow" w:hAnsi="Arial Narrow"/>
          <w:noProof/>
          <w:sz w:val="15"/>
          <w:szCs w:val="15"/>
          <w:lang w:eastAsia="it-IT"/>
        </w:rPr>
        <w:t xml:space="preserve">Fonte: </w:t>
      </w:r>
      <w:r w:rsidRPr="00853E82">
        <w:rPr>
          <w:rFonts w:ascii="Arial" w:hAnsi="Arial" w:cs="Arial"/>
          <w:noProof/>
          <w:sz w:val="15"/>
          <w:szCs w:val="15"/>
          <w:lang w:eastAsia="it-IT"/>
        </w:rPr>
        <w:t>Stime basate sul modello di micro-simulazione delle famiglie dell’ISTAT, FaMiMod.</w:t>
      </w:r>
    </w:p>
    <w:p w14:paraId="1D2D4C17" w14:textId="77777777" w:rsidR="003B2F18" w:rsidRPr="00F94D5B" w:rsidRDefault="003B2F18" w:rsidP="003B2F18">
      <w:pPr>
        <w:suppressAutoHyphens/>
        <w:spacing w:after="80"/>
        <w:jc w:val="both"/>
        <w:rPr>
          <w:rFonts w:ascii="Arial" w:hAnsi="Arial" w:cs="Arial"/>
          <w:iCs/>
          <w:color w:val="104875"/>
          <w:sz w:val="20"/>
          <w:szCs w:val="20"/>
        </w:rPr>
      </w:pPr>
    </w:p>
    <w:p w14:paraId="48C5EE1E" w14:textId="77777777" w:rsidR="006742B2" w:rsidRPr="00F94D5B" w:rsidRDefault="006742B2" w:rsidP="006742B2">
      <w:pPr>
        <w:suppressAutoHyphens/>
        <w:spacing w:after="80"/>
        <w:jc w:val="both"/>
        <w:rPr>
          <w:rFonts w:ascii="Arial" w:hAnsi="Arial" w:cs="Arial"/>
          <w:iCs/>
          <w:color w:val="104875"/>
          <w:sz w:val="20"/>
          <w:szCs w:val="20"/>
        </w:rPr>
      </w:pPr>
      <w:r w:rsidRPr="00F94D5B">
        <w:rPr>
          <w:rFonts w:ascii="Arial" w:hAnsi="Arial" w:cs="Arial"/>
          <w:iCs/>
          <w:color w:val="104875"/>
          <w:sz w:val="20"/>
          <w:szCs w:val="20"/>
        </w:rPr>
        <w:t>I risultati della simulazione mostrano che nel 2021 quasi 1 famiglia su 10</w:t>
      </w:r>
      <w:r>
        <w:rPr>
          <w:rFonts w:ascii="Arial" w:hAnsi="Arial" w:cs="Arial"/>
          <w:iCs/>
          <w:color w:val="104875"/>
          <w:sz w:val="20"/>
          <w:szCs w:val="20"/>
        </w:rPr>
        <w:t xml:space="preserve"> (circa 2,5 milioni)</w:t>
      </w:r>
      <w:r w:rsidRPr="00F94D5B">
        <w:rPr>
          <w:rFonts w:ascii="Arial" w:hAnsi="Arial" w:cs="Arial"/>
          <w:iCs/>
          <w:color w:val="104875"/>
          <w:sz w:val="20"/>
          <w:szCs w:val="20"/>
        </w:rPr>
        <w:t xml:space="preserve"> ha </w:t>
      </w:r>
      <w:r>
        <w:rPr>
          <w:rFonts w:ascii="Arial" w:hAnsi="Arial" w:cs="Arial"/>
          <w:iCs/>
          <w:color w:val="104875"/>
          <w:sz w:val="20"/>
          <w:szCs w:val="20"/>
        </w:rPr>
        <w:t>beneficiato del bonus per l’elettricità e, per una parte delle famiglie, anche del bonus gas, nella forma di</w:t>
      </w:r>
      <w:r w:rsidRPr="00F94D5B">
        <w:rPr>
          <w:rFonts w:ascii="Arial" w:hAnsi="Arial" w:cs="Arial"/>
          <w:iCs/>
          <w:color w:val="104875"/>
          <w:sz w:val="20"/>
          <w:szCs w:val="20"/>
        </w:rPr>
        <w:t xml:space="preserve"> uno sconto sulla bolletta energetica</w:t>
      </w:r>
      <w:r>
        <w:rPr>
          <w:rFonts w:ascii="Arial" w:hAnsi="Arial" w:cs="Arial"/>
          <w:iCs/>
          <w:color w:val="104875"/>
          <w:sz w:val="20"/>
          <w:szCs w:val="20"/>
        </w:rPr>
        <w:t>. Le famiglie</w:t>
      </w:r>
      <w:r w:rsidRPr="00F94D5B">
        <w:rPr>
          <w:rFonts w:ascii="Arial" w:hAnsi="Arial" w:cs="Arial"/>
          <w:iCs/>
          <w:color w:val="104875"/>
          <w:sz w:val="20"/>
          <w:szCs w:val="20"/>
        </w:rPr>
        <w:t xml:space="preserve"> </w:t>
      </w:r>
      <w:r>
        <w:rPr>
          <w:rFonts w:ascii="Arial" w:hAnsi="Arial" w:cs="Arial"/>
          <w:iCs/>
          <w:color w:val="104875"/>
          <w:sz w:val="20"/>
          <w:szCs w:val="20"/>
        </w:rPr>
        <w:t xml:space="preserve">appartengono tutte </w:t>
      </w:r>
      <w:r w:rsidRPr="00F94D5B">
        <w:rPr>
          <w:rFonts w:ascii="Arial" w:hAnsi="Arial" w:cs="Arial"/>
          <w:iCs/>
          <w:color w:val="104875"/>
          <w:sz w:val="20"/>
          <w:szCs w:val="20"/>
        </w:rPr>
        <w:t xml:space="preserve">al I e </w:t>
      </w:r>
      <w:r>
        <w:rPr>
          <w:rFonts w:ascii="Arial" w:hAnsi="Arial" w:cs="Arial"/>
          <w:iCs/>
          <w:color w:val="104875"/>
          <w:sz w:val="20"/>
          <w:szCs w:val="20"/>
        </w:rPr>
        <w:t xml:space="preserve">al </w:t>
      </w:r>
      <w:r w:rsidRPr="00F94D5B">
        <w:rPr>
          <w:rFonts w:ascii="Arial" w:hAnsi="Arial" w:cs="Arial"/>
          <w:iCs/>
          <w:color w:val="104875"/>
          <w:sz w:val="20"/>
          <w:szCs w:val="20"/>
        </w:rPr>
        <w:t>II</w:t>
      </w:r>
      <w:r>
        <w:rPr>
          <w:rFonts w:ascii="Arial" w:hAnsi="Arial" w:cs="Arial"/>
          <w:iCs/>
          <w:color w:val="104875"/>
          <w:sz w:val="20"/>
          <w:szCs w:val="20"/>
        </w:rPr>
        <w:t xml:space="preserve"> quinto</w:t>
      </w:r>
      <w:r w:rsidRPr="00F94D5B">
        <w:rPr>
          <w:rFonts w:ascii="Arial" w:hAnsi="Arial" w:cs="Arial"/>
          <w:iCs/>
          <w:color w:val="104875"/>
          <w:sz w:val="20"/>
          <w:szCs w:val="20"/>
        </w:rPr>
        <w:t xml:space="preserve"> della distribuzione del reddito (</w:t>
      </w:r>
      <w:r>
        <w:rPr>
          <w:rFonts w:ascii="Arial" w:hAnsi="Arial" w:cs="Arial"/>
          <w:iCs/>
          <w:color w:val="104875"/>
          <w:sz w:val="20"/>
          <w:szCs w:val="20"/>
        </w:rPr>
        <w:t>i quinti più poveri</w:t>
      </w:r>
      <w:r w:rsidRPr="00F94D5B">
        <w:rPr>
          <w:rFonts w:ascii="Arial" w:hAnsi="Arial" w:cs="Arial"/>
          <w:iCs/>
          <w:color w:val="104875"/>
          <w:sz w:val="20"/>
          <w:szCs w:val="20"/>
        </w:rPr>
        <w:t xml:space="preserve">) (Figura </w:t>
      </w:r>
      <w:r>
        <w:rPr>
          <w:rFonts w:ascii="Arial" w:hAnsi="Arial" w:cs="Arial"/>
          <w:iCs/>
          <w:color w:val="104875"/>
          <w:sz w:val="20"/>
          <w:szCs w:val="20"/>
        </w:rPr>
        <w:t>F</w:t>
      </w:r>
      <w:r w:rsidRPr="00F94D5B">
        <w:rPr>
          <w:rFonts w:ascii="Arial" w:hAnsi="Arial" w:cs="Arial"/>
          <w:iCs/>
          <w:color w:val="104875"/>
          <w:sz w:val="20"/>
          <w:szCs w:val="20"/>
        </w:rPr>
        <w:t xml:space="preserve">1). </w:t>
      </w:r>
      <w:r>
        <w:rPr>
          <w:rFonts w:ascii="Arial" w:hAnsi="Arial" w:cs="Arial"/>
          <w:iCs/>
          <w:color w:val="104875"/>
          <w:sz w:val="20"/>
          <w:szCs w:val="20"/>
        </w:rPr>
        <w:t>Nei due anni successivi le modifiche ai requisiti hanno consentito di ampliare la platea dei beneficiari. In particolare, l’innalzamento della soglia ISEE a 12.000 euro entrato in vigore nel II trimestre del 2022, ha permesso a</w:t>
      </w:r>
      <w:r w:rsidRPr="00F94D5B">
        <w:rPr>
          <w:rFonts w:ascii="Arial" w:hAnsi="Arial" w:cs="Arial"/>
          <w:iCs/>
          <w:color w:val="104875"/>
          <w:sz w:val="20"/>
          <w:szCs w:val="20"/>
        </w:rPr>
        <w:t xml:space="preserve">i bonus energetici </w:t>
      </w:r>
      <w:r>
        <w:rPr>
          <w:rFonts w:ascii="Arial" w:hAnsi="Arial" w:cs="Arial"/>
          <w:iCs/>
          <w:color w:val="104875"/>
          <w:sz w:val="20"/>
          <w:szCs w:val="20"/>
        </w:rPr>
        <w:t xml:space="preserve">di raggiungere </w:t>
      </w:r>
      <w:r w:rsidRPr="00F94D5B">
        <w:rPr>
          <w:rFonts w:ascii="Arial" w:hAnsi="Arial" w:cs="Arial"/>
          <w:iCs/>
          <w:color w:val="104875"/>
          <w:sz w:val="20"/>
          <w:szCs w:val="20"/>
        </w:rPr>
        <w:t xml:space="preserve">3,7 milioni di famiglie, il 5,8% delle quali nel </w:t>
      </w:r>
      <w:r>
        <w:rPr>
          <w:rFonts w:ascii="Arial" w:hAnsi="Arial" w:cs="Arial"/>
          <w:iCs/>
          <w:color w:val="104875"/>
          <w:sz w:val="20"/>
          <w:szCs w:val="20"/>
        </w:rPr>
        <w:t xml:space="preserve">III </w:t>
      </w:r>
      <w:r w:rsidRPr="00F94D5B">
        <w:rPr>
          <w:rFonts w:ascii="Arial" w:hAnsi="Arial" w:cs="Arial"/>
          <w:iCs/>
          <w:color w:val="104875"/>
          <w:sz w:val="20"/>
          <w:szCs w:val="20"/>
        </w:rPr>
        <w:t>quint</w:t>
      </w:r>
      <w:r>
        <w:rPr>
          <w:rFonts w:ascii="Arial" w:hAnsi="Arial" w:cs="Arial"/>
          <w:iCs/>
          <w:color w:val="104875"/>
          <w:sz w:val="20"/>
          <w:szCs w:val="20"/>
        </w:rPr>
        <w:t>o</w:t>
      </w:r>
      <w:r w:rsidRPr="00F94D5B">
        <w:rPr>
          <w:rFonts w:ascii="Arial" w:hAnsi="Arial" w:cs="Arial"/>
          <w:iCs/>
          <w:color w:val="104875"/>
          <w:sz w:val="20"/>
          <w:szCs w:val="20"/>
        </w:rPr>
        <w:t xml:space="preserve"> di reddito</w:t>
      </w:r>
      <w:r>
        <w:rPr>
          <w:rFonts w:ascii="Arial" w:hAnsi="Arial" w:cs="Arial"/>
          <w:iCs/>
          <w:color w:val="104875"/>
          <w:sz w:val="20"/>
          <w:szCs w:val="20"/>
        </w:rPr>
        <w:t>; mentre nel 2023</w:t>
      </w:r>
      <w:r w:rsidRPr="00F94D5B">
        <w:rPr>
          <w:rFonts w:ascii="Arial" w:hAnsi="Arial" w:cs="Arial"/>
          <w:iCs/>
          <w:color w:val="104875"/>
          <w:sz w:val="20"/>
          <w:szCs w:val="20"/>
        </w:rPr>
        <w:t xml:space="preserve"> </w:t>
      </w:r>
      <w:r>
        <w:rPr>
          <w:rFonts w:ascii="Arial" w:hAnsi="Arial" w:cs="Arial"/>
          <w:iCs/>
          <w:color w:val="104875"/>
          <w:sz w:val="20"/>
          <w:szCs w:val="20"/>
        </w:rPr>
        <w:t xml:space="preserve">il numero di famiglie raggiunte dal bonus supera i 4,5 milioni, </w:t>
      </w:r>
      <w:r w:rsidRPr="00F94D5B">
        <w:rPr>
          <w:rFonts w:ascii="Arial" w:hAnsi="Arial" w:cs="Arial"/>
          <w:iCs/>
          <w:color w:val="104875"/>
          <w:sz w:val="20"/>
          <w:szCs w:val="20"/>
        </w:rPr>
        <w:t>grazie all'estensione della soglia ISEE a 15.000 euro</w:t>
      </w:r>
      <w:r>
        <w:rPr>
          <w:rFonts w:ascii="Arial" w:hAnsi="Arial" w:cs="Arial"/>
          <w:iCs/>
          <w:color w:val="104875"/>
          <w:sz w:val="20"/>
          <w:szCs w:val="20"/>
        </w:rPr>
        <w:t>. In quest’anno è massima anche la quota di famiglie beneficiarie appartenenti al III quinto</w:t>
      </w:r>
      <w:r w:rsidRPr="00F94D5B">
        <w:rPr>
          <w:rFonts w:ascii="Arial" w:hAnsi="Arial" w:cs="Arial"/>
          <w:iCs/>
          <w:color w:val="104875"/>
          <w:sz w:val="20"/>
          <w:szCs w:val="20"/>
        </w:rPr>
        <w:t xml:space="preserve"> (11,1%). Nel 2024, la soglia ISEE è stata riportata a 9.530 euro, con una conseguente riduzione significativa della percentuale di famiglie beneficiarie (da quasi 4,5 milioni a 2,7).</w:t>
      </w:r>
      <w:r>
        <w:rPr>
          <w:rFonts w:ascii="Arial" w:hAnsi="Arial" w:cs="Arial"/>
          <w:iCs/>
          <w:color w:val="104875"/>
          <w:sz w:val="20"/>
          <w:szCs w:val="20"/>
        </w:rPr>
        <w:t xml:space="preserve"> Va altresì sottolineato che, se l’andamento della platea di beneficiari segue la dinamica dei prezzi registrando un picco nel 2023, questo non vale per l’importo medio del beneficio complessivo (elettrico e gas insieme laddove la famiglia percepisca entrambe) che raggiunge un picco di oltre mille euro nel 2022, a fronte delle maggiori risorse economiche investite, per poi ridursi a poco più di 500 euro nell’anno successivo.</w:t>
      </w:r>
    </w:p>
    <w:p w14:paraId="663177A6" w14:textId="3F9432DE" w:rsidR="003B2F18" w:rsidRDefault="003B2F18" w:rsidP="00DE68EC">
      <w:pPr>
        <w:suppressAutoHyphens/>
        <w:spacing w:after="80"/>
        <w:jc w:val="both"/>
        <w:rPr>
          <w:rFonts w:ascii="Arial" w:hAnsi="Arial" w:cs="Arial"/>
          <w:iCs/>
          <w:color w:val="104875"/>
          <w:sz w:val="20"/>
          <w:szCs w:val="20"/>
        </w:rPr>
      </w:pPr>
      <w:r w:rsidRPr="00F94D5B">
        <w:rPr>
          <w:rFonts w:ascii="Arial" w:hAnsi="Arial" w:cs="Arial"/>
          <w:iCs/>
          <w:color w:val="104875"/>
          <w:sz w:val="20"/>
          <w:szCs w:val="20"/>
        </w:rPr>
        <w:t xml:space="preserve">Nel 2021, si stima che l'11,2% delle famiglie in Italia fosse in condizioni di povertà energetica prima dell'erogazione dei bonus sociali (Figura </w:t>
      </w:r>
      <w:r>
        <w:rPr>
          <w:rFonts w:ascii="Arial" w:hAnsi="Arial" w:cs="Arial"/>
          <w:iCs/>
          <w:color w:val="104875"/>
          <w:sz w:val="20"/>
          <w:szCs w:val="20"/>
        </w:rPr>
        <w:t>F</w:t>
      </w:r>
      <w:r w:rsidRPr="00F94D5B">
        <w:rPr>
          <w:rFonts w:ascii="Arial" w:hAnsi="Arial" w:cs="Arial"/>
          <w:iCs/>
          <w:color w:val="104875"/>
          <w:sz w:val="20"/>
          <w:szCs w:val="20"/>
        </w:rPr>
        <w:t xml:space="preserve">2). Questa percentuale </w:t>
      </w:r>
      <w:r>
        <w:rPr>
          <w:rFonts w:ascii="Arial" w:hAnsi="Arial" w:cs="Arial"/>
          <w:iCs/>
          <w:color w:val="104875"/>
          <w:sz w:val="20"/>
          <w:szCs w:val="20"/>
        </w:rPr>
        <w:t>è diminuita</w:t>
      </w:r>
      <w:r w:rsidRPr="00F94D5B">
        <w:rPr>
          <w:rFonts w:ascii="Arial" w:hAnsi="Arial" w:cs="Arial"/>
          <w:iCs/>
          <w:color w:val="104875"/>
          <w:sz w:val="20"/>
          <w:szCs w:val="20"/>
        </w:rPr>
        <w:t xml:space="preserve"> al 9,8% dopo </w:t>
      </w:r>
      <w:r>
        <w:rPr>
          <w:rFonts w:ascii="Arial" w:hAnsi="Arial" w:cs="Arial"/>
          <w:iCs/>
          <w:color w:val="104875"/>
          <w:sz w:val="20"/>
          <w:szCs w:val="20"/>
        </w:rPr>
        <w:t>aver ricevuto i</w:t>
      </w:r>
      <w:r w:rsidRPr="00F94D5B">
        <w:rPr>
          <w:rFonts w:ascii="Arial" w:hAnsi="Arial" w:cs="Arial"/>
          <w:iCs/>
          <w:color w:val="104875"/>
          <w:sz w:val="20"/>
          <w:szCs w:val="20"/>
        </w:rPr>
        <w:t xml:space="preserve"> bonus</w:t>
      </w:r>
      <w:r>
        <w:rPr>
          <w:rFonts w:ascii="Arial" w:hAnsi="Arial" w:cs="Arial"/>
          <w:iCs/>
          <w:color w:val="104875"/>
          <w:sz w:val="20"/>
          <w:szCs w:val="20"/>
        </w:rPr>
        <w:t xml:space="preserve"> (-1</w:t>
      </w:r>
      <w:r w:rsidRPr="00F94D5B">
        <w:rPr>
          <w:rFonts w:ascii="Arial" w:hAnsi="Arial" w:cs="Arial"/>
          <w:iCs/>
          <w:color w:val="104875"/>
          <w:sz w:val="20"/>
          <w:szCs w:val="20"/>
        </w:rPr>
        <w:t>,4 punti percentuali</w:t>
      </w:r>
      <w:r>
        <w:rPr>
          <w:rFonts w:ascii="Arial" w:hAnsi="Arial" w:cs="Arial"/>
          <w:iCs/>
          <w:color w:val="104875"/>
          <w:sz w:val="20"/>
          <w:szCs w:val="20"/>
        </w:rPr>
        <w:t>)</w:t>
      </w:r>
      <w:r w:rsidRPr="00F94D5B">
        <w:rPr>
          <w:rFonts w:ascii="Arial" w:hAnsi="Arial" w:cs="Arial"/>
          <w:iCs/>
          <w:color w:val="104875"/>
          <w:sz w:val="20"/>
          <w:szCs w:val="20"/>
        </w:rPr>
        <w:t>. L'impatto de</w:t>
      </w:r>
      <w:r>
        <w:rPr>
          <w:rFonts w:ascii="Arial" w:hAnsi="Arial" w:cs="Arial"/>
          <w:iCs/>
          <w:color w:val="104875"/>
          <w:sz w:val="20"/>
          <w:szCs w:val="20"/>
        </w:rPr>
        <w:t>i</w:t>
      </w:r>
      <w:r w:rsidRPr="00F94D5B">
        <w:rPr>
          <w:rFonts w:ascii="Arial" w:hAnsi="Arial" w:cs="Arial"/>
          <w:iCs/>
          <w:color w:val="104875"/>
          <w:sz w:val="20"/>
          <w:szCs w:val="20"/>
        </w:rPr>
        <w:t xml:space="preserve"> bonus sulla povertà energetica </w:t>
      </w:r>
      <w:r>
        <w:rPr>
          <w:rFonts w:ascii="Arial" w:hAnsi="Arial" w:cs="Arial"/>
          <w:iCs/>
          <w:color w:val="104875"/>
          <w:sz w:val="20"/>
          <w:szCs w:val="20"/>
        </w:rPr>
        <w:t>ha raggiunto</w:t>
      </w:r>
      <w:r w:rsidRPr="00F94D5B">
        <w:rPr>
          <w:rFonts w:ascii="Arial" w:hAnsi="Arial" w:cs="Arial"/>
          <w:iCs/>
          <w:color w:val="104875"/>
          <w:sz w:val="20"/>
          <w:szCs w:val="20"/>
        </w:rPr>
        <w:t xml:space="preserve"> il picco nel 2022</w:t>
      </w:r>
      <w:r>
        <w:rPr>
          <w:rFonts w:ascii="Arial" w:hAnsi="Arial" w:cs="Arial"/>
          <w:iCs/>
          <w:color w:val="104875"/>
          <w:sz w:val="20"/>
          <w:szCs w:val="20"/>
        </w:rPr>
        <w:t>:</w:t>
      </w:r>
      <w:r w:rsidRPr="00F94D5B">
        <w:rPr>
          <w:rFonts w:ascii="Arial" w:hAnsi="Arial" w:cs="Arial"/>
          <w:iCs/>
          <w:color w:val="104875"/>
          <w:sz w:val="20"/>
          <w:szCs w:val="20"/>
        </w:rPr>
        <w:t xml:space="preserve"> </w:t>
      </w:r>
      <w:r>
        <w:rPr>
          <w:rFonts w:ascii="Arial" w:hAnsi="Arial" w:cs="Arial"/>
          <w:iCs/>
          <w:color w:val="104875"/>
          <w:sz w:val="20"/>
          <w:szCs w:val="20"/>
        </w:rPr>
        <w:t>c</w:t>
      </w:r>
      <w:r w:rsidRPr="00F94D5B">
        <w:rPr>
          <w:rFonts w:ascii="Arial" w:hAnsi="Arial" w:cs="Arial"/>
          <w:iCs/>
          <w:color w:val="104875"/>
          <w:sz w:val="20"/>
          <w:szCs w:val="20"/>
        </w:rPr>
        <w:t>on l'</w:t>
      </w:r>
      <w:r>
        <w:rPr>
          <w:rFonts w:ascii="Arial" w:hAnsi="Arial" w:cs="Arial"/>
          <w:iCs/>
          <w:color w:val="104875"/>
          <w:sz w:val="20"/>
          <w:szCs w:val="20"/>
        </w:rPr>
        <w:t>incre</w:t>
      </w:r>
      <w:r w:rsidRPr="00F94D5B">
        <w:rPr>
          <w:rFonts w:ascii="Arial" w:hAnsi="Arial" w:cs="Arial"/>
          <w:iCs/>
          <w:color w:val="104875"/>
          <w:sz w:val="20"/>
          <w:szCs w:val="20"/>
        </w:rPr>
        <w:t>mento dei prezzi dell'energia, la percentuale di famiglie in condizioni di povertà energetica prima dei sussidi è aumentata al 13,8%</w:t>
      </w:r>
      <w:r>
        <w:rPr>
          <w:rFonts w:ascii="Arial" w:hAnsi="Arial" w:cs="Arial"/>
          <w:iCs/>
          <w:color w:val="104875"/>
          <w:sz w:val="20"/>
          <w:szCs w:val="20"/>
        </w:rPr>
        <w:t>,</w:t>
      </w:r>
      <w:r w:rsidRPr="00F94D5B">
        <w:rPr>
          <w:rFonts w:ascii="Arial" w:hAnsi="Arial" w:cs="Arial"/>
          <w:iCs/>
          <w:color w:val="104875"/>
          <w:sz w:val="20"/>
          <w:szCs w:val="20"/>
        </w:rPr>
        <w:t xml:space="preserve"> </w:t>
      </w:r>
      <w:r>
        <w:rPr>
          <w:rFonts w:ascii="Arial" w:hAnsi="Arial" w:cs="Arial"/>
          <w:iCs/>
          <w:color w:val="104875"/>
          <w:sz w:val="20"/>
          <w:szCs w:val="20"/>
        </w:rPr>
        <w:t>ma la maggiore generosità degli importi e l’ampliamento della platea d</w:t>
      </w:r>
      <w:r w:rsidR="00D34C92">
        <w:rPr>
          <w:rFonts w:ascii="Arial" w:hAnsi="Arial" w:cs="Arial"/>
          <w:iCs/>
          <w:color w:val="104875"/>
          <w:sz w:val="20"/>
          <w:szCs w:val="20"/>
        </w:rPr>
        <w:t>ei</w:t>
      </w:r>
      <w:r>
        <w:rPr>
          <w:rFonts w:ascii="Arial" w:hAnsi="Arial" w:cs="Arial"/>
          <w:iCs/>
          <w:color w:val="104875"/>
          <w:sz w:val="20"/>
          <w:szCs w:val="20"/>
        </w:rPr>
        <w:t xml:space="preserve"> beneficiari ha fatto sì che</w:t>
      </w:r>
      <w:r w:rsidRPr="00F94D5B">
        <w:rPr>
          <w:rFonts w:ascii="Arial" w:hAnsi="Arial" w:cs="Arial"/>
          <w:iCs/>
          <w:color w:val="104875"/>
          <w:sz w:val="20"/>
          <w:szCs w:val="20"/>
        </w:rPr>
        <w:t xml:space="preserve"> l'incidenza </w:t>
      </w:r>
      <w:r>
        <w:rPr>
          <w:rFonts w:ascii="Arial" w:hAnsi="Arial" w:cs="Arial"/>
          <w:iCs/>
          <w:color w:val="104875"/>
          <w:sz w:val="20"/>
          <w:szCs w:val="20"/>
        </w:rPr>
        <w:t xml:space="preserve">della </w:t>
      </w:r>
      <w:r w:rsidRPr="00F94D5B">
        <w:rPr>
          <w:rFonts w:ascii="Arial" w:hAnsi="Arial" w:cs="Arial"/>
          <w:iCs/>
          <w:color w:val="104875"/>
          <w:sz w:val="20"/>
          <w:szCs w:val="20"/>
        </w:rPr>
        <w:t>povertà energetica dopo i sussidi</w:t>
      </w:r>
      <w:r>
        <w:rPr>
          <w:rFonts w:ascii="Arial" w:hAnsi="Arial" w:cs="Arial"/>
          <w:iCs/>
          <w:color w:val="104875"/>
          <w:sz w:val="20"/>
          <w:szCs w:val="20"/>
        </w:rPr>
        <w:t xml:space="preserve"> fosse</w:t>
      </w:r>
      <w:r w:rsidRPr="00F94D5B">
        <w:rPr>
          <w:rFonts w:ascii="Arial" w:hAnsi="Arial" w:cs="Arial"/>
          <w:iCs/>
          <w:color w:val="104875"/>
          <w:sz w:val="20"/>
          <w:szCs w:val="20"/>
        </w:rPr>
        <w:t xml:space="preserve"> pari al 9,5%, leggermente inferiore a quella osservata </w:t>
      </w:r>
      <w:r>
        <w:rPr>
          <w:rFonts w:ascii="Arial" w:hAnsi="Arial" w:cs="Arial"/>
          <w:iCs/>
          <w:color w:val="104875"/>
          <w:sz w:val="20"/>
          <w:szCs w:val="20"/>
        </w:rPr>
        <w:t>nell’anno precedente</w:t>
      </w:r>
      <w:r w:rsidRPr="00F94D5B">
        <w:rPr>
          <w:rFonts w:ascii="Arial" w:hAnsi="Arial" w:cs="Arial"/>
          <w:iCs/>
          <w:color w:val="104875"/>
          <w:sz w:val="20"/>
          <w:szCs w:val="20"/>
        </w:rPr>
        <w:t>. Nel 2023, l'11,6% delle famiglie era in condizioni di povertà energetica pr</w:t>
      </w:r>
      <w:r>
        <w:rPr>
          <w:rFonts w:ascii="Arial" w:hAnsi="Arial" w:cs="Arial"/>
          <w:iCs/>
          <w:color w:val="104875"/>
          <w:sz w:val="20"/>
          <w:szCs w:val="20"/>
        </w:rPr>
        <w:t xml:space="preserve">ima dei sussidi. Questa cifra si è ridotta </w:t>
      </w:r>
      <w:r w:rsidRPr="00F94D5B">
        <w:rPr>
          <w:rFonts w:ascii="Arial" w:hAnsi="Arial" w:cs="Arial"/>
          <w:iCs/>
          <w:color w:val="104875"/>
          <w:sz w:val="20"/>
          <w:szCs w:val="20"/>
        </w:rPr>
        <w:t xml:space="preserve">al 9,2% dopo i sussidi (-2,4%). Nel 2024, i bonus sociali hanno contribuito a ridurre la povertà energetica di 1,6 punti percentuali (dal 10,8% al 9,2%). </w:t>
      </w:r>
    </w:p>
    <w:p w14:paraId="12C80508" w14:textId="77777777" w:rsidR="003B2F18" w:rsidRDefault="003B2F18" w:rsidP="003B2F18">
      <w:pPr>
        <w:suppressAutoHyphens/>
        <w:spacing w:after="80"/>
        <w:jc w:val="both"/>
        <w:rPr>
          <w:rFonts w:ascii="Arial" w:hAnsi="Arial" w:cs="Arial"/>
          <w:iCs/>
          <w:color w:val="104875"/>
          <w:sz w:val="20"/>
          <w:szCs w:val="20"/>
        </w:rPr>
      </w:pPr>
    </w:p>
    <w:p w14:paraId="1E75C2B3" w14:textId="77777777" w:rsidR="003B2F18" w:rsidRPr="00E65BDC" w:rsidRDefault="003B2F18" w:rsidP="003B2F18">
      <w:pPr>
        <w:suppressAutoHyphens/>
        <w:spacing w:after="120"/>
        <w:ind w:right="-6"/>
        <w:rPr>
          <w:rFonts w:ascii="Arial Narrow" w:hAnsi="Arial Narrow" w:cs="Arial"/>
          <w:bCs/>
          <w:iCs/>
          <w:noProof/>
          <w:spacing w:val="2"/>
          <w:sz w:val="20"/>
          <w:szCs w:val="22"/>
        </w:rPr>
      </w:pPr>
      <w:r w:rsidRPr="0050029E">
        <w:rPr>
          <w:rFonts w:ascii="Arial Narrow" w:hAnsi="Arial Narrow" w:cs="Arial"/>
          <w:b/>
          <w:iCs/>
          <w:noProof/>
          <w:color w:val="00817F"/>
          <w:sz w:val="22"/>
          <w:szCs w:val="22"/>
        </w:rPr>
        <w:t>FIGUR</w:t>
      </w:r>
      <w:r>
        <w:rPr>
          <w:rFonts w:ascii="Arial Narrow" w:hAnsi="Arial Narrow" w:cs="Arial"/>
          <w:b/>
          <w:iCs/>
          <w:noProof/>
          <w:color w:val="00817F"/>
          <w:sz w:val="22"/>
          <w:szCs w:val="22"/>
        </w:rPr>
        <w:t>A</w:t>
      </w:r>
      <w:r w:rsidRPr="0050029E">
        <w:rPr>
          <w:rFonts w:ascii="Arial Narrow" w:hAnsi="Arial Narrow" w:cs="Arial"/>
          <w:b/>
          <w:iCs/>
          <w:noProof/>
          <w:color w:val="00817F"/>
          <w:sz w:val="22"/>
          <w:szCs w:val="22"/>
        </w:rPr>
        <w:t xml:space="preserve"> F2.</w:t>
      </w:r>
      <w:r w:rsidRPr="0050029E">
        <w:t xml:space="preserve"> </w:t>
      </w:r>
      <w:r w:rsidRPr="00B55140">
        <w:rPr>
          <w:rFonts w:ascii="Arial Narrow" w:hAnsi="Arial Narrow" w:cs="Arial"/>
          <w:b/>
          <w:iCs/>
          <w:noProof/>
          <w:color w:val="595959" w:themeColor="text1" w:themeTint="A6"/>
          <w:spacing w:val="2"/>
          <w:sz w:val="22"/>
          <w:szCs w:val="22"/>
        </w:rPr>
        <w:t xml:space="preserve">POVERTÀ ENERGETICA PRIMA E DOPO I </w:t>
      </w:r>
      <w:r>
        <w:rPr>
          <w:rFonts w:ascii="Arial Narrow" w:hAnsi="Arial Narrow" w:cs="Arial"/>
          <w:b/>
          <w:iCs/>
          <w:noProof/>
          <w:color w:val="595959" w:themeColor="text1" w:themeTint="A6"/>
          <w:spacing w:val="2"/>
          <w:sz w:val="22"/>
          <w:szCs w:val="22"/>
        </w:rPr>
        <w:t>BONUS SOCIALI</w:t>
      </w:r>
      <w:r w:rsidRPr="00B55140">
        <w:rPr>
          <w:rFonts w:ascii="Arial Narrow" w:hAnsi="Arial Narrow" w:cs="Arial"/>
          <w:b/>
          <w:iCs/>
          <w:noProof/>
          <w:color w:val="595959" w:themeColor="text1" w:themeTint="A6"/>
          <w:spacing w:val="2"/>
          <w:sz w:val="22"/>
          <w:szCs w:val="22"/>
        </w:rPr>
        <w:t xml:space="preserve">. </w:t>
      </w:r>
      <w:r w:rsidRPr="00E65BDC">
        <w:rPr>
          <w:rFonts w:ascii="Arial Narrow" w:hAnsi="Arial Narrow" w:cs="Arial"/>
          <w:bCs/>
          <w:iCs/>
          <w:noProof/>
          <w:spacing w:val="2"/>
          <w:sz w:val="20"/>
          <w:szCs w:val="22"/>
        </w:rPr>
        <w:t>Anni 2021-2024 (% di famiglie)</w:t>
      </w:r>
    </w:p>
    <w:p w14:paraId="26BB08BF" w14:textId="77777777" w:rsidR="003B2F18" w:rsidRDefault="003B2F18" w:rsidP="008C56DD">
      <w:pPr>
        <w:suppressAutoHyphens/>
        <w:spacing w:after="60"/>
        <w:ind w:right="-6"/>
        <w:rPr>
          <w:rFonts w:ascii="Arial Narrow" w:hAnsi="Arial Narrow" w:cs="Arial"/>
          <w:bCs/>
          <w:iCs/>
          <w:noProof/>
          <w:color w:val="595959" w:themeColor="text1" w:themeTint="A6"/>
          <w:spacing w:val="2"/>
          <w:sz w:val="22"/>
          <w:szCs w:val="22"/>
        </w:rPr>
      </w:pPr>
      <w:r>
        <w:rPr>
          <w:noProof/>
          <w:lang w:val="en-GB" w:eastAsia="en-GB"/>
        </w:rPr>
        <w:drawing>
          <wp:inline distT="0" distB="0" distL="0" distR="0" wp14:anchorId="7801FA60" wp14:editId="0F7CDEBF">
            <wp:extent cx="6475730" cy="2160000"/>
            <wp:effectExtent l="0" t="0" r="1270" b="12065"/>
            <wp:docPr id="1668938682" name="Grafico 1668938682">
              <a:extLst xmlns:a="http://schemas.openxmlformats.org/drawingml/2006/main">
                <a:ext uri="{FF2B5EF4-FFF2-40B4-BE49-F238E27FC236}">
                  <a16:creationId xmlns:a16="http://schemas.microsoft.com/office/drawing/2014/main" id="{E06A4537-32A5-4EBF-805E-D0C253BDA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04B584F" w14:textId="77777777" w:rsidR="003B2F18" w:rsidRPr="00BD1369" w:rsidRDefault="003B2F18" w:rsidP="003B2F18">
      <w:pPr>
        <w:tabs>
          <w:tab w:val="left" w:pos="5954"/>
        </w:tabs>
        <w:suppressAutoHyphens/>
        <w:spacing w:before="60" w:after="60"/>
        <w:ind w:right="1695"/>
        <w:rPr>
          <w:rFonts w:ascii="Arial" w:hAnsi="Arial" w:cs="Arial"/>
          <w:noProof/>
          <w:sz w:val="15"/>
          <w:szCs w:val="15"/>
          <w:lang w:eastAsia="it-IT"/>
        </w:rPr>
      </w:pPr>
      <w:r w:rsidRPr="00BD1369">
        <w:rPr>
          <w:rFonts w:ascii="Arial Narrow" w:hAnsi="Arial Narrow"/>
          <w:noProof/>
          <w:sz w:val="15"/>
          <w:szCs w:val="15"/>
          <w:lang w:eastAsia="it-IT"/>
        </w:rPr>
        <w:t xml:space="preserve">Fonte: </w:t>
      </w:r>
      <w:r w:rsidRPr="00BD1369">
        <w:rPr>
          <w:rFonts w:ascii="Arial" w:hAnsi="Arial" w:cs="Arial"/>
          <w:noProof/>
          <w:sz w:val="15"/>
          <w:szCs w:val="15"/>
          <w:lang w:eastAsia="it-IT"/>
        </w:rPr>
        <w:t>Stime basate sul modello di micro-simulazione delle famiglie dell’ISTAT, FaMiMod.</w:t>
      </w:r>
    </w:p>
    <w:p w14:paraId="1587AF23" w14:textId="77777777" w:rsidR="003B2F18" w:rsidRDefault="003B2F18" w:rsidP="003B2F18">
      <w:pPr>
        <w:suppressAutoHyphens/>
        <w:spacing w:after="80"/>
        <w:jc w:val="both"/>
        <w:rPr>
          <w:rFonts w:ascii="Arial" w:hAnsi="Arial" w:cs="Arial"/>
          <w:iCs/>
          <w:color w:val="104875"/>
          <w:sz w:val="20"/>
          <w:szCs w:val="20"/>
        </w:rPr>
      </w:pPr>
    </w:p>
    <w:p w14:paraId="11567C81" w14:textId="77777777" w:rsidR="003B2F18" w:rsidRPr="00F94D5B" w:rsidRDefault="003B2F18" w:rsidP="00DE68EC">
      <w:pPr>
        <w:suppressAutoHyphens/>
        <w:spacing w:after="80"/>
        <w:jc w:val="both"/>
        <w:rPr>
          <w:rFonts w:ascii="Arial" w:hAnsi="Arial" w:cs="Arial"/>
          <w:iCs/>
          <w:color w:val="104875"/>
          <w:sz w:val="20"/>
          <w:szCs w:val="20"/>
        </w:rPr>
      </w:pPr>
      <w:r w:rsidRPr="00F94D5B">
        <w:rPr>
          <w:rFonts w:ascii="Arial" w:hAnsi="Arial" w:cs="Arial"/>
          <w:iCs/>
          <w:color w:val="104875"/>
          <w:sz w:val="20"/>
          <w:szCs w:val="20"/>
        </w:rPr>
        <w:t xml:space="preserve">Le famiglie </w:t>
      </w:r>
      <w:r>
        <w:rPr>
          <w:rFonts w:ascii="Arial" w:hAnsi="Arial" w:cs="Arial"/>
          <w:iCs/>
          <w:color w:val="104875"/>
          <w:sz w:val="20"/>
          <w:szCs w:val="20"/>
        </w:rPr>
        <w:t>economicamente più povere</w:t>
      </w:r>
      <w:r w:rsidRPr="00F94D5B">
        <w:rPr>
          <w:rFonts w:ascii="Arial" w:hAnsi="Arial" w:cs="Arial"/>
          <w:iCs/>
          <w:color w:val="104875"/>
          <w:sz w:val="20"/>
          <w:szCs w:val="20"/>
        </w:rPr>
        <w:t xml:space="preserve"> sono </w:t>
      </w:r>
      <w:r>
        <w:rPr>
          <w:rFonts w:ascii="Arial" w:hAnsi="Arial" w:cs="Arial"/>
          <w:iCs/>
          <w:color w:val="104875"/>
          <w:sz w:val="20"/>
          <w:szCs w:val="20"/>
        </w:rPr>
        <w:t xml:space="preserve">anche quelle </w:t>
      </w:r>
      <w:r w:rsidRPr="00F94D5B">
        <w:rPr>
          <w:rFonts w:ascii="Arial" w:hAnsi="Arial" w:cs="Arial"/>
          <w:iCs/>
          <w:color w:val="104875"/>
          <w:sz w:val="20"/>
          <w:szCs w:val="20"/>
        </w:rPr>
        <w:t xml:space="preserve">più </w:t>
      </w:r>
      <w:r>
        <w:rPr>
          <w:rFonts w:ascii="Arial" w:hAnsi="Arial" w:cs="Arial"/>
          <w:iCs/>
          <w:color w:val="104875"/>
          <w:sz w:val="20"/>
          <w:szCs w:val="20"/>
        </w:rPr>
        <w:t>vulnerabili all’aumento dei prezzi dell’energia</w:t>
      </w:r>
      <w:r w:rsidRPr="00F94D5B">
        <w:rPr>
          <w:rFonts w:ascii="Arial" w:hAnsi="Arial" w:cs="Arial"/>
          <w:iCs/>
          <w:color w:val="104875"/>
          <w:sz w:val="20"/>
          <w:szCs w:val="20"/>
        </w:rPr>
        <w:t xml:space="preserve">. </w:t>
      </w:r>
      <w:r>
        <w:rPr>
          <w:rFonts w:ascii="Arial" w:hAnsi="Arial" w:cs="Arial"/>
          <w:iCs/>
          <w:color w:val="104875"/>
          <w:sz w:val="20"/>
          <w:szCs w:val="20"/>
        </w:rPr>
        <w:t>Tra il 2021 e il 2022 la povertà energetica tra le famiglie del I quinto, valutata prima dell’erogazione dei sussidi passa, infatti,</w:t>
      </w:r>
      <w:r w:rsidRPr="00F94D5B">
        <w:rPr>
          <w:rFonts w:ascii="Arial" w:hAnsi="Arial" w:cs="Arial"/>
          <w:iCs/>
          <w:color w:val="104875"/>
          <w:sz w:val="20"/>
          <w:szCs w:val="20"/>
        </w:rPr>
        <w:t xml:space="preserve"> </w:t>
      </w:r>
      <w:r>
        <w:rPr>
          <w:rFonts w:ascii="Arial" w:hAnsi="Arial" w:cs="Arial"/>
          <w:iCs/>
          <w:color w:val="104875"/>
          <w:sz w:val="20"/>
          <w:szCs w:val="20"/>
        </w:rPr>
        <w:t xml:space="preserve">dal 47,3% al 56,0% (+8,7 punti percentuali). Nel 2022, </w:t>
      </w:r>
      <w:r w:rsidRPr="00F94D5B">
        <w:rPr>
          <w:rFonts w:ascii="Arial" w:hAnsi="Arial" w:cs="Arial"/>
          <w:iCs/>
          <w:color w:val="104875"/>
          <w:sz w:val="20"/>
          <w:szCs w:val="20"/>
        </w:rPr>
        <w:t>l</w:t>
      </w:r>
      <w:r>
        <w:rPr>
          <w:rFonts w:ascii="Arial" w:hAnsi="Arial" w:cs="Arial"/>
          <w:iCs/>
          <w:color w:val="104875"/>
          <w:sz w:val="20"/>
          <w:szCs w:val="20"/>
        </w:rPr>
        <w:t>’incidenza della</w:t>
      </w:r>
      <w:r w:rsidRPr="00F94D5B">
        <w:rPr>
          <w:rFonts w:ascii="Arial" w:hAnsi="Arial" w:cs="Arial"/>
          <w:iCs/>
          <w:color w:val="104875"/>
          <w:sz w:val="20"/>
          <w:szCs w:val="20"/>
        </w:rPr>
        <w:t xml:space="preserve"> povertà energetica </w:t>
      </w:r>
      <w:r>
        <w:rPr>
          <w:rFonts w:ascii="Arial" w:hAnsi="Arial" w:cs="Arial"/>
          <w:iCs/>
          <w:color w:val="104875"/>
          <w:sz w:val="20"/>
          <w:szCs w:val="20"/>
        </w:rPr>
        <w:t xml:space="preserve">dopo l’erogazione dei </w:t>
      </w:r>
      <w:r w:rsidRPr="00F94D5B">
        <w:rPr>
          <w:rFonts w:ascii="Arial" w:hAnsi="Arial" w:cs="Arial"/>
          <w:iCs/>
          <w:color w:val="104875"/>
          <w:sz w:val="20"/>
          <w:szCs w:val="20"/>
        </w:rPr>
        <w:t xml:space="preserve">sussidi </w:t>
      </w:r>
      <w:r>
        <w:rPr>
          <w:rFonts w:ascii="Arial" w:hAnsi="Arial" w:cs="Arial"/>
          <w:iCs/>
          <w:color w:val="104875"/>
          <w:sz w:val="20"/>
          <w:szCs w:val="20"/>
        </w:rPr>
        <w:t xml:space="preserve">è stata inferiore a quella osservata nell’anno precedente </w:t>
      </w:r>
      <w:r w:rsidRPr="00F94D5B">
        <w:rPr>
          <w:rFonts w:ascii="Arial" w:hAnsi="Arial" w:cs="Arial"/>
          <w:iCs/>
          <w:color w:val="104875"/>
          <w:sz w:val="20"/>
          <w:szCs w:val="20"/>
        </w:rPr>
        <w:t>(38,8% contro 41,2%)</w:t>
      </w:r>
      <w:r>
        <w:rPr>
          <w:rFonts w:ascii="Arial" w:hAnsi="Arial" w:cs="Arial"/>
          <w:iCs/>
          <w:color w:val="104875"/>
          <w:sz w:val="20"/>
          <w:szCs w:val="20"/>
        </w:rPr>
        <w:t>. Questo risultato conferma l’efficacia dei bonus sociali nel contenere l’effetto dell’incremento dei prezzi. Tale capacità, tuttavia, si è andata progressivamente riducendo negli anni successivi.</w:t>
      </w:r>
    </w:p>
    <w:p w14:paraId="083F2265" w14:textId="6DF8820F" w:rsidR="006742B2" w:rsidRPr="00F94D5B" w:rsidRDefault="006742B2" w:rsidP="006742B2">
      <w:pPr>
        <w:suppressAutoHyphens/>
        <w:spacing w:after="80"/>
        <w:jc w:val="both"/>
        <w:rPr>
          <w:rFonts w:ascii="Arial" w:hAnsi="Arial" w:cs="Arial"/>
          <w:iCs/>
          <w:color w:val="104875"/>
          <w:sz w:val="20"/>
          <w:szCs w:val="20"/>
        </w:rPr>
      </w:pPr>
      <w:r>
        <w:rPr>
          <w:rFonts w:ascii="Arial" w:hAnsi="Arial" w:cs="Arial"/>
          <w:iCs/>
          <w:color w:val="104875"/>
          <w:sz w:val="20"/>
          <w:szCs w:val="20"/>
        </w:rPr>
        <w:t>É possibile, inoltre, valutare se i bonus abbiano raggiunto tutte le famiglie in povertà energetica e se siano stati sufficienti a far uscire le famiglie da quella condizione. N</w:t>
      </w:r>
      <w:r w:rsidRPr="00F94D5B">
        <w:rPr>
          <w:rFonts w:ascii="Arial" w:hAnsi="Arial" w:cs="Arial"/>
          <w:iCs/>
          <w:color w:val="104875"/>
          <w:sz w:val="20"/>
          <w:szCs w:val="20"/>
        </w:rPr>
        <w:t>el 2021, il 62,2%</w:t>
      </w:r>
      <w:r>
        <w:rPr>
          <w:rFonts w:ascii="Arial" w:hAnsi="Arial" w:cs="Arial"/>
          <w:iCs/>
          <w:color w:val="104875"/>
          <w:sz w:val="20"/>
          <w:szCs w:val="20"/>
        </w:rPr>
        <w:t xml:space="preserve"> delle famiglie in povertà energetica</w:t>
      </w:r>
      <w:r w:rsidRPr="00F94D5B">
        <w:rPr>
          <w:rFonts w:ascii="Arial" w:hAnsi="Arial" w:cs="Arial"/>
          <w:iCs/>
          <w:color w:val="104875"/>
          <w:sz w:val="20"/>
          <w:szCs w:val="20"/>
        </w:rPr>
        <w:t xml:space="preserve"> non ha ricevuto i bonus, il 24,3% ha ricevuto i bonus pur rimanendo in condizioni di povertà energetica e il 13,5% è uscito dalla povertà grazie ai sussidi (Figura </w:t>
      </w:r>
      <w:r>
        <w:rPr>
          <w:rFonts w:ascii="Arial" w:hAnsi="Arial" w:cs="Arial"/>
          <w:iCs/>
          <w:color w:val="104875"/>
          <w:sz w:val="20"/>
          <w:szCs w:val="20"/>
        </w:rPr>
        <w:t>F</w:t>
      </w:r>
      <w:r w:rsidRPr="00F94D5B">
        <w:rPr>
          <w:rFonts w:ascii="Arial" w:hAnsi="Arial" w:cs="Arial"/>
          <w:iCs/>
          <w:color w:val="104875"/>
          <w:sz w:val="20"/>
          <w:szCs w:val="20"/>
        </w:rPr>
        <w:t>3).</w:t>
      </w:r>
      <w:r>
        <w:rPr>
          <w:rFonts w:ascii="Arial" w:hAnsi="Arial" w:cs="Arial"/>
          <w:iCs/>
          <w:color w:val="104875"/>
          <w:sz w:val="20"/>
          <w:szCs w:val="20"/>
        </w:rPr>
        <w:t xml:space="preserve"> Sono due le ragioni principali per cui alcune delle famiglie in povertà energetica non sono raggiunte dal sussidio: lo sconto in bolletta è automatico per le famiglie con un’attestazione ISEE valida e che rientrino nei requisiti, tuttavia non tutte le famiglie presentano l’ISEE; a differenza di quanto avviene per il calcolo della povertà energetica, le soglie di accesso ai bonus sociali non sono basate sulle variabili di reddito e consumo ma sull’ ISEE</w:t>
      </w:r>
      <w:r w:rsidR="0058759E">
        <w:rPr>
          <w:rFonts w:ascii="Arial" w:hAnsi="Arial" w:cs="Arial"/>
          <w:iCs/>
          <w:color w:val="104875"/>
          <w:sz w:val="20"/>
          <w:szCs w:val="20"/>
        </w:rPr>
        <w:t>,</w:t>
      </w:r>
      <w:r>
        <w:rPr>
          <w:rFonts w:ascii="Arial" w:hAnsi="Arial" w:cs="Arial"/>
          <w:iCs/>
          <w:color w:val="104875"/>
          <w:sz w:val="20"/>
          <w:szCs w:val="20"/>
        </w:rPr>
        <w:t xml:space="preserve"> un indicatore che tiene conto dei redditi e di variabili patrimoniali.</w:t>
      </w:r>
      <w:r w:rsidRPr="00F94D5B">
        <w:rPr>
          <w:rFonts w:ascii="Arial" w:hAnsi="Arial" w:cs="Arial"/>
          <w:iCs/>
          <w:color w:val="104875"/>
          <w:sz w:val="20"/>
          <w:szCs w:val="20"/>
        </w:rPr>
        <w:t xml:space="preserve"> </w:t>
      </w:r>
      <w:r>
        <w:rPr>
          <w:rFonts w:ascii="Arial" w:hAnsi="Arial" w:cs="Arial"/>
          <w:iCs/>
          <w:color w:val="104875"/>
          <w:sz w:val="20"/>
          <w:szCs w:val="20"/>
        </w:rPr>
        <w:t xml:space="preserve">Il quadro </w:t>
      </w:r>
      <w:r w:rsidRPr="00F94D5B">
        <w:rPr>
          <w:rFonts w:ascii="Arial" w:hAnsi="Arial" w:cs="Arial"/>
          <w:iCs/>
          <w:color w:val="104875"/>
          <w:sz w:val="20"/>
          <w:szCs w:val="20"/>
        </w:rPr>
        <w:t>è migliorat</w:t>
      </w:r>
      <w:r>
        <w:rPr>
          <w:rFonts w:ascii="Arial" w:hAnsi="Arial" w:cs="Arial"/>
          <w:iCs/>
          <w:color w:val="104875"/>
          <w:sz w:val="20"/>
          <w:szCs w:val="20"/>
        </w:rPr>
        <w:t>o</w:t>
      </w:r>
      <w:r w:rsidRPr="00F94D5B">
        <w:rPr>
          <w:rFonts w:ascii="Arial" w:hAnsi="Arial" w:cs="Arial"/>
          <w:iCs/>
          <w:color w:val="104875"/>
          <w:sz w:val="20"/>
          <w:szCs w:val="20"/>
        </w:rPr>
        <w:t xml:space="preserve"> nel 2022, quando l</w:t>
      </w:r>
      <w:r>
        <w:rPr>
          <w:rFonts w:ascii="Arial" w:hAnsi="Arial" w:cs="Arial"/>
          <w:iCs/>
          <w:color w:val="104875"/>
          <w:sz w:val="20"/>
          <w:szCs w:val="20"/>
        </w:rPr>
        <w:t>a quota di</w:t>
      </w:r>
      <w:r w:rsidRPr="00F94D5B">
        <w:rPr>
          <w:rFonts w:ascii="Arial" w:hAnsi="Arial" w:cs="Arial"/>
          <w:iCs/>
          <w:color w:val="104875"/>
          <w:sz w:val="20"/>
          <w:szCs w:val="20"/>
        </w:rPr>
        <w:t xml:space="preserve"> famiglie </w:t>
      </w:r>
      <w:r>
        <w:rPr>
          <w:rFonts w:ascii="Arial" w:hAnsi="Arial" w:cs="Arial"/>
          <w:iCs/>
          <w:color w:val="104875"/>
          <w:sz w:val="20"/>
          <w:szCs w:val="20"/>
        </w:rPr>
        <w:t>in</w:t>
      </w:r>
      <w:r w:rsidRPr="00F94D5B">
        <w:rPr>
          <w:rFonts w:ascii="Arial" w:hAnsi="Arial" w:cs="Arial"/>
          <w:iCs/>
          <w:color w:val="104875"/>
          <w:sz w:val="20"/>
          <w:szCs w:val="20"/>
        </w:rPr>
        <w:t xml:space="preserve"> povertà energetica non raggiunte da</w:t>
      </w:r>
      <w:r>
        <w:rPr>
          <w:rFonts w:ascii="Arial" w:hAnsi="Arial" w:cs="Arial"/>
          <w:iCs/>
          <w:color w:val="104875"/>
          <w:sz w:val="20"/>
          <w:szCs w:val="20"/>
        </w:rPr>
        <w:t>i</w:t>
      </w:r>
      <w:r w:rsidRPr="00F94D5B">
        <w:rPr>
          <w:rFonts w:ascii="Arial" w:hAnsi="Arial" w:cs="Arial"/>
          <w:iCs/>
          <w:color w:val="104875"/>
          <w:sz w:val="20"/>
          <w:szCs w:val="20"/>
        </w:rPr>
        <w:t xml:space="preserve"> bonus social</w:t>
      </w:r>
      <w:r>
        <w:rPr>
          <w:rFonts w:ascii="Arial" w:hAnsi="Arial" w:cs="Arial"/>
          <w:iCs/>
          <w:color w:val="104875"/>
          <w:sz w:val="20"/>
          <w:szCs w:val="20"/>
        </w:rPr>
        <w:t>i</w:t>
      </w:r>
      <w:r w:rsidRPr="00F94D5B">
        <w:rPr>
          <w:rFonts w:ascii="Arial" w:hAnsi="Arial" w:cs="Arial"/>
          <w:iCs/>
          <w:color w:val="104875"/>
          <w:sz w:val="20"/>
          <w:szCs w:val="20"/>
        </w:rPr>
        <w:t xml:space="preserve"> </w:t>
      </w:r>
      <w:r>
        <w:rPr>
          <w:rFonts w:ascii="Arial" w:hAnsi="Arial" w:cs="Arial"/>
          <w:iCs/>
          <w:color w:val="104875"/>
          <w:sz w:val="20"/>
          <w:szCs w:val="20"/>
        </w:rPr>
        <w:t>è diminuita</w:t>
      </w:r>
      <w:r w:rsidRPr="00F94D5B">
        <w:rPr>
          <w:rFonts w:ascii="Arial" w:hAnsi="Arial" w:cs="Arial"/>
          <w:iCs/>
          <w:color w:val="104875"/>
          <w:sz w:val="20"/>
          <w:szCs w:val="20"/>
        </w:rPr>
        <w:t xml:space="preserve"> al 39,1%, mentre i</w:t>
      </w:r>
      <w:r>
        <w:rPr>
          <w:rFonts w:ascii="Arial" w:hAnsi="Arial" w:cs="Arial"/>
          <w:iCs/>
          <w:color w:val="104875"/>
          <w:sz w:val="20"/>
          <w:szCs w:val="20"/>
        </w:rPr>
        <w:t xml:space="preserve"> bonus hanno permesso al</w:t>
      </w:r>
      <w:r w:rsidRPr="00F94D5B">
        <w:rPr>
          <w:rFonts w:ascii="Arial" w:hAnsi="Arial" w:cs="Arial"/>
          <w:iCs/>
          <w:color w:val="104875"/>
          <w:sz w:val="20"/>
          <w:szCs w:val="20"/>
        </w:rPr>
        <w:t xml:space="preserve"> 38,5% delle famiglie beneficiarie </w:t>
      </w:r>
      <w:r>
        <w:rPr>
          <w:rFonts w:ascii="Arial" w:hAnsi="Arial" w:cs="Arial"/>
          <w:iCs/>
          <w:color w:val="104875"/>
          <w:sz w:val="20"/>
          <w:szCs w:val="20"/>
        </w:rPr>
        <w:t xml:space="preserve">di uscire dalla </w:t>
      </w:r>
      <w:r w:rsidRPr="00F94D5B">
        <w:rPr>
          <w:rFonts w:ascii="Arial" w:hAnsi="Arial" w:cs="Arial"/>
          <w:iCs/>
          <w:color w:val="104875"/>
          <w:sz w:val="20"/>
          <w:szCs w:val="20"/>
        </w:rPr>
        <w:t xml:space="preserve">povertà energetica. Nel 2023, </w:t>
      </w:r>
      <w:r>
        <w:rPr>
          <w:rFonts w:ascii="Arial" w:hAnsi="Arial" w:cs="Arial"/>
          <w:iCs/>
          <w:color w:val="104875"/>
          <w:sz w:val="20"/>
          <w:szCs w:val="20"/>
        </w:rPr>
        <w:t>quando gli importi ricevuti dai beneficiari si riducono</w:t>
      </w:r>
      <w:r w:rsidRPr="00F94D5B">
        <w:rPr>
          <w:rFonts w:ascii="Arial" w:hAnsi="Arial" w:cs="Arial"/>
          <w:iCs/>
          <w:color w:val="104875"/>
          <w:sz w:val="20"/>
          <w:szCs w:val="20"/>
        </w:rPr>
        <w:t xml:space="preserve">, si osserva </w:t>
      </w:r>
      <w:r>
        <w:rPr>
          <w:rFonts w:ascii="Arial" w:hAnsi="Arial" w:cs="Arial"/>
          <w:iCs/>
          <w:color w:val="104875"/>
          <w:sz w:val="20"/>
          <w:szCs w:val="20"/>
        </w:rPr>
        <w:t xml:space="preserve">il </w:t>
      </w:r>
      <w:r w:rsidRPr="00F94D5B">
        <w:rPr>
          <w:rFonts w:ascii="Arial" w:hAnsi="Arial" w:cs="Arial"/>
          <w:iCs/>
          <w:color w:val="104875"/>
          <w:sz w:val="20"/>
          <w:szCs w:val="20"/>
        </w:rPr>
        <w:t>30,9% di famiglie che</w:t>
      </w:r>
      <w:r>
        <w:rPr>
          <w:rFonts w:ascii="Arial" w:hAnsi="Arial" w:cs="Arial"/>
          <w:iCs/>
          <w:color w:val="104875"/>
          <w:sz w:val="20"/>
          <w:szCs w:val="20"/>
        </w:rPr>
        <w:t>, pur avendo</w:t>
      </w:r>
      <w:r w:rsidRPr="00F94D5B">
        <w:rPr>
          <w:rFonts w:ascii="Arial" w:hAnsi="Arial" w:cs="Arial"/>
          <w:iCs/>
          <w:color w:val="104875"/>
          <w:sz w:val="20"/>
          <w:szCs w:val="20"/>
        </w:rPr>
        <w:t xml:space="preserve"> </w:t>
      </w:r>
      <w:r>
        <w:rPr>
          <w:rFonts w:ascii="Arial" w:hAnsi="Arial" w:cs="Arial"/>
          <w:iCs/>
          <w:color w:val="104875"/>
          <w:sz w:val="20"/>
          <w:szCs w:val="20"/>
        </w:rPr>
        <w:t xml:space="preserve">ricevuto </w:t>
      </w:r>
      <w:r w:rsidRPr="00F94D5B">
        <w:rPr>
          <w:rFonts w:ascii="Arial" w:hAnsi="Arial" w:cs="Arial"/>
          <w:iCs/>
          <w:color w:val="104875"/>
          <w:sz w:val="20"/>
          <w:szCs w:val="20"/>
        </w:rPr>
        <w:t xml:space="preserve">il bonus </w:t>
      </w:r>
      <w:r>
        <w:rPr>
          <w:rFonts w:ascii="Arial" w:hAnsi="Arial" w:cs="Arial"/>
          <w:iCs/>
          <w:color w:val="104875"/>
          <w:sz w:val="20"/>
          <w:szCs w:val="20"/>
        </w:rPr>
        <w:t xml:space="preserve">sono rimaste </w:t>
      </w:r>
      <w:r w:rsidRPr="00F94D5B">
        <w:rPr>
          <w:rFonts w:ascii="Arial" w:hAnsi="Arial" w:cs="Arial"/>
          <w:iCs/>
          <w:color w:val="104875"/>
          <w:sz w:val="20"/>
          <w:szCs w:val="20"/>
        </w:rPr>
        <w:t xml:space="preserve">in condizioni di povertà energetica. Nel 2024, </w:t>
      </w:r>
      <w:r>
        <w:rPr>
          <w:rFonts w:ascii="Arial" w:hAnsi="Arial" w:cs="Arial"/>
          <w:iCs/>
          <w:color w:val="104875"/>
          <w:sz w:val="20"/>
          <w:szCs w:val="20"/>
        </w:rPr>
        <w:t xml:space="preserve">più della metà delle famiglie in </w:t>
      </w:r>
      <w:r w:rsidRPr="00F94D5B">
        <w:rPr>
          <w:rFonts w:ascii="Arial" w:hAnsi="Arial" w:cs="Arial"/>
          <w:iCs/>
          <w:color w:val="104875"/>
          <w:sz w:val="20"/>
          <w:szCs w:val="20"/>
        </w:rPr>
        <w:t xml:space="preserve">condizioni di povertà energetica </w:t>
      </w:r>
      <w:r>
        <w:rPr>
          <w:rFonts w:ascii="Arial" w:hAnsi="Arial" w:cs="Arial"/>
          <w:iCs/>
          <w:color w:val="104875"/>
          <w:sz w:val="20"/>
          <w:szCs w:val="20"/>
        </w:rPr>
        <w:t xml:space="preserve">non sono state raggiunte dai sussidi </w:t>
      </w:r>
      <w:r w:rsidRPr="00F94D5B">
        <w:rPr>
          <w:rFonts w:ascii="Arial" w:hAnsi="Arial" w:cs="Arial"/>
          <w:iCs/>
          <w:color w:val="104875"/>
          <w:sz w:val="20"/>
          <w:szCs w:val="20"/>
        </w:rPr>
        <w:t>e si osserva la percentuale più alta di famiglie che ricevono il bonus ma rimangono in condizioni di povertà (52,6%).</w:t>
      </w:r>
    </w:p>
    <w:p w14:paraId="2FBF5208" w14:textId="40BD5BB8" w:rsidR="003B2F18" w:rsidRDefault="003B2F18" w:rsidP="00DE68EC">
      <w:pPr>
        <w:suppressAutoHyphens/>
        <w:spacing w:after="80"/>
        <w:jc w:val="both"/>
        <w:rPr>
          <w:rFonts w:ascii="Arial" w:hAnsi="Arial" w:cs="Arial"/>
          <w:iCs/>
          <w:color w:val="104875"/>
          <w:sz w:val="20"/>
          <w:szCs w:val="20"/>
        </w:rPr>
      </w:pPr>
      <w:r w:rsidRPr="00F94D5B">
        <w:rPr>
          <w:rFonts w:ascii="Arial" w:hAnsi="Arial" w:cs="Arial"/>
          <w:iCs/>
          <w:color w:val="104875"/>
          <w:sz w:val="20"/>
          <w:szCs w:val="20"/>
        </w:rPr>
        <w:t>I</w:t>
      </w:r>
      <w:r>
        <w:rPr>
          <w:rFonts w:ascii="Arial" w:hAnsi="Arial" w:cs="Arial"/>
          <w:iCs/>
          <w:color w:val="104875"/>
          <w:sz w:val="20"/>
          <w:szCs w:val="20"/>
        </w:rPr>
        <w:t xml:space="preserve">n sintesi, i </w:t>
      </w:r>
      <w:r w:rsidRPr="00F94D5B">
        <w:rPr>
          <w:rFonts w:ascii="Arial" w:hAnsi="Arial" w:cs="Arial"/>
          <w:iCs/>
          <w:color w:val="104875"/>
          <w:sz w:val="20"/>
          <w:szCs w:val="20"/>
        </w:rPr>
        <w:t>risultati mostrano che i sussidi energetici sono stati efficaci nel compensare l'impatto dell'aumento dei prezzi dell'energia per le famiglie in condizioni di povertà energetica</w:t>
      </w:r>
      <w:r w:rsidR="005E2D52">
        <w:rPr>
          <w:rFonts w:ascii="Arial" w:hAnsi="Arial" w:cs="Arial"/>
          <w:iCs/>
          <w:color w:val="104875"/>
          <w:sz w:val="20"/>
          <w:szCs w:val="20"/>
        </w:rPr>
        <w:t xml:space="preserve"> in particolare</w:t>
      </w:r>
      <w:r>
        <w:rPr>
          <w:rFonts w:ascii="Arial" w:hAnsi="Arial" w:cs="Arial"/>
          <w:iCs/>
          <w:color w:val="104875"/>
          <w:sz w:val="20"/>
          <w:szCs w:val="20"/>
        </w:rPr>
        <w:t xml:space="preserve"> nel 2022, anno di picco dei prezzi energetici</w:t>
      </w:r>
      <w:r w:rsidRPr="00F94D5B">
        <w:rPr>
          <w:rFonts w:ascii="Arial" w:hAnsi="Arial" w:cs="Arial"/>
          <w:iCs/>
          <w:color w:val="104875"/>
          <w:sz w:val="20"/>
          <w:szCs w:val="20"/>
        </w:rPr>
        <w:t xml:space="preserve">. </w:t>
      </w:r>
      <w:r>
        <w:rPr>
          <w:rFonts w:ascii="Arial" w:hAnsi="Arial" w:cs="Arial"/>
          <w:iCs/>
          <w:color w:val="104875"/>
          <w:sz w:val="20"/>
          <w:szCs w:val="20"/>
        </w:rPr>
        <w:t>L</w:t>
      </w:r>
      <w:r w:rsidRPr="00F94D5B">
        <w:rPr>
          <w:rFonts w:ascii="Arial" w:hAnsi="Arial" w:cs="Arial"/>
          <w:iCs/>
          <w:color w:val="104875"/>
          <w:sz w:val="20"/>
          <w:szCs w:val="20"/>
        </w:rPr>
        <w:t>'analisi</w:t>
      </w:r>
      <w:r>
        <w:rPr>
          <w:rFonts w:ascii="Arial" w:hAnsi="Arial" w:cs="Arial"/>
          <w:iCs/>
          <w:color w:val="104875"/>
          <w:sz w:val="20"/>
          <w:szCs w:val="20"/>
        </w:rPr>
        <w:t>, tuttavia,</w:t>
      </w:r>
      <w:r w:rsidRPr="00F94D5B">
        <w:rPr>
          <w:rFonts w:ascii="Arial" w:hAnsi="Arial" w:cs="Arial"/>
          <w:iCs/>
          <w:color w:val="104875"/>
          <w:sz w:val="20"/>
          <w:szCs w:val="20"/>
        </w:rPr>
        <w:t xml:space="preserve"> </w:t>
      </w:r>
      <w:r>
        <w:rPr>
          <w:rFonts w:ascii="Arial" w:hAnsi="Arial" w:cs="Arial"/>
          <w:iCs/>
          <w:color w:val="104875"/>
          <w:sz w:val="20"/>
          <w:szCs w:val="20"/>
        </w:rPr>
        <w:t>evidenzi</w:t>
      </w:r>
      <w:r w:rsidRPr="00F94D5B">
        <w:rPr>
          <w:rFonts w:ascii="Arial" w:hAnsi="Arial" w:cs="Arial"/>
          <w:iCs/>
          <w:color w:val="104875"/>
          <w:sz w:val="20"/>
          <w:szCs w:val="20"/>
        </w:rPr>
        <w:t xml:space="preserve">a </w:t>
      </w:r>
      <w:r>
        <w:rPr>
          <w:rFonts w:ascii="Arial" w:hAnsi="Arial" w:cs="Arial"/>
          <w:iCs/>
          <w:color w:val="104875"/>
          <w:sz w:val="20"/>
          <w:szCs w:val="20"/>
        </w:rPr>
        <w:t>anche la presenza di</w:t>
      </w:r>
      <w:r w:rsidRPr="00F94D5B">
        <w:rPr>
          <w:rFonts w:ascii="Arial" w:hAnsi="Arial" w:cs="Arial"/>
          <w:iCs/>
          <w:color w:val="104875"/>
          <w:sz w:val="20"/>
          <w:szCs w:val="20"/>
        </w:rPr>
        <w:t xml:space="preserve"> una percentuale significativa di famiglie in condizioni di povertà energetica </w:t>
      </w:r>
      <w:r>
        <w:rPr>
          <w:rFonts w:ascii="Arial" w:hAnsi="Arial" w:cs="Arial"/>
          <w:iCs/>
          <w:color w:val="104875"/>
          <w:sz w:val="20"/>
          <w:szCs w:val="20"/>
        </w:rPr>
        <w:t xml:space="preserve">che </w:t>
      </w:r>
      <w:r w:rsidRPr="00F94D5B">
        <w:rPr>
          <w:rFonts w:ascii="Arial" w:hAnsi="Arial" w:cs="Arial"/>
          <w:iCs/>
          <w:color w:val="104875"/>
          <w:sz w:val="20"/>
          <w:szCs w:val="20"/>
        </w:rPr>
        <w:t>non rientr</w:t>
      </w:r>
      <w:r>
        <w:rPr>
          <w:rFonts w:ascii="Arial" w:hAnsi="Arial" w:cs="Arial"/>
          <w:iCs/>
          <w:color w:val="104875"/>
          <w:sz w:val="20"/>
          <w:szCs w:val="20"/>
        </w:rPr>
        <w:t>a</w:t>
      </w:r>
      <w:r w:rsidRPr="00F94D5B">
        <w:rPr>
          <w:rFonts w:ascii="Arial" w:hAnsi="Arial" w:cs="Arial"/>
          <w:iCs/>
          <w:color w:val="104875"/>
          <w:sz w:val="20"/>
          <w:szCs w:val="20"/>
        </w:rPr>
        <w:t xml:space="preserve"> tra </w:t>
      </w:r>
      <w:r>
        <w:rPr>
          <w:rFonts w:ascii="Arial" w:hAnsi="Arial" w:cs="Arial"/>
          <w:iCs/>
          <w:color w:val="104875"/>
          <w:sz w:val="20"/>
          <w:szCs w:val="20"/>
        </w:rPr>
        <w:t xml:space="preserve">quelle </w:t>
      </w:r>
      <w:r w:rsidRPr="00F94D5B">
        <w:rPr>
          <w:rFonts w:ascii="Arial" w:hAnsi="Arial" w:cs="Arial"/>
          <w:iCs/>
          <w:color w:val="104875"/>
          <w:sz w:val="20"/>
          <w:szCs w:val="20"/>
        </w:rPr>
        <w:t>beneficiari</w:t>
      </w:r>
      <w:r>
        <w:rPr>
          <w:rFonts w:ascii="Arial" w:hAnsi="Arial" w:cs="Arial"/>
          <w:iCs/>
          <w:color w:val="104875"/>
          <w:sz w:val="20"/>
          <w:szCs w:val="20"/>
        </w:rPr>
        <w:t>e</w:t>
      </w:r>
      <w:r w:rsidRPr="00F94D5B">
        <w:rPr>
          <w:rFonts w:ascii="Arial" w:hAnsi="Arial" w:cs="Arial"/>
          <w:iCs/>
          <w:color w:val="104875"/>
          <w:sz w:val="20"/>
          <w:szCs w:val="20"/>
        </w:rPr>
        <w:t xml:space="preserve"> della misura di welfare</w:t>
      </w:r>
      <w:r w:rsidR="006742B2">
        <w:rPr>
          <w:rFonts w:ascii="Arial" w:hAnsi="Arial" w:cs="Arial"/>
          <w:iCs/>
          <w:color w:val="104875"/>
          <w:sz w:val="20"/>
          <w:szCs w:val="20"/>
        </w:rPr>
        <w:t xml:space="preserve"> </w:t>
      </w:r>
      <w:bookmarkStart w:id="0" w:name="_Hlk208315331"/>
      <w:r w:rsidR="006742B2">
        <w:rPr>
          <w:rFonts w:ascii="Arial" w:hAnsi="Arial" w:cs="Arial"/>
          <w:iCs/>
          <w:color w:val="104875"/>
          <w:sz w:val="20"/>
          <w:szCs w:val="20"/>
        </w:rPr>
        <w:t>o perché non hanno presentato un’attestazione ISEE o perché prive dei requisiti ISEE necessari per l’accesso ai bonus</w:t>
      </w:r>
      <w:bookmarkEnd w:id="0"/>
      <w:r w:rsidRPr="00F94D5B">
        <w:rPr>
          <w:rFonts w:ascii="Arial" w:hAnsi="Arial" w:cs="Arial"/>
          <w:iCs/>
          <w:color w:val="104875"/>
          <w:sz w:val="20"/>
          <w:szCs w:val="20"/>
        </w:rPr>
        <w:t>.</w:t>
      </w:r>
    </w:p>
    <w:p w14:paraId="59BAC609" w14:textId="77777777" w:rsidR="003B2F18" w:rsidRPr="00F94D5B" w:rsidRDefault="003B2F18" w:rsidP="003B2F18">
      <w:pPr>
        <w:suppressAutoHyphens/>
        <w:spacing w:after="80"/>
        <w:jc w:val="both"/>
        <w:rPr>
          <w:rFonts w:ascii="Arial" w:hAnsi="Arial" w:cs="Arial"/>
          <w:iCs/>
          <w:color w:val="104875"/>
          <w:sz w:val="20"/>
          <w:szCs w:val="20"/>
        </w:rPr>
      </w:pPr>
    </w:p>
    <w:p w14:paraId="1E3CEE39" w14:textId="77777777" w:rsidR="003B2F18" w:rsidRPr="00E65BDC" w:rsidRDefault="003B2F18" w:rsidP="003B2F18">
      <w:pPr>
        <w:suppressAutoHyphens/>
        <w:spacing w:after="120"/>
        <w:ind w:right="-6"/>
        <w:rPr>
          <w:rFonts w:ascii="Arial Narrow" w:hAnsi="Arial Narrow" w:cs="Arial"/>
          <w:b/>
          <w:iCs/>
          <w:noProof/>
          <w:spacing w:val="2"/>
          <w:sz w:val="20"/>
          <w:szCs w:val="22"/>
        </w:rPr>
      </w:pPr>
      <w:r w:rsidRPr="0050029E">
        <w:rPr>
          <w:rFonts w:ascii="Arial Narrow" w:hAnsi="Arial Narrow" w:cs="Arial"/>
          <w:b/>
          <w:iCs/>
          <w:noProof/>
          <w:color w:val="00817F"/>
          <w:sz w:val="22"/>
          <w:szCs w:val="22"/>
        </w:rPr>
        <w:t>FIGUR</w:t>
      </w:r>
      <w:r>
        <w:rPr>
          <w:rFonts w:ascii="Arial Narrow" w:hAnsi="Arial Narrow" w:cs="Arial"/>
          <w:b/>
          <w:iCs/>
          <w:noProof/>
          <w:color w:val="00817F"/>
          <w:sz w:val="22"/>
          <w:szCs w:val="22"/>
        </w:rPr>
        <w:t>A</w:t>
      </w:r>
      <w:r w:rsidRPr="0050029E">
        <w:rPr>
          <w:rFonts w:ascii="Arial Narrow" w:hAnsi="Arial Narrow" w:cs="Arial"/>
          <w:b/>
          <w:iCs/>
          <w:noProof/>
          <w:color w:val="00817F"/>
          <w:sz w:val="22"/>
          <w:szCs w:val="22"/>
        </w:rPr>
        <w:t xml:space="preserve"> F3.</w:t>
      </w:r>
      <w:r w:rsidRPr="0050029E">
        <w:t xml:space="preserve"> </w:t>
      </w:r>
      <w:r w:rsidRPr="00B55140">
        <w:rPr>
          <w:rFonts w:ascii="Arial Narrow" w:hAnsi="Arial Narrow" w:cs="Arial"/>
          <w:b/>
          <w:iCs/>
          <w:noProof/>
          <w:color w:val="595959" w:themeColor="text1" w:themeTint="A6"/>
          <w:spacing w:val="2"/>
          <w:sz w:val="22"/>
          <w:szCs w:val="22"/>
        </w:rPr>
        <w:t>FAMIGLIE IN POVERTÀ</w:t>
      </w:r>
      <w:r>
        <w:rPr>
          <w:rFonts w:ascii="Arial Narrow" w:hAnsi="Arial Narrow" w:cs="Arial"/>
          <w:b/>
          <w:iCs/>
          <w:noProof/>
          <w:color w:val="595959" w:themeColor="text1" w:themeTint="A6"/>
          <w:spacing w:val="2"/>
          <w:sz w:val="22"/>
          <w:szCs w:val="22"/>
        </w:rPr>
        <w:t xml:space="preserve"> ENERGETICA E BONUS SOCIALI</w:t>
      </w:r>
      <w:r w:rsidRPr="00B55140">
        <w:rPr>
          <w:rFonts w:ascii="Arial Narrow" w:hAnsi="Arial Narrow" w:cs="Arial"/>
          <w:bCs/>
          <w:iCs/>
          <w:noProof/>
          <w:color w:val="595959" w:themeColor="text1" w:themeTint="A6"/>
          <w:spacing w:val="2"/>
          <w:sz w:val="22"/>
          <w:szCs w:val="22"/>
        </w:rPr>
        <w:t xml:space="preserve">. </w:t>
      </w:r>
      <w:r w:rsidRPr="00E65BDC">
        <w:rPr>
          <w:rFonts w:ascii="Arial Narrow" w:hAnsi="Arial Narrow" w:cs="Arial"/>
          <w:bCs/>
          <w:iCs/>
          <w:noProof/>
          <w:spacing w:val="2"/>
          <w:sz w:val="20"/>
          <w:szCs w:val="22"/>
        </w:rPr>
        <w:t>Anni 2021-2024 (composizione percentuale).</w:t>
      </w:r>
      <w:r w:rsidRPr="00E65BDC">
        <w:rPr>
          <w:rFonts w:ascii="Arial Narrow" w:hAnsi="Arial Narrow" w:cs="Arial"/>
          <w:b/>
          <w:iCs/>
          <w:noProof/>
          <w:spacing w:val="2"/>
          <w:sz w:val="20"/>
          <w:szCs w:val="22"/>
        </w:rPr>
        <w:t xml:space="preserve"> </w:t>
      </w:r>
    </w:p>
    <w:p w14:paraId="228BC844" w14:textId="77777777" w:rsidR="003B2F18" w:rsidRPr="00B55140" w:rsidRDefault="003B2F18" w:rsidP="00714889">
      <w:pPr>
        <w:suppressAutoHyphens/>
        <w:spacing w:after="60"/>
        <w:ind w:right="-6"/>
        <w:rPr>
          <w:rFonts w:ascii="Arial Narrow" w:hAnsi="Arial Narrow" w:cs="Arial"/>
          <w:b/>
          <w:iCs/>
          <w:noProof/>
          <w:color w:val="595959" w:themeColor="text1" w:themeTint="A6"/>
          <w:spacing w:val="2"/>
          <w:sz w:val="22"/>
          <w:szCs w:val="22"/>
        </w:rPr>
      </w:pPr>
      <w:r>
        <w:rPr>
          <w:noProof/>
          <w:lang w:val="en-GB" w:eastAsia="en-GB"/>
        </w:rPr>
        <w:drawing>
          <wp:inline distT="0" distB="0" distL="0" distR="0" wp14:anchorId="3B1323BC" wp14:editId="7D8D98AC">
            <wp:extent cx="6475730" cy="2400300"/>
            <wp:effectExtent l="0" t="0" r="1270" b="0"/>
            <wp:docPr id="1268944911" name="Grafico 1268944911">
              <a:extLst xmlns:a="http://schemas.openxmlformats.org/drawingml/2006/main">
                <a:ext uri="{FF2B5EF4-FFF2-40B4-BE49-F238E27FC236}">
                  <a16:creationId xmlns:a16="http://schemas.microsoft.com/office/drawing/2014/main" id="{97823D7C-BA5F-432B-966B-9058AB500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5539379" w14:textId="77777777" w:rsidR="003B2F18" w:rsidRPr="00E65BDC" w:rsidRDefault="003B2F18" w:rsidP="003B2F18">
      <w:pPr>
        <w:tabs>
          <w:tab w:val="left" w:pos="5954"/>
        </w:tabs>
        <w:suppressAutoHyphens/>
        <w:spacing w:before="60" w:after="60"/>
        <w:ind w:right="1695"/>
        <w:rPr>
          <w:rFonts w:ascii="Arial" w:hAnsi="Arial" w:cs="Arial"/>
          <w:noProof/>
          <w:sz w:val="15"/>
          <w:szCs w:val="15"/>
          <w:lang w:eastAsia="it-IT"/>
        </w:rPr>
      </w:pPr>
      <w:r w:rsidRPr="00E65BDC">
        <w:rPr>
          <w:rFonts w:ascii="Arial Narrow" w:hAnsi="Arial Narrow"/>
          <w:noProof/>
          <w:sz w:val="15"/>
          <w:szCs w:val="15"/>
          <w:lang w:eastAsia="it-IT"/>
        </w:rPr>
        <w:t xml:space="preserve">Fonte: </w:t>
      </w:r>
      <w:r w:rsidRPr="00E65BDC">
        <w:rPr>
          <w:rFonts w:ascii="Arial" w:hAnsi="Arial" w:cs="Arial"/>
          <w:noProof/>
          <w:sz w:val="15"/>
          <w:szCs w:val="15"/>
          <w:lang w:eastAsia="it-IT"/>
        </w:rPr>
        <w:t>Stime basate sul modello di micro-simulazione delle famiglie dell’ISTAT, FaMiMod,</w:t>
      </w:r>
    </w:p>
    <w:p w14:paraId="524D6EDC" w14:textId="78FBA7D2" w:rsidR="003B2F18" w:rsidRDefault="003B2F18" w:rsidP="003B2F18">
      <w:pPr>
        <w:suppressAutoHyphens/>
        <w:spacing w:after="80"/>
        <w:jc w:val="both"/>
        <w:rPr>
          <w:rFonts w:ascii="Arial" w:hAnsi="Arial" w:cs="Arial"/>
          <w:iCs/>
          <w:color w:val="104875"/>
          <w:sz w:val="20"/>
          <w:szCs w:val="20"/>
        </w:rPr>
      </w:pPr>
    </w:p>
    <w:p w14:paraId="69622E94" w14:textId="4EBA77D5" w:rsidR="00E65BDC" w:rsidRDefault="00E65BDC" w:rsidP="003B2F18">
      <w:pPr>
        <w:suppressAutoHyphens/>
        <w:spacing w:after="80"/>
        <w:jc w:val="both"/>
        <w:rPr>
          <w:rFonts w:ascii="Arial" w:hAnsi="Arial" w:cs="Arial"/>
          <w:iCs/>
          <w:color w:val="104875"/>
          <w:sz w:val="20"/>
          <w:szCs w:val="20"/>
        </w:rPr>
      </w:pPr>
    </w:p>
    <w:p w14:paraId="629417F8" w14:textId="77777777" w:rsidR="00E65BDC" w:rsidRPr="00F94D5B" w:rsidRDefault="00E65BDC" w:rsidP="003B2F18">
      <w:pPr>
        <w:suppressAutoHyphens/>
        <w:spacing w:after="80"/>
        <w:jc w:val="both"/>
        <w:rPr>
          <w:rFonts w:ascii="Arial" w:hAnsi="Arial" w:cs="Arial"/>
          <w:iCs/>
          <w:color w:val="104875"/>
          <w:sz w:val="20"/>
          <w:szCs w:val="20"/>
        </w:rPr>
      </w:pPr>
    </w:p>
    <w:p w14:paraId="0A567DE3" w14:textId="1B8D8F5E" w:rsidR="00E66BF3" w:rsidRPr="002938E6" w:rsidRDefault="00E65BDC" w:rsidP="00E66BF3">
      <w:pPr>
        <w:tabs>
          <w:tab w:val="left" w:pos="5954"/>
        </w:tabs>
        <w:suppressAutoHyphens/>
        <w:spacing w:before="60" w:after="60"/>
        <w:ind w:right="1695"/>
        <w:rPr>
          <w:rFonts w:ascii="Arial" w:hAnsi="Arial" w:cs="Arial"/>
          <w:i/>
          <w:noProof/>
          <w:sz w:val="15"/>
          <w:szCs w:val="15"/>
          <w:lang w:eastAsia="it-IT"/>
        </w:rPr>
      </w:pPr>
      <w:r w:rsidRPr="002938E6">
        <w:rPr>
          <w:rFonts w:ascii="Arial" w:eastAsia="Times New Roman" w:hAnsi="Arial" w:cs="Arial"/>
          <w:bCs/>
          <w:color w:val="008080"/>
          <w:sz w:val="36"/>
          <w:szCs w:val="36"/>
          <w:lang w:eastAsia="it-IT"/>
        </w:rPr>
        <w:t>Per chiarimenti tecnici e metodologici</w:t>
      </w:r>
    </w:p>
    <w:p w14:paraId="528C1253" w14:textId="524E2927" w:rsidR="002938E6" w:rsidRPr="00E65BDC" w:rsidRDefault="002938E6" w:rsidP="00973B47">
      <w:pPr>
        <w:spacing w:before="100" w:beforeAutospacing="1" w:after="100" w:afterAutospacing="1"/>
        <w:rPr>
          <w:rFonts w:ascii="Arial" w:eastAsia="Times New Roman" w:hAnsi="Arial" w:cs="Arial"/>
          <w:bCs/>
          <w:color w:val="008080"/>
          <w:sz w:val="18"/>
          <w:szCs w:val="36"/>
          <w:lang w:eastAsia="it-IT"/>
        </w:rPr>
      </w:pPr>
      <w:r w:rsidRPr="00E65BDC">
        <w:rPr>
          <w:rFonts w:ascii="Times New Roman" w:eastAsia="Times New Roman" w:hAnsi="Times New Roman" w:cs="Times New Roman"/>
          <w:noProof/>
          <w:sz w:val="12"/>
          <w:lang w:val="en-GB" w:eastAsia="en-GB"/>
        </w:rPr>
        <mc:AlternateContent>
          <mc:Choice Requires="wps">
            <w:drawing>
              <wp:anchor distT="4294967295" distB="4294967295" distL="114300" distR="114300" simplePos="0" relativeHeight="251679744" behindDoc="0" locked="0" layoutInCell="1" allowOverlap="1" wp14:anchorId="244C540F" wp14:editId="761DB1D8">
                <wp:simplePos x="0" y="0"/>
                <wp:positionH relativeFrom="column">
                  <wp:posOffset>5715</wp:posOffset>
                </wp:positionH>
                <wp:positionV relativeFrom="paragraph">
                  <wp:posOffset>41910</wp:posOffset>
                </wp:positionV>
                <wp:extent cx="5353050" cy="31750"/>
                <wp:effectExtent l="0" t="0" r="19050" b="25400"/>
                <wp:wrapNone/>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53050" cy="31750"/>
                        </a:xfrm>
                        <a:prstGeom prst="line">
                          <a:avLst/>
                        </a:prstGeom>
                        <a:noFill/>
                        <a:ln w="9525" cap="flat" cmpd="sng" algn="ctr">
                          <a:solidFill>
                            <a:sysClr val="windowText" lastClr="000000">
                              <a:lumMod val="50000"/>
                              <a:lumOff val="50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43EBB28" id="Connettore diritto 6"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3.3pt" to="421.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" strokecolor="#7f7f7f">
                <v:stroke joinstyle="miter"/>
                <o:lock v:ext="edit" shapetype="f"/>
              </v:line>
            </w:pict>
          </mc:Fallback>
        </mc:AlternateContent>
      </w:r>
    </w:p>
    <w:p w14:paraId="62A7CD79" w14:textId="77777777" w:rsidR="002938E6" w:rsidRPr="002938E6" w:rsidRDefault="002938E6" w:rsidP="00973B47">
      <w:pPr>
        <w:rPr>
          <w:rFonts w:ascii="Arial" w:eastAsia="Times New Roman" w:hAnsi="Arial" w:cs="Arial"/>
          <w:b/>
          <w:bCs/>
          <w:color w:val="008080"/>
          <w:sz w:val="22"/>
          <w:szCs w:val="22"/>
          <w:lang w:eastAsia="it-IT"/>
        </w:rPr>
      </w:pPr>
      <w:r w:rsidRPr="002938E6">
        <w:rPr>
          <w:rFonts w:ascii="Arial" w:eastAsia="Times New Roman" w:hAnsi="Arial" w:cs="Arial"/>
          <w:b/>
          <w:bCs/>
          <w:color w:val="008080"/>
          <w:sz w:val="22"/>
          <w:szCs w:val="22"/>
          <w:lang w:eastAsia="it-IT"/>
        </w:rPr>
        <w:t>Roberta De Santis</w:t>
      </w:r>
    </w:p>
    <w:p w14:paraId="5A827432" w14:textId="77777777" w:rsidR="002938E6" w:rsidRPr="002938E6" w:rsidRDefault="002938E6" w:rsidP="00973B47">
      <w:pPr>
        <w:rPr>
          <w:rFonts w:ascii="Arial" w:eastAsia="Times New Roman" w:hAnsi="Arial" w:cs="Arial"/>
          <w:color w:val="000000"/>
          <w:lang w:eastAsia="it-IT"/>
        </w:rPr>
      </w:pPr>
      <w:r w:rsidRPr="002938E6">
        <w:rPr>
          <w:rFonts w:ascii="Arial" w:eastAsia="Times New Roman" w:hAnsi="Arial" w:cs="Arial"/>
          <w:color w:val="000000"/>
          <w:lang w:eastAsia="it-IT"/>
        </w:rPr>
        <w:t>tel.+39 06 4673 7294</w:t>
      </w:r>
    </w:p>
    <w:p w14:paraId="59B088D1" w14:textId="77777777" w:rsidR="002938E6" w:rsidRPr="002938E6" w:rsidRDefault="002938E6" w:rsidP="00973B47">
      <w:pPr>
        <w:rPr>
          <w:rFonts w:ascii="Arial" w:eastAsia="Times New Roman" w:hAnsi="Arial" w:cs="Arial"/>
          <w:color w:val="000000"/>
          <w:lang w:eastAsia="it-IT"/>
        </w:rPr>
      </w:pPr>
      <w:hyperlink r:id="rId39" w:history="1">
        <w:r w:rsidRPr="002938E6">
          <w:rPr>
            <w:rFonts w:ascii="Arial" w:eastAsiaTheme="majorEastAsia" w:hAnsi="Arial" w:cs="Arial"/>
            <w:color w:val="0000FF"/>
            <w:u w:val="single"/>
            <w:lang w:eastAsia="it-IT"/>
          </w:rPr>
          <w:t>rdesantis@istat.it</w:t>
        </w:r>
      </w:hyperlink>
    </w:p>
    <w:p w14:paraId="55D44CE6" w14:textId="77777777" w:rsidR="00973B47" w:rsidRDefault="00973B47" w:rsidP="00973B47">
      <w:pPr>
        <w:rPr>
          <w:rFonts w:ascii="Arial" w:eastAsia="Times New Roman" w:hAnsi="Arial" w:cs="Arial"/>
          <w:b/>
          <w:bCs/>
          <w:color w:val="008080"/>
          <w:sz w:val="22"/>
          <w:szCs w:val="22"/>
          <w:lang w:eastAsia="it-IT"/>
        </w:rPr>
      </w:pPr>
    </w:p>
    <w:p w14:paraId="3FBA61F6" w14:textId="4626B400" w:rsidR="002938E6" w:rsidRPr="002938E6" w:rsidRDefault="002938E6" w:rsidP="00973B47">
      <w:pPr>
        <w:rPr>
          <w:rFonts w:ascii="Arial" w:eastAsia="Times New Roman" w:hAnsi="Arial" w:cs="Arial"/>
          <w:b/>
          <w:bCs/>
          <w:color w:val="008080"/>
          <w:sz w:val="22"/>
          <w:szCs w:val="22"/>
          <w:lang w:eastAsia="it-IT"/>
        </w:rPr>
      </w:pPr>
      <w:r w:rsidRPr="002938E6">
        <w:rPr>
          <w:rFonts w:ascii="Arial" w:eastAsia="Times New Roman" w:hAnsi="Arial" w:cs="Arial"/>
          <w:b/>
          <w:bCs/>
          <w:color w:val="008080"/>
          <w:sz w:val="22"/>
          <w:szCs w:val="22"/>
          <w:lang w:eastAsia="it-IT"/>
        </w:rPr>
        <w:t>Claudio Vicarelli</w:t>
      </w:r>
    </w:p>
    <w:p w14:paraId="6C4D024A" w14:textId="77777777" w:rsidR="002938E6" w:rsidRPr="002938E6" w:rsidRDefault="002938E6" w:rsidP="00973B47">
      <w:pPr>
        <w:rPr>
          <w:rFonts w:ascii="Arial" w:eastAsia="Times New Roman" w:hAnsi="Arial" w:cs="Arial"/>
          <w:color w:val="000000"/>
          <w:lang w:eastAsia="it-IT"/>
        </w:rPr>
      </w:pPr>
      <w:r w:rsidRPr="002938E6">
        <w:rPr>
          <w:rFonts w:ascii="Arial" w:eastAsia="Times New Roman" w:hAnsi="Arial" w:cs="Arial"/>
          <w:color w:val="000000"/>
          <w:lang w:eastAsia="it-IT"/>
        </w:rPr>
        <w:t>tel.+39 06 4673 7313</w:t>
      </w:r>
    </w:p>
    <w:p w14:paraId="5B22321A" w14:textId="77777777" w:rsidR="002938E6" w:rsidRDefault="002938E6" w:rsidP="00973B47">
      <w:pPr>
        <w:rPr>
          <w:rFonts w:ascii="Arial" w:eastAsiaTheme="majorEastAsia" w:hAnsi="Arial" w:cs="Arial"/>
          <w:color w:val="0000FF"/>
          <w:u w:val="single"/>
          <w:lang w:eastAsia="it-IT"/>
        </w:rPr>
      </w:pPr>
      <w:hyperlink r:id="rId40" w:history="1">
        <w:r w:rsidRPr="002938E6">
          <w:rPr>
            <w:rFonts w:ascii="Arial" w:eastAsiaTheme="majorEastAsia" w:hAnsi="Arial" w:cs="Arial"/>
            <w:color w:val="0000FF"/>
            <w:u w:val="single"/>
            <w:lang w:eastAsia="it-IT"/>
          </w:rPr>
          <w:t>cvicarelli@istat.it</w:t>
        </w:r>
      </w:hyperlink>
      <w:r w:rsidRPr="002938E6">
        <w:rPr>
          <w:rFonts w:ascii="Arial" w:eastAsia="Times New Roman" w:hAnsi="Arial" w:cs="Arial"/>
          <w:lang w:eastAsia="it-IT"/>
        </w:rPr>
        <w:t xml:space="preserve"> </w:t>
      </w:r>
      <w:r w:rsidRPr="002938E6">
        <w:rPr>
          <w:rFonts w:ascii="Arial" w:eastAsiaTheme="majorEastAsia" w:hAnsi="Arial" w:cs="Arial"/>
          <w:color w:val="0000FF"/>
          <w:u w:val="single"/>
          <w:lang w:eastAsia="it-IT"/>
        </w:rPr>
        <w:t xml:space="preserve"> </w:t>
      </w:r>
    </w:p>
    <w:sectPr w:rsidR="002938E6" w:rsidSect="005505AC">
      <w:headerReference w:type="even" r:id="rId41"/>
      <w:headerReference w:type="default" r:id="rId42"/>
      <w:footerReference w:type="even" r:id="rId43"/>
      <w:footerReference w:type="default" r:id="rId44"/>
      <w:headerReference w:type="first" r:id="rId45"/>
      <w:footerReference w:type="first" r:id="rId46"/>
      <w:pgSz w:w="11900" w:h="16840"/>
      <w:pgMar w:top="1418" w:right="851" w:bottom="1097" w:left="851" w:header="709"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88E7" w14:textId="77777777" w:rsidR="008F7081" w:rsidRDefault="008F7081" w:rsidP="004C1120">
      <w:r>
        <w:separator/>
      </w:r>
    </w:p>
  </w:endnote>
  <w:endnote w:type="continuationSeparator" w:id="0">
    <w:p w14:paraId="1CC91B2F" w14:textId="77777777" w:rsidR="008F7081" w:rsidRDefault="008F7081" w:rsidP="004C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70142371"/>
      <w:docPartObj>
        <w:docPartGallery w:val="Page Numbers (Bottom of Page)"/>
        <w:docPartUnique/>
      </w:docPartObj>
    </w:sdtPr>
    <w:sdtEndPr>
      <w:rPr>
        <w:rStyle w:val="Numeropagina"/>
      </w:rPr>
    </w:sdtEndPr>
    <w:sdtContent>
      <w:p w14:paraId="33C1D13B" w14:textId="5373B834" w:rsidR="000C58CD" w:rsidRDefault="000C58CD" w:rsidP="000A5829">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5274DFC" w14:textId="77777777" w:rsidR="000C58CD" w:rsidRDefault="000C58C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37053163"/>
      <w:docPartObj>
        <w:docPartGallery w:val="Page Numbers (Bottom of Page)"/>
        <w:docPartUnique/>
      </w:docPartObj>
    </w:sdtPr>
    <w:sdtEndPr>
      <w:rPr>
        <w:rStyle w:val="Numeropagina"/>
      </w:rPr>
    </w:sdtEndPr>
    <w:sdtContent>
      <w:p w14:paraId="161933F0" w14:textId="460912AE" w:rsidR="000C58CD" w:rsidRDefault="000C58CD" w:rsidP="00E34EDD">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82578C">
          <w:rPr>
            <w:rStyle w:val="Numeropagina"/>
            <w:noProof/>
          </w:rPr>
          <w:t>10</w:t>
        </w:r>
        <w:r>
          <w:rPr>
            <w:rStyle w:val="Numeropagina"/>
          </w:rPr>
          <w:fldChar w:fldCharType="end"/>
        </w:r>
      </w:p>
    </w:sdtContent>
  </w:sdt>
  <w:p w14:paraId="0E066CCD" w14:textId="7F1FFBB1" w:rsidR="000C58CD" w:rsidRDefault="000C58CD" w:rsidP="000A5829">
    <w:pPr>
      <w:pStyle w:val="Pidipagina"/>
      <w:tabs>
        <w:tab w:val="clear" w:pos="9638"/>
      </w:tabs>
      <w:ind w:right="-6109"/>
    </w:pPr>
    <w:r>
      <w:rPr>
        <w:rFonts w:cs="Arial"/>
        <w:noProof/>
        <w:sz w:val="12"/>
        <w:szCs w:val="12"/>
        <w:lang w:val="en-GB" w:eastAsia="en-GB"/>
      </w:rPr>
      <mc:AlternateContent>
        <mc:Choice Requires="wps">
          <w:drawing>
            <wp:anchor distT="0" distB="0" distL="114300" distR="114300" simplePos="0" relativeHeight="251656704" behindDoc="0" locked="0" layoutInCell="1" allowOverlap="1" wp14:anchorId="0907A7B8" wp14:editId="7E50A45C">
              <wp:simplePos x="0" y="0"/>
              <wp:positionH relativeFrom="margin">
                <wp:align>left</wp:align>
              </wp:positionH>
              <wp:positionV relativeFrom="paragraph">
                <wp:posOffset>-177800</wp:posOffset>
              </wp:positionV>
              <wp:extent cx="6479540" cy="0"/>
              <wp:effectExtent l="0" t="0" r="35560" b="19050"/>
              <wp:wrapNone/>
              <wp:docPr id="15" name="Connettore 1 2"/>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6BF63A" id="Connettore 1 2" o:spid="_x0000_s1026" style="position:absolute;z-index:251656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pt" to="51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" strokecolor="gray [1629]" strokeweight=".5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0B3E" w14:textId="77777777" w:rsidR="000C58CD" w:rsidRPr="00C66F58" w:rsidRDefault="000C58CD" w:rsidP="00ED1655">
    <w:pPr>
      <w:framePr w:w="5362" w:wrap="around" w:vAnchor="page" w:hAnchor="page" w:x="831" w:y="15871"/>
      <w:tabs>
        <w:tab w:val="left" w:pos="1985"/>
        <w:tab w:val="left" w:pos="4111"/>
      </w:tabs>
      <w:spacing w:after="60"/>
      <w:ind w:right="-147"/>
      <w:suppressOverlap/>
      <w:rPr>
        <w:rFonts w:ascii="Arial" w:hAnsi="Arial" w:cs="Arial"/>
        <w:b/>
        <w:bCs/>
        <w:color w:val="7F7F7F" w:themeColor="text1" w:themeTint="80"/>
        <w:sz w:val="15"/>
        <w:szCs w:val="15"/>
      </w:rPr>
    </w:pPr>
    <w:hyperlink r:id="rId1" w:history="1">
      <w:r w:rsidRPr="00C3248E">
        <w:rPr>
          <w:rStyle w:val="Collegamentoipertestuale"/>
          <w:rFonts w:ascii="Arial" w:hAnsi="Arial" w:cs="Arial"/>
          <w:b/>
          <w:bCs/>
          <w:color w:val="C00000"/>
          <w:sz w:val="21"/>
          <w:szCs w:val="21"/>
        </w:rPr>
        <w:t>www.istat.it</w:t>
      </w:r>
    </w:hyperlink>
    <w:r w:rsidRPr="00C3248E">
      <w:rPr>
        <w:rFonts w:ascii="Arial" w:hAnsi="Arial" w:cs="Arial"/>
        <w:b/>
        <w:bCs/>
        <w:color w:val="C00000"/>
        <w:sz w:val="21"/>
        <w:szCs w:val="21"/>
      </w:rPr>
      <w:tab/>
    </w:r>
    <w:r w:rsidRPr="00C66F58">
      <w:rPr>
        <w:rFonts w:ascii="Arial" w:hAnsi="Arial" w:cs="Arial"/>
        <w:b/>
        <w:bCs/>
        <w:color w:val="7F7F7F" w:themeColor="text1" w:themeTint="80"/>
        <w:sz w:val="15"/>
        <w:szCs w:val="15"/>
      </w:rPr>
      <w:t>Ufficio Stampa</w:t>
    </w:r>
    <w:r w:rsidRPr="0034201A">
      <w:rPr>
        <w:rFonts w:ascii="Arial" w:hAnsi="Arial" w:cs="Arial"/>
        <w:b/>
        <w:bCs/>
        <w:color w:val="7F7F7F" w:themeColor="text1" w:themeTint="80"/>
        <w:sz w:val="15"/>
        <w:szCs w:val="15"/>
      </w:rPr>
      <w:tab/>
    </w:r>
    <w:r w:rsidRPr="00C66F58">
      <w:rPr>
        <w:rFonts w:ascii="Arial" w:hAnsi="Arial" w:cs="Arial"/>
        <w:b/>
        <w:bCs/>
        <w:color w:val="7F7F7F" w:themeColor="text1" w:themeTint="80"/>
        <w:sz w:val="15"/>
        <w:szCs w:val="15"/>
      </w:rPr>
      <w:t>Contact Centre</w:t>
    </w:r>
  </w:p>
  <w:p w14:paraId="67A846F4" w14:textId="77777777" w:rsidR="000C58CD" w:rsidRPr="00AC4027" w:rsidRDefault="000C58CD" w:rsidP="00ED1655">
    <w:pPr>
      <w:framePr w:w="5362" w:wrap="around" w:vAnchor="page" w:hAnchor="page" w:x="831" w:y="15871"/>
      <w:tabs>
        <w:tab w:val="left" w:pos="1985"/>
        <w:tab w:val="left" w:pos="4111"/>
      </w:tabs>
      <w:ind w:right="-147"/>
      <w:suppressOverlap/>
      <w:rPr>
        <w:rFonts w:ascii="Arial" w:hAnsi="Arial" w:cs="Arial"/>
        <w:color w:val="7F7F7F" w:themeColor="text1" w:themeTint="80"/>
        <w:sz w:val="15"/>
        <w:szCs w:val="15"/>
      </w:rPr>
    </w:pPr>
    <w:r w:rsidRPr="00C66F58">
      <w:rPr>
        <w:rFonts w:ascii="Arial" w:hAnsi="Arial" w:cs="Arial"/>
        <w:color w:val="7F7F7F" w:themeColor="text1" w:themeTint="80"/>
        <w:sz w:val="15"/>
        <w:szCs w:val="15"/>
      </w:rPr>
      <w:tab/>
      <w:t xml:space="preserve">Tel. +39 06 </w:t>
    </w:r>
    <w:r>
      <w:rPr>
        <w:rFonts w:ascii="Arial" w:hAnsi="Arial" w:cs="Arial"/>
        <w:color w:val="7F7F7F" w:themeColor="text1" w:themeTint="80"/>
        <w:sz w:val="15"/>
        <w:szCs w:val="15"/>
      </w:rPr>
      <w:t>46</w:t>
    </w:r>
    <w:r w:rsidRPr="00C66F58">
      <w:rPr>
        <w:rFonts w:ascii="Arial" w:hAnsi="Arial" w:cs="Arial"/>
        <w:color w:val="7F7F7F" w:themeColor="text1" w:themeTint="80"/>
        <w:sz w:val="15"/>
        <w:szCs w:val="15"/>
      </w:rPr>
      <w:t>73.2243/44</w:t>
    </w:r>
    <w:r w:rsidRPr="00C66F58">
      <w:rPr>
        <w:rFonts w:ascii="Arial" w:hAnsi="Arial" w:cs="Arial"/>
        <w:color w:val="7F7F7F" w:themeColor="text1" w:themeTint="80"/>
        <w:sz w:val="15"/>
        <w:szCs w:val="15"/>
      </w:rPr>
      <w:tab/>
    </w:r>
    <w:hyperlink r:id="rId2" w:history="1">
      <w:r w:rsidRPr="00AC4027">
        <w:rPr>
          <w:rStyle w:val="Collegamentoipertestuale"/>
          <w:rFonts w:ascii="Arial" w:hAnsi="Arial" w:cs="Arial"/>
          <w:color w:val="7F7F7F" w:themeColor="text1" w:themeTint="80"/>
          <w:sz w:val="15"/>
          <w:szCs w:val="15"/>
        </w:rPr>
        <w:t>Sportello media</w:t>
      </w:r>
    </w:hyperlink>
  </w:p>
  <w:p w14:paraId="3DB6DB07" w14:textId="64EE7A9E" w:rsidR="000C58CD" w:rsidRPr="00C66F58" w:rsidRDefault="000C58CD" w:rsidP="00ED1655">
    <w:pPr>
      <w:framePr w:w="5362" w:wrap="around" w:vAnchor="page" w:hAnchor="page" w:x="831" w:y="15871"/>
      <w:tabs>
        <w:tab w:val="left" w:pos="1985"/>
        <w:tab w:val="left" w:pos="4111"/>
      </w:tabs>
      <w:ind w:right="-147"/>
      <w:suppressOverlap/>
      <w:rPr>
        <w:rFonts w:ascii="Arial" w:hAnsi="Arial" w:cs="Arial"/>
        <w:color w:val="7F7F7F" w:themeColor="text1" w:themeTint="80"/>
        <w:sz w:val="15"/>
        <w:szCs w:val="15"/>
      </w:rPr>
    </w:pPr>
    <w:r w:rsidRPr="00C66F58">
      <w:rPr>
        <w:rFonts w:ascii="Arial" w:hAnsi="Arial" w:cs="Arial"/>
        <w:color w:val="7F7F7F" w:themeColor="text1" w:themeTint="80"/>
        <w:sz w:val="15"/>
        <w:szCs w:val="15"/>
      </w:rPr>
      <w:tab/>
    </w:r>
    <w:hyperlink r:id="rId3" w:history="1">
      <w:r w:rsidRPr="00252B1B">
        <w:rPr>
          <w:rStyle w:val="Collegamentoipertestuale"/>
          <w:rFonts w:ascii="Arial" w:hAnsi="Arial" w:cs="Arial"/>
          <w:color w:val="7F7F7F" w:themeColor="text1" w:themeTint="80"/>
          <w:sz w:val="15"/>
          <w:szCs w:val="15"/>
        </w:rPr>
        <w:t>ufficiostampa@istat.it</w:t>
      </w:r>
    </w:hyperlink>
    <w:r w:rsidRPr="00C66F58">
      <w:rPr>
        <w:rFonts w:ascii="Arial" w:hAnsi="Arial" w:cs="Arial"/>
        <w:noProof/>
        <w:color w:val="7F7F7F" w:themeColor="text1" w:themeTint="80"/>
        <w:spacing w:val="-6"/>
        <w:w w:val="110"/>
        <w:sz w:val="15"/>
        <w:szCs w:val="15"/>
      </w:rPr>
      <w:tab/>
    </w:r>
  </w:p>
  <w:p w14:paraId="2AFD73F6" w14:textId="596849E7" w:rsidR="000C58CD" w:rsidRDefault="000C58CD" w:rsidP="00695779">
    <w:pPr>
      <w:pStyle w:val="Pidipagina"/>
      <w:tabs>
        <w:tab w:val="clear" w:pos="9638"/>
        <w:tab w:val="right" w:pos="9632"/>
      </w:tabs>
      <w:ind w:hanging="284"/>
    </w:pPr>
    <w:r>
      <w:rPr>
        <w:rFonts w:cs="Arial"/>
        <w:noProof/>
        <w:sz w:val="12"/>
        <w:szCs w:val="12"/>
        <w:lang w:val="en-GB" w:eastAsia="en-GB"/>
      </w:rPr>
      <mc:AlternateContent>
        <mc:Choice Requires="wps">
          <w:drawing>
            <wp:anchor distT="0" distB="0" distL="114300" distR="114300" simplePos="0" relativeHeight="251666432" behindDoc="0" locked="0" layoutInCell="1" allowOverlap="1" wp14:anchorId="66F8A87E" wp14:editId="652F5FA6">
              <wp:simplePos x="0" y="0"/>
              <wp:positionH relativeFrom="column">
                <wp:posOffset>-13640</wp:posOffset>
              </wp:positionH>
              <wp:positionV relativeFrom="paragraph">
                <wp:posOffset>-13335</wp:posOffset>
              </wp:positionV>
              <wp:extent cx="6479540" cy="0"/>
              <wp:effectExtent l="0" t="0" r="35560" b="19050"/>
              <wp:wrapNone/>
              <wp:docPr id="1716387210" name="Connettore 1 2"/>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5D66AD" id="Connettore 1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05pt" to="509.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" strokecolor="gray [1629]" strokeweight=".5pt">
              <v:stroke joinstyle="miter"/>
            </v:line>
          </w:pict>
        </mc:Fallback>
      </mc:AlternateContent>
    </w:r>
  </w:p>
  <w:p w14:paraId="19F14792" w14:textId="3FEBF023" w:rsidR="000C58CD" w:rsidRPr="003C7795" w:rsidRDefault="000C58CD" w:rsidP="003C77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1A08" w14:textId="77777777" w:rsidR="008F7081" w:rsidRDefault="008F7081" w:rsidP="004C1120">
      <w:r>
        <w:separator/>
      </w:r>
    </w:p>
  </w:footnote>
  <w:footnote w:type="continuationSeparator" w:id="0">
    <w:p w14:paraId="57F02578" w14:textId="77777777" w:rsidR="008F7081" w:rsidRDefault="008F7081" w:rsidP="004C1120">
      <w:r>
        <w:continuationSeparator/>
      </w:r>
    </w:p>
  </w:footnote>
  <w:footnote w:id="1">
    <w:p w14:paraId="2C735F27" w14:textId="77777777" w:rsidR="000C58CD" w:rsidRPr="00853E82" w:rsidRDefault="000C58CD" w:rsidP="00853E82">
      <w:pPr>
        <w:pStyle w:val="Testonotaapidipagina"/>
        <w:spacing w:after="60"/>
        <w:rPr>
          <w:rFonts w:ascii="Arial" w:hAnsi="Arial" w:cs="Arial"/>
          <w:sz w:val="16"/>
          <w:szCs w:val="16"/>
        </w:rPr>
      </w:pPr>
      <w:r w:rsidRPr="00853E82">
        <w:rPr>
          <w:rFonts w:ascii="Arial" w:hAnsi="Arial" w:cs="Arial"/>
          <w:iCs/>
          <w:sz w:val="16"/>
          <w:szCs w:val="16"/>
        </w:rPr>
        <w:t xml:space="preserve">* </w:t>
      </w:r>
      <w:r w:rsidRPr="00725B00">
        <w:rPr>
          <w:rFonts w:ascii="Arial" w:hAnsi="Arial" w:cs="Arial"/>
          <w:iCs/>
          <w:color w:val="104875"/>
          <w:sz w:val="18"/>
          <w:szCs w:val="18"/>
        </w:rPr>
        <w:t>Il Focus è stato realizzato da Elisabetta Segre e Paola Tanda</w:t>
      </w:r>
    </w:p>
  </w:footnote>
  <w:footnote w:id="2">
    <w:p w14:paraId="5005A2BA" w14:textId="77777777" w:rsidR="007C0E23" w:rsidRPr="000E6B9D" w:rsidRDefault="007C0E23" w:rsidP="007C0E23">
      <w:pPr>
        <w:pStyle w:val="Testonotaapidipagina"/>
        <w:rPr>
          <w:rFonts w:ascii="Arial" w:hAnsi="Arial" w:cs="Arial"/>
          <w:sz w:val="18"/>
          <w:szCs w:val="18"/>
        </w:rPr>
      </w:pPr>
      <w:r w:rsidRPr="00445E4D">
        <w:rPr>
          <w:rFonts w:ascii="Arial" w:hAnsi="Arial" w:cs="Arial"/>
          <w:iCs/>
          <w:color w:val="104875"/>
          <w:sz w:val="18"/>
          <w:szCs w:val="18"/>
          <w:vertAlign w:val="superscript"/>
        </w:rPr>
        <w:footnoteRef/>
      </w:r>
      <w:r w:rsidRPr="00445E4D">
        <w:rPr>
          <w:rFonts w:ascii="Arial" w:hAnsi="Arial" w:cs="Arial"/>
          <w:iCs/>
          <w:color w:val="104875"/>
          <w:sz w:val="18"/>
          <w:szCs w:val="18"/>
        </w:rPr>
        <w:t xml:space="preserve"> Per dettagli sul modello si veda Istat, Rivista di Statistica Ufficiale, 2/2015</w:t>
      </w:r>
      <w:r w:rsidRPr="000E6B9D">
        <w:rPr>
          <w:rFonts w:ascii="Arial" w:hAnsi="Arial" w:cs="Arial"/>
          <w:sz w:val="18"/>
          <w:szCs w:val="18"/>
        </w:rPr>
        <w:t xml:space="preserve"> </w:t>
      </w:r>
      <w:hyperlink r:id="rId1" w:history="1">
        <w:r w:rsidRPr="000E6B9D">
          <w:rPr>
            <w:rStyle w:val="Collegamentoipertestuale"/>
            <w:rFonts w:ascii="Arial" w:eastAsiaTheme="majorEastAsia" w:hAnsi="Arial" w:cs="Arial"/>
            <w:sz w:val="18"/>
            <w:szCs w:val="18"/>
          </w:rPr>
          <w:t>http://www.istat.it/it/archivio/171133</w:t>
        </w:r>
      </w:hyperlink>
    </w:p>
  </w:footnote>
  <w:footnote w:id="3">
    <w:p w14:paraId="03408B19" w14:textId="77777777" w:rsidR="007C0E23" w:rsidRDefault="007C0E23" w:rsidP="007C0E23">
      <w:pPr>
        <w:pStyle w:val="Testonotaapidipagina"/>
      </w:pPr>
      <w:r w:rsidRPr="00F453D4">
        <w:rPr>
          <w:iCs/>
          <w:color w:val="104875"/>
          <w:vertAlign w:val="superscript"/>
        </w:rPr>
        <w:footnoteRef/>
      </w:r>
      <w:r w:rsidRPr="000E6B9D">
        <w:rPr>
          <w:rFonts w:ascii="Arial" w:hAnsi="Arial" w:cs="Arial"/>
          <w:sz w:val="18"/>
          <w:szCs w:val="18"/>
        </w:rPr>
        <w:t xml:space="preserve"> </w:t>
      </w:r>
      <w:r w:rsidRPr="000E6B9D">
        <w:rPr>
          <w:rFonts w:ascii="Arial" w:hAnsi="Arial" w:cs="Arial"/>
          <w:iCs/>
          <w:color w:val="104875"/>
          <w:sz w:val="18"/>
          <w:szCs w:val="18"/>
        </w:rPr>
        <w:t xml:space="preserve">Il modello di micro-simulazione delle famiglie dell'ISTAT consente di stimare la povertà energetica a livello familiare utilizzando un approccio </w:t>
      </w:r>
      <w:r w:rsidRPr="000E6B9D">
        <w:rPr>
          <w:rFonts w:ascii="Arial" w:hAnsi="Arial" w:cs="Arial"/>
          <w:i/>
          <w:color w:val="104875"/>
          <w:sz w:val="18"/>
          <w:szCs w:val="18"/>
        </w:rPr>
        <w:t>Low Income High Costs</w:t>
      </w:r>
      <w:r w:rsidRPr="000E6B9D">
        <w:rPr>
          <w:rFonts w:ascii="Arial" w:hAnsi="Arial" w:cs="Arial"/>
          <w:iCs/>
          <w:color w:val="104875"/>
          <w:sz w:val="18"/>
          <w:szCs w:val="18"/>
        </w:rPr>
        <w:t xml:space="preserve"> (</w:t>
      </w:r>
      <w:r w:rsidRPr="00445E4D">
        <w:rPr>
          <w:rFonts w:ascii="Arial" w:hAnsi="Arial" w:cs="Arial"/>
          <w:color w:val="104875"/>
          <w:sz w:val="18"/>
          <w:szCs w:val="18"/>
        </w:rPr>
        <w:t>F</w:t>
      </w:r>
      <w:r>
        <w:rPr>
          <w:rFonts w:ascii="Arial" w:hAnsi="Arial" w:cs="Arial"/>
          <w:color w:val="104875"/>
          <w:sz w:val="18"/>
          <w:szCs w:val="18"/>
        </w:rPr>
        <w:t xml:space="preserve">aiella </w:t>
      </w:r>
      <w:r w:rsidRPr="00445E4D">
        <w:rPr>
          <w:rFonts w:ascii="Arial" w:hAnsi="Arial" w:cs="Arial"/>
          <w:color w:val="104875"/>
          <w:sz w:val="18"/>
          <w:szCs w:val="18"/>
        </w:rPr>
        <w:t>I., L</w:t>
      </w:r>
      <w:r>
        <w:rPr>
          <w:rFonts w:ascii="Arial" w:hAnsi="Arial" w:cs="Arial"/>
          <w:color w:val="104875"/>
          <w:sz w:val="18"/>
          <w:szCs w:val="18"/>
        </w:rPr>
        <w:t>avecchia</w:t>
      </w:r>
      <w:r w:rsidRPr="00445E4D">
        <w:rPr>
          <w:rFonts w:ascii="Arial" w:hAnsi="Arial" w:cs="Arial"/>
          <w:color w:val="104875"/>
          <w:sz w:val="18"/>
          <w:szCs w:val="18"/>
        </w:rPr>
        <w:t xml:space="preserve"> L. 2014. La povertà energetica in Italia. </w:t>
      </w:r>
      <w:r w:rsidRPr="000E6B9D">
        <w:rPr>
          <w:rFonts w:ascii="Arial" w:hAnsi="Arial" w:cs="Arial"/>
          <w:i/>
          <w:iCs/>
          <w:color w:val="104875"/>
          <w:sz w:val="18"/>
          <w:szCs w:val="18"/>
        </w:rPr>
        <w:t>Occasional Papers (240)</w:t>
      </w:r>
      <w:r w:rsidRPr="000E6B9D">
        <w:rPr>
          <w:rFonts w:ascii="Arial" w:hAnsi="Arial" w:cs="Arial"/>
          <w:color w:val="104875"/>
          <w:sz w:val="18"/>
          <w:szCs w:val="18"/>
        </w:rPr>
        <w:t xml:space="preserve">, Banca d’Italia) </w:t>
      </w:r>
      <w:r w:rsidRPr="000E6B9D">
        <w:rPr>
          <w:rFonts w:ascii="Arial" w:hAnsi="Arial" w:cs="Arial"/>
          <w:iCs/>
          <w:color w:val="104875"/>
          <w:sz w:val="18"/>
          <w:szCs w:val="18"/>
        </w:rPr>
        <w:t>Secondo tale approccio una famiglia si definisce in condizione di povertà energetica se le spese energetiche sostenute per l’abitazione risultano superiori alla mediana nazionale e se il reddito al netto della spesa energetica scende al di sotto della soglia di rischio di povertà (60% del reddito disponibile mediano nazionale). A queste famiglie si aggiungono anche quelle a rischio di povertà economica che dichiarano una spesa energetica nulla. Il modello di micro-simulazione consente, inoltre, di stimare le famiglie beneficiarie e l'importo del bonus ricevuto da ciascuna famiglia, in base ai parametri di policy (soglie e importi del bonus sociali).</w:t>
      </w:r>
      <w:r>
        <w:rPr>
          <w:rFonts w:ascii="Arial" w:hAnsi="Arial" w:cs="Arial"/>
          <w:iCs/>
          <w:color w:val="104875"/>
          <w:sz w:val="18"/>
          <w:szCs w:val="18"/>
        </w:rPr>
        <w:t xml:space="preserve"> Si sottolinea che le stime dell’incidenza della povertà energetica dopo i bonus sociali presentate in questo focus non sono confrontabili con quelle dell’Osservatorio Italiano sulla Povertà Energetica (OIPE), nonostante l’approccio di calcolo sia comune. La non confrontabilità deriva dall’utilizzo di dati di origine diversa: OIPE fa uso dei dati dell’indagine sulla spesa delle famiglie mentre in questo Focus si utilizzano i dati dell’Indagine sul reddito e le condizioni di vita.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13E6" w14:textId="77777777" w:rsidR="000C58CD" w:rsidRDefault="000C58C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A762" w14:textId="77777777" w:rsidR="000C58CD" w:rsidRDefault="000C58CD" w:rsidP="003C7795">
    <w:pPr>
      <w:pStyle w:val="052tabella-figurasottotitolo"/>
    </w:pPr>
    <w:r>
      <w:rPr>
        <w:lang w:val="en-GB" w:eastAsia="en-GB"/>
      </w:rPr>
      <w:drawing>
        <wp:anchor distT="0" distB="0" distL="114300" distR="114300" simplePos="0" relativeHeight="251663360" behindDoc="0" locked="0" layoutInCell="1" allowOverlap="1" wp14:anchorId="4FE275AB" wp14:editId="3DC90F0B">
          <wp:simplePos x="0" y="0"/>
          <wp:positionH relativeFrom="column">
            <wp:posOffset>5164455</wp:posOffset>
          </wp:positionH>
          <wp:positionV relativeFrom="paragraph">
            <wp:posOffset>46412</wp:posOffset>
          </wp:positionV>
          <wp:extent cx="1302826" cy="222370"/>
          <wp:effectExtent l="0" t="0" r="5715" b="6350"/>
          <wp:wrapNone/>
          <wp:docPr id="708486508" name="Immagine 8" descr="Immagine che contiene testo, Carattere, Elementi grafici,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82584" name="Immagine 8" descr="Immagine che contiene testo, Carattere, Elementi grafici, schermata&#10;&#10;Descrizione generata automaticamente"/>
                  <pic:cNvPicPr>
                    <a:picLocks noChangeAspect="1"/>
                  </pic:cNvPicPr>
                </pic:nvPicPr>
                <pic:blipFill>
                  <a:blip r:embed="rId1"/>
                  <a:stretch>
                    <a:fillRect/>
                  </a:stretch>
                </pic:blipFill>
                <pic:spPr bwMode="auto">
                  <a:xfrm>
                    <a:off x="0" y="0"/>
                    <a:ext cx="1302826" cy="222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GB" w:eastAsia="en-GB"/>
      </w:rPr>
      <w:drawing>
        <wp:anchor distT="0" distB="0" distL="114300" distR="114300" simplePos="0" relativeHeight="251661312" behindDoc="0" locked="0" layoutInCell="1" allowOverlap="1" wp14:anchorId="6552DE61" wp14:editId="372A10B9">
          <wp:simplePos x="0" y="0"/>
          <wp:positionH relativeFrom="column">
            <wp:posOffset>-1270</wp:posOffset>
          </wp:positionH>
          <wp:positionV relativeFrom="paragraph">
            <wp:posOffset>-107950</wp:posOffset>
          </wp:positionV>
          <wp:extent cx="2682716" cy="421253"/>
          <wp:effectExtent l="0" t="0" r="0" b="0"/>
          <wp:wrapNone/>
          <wp:docPr id="1544913833" name="Immagine 8" descr="Immagine che contiene Carattere, Elementi grafici,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1866" name="Immagine 8" descr="Immagine che contiene Carattere, Elementi grafici, testo, grafica&#10;&#10;Descrizione generata automaticamente"/>
                  <pic:cNvPicPr>
                    <a:picLocks noChangeAspect="1"/>
                  </pic:cNvPicPr>
                </pic:nvPicPr>
                <pic:blipFill>
                  <a:blip r:embed="rId2"/>
                  <a:stretch>
                    <a:fillRect/>
                  </a:stretch>
                </pic:blipFill>
                <pic:spPr bwMode="auto">
                  <a:xfrm>
                    <a:off x="0" y="0"/>
                    <a:ext cx="2682716" cy="4212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84587" w14:textId="77777777" w:rsidR="000C58CD" w:rsidRDefault="000C58CD" w:rsidP="003C7795">
    <w:pPr>
      <w:pStyle w:val="052tabella-figurasottotitolo"/>
    </w:pPr>
  </w:p>
  <w:p w14:paraId="46C0073C" w14:textId="77777777" w:rsidR="000C58CD" w:rsidRDefault="000C58CD" w:rsidP="003C7795">
    <w:pPr>
      <w:ind w:left="-709"/>
    </w:pPr>
    <w:r>
      <w:rPr>
        <w:rFonts w:cs="Arial"/>
        <w:noProof/>
        <w:sz w:val="12"/>
        <w:szCs w:val="12"/>
        <w:lang w:val="en-GB" w:eastAsia="en-GB"/>
      </w:rPr>
      <mc:AlternateContent>
        <mc:Choice Requires="wps">
          <w:drawing>
            <wp:anchor distT="0" distB="0" distL="114300" distR="114300" simplePos="0" relativeHeight="251664384" behindDoc="0" locked="0" layoutInCell="1" allowOverlap="1" wp14:anchorId="63D048BF" wp14:editId="4883A26D">
              <wp:simplePos x="0" y="0"/>
              <wp:positionH relativeFrom="column">
                <wp:posOffset>0</wp:posOffset>
              </wp:positionH>
              <wp:positionV relativeFrom="paragraph">
                <wp:posOffset>108123</wp:posOffset>
              </wp:positionV>
              <wp:extent cx="6474230" cy="0"/>
              <wp:effectExtent l="0" t="0" r="15875" b="12700"/>
              <wp:wrapNone/>
              <wp:docPr id="2" name="Connettore 1 2"/>
              <wp:cNvGraphicFramePr/>
              <a:graphic xmlns:a="http://schemas.openxmlformats.org/drawingml/2006/main">
                <a:graphicData uri="http://schemas.microsoft.com/office/word/2010/wordprocessingShape">
                  <wps:wsp>
                    <wps:cNvCnPr/>
                    <wps:spPr>
                      <a:xfrm>
                        <a:off x="0" y="0"/>
                        <a:ext cx="6474230" cy="0"/>
                      </a:xfrm>
                      <a:prstGeom prst="line">
                        <a:avLst/>
                      </a:prstGeom>
                      <a:ln w="63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5F26B7" id="Connettore 1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pt" to="509.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" strokecolor="gray [1629]" strokeweight=".5pt">
              <v:stroke joinstyle="miter"/>
            </v:line>
          </w:pict>
        </mc:Fallback>
      </mc:AlternateContent>
    </w:r>
    <w:r>
      <w:rPr>
        <w:noProof/>
        <w:color w:val="008080"/>
        <w:sz w:val="16"/>
        <w:szCs w:val="16"/>
        <w:lang w:val="en-GB" w:eastAsia="en-GB"/>
      </w:rPr>
      <mc:AlternateContent>
        <mc:Choice Requires="wps">
          <w:drawing>
            <wp:anchor distT="0" distB="0" distL="0" distR="0" simplePos="0" relativeHeight="251662336" behindDoc="0" locked="1" layoutInCell="1" allowOverlap="1" wp14:anchorId="7CFAFDAB" wp14:editId="1A4B5E2B">
              <wp:simplePos x="0" y="0"/>
              <wp:positionH relativeFrom="column">
                <wp:posOffset>1336675</wp:posOffset>
              </wp:positionH>
              <wp:positionV relativeFrom="page">
                <wp:posOffset>589280</wp:posOffset>
              </wp:positionV>
              <wp:extent cx="2495550" cy="156210"/>
              <wp:effectExtent l="0" t="0" r="0" b="15240"/>
              <wp:wrapSquare wrapText="bothSides"/>
              <wp:docPr id="28"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95550" cy="156210"/>
                      </a:xfrm>
                      <a:prstGeom prst="rect">
                        <a:avLst/>
                      </a:prstGeom>
                      <a:noFill/>
                      <a:ln w="6350">
                        <a:noFill/>
                      </a:ln>
                    </wps:spPr>
                    <wps:txbx>
                      <w:txbxContent>
                        <w:p w14:paraId="32FB0357" w14:textId="78EFE8E8" w:rsidR="000C58CD" w:rsidRPr="00115CD2" w:rsidRDefault="000C58CD" w:rsidP="003C7795">
                          <w:pPr>
                            <w:rPr>
                              <w:rFonts w:ascii="Arial" w:hAnsi="Arial"/>
                              <w:color w:val="008497"/>
                              <w:sz w:val="16"/>
                              <w:szCs w:val="16"/>
                            </w:rPr>
                          </w:pPr>
                          <w:r>
                            <w:rPr>
                              <w:rFonts w:ascii="Arial" w:hAnsi="Arial"/>
                              <w:color w:val="008497"/>
                              <w:sz w:val="16"/>
                              <w:szCs w:val="16"/>
                            </w:rPr>
                            <w:t>SETTEMBRE 2025</w:t>
                          </w:r>
                        </w:p>
                        <w:p w14:paraId="62BBDF9E" w14:textId="77777777" w:rsidR="000C58CD" w:rsidRPr="00584EEE" w:rsidRDefault="000C58CD" w:rsidP="003C7795">
                          <w:pPr>
                            <w:rPr>
                              <w:sz w:val="18"/>
                              <w:szCs w:val="18"/>
                            </w:rPr>
                          </w:pPr>
                        </w:p>
                      </w:txbxContent>
                    </wps:txbx>
                    <wps:bodyPr rot="0" spcFirstLastPara="0" vertOverflow="overflow" horzOverflow="overflow" vert="horz" wrap="square" lIns="0" tIns="468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AFDAB" id="_x0000_t202" coordsize="21600,21600" o:spt="202" path="m,l,21600r21600,l21600,xe">
              <v:stroke joinstyle="miter"/>
              <v:path gradientshapeok="t" o:connecttype="rect"/>
            </v:shapetype>
            <v:shape id="Casella di testo 4" o:spid="_x0000_s1028" type="#_x0000_t202" style="position:absolute;left:0;text-align:left;margin-left:105.25pt;margin-top:46.4pt;width:196.5pt;height:12.3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" filled="f" stroked="f" strokeweight=".5pt">
              <v:path arrowok="t"/>
              <v:textbox inset="0,1.3mm,0,0">
                <w:txbxContent>
                  <w:p w14:paraId="32FB0357" w14:textId="78EFE8E8" w:rsidR="000C58CD" w:rsidRPr="00115CD2" w:rsidRDefault="000C58CD" w:rsidP="003C7795">
                    <w:pPr>
                      <w:rPr>
                        <w:rFonts w:ascii="Arial" w:hAnsi="Arial"/>
                        <w:color w:val="008497"/>
                        <w:sz w:val="16"/>
                        <w:szCs w:val="16"/>
                      </w:rPr>
                    </w:pPr>
                    <w:r>
                      <w:rPr>
                        <w:rFonts w:ascii="Arial" w:hAnsi="Arial"/>
                        <w:color w:val="008497"/>
                        <w:sz w:val="16"/>
                        <w:szCs w:val="16"/>
                      </w:rPr>
                      <w:t>SETTEMBRE 2025</w:t>
                    </w:r>
                  </w:p>
                  <w:p w14:paraId="62BBDF9E" w14:textId="77777777" w:rsidR="000C58CD" w:rsidRPr="00584EEE" w:rsidRDefault="000C58CD" w:rsidP="003C7795">
                    <w:pPr>
                      <w:rPr>
                        <w:sz w:val="18"/>
                        <w:szCs w:val="18"/>
                      </w:rPr>
                    </w:pPr>
                  </w:p>
                </w:txbxContent>
              </v:textbox>
              <w10:wrap type="square" anchory="page"/>
              <w10:anchorlock/>
            </v:shape>
          </w:pict>
        </mc:Fallback>
      </mc:AlternateContent>
    </w:r>
  </w:p>
  <w:p w14:paraId="7592B2EB" w14:textId="77777777" w:rsidR="000C58CD" w:rsidRPr="003C7795" w:rsidRDefault="000C58CD" w:rsidP="003C77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663B" w14:textId="77777777" w:rsidR="000C58CD" w:rsidRDefault="000C58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F11"/>
    <w:multiLevelType w:val="hybridMultilevel"/>
    <w:tmpl w:val="D3285D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11631C"/>
    <w:multiLevelType w:val="hybridMultilevel"/>
    <w:tmpl w:val="77880DFA"/>
    <w:lvl w:ilvl="0" w:tplc="C366CEDA">
      <w:start w:val="1"/>
      <w:numFmt w:val="bullet"/>
      <w:pStyle w:val="StilePALLINO"/>
      <w:lvlText w:val=""/>
      <w:lvlJc w:val="left"/>
      <w:pPr>
        <w:ind w:left="360" w:hanging="360"/>
      </w:pPr>
      <w:rPr>
        <w:rFonts w:ascii="Symbol" w:hAnsi="Symbol" w:hint="default"/>
        <w:caps w:val="0"/>
        <w:strike w:val="0"/>
        <w:dstrike w:val="0"/>
        <w:vanish w:val="0"/>
        <w:color w:val="0C97AA"/>
        <w:spacing w:val="0"/>
        <w:w w:val="100"/>
        <w:kern w:val="0"/>
        <w:position w:val="0"/>
        <w:sz w:val="36"/>
        <w:szCs w:val="3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CC0739"/>
    <w:multiLevelType w:val="hybridMultilevel"/>
    <w:tmpl w:val="B3A076EC"/>
    <w:lvl w:ilvl="0" w:tplc="D44C127E">
      <w:start w:val="1"/>
      <w:numFmt w:val="lowerLetter"/>
      <w:lvlText w:val="(%1)"/>
      <w:lvlJc w:val="left"/>
      <w:pPr>
        <w:ind w:left="5520" w:hanging="360"/>
      </w:pPr>
      <w:rPr>
        <w:rFonts w:hint="default"/>
      </w:rPr>
    </w:lvl>
    <w:lvl w:ilvl="1" w:tplc="08090019" w:tentative="1">
      <w:start w:val="1"/>
      <w:numFmt w:val="lowerLetter"/>
      <w:lvlText w:val="%2."/>
      <w:lvlJc w:val="left"/>
      <w:pPr>
        <w:ind w:left="6240" w:hanging="360"/>
      </w:pPr>
    </w:lvl>
    <w:lvl w:ilvl="2" w:tplc="0809001B" w:tentative="1">
      <w:start w:val="1"/>
      <w:numFmt w:val="lowerRoman"/>
      <w:lvlText w:val="%3."/>
      <w:lvlJc w:val="right"/>
      <w:pPr>
        <w:ind w:left="6960" w:hanging="180"/>
      </w:pPr>
    </w:lvl>
    <w:lvl w:ilvl="3" w:tplc="0809000F" w:tentative="1">
      <w:start w:val="1"/>
      <w:numFmt w:val="decimal"/>
      <w:lvlText w:val="%4."/>
      <w:lvlJc w:val="left"/>
      <w:pPr>
        <w:ind w:left="7680" w:hanging="360"/>
      </w:pPr>
    </w:lvl>
    <w:lvl w:ilvl="4" w:tplc="08090019" w:tentative="1">
      <w:start w:val="1"/>
      <w:numFmt w:val="lowerLetter"/>
      <w:lvlText w:val="%5."/>
      <w:lvlJc w:val="left"/>
      <w:pPr>
        <w:ind w:left="8400" w:hanging="360"/>
      </w:pPr>
    </w:lvl>
    <w:lvl w:ilvl="5" w:tplc="0809001B" w:tentative="1">
      <w:start w:val="1"/>
      <w:numFmt w:val="lowerRoman"/>
      <w:lvlText w:val="%6."/>
      <w:lvlJc w:val="right"/>
      <w:pPr>
        <w:ind w:left="9120" w:hanging="180"/>
      </w:pPr>
    </w:lvl>
    <w:lvl w:ilvl="6" w:tplc="0809000F" w:tentative="1">
      <w:start w:val="1"/>
      <w:numFmt w:val="decimal"/>
      <w:lvlText w:val="%7."/>
      <w:lvlJc w:val="left"/>
      <w:pPr>
        <w:ind w:left="9840" w:hanging="360"/>
      </w:pPr>
    </w:lvl>
    <w:lvl w:ilvl="7" w:tplc="08090019" w:tentative="1">
      <w:start w:val="1"/>
      <w:numFmt w:val="lowerLetter"/>
      <w:lvlText w:val="%8."/>
      <w:lvlJc w:val="left"/>
      <w:pPr>
        <w:ind w:left="10560" w:hanging="360"/>
      </w:pPr>
    </w:lvl>
    <w:lvl w:ilvl="8" w:tplc="0809001B" w:tentative="1">
      <w:start w:val="1"/>
      <w:numFmt w:val="lowerRoman"/>
      <w:lvlText w:val="%9."/>
      <w:lvlJc w:val="right"/>
      <w:pPr>
        <w:ind w:left="11280" w:hanging="180"/>
      </w:pPr>
    </w:lvl>
  </w:abstractNum>
  <w:abstractNum w:abstractNumId="3" w15:restartNumberingAfterBreak="0">
    <w:nsid w:val="16766198"/>
    <w:multiLevelType w:val="hybridMultilevel"/>
    <w:tmpl w:val="D3285D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6132CA"/>
    <w:multiLevelType w:val="hybridMultilevel"/>
    <w:tmpl w:val="6936CB0E"/>
    <w:lvl w:ilvl="0" w:tplc="C366CEDA">
      <w:start w:val="1"/>
      <w:numFmt w:val="bullet"/>
      <w:lvlText w:val=""/>
      <w:lvlJc w:val="left"/>
      <w:pPr>
        <w:ind w:left="644" w:hanging="360"/>
      </w:pPr>
      <w:rPr>
        <w:rFonts w:ascii="Symbol" w:hAnsi="Symbol" w:hint="default"/>
        <w:caps w:val="0"/>
        <w:strike w:val="0"/>
        <w:dstrike w:val="0"/>
        <w:vanish w:val="0"/>
        <w:color w:val="0C97AA"/>
        <w:spacing w:val="0"/>
        <w:w w:val="100"/>
        <w:kern w:val="0"/>
        <w:position w:val="0"/>
        <w:sz w:val="36"/>
        <w:szCs w:val="30"/>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6F3E7B36"/>
    <w:multiLevelType w:val="hybridMultilevel"/>
    <w:tmpl w:val="1E9A777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279456823">
    <w:abstractNumId w:val="1"/>
  </w:num>
  <w:num w:numId="2" w16cid:durableId="196427626">
    <w:abstractNumId w:val="4"/>
  </w:num>
  <w:num w:numId="3" w16cid:durableId="1464343141">
    <w:abstractNumId w:val="1"/>
  </w:num>
  <w:num w:numId="4" w16cid:durableId="1985356334">
    <w:abstractNumId w:val="1"/>
  </w:num>
  <w:num w:numId="5" w16cid:durableId="1839418916">
    <w:abstractNumId w:val="2"/>
  </w:num>
  <w:num w:numId="6" w16cid:durableId="352612730">
    <w:abstractNumId w:val="1"/>
  </w:num>
  <w:num w:numId="7" w16cid:durableId="1960257497">
    <w:abstractNumId w:val="1"/>
  </w:num>
  <w:num w:numId="8" w16cid:durableId="995956147">
    <w:abstractNumId w:val="1"/>
  </w:num>
  <w:num w:numId="9" w16cid:durableId="884802062">
    <w:abstractNumId w:val="1"/>
  </w:num>
  <w:num w:numId="10" w16cid:durableId="769859595">
    <w:abstractNumId w:val="1"/>
  </w:num>
  <w:num w:numId="11" w16cid:durableId="2074307971">
    <w:abstractNumId w:val="1"/>
  </w:num>
  <w:num w:numId="12" w16cid:durableId="442653436">
    <w:abstractNumId w:val="1"/>
  </w:num>
  <w:num w:numId="13" w16cid:durableId="1886216090">
    <w:abstractNumId w:val="1"/>
  </w:num>
  <w:num w:numId="14" w16cid:durableId="779564539">
    <w:abstractNumId w:val="1"/>
  </w:num>
  <w:num w:numId="15" w16cid:durableId="101458865">
    <w:abstractNumId w:val="1"/>
  </w:num>
  <w:num w:numId="16" w16cid:durableId="420175473">
    <w:abstractNumId w:val="1"/>
  </w:num>
  <w:num w:numId="17" w16cid:durableId="1815026570">
    <w:abstractNumId w:val="1"/>
  </w:num>
  <w:num w:numId="18" w16cid:durableId="1850868035">
    <w:abstractNumId w:val="5"/>
  </w:num>
  <w:num w:numId="19" w16cid:durableId="1408503921">
    <w:abstractNumId w:val="0"/>
  </w:num>
  <w:num w:numId="20" w16cid:durableId="1516454084">
    <w:abstractNumId w:val="3"/>
  </w:num>
  <w:num w:numId="21" w16cid:durableId="290357009">
    <w:abstractNumId w:val="1"/>
  </w:num>
  <w:num w:numId="22" w16cid:durableId="1252161509">
    <w:abstractNumId w:val="1"/>
  </w:num>
  <w:num w:numId="23" w16cid:durableId="1625965564">
    <w:abstractNumId w:val="1"/>
  </w:num>
  <w:num w:numId="24" w16cid:durableId="256603607">
    <w:abstractNumId w:val="1"/>
  </w:num>
  <w:num w:numId="25" w16cid:durableId="1782799053">
    <w:abstractNumId w:val="1"/>
  </w:num>
  <w:num w:numId="26" w16cid:durableId="748187531">
    <w:abstractNumId w:val="1"/>
  </w:num>
  <w:num w:numId="27" w16cid:durableId="1732077057">
    <w:abstractNumId w:val="1"/>
  </w:num>
  <w:num w:numId="28" w16cid:durableId="207029718">
    <w:abstractNumId w:val="1"/>
  </w:num>
  <w:num w:numId="29" w16cid:durableId="1838032677">
    <w:abstractNumId w:val="1"/>
  </w:num>
  <w:num w:numId="30" w16cid:durableId="2033993998">
    <w:abstractNumId w:val="1"/>
  </w:num>
  <w:num w:numId="31" w16cid:durableId="1147631265">
    <w:abstractNumId w:val="1"/>
  </w:num>
  <w:num w:numId="32" w16cid:durableId="606888827">
    <w:abstractNumId w:val="1"/>
  </w:num>
  <w:num w:numId="33" w16cid:durableId="1576894268">
    <w:abstractNumId w:val="1"/>
  </w:num>
  <w:num w:numId="34" w16cid:durableId="635180701">
    <w:abstractNumId w:val="1"/>
  </w:num>
  <w:num w:numId="35" w16cid:durableId="982078960">
    <w:abstractNumId w:val="1"/>
  </w:num>
  <w:num w:numId="36" w16cid:durableId="220135907">
    <w:abstractNumId w:val="1"/>
  </w:num>
  <w:num w:numId="37" w16cid:durableId="30874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0"/>
  <w:activeWritingStyle w:appName="MSWord" w:lang="it-IT" w:vendorID="64" w:dllVersion="0" w:nlCheck="1" w:checkStyle="0"/>
  <w:activeWritingStyle w:appName="MSWord" w:lang="en-GB" w:vendorID="64" w:dllVersion="0" w:nlCheck="1" w:checkStyle="0"/>
  <w:activeWritingStyle w:appName="MSWord" w:lang="en-US"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proofState w:spelling="clean"/>
  <w:trackRevisions/>
  <w:doNotTrackMoves/>
  <w:documentProtection w:edit="trackedChanges" w:enforcement="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EA9"/>
    <w:rsid w:val="000001C5"/>
    <w:rsid w:val="00000B34"/>
    <w:rsid w:val="00000E5F"/>
    <w:rsid w:val="00000EFC"/>
    <w:rsid w:val="0000108E"/>
    <w:rsid w:val="00001498"/>
    <w:rsid w:val="0000198B"/>
    <w:rsid w:val="00003AFB"/>
    <w:rsid w:val="00004BA1"/>
    <w:rsid w:val="00006031"/>
    <w:rsid w:val="00007334"/>
    <w:rsid w:val="00007E3F"/>
    <w:rsid w:val="0001013D"/>
    <w:rsid w:val="000116C7"/>
    <w:rsid w:val="00012448"/>
    <w:rsid w:val="00012CE9"/>
    <w:rsid w:val="00013505"/>
    <w:rsid w:val="0001360D"/>
    <w:rsid w:val="000137B8"/>
    <w:rsid w:val="00013E85"/>
    <w:rsid w:val="00014031"/>
    <w:rsid w:val="00014103"/>
    <w:rsid w:val="00014170"/>
    <w:rsid w:val="000143D3"/>
    <w:rsid w:val="00014623"/>
    <w:rsid w:val="00014FE9"/>
    <w:rsid w:val="00016141"/>
    <w:rsid w:val="00016510"/>
    <w:rsid w:val="000176BC"/>
    <w:rsid w:val="00017833"/>
    <w:rsid w:val="00017961"/>
    <w:rsid w:val="00022A09"/>
    <w:rsid w:val="00023097"/>
    <w:rsid w:val="0002320E"/>
    <w:rsid w:val="00023381"/>
    <w:rsid w:val="000247E7"/>
    <w:rsid w:val="00025459"/>
    <w:rsid w:val="000257E2"/>
    <w:rsid w:val="00025869"/>
    <w:rsid w:val="000261DC"/>
    <w:rsid w:val="00027762"/>
    <w:rsid w:val="00030346"/>
    <w:rsid w:val="000313EF"/>
    <w:rsid w:val="000318BA"/>
    <w:rsid w:val="00031BAB"/>
    <w:rsid w:val="000326FD"/>
    <w:rsid w:val="0003271C"/>
    <w:rsid w:val="00032733"/>
    <w:rsid w:val="00032A8B"/>
    <w:rsid w:val="0003382E"/>
    <w:rsid w:val="00033953"/>
    <w:rsid w:val="00033F82"/>
    <w:rsid w:val="00033FB3"/>
    <w:rsid w:val="0003437B"/>
    <w:rsid w:val="000359C9"/>
    <w:rsid w:val="0003634A"/>
    <w:rsid w:val="0003635E"/>
    <w:rsid w:val="0003673F"/>
    <w:rsid w:val="00037907"/>
    <w:rsid w:val="000410EF"/>
    <w:rsid w:val="00042248"/>
    <w:rsid w:val="00042969"/>
    <w:rsid w:val="00042FA4"/>
    <w:rsid w:val="00044203"/>
    <w:rsid w:val="00045165"/>
    <w:rsid w:val="000451F7"/>
    <w:rsid w:val="00045464"/>
    <w:rsid w:val="000455EA"/>
    <w:rsid w:val="000458A1"/>
    <w:rsid w:val="00045BDE"/>
    <w:rsid w:val="00046AFC"/>
    <w:rsid w:val="0004760C"/>
    <w:rsid w:val="000476E9"/>
    <w:rsid w:val="000479F9"/>
    <w:rsid w:val="00050AB1"/>
    <w:rsid w:val="00050C8A"/>
    <w:rsid w:val="00050CC1"/>
    <w:rsid w:val="00053F77"/>
    <w:rsid w:val="000544EF"/>
    <w:rsid w:val="0005468F"/>
    <w:rsid w:val="000558A7"/>
    <w:rsid w:val="00055D29"/>
    <w:rsid w:val="0005637C"/>
    <w:rsid w:val="0005638D"/>
    <w:rsid w:val="0005697C"/>
    <w:rsid w:val="000569C3"/>
    <w:rsid w:val="00057371"/>
    <w:rsid w:val="0005766F"/>
    <w:rsid w:val="00057E04"/>
    <w:rsid w:val="00060310"/>
    <w:rsid w:val="00060C54"/>
    <w:rsid w:val="00060F3F"/>
    <w:rsid w:val="00060F90"/>
    <w:rsid w:val="000614EF"/>
    <w:rsid w:val="000617CA"/>
    <w:rsid w:val="00061A51"/>
    <w:rsid w:val="00061D60"/>
    <w:rsid w:val="00062130"/>
    <w:rsid w:val="00062919"/>
    <w:rsid w:val="000629E1"/>
    <w:rsid w:val="000636CE"/>
    <w:rsid w:val="0006370D"/>
    <w:rsid w:val="000639EB"/>
    <w:rsid w:val="00063AD2"/>
    <w:rsid w:val="00063C9F"/>
    <w:rsid w:val="00064BCE"/>
    <w:rsid w:val="00064F00"/>
    <w:rsid w:val="000664C1"/>
    <w:rsid w:val="0006682B"/>
    <w:rsid w:val="00066A70"/>
    <w:rsid w:val="000672AA"/>
    <w:rsid w:val="0006762F"/>
    <w:rsid w:val="00070084"/>
    <w:rsid w:val="000704E1"/>
    <w:rsid w:val="00072006"/>
    <w:rsid w:val="0007218A"/>
    <w:rsid w:val="00072298"/>
    <w:rsid w:val="0007240C"/>
    <w:rsid w:val="0007372E"/>
    <w:rsid w:val="00074BE2"/>
    <w:rsid w:val="00075531"/>
    <w:rsid w:val="00075926"/>
    <w:rsid w:val="0007592B"/>
    <w:rsid w:val="0007677F"/>
    <w:rsid w:val="00076967"/>
    <w:rsid w:val="00076EB3"/>
    <w:rsid w:val="000773FE"/>
    <w:rsid w:val="0007743B"/>
    <w:rsid w:val="00077BDF"/>
    <w:rsid w:val="0008026E"/>
    <w:rsid w:val="0008045C"/>
    <w:rsid w:val="00081796"/>
    <w:rsid w:val="00083331"/>
    <w:rsid w:val="00083D78"/>
    <w:rsid w:val="000843BD"/>
    <w:rsid w:val="000845CF"/>
    <w:rsid w:val="00085A31"/>
    <w:rsid w:val="000873A7"/>
    <w:rsid w:val="00090888"/>
    <w:rsid w:val="00090A11"/>
    <w:rsid w:val="00091483"/>
    <w:rsid w:val="000921CE"/>
    <w:rsid w:val="0009275C"/>
    <w:rsid w:val="0009296D"/>
    <w:rsid w:val="00092DA2"/>
    <w:rsid w:val="00093281"/>
    <w:rsid w:val="000937FA"/>
    <w:rsid w:val="00094D1B"/>
    <w:rsid w:val="000952FC"/>
    <w:rsid w:val="00095725"/>
    <w:rsid w:val="00095C44"/>
    <w:rsid w:val="000961CF"/>
    <w:rsid w:val="00096EB6"/>
    <w:rsid w:val="000975C9"/>
    <w:rsid w:val="00097C4D"/>
    <w:rsid w:val="000A033F"/>
    <w:rsid w:val="000A0EC1"/>
    <w:rsid w:val="000A48AF"/>
    <w:rsid w:val="000A5829"/>
    <w:rsid w:val="000A63B3"/>
    <w:rsid w:val="000B1436"/>
    <w:rsid w:val="000B1571"/>
    <w:rsid w:val="000B1B4B"/>
    <w:rsid w:val="000B24C2"/>
    <w:rsid w:val="000B2B40"/>
    <w:rsid w:val="000B2BA4"/>
    <w:rsid w:val="000B3652"/>
    <w:rsid w:val="000B4169"/>
    <w:rsid w:val="000B44F2"/>
    <w:rsid w:val="000B4E7F"/>
    <w:rsid w:val="000B5023"/>
    <w:rsid w:val="000B52DE"/>
    <w:rsid w:val="000B599F"/>
    <w:rsid w:val="000B63A3"/>
    <w:rsid w:val="000B7639"/>
    <w:rsid w:val="000B7892"/>
    <w:rsid w:val="000B7DFE"/>
    <w:rsid w:val="000C0332"/>
    <w:rsid w:val="000C0480"/>
    <w:rsid w:val="000C093F"/>
    <w:rsid w:val="000C0CC1"/>
    <w:rsid w:val="000C0DAE"/>
    <w:rsid w:val="000C11CD"/>
    <w:rsid w:val="000C1BD7"/>
    <w:rsid w:val="000C22AA"/>
    <w:rsid w:val="000C25BB"/>
    <w:rsid w:val="000C2728"/>
    <w:rsid w:val="000C35F6"/>
    <w:rsid w:val="000C363C"/>
    <w:rsid w:val="000C46D2"/>
    <w:rsid w:val="000C58CD"/>
    <w:rsid w:val="000C7165"/>
    <w:rsid w:val="000C7846"/>
    <w:rsid w:val="000D03FD"/>
    <w:rsid w:val="000D0501"/>
    <w:rsid w:val="000D05FB"/>
    <w:rsid w:val="000D1204"/>
    <w:rsid w:val="000D2255"/>
    <w:rsid w:val="000D25DF"/>
    <w:rsid w:val="000D27C7"/>
    <w:rsid w:val="000D3ED3"/>
    <w:rsid w:val="000D447E"/>
    <w:rsid w:val="000D4E23"/>
    <w:rsid w:val="000D5821"/>
    <w:rsid w:val="000D5E7B"/>
    <w:rsid w:val="000D5EA7"/>
    <w:rsid w:val="000D63C8"/>
    <w:rsid w:val="000D65CF"/>
    <w:rsid w:val="000D6F98"/>
    <w:rsid w:val="000E1235"/>
    <w:rsid w:val="000E1A48"/>
    <w:rsid w:val="000E2AE9"/>
    <w:rsid w:val="000E48DA"/>
    <w:rsid w:val="000E5A09"/>
    <w:rsid w:val="000E5B5B"/>
    <w:rsid w:val="000E5E59"/>
    <w:rsid w:val="000E766E"/>
    <w:rsid w:val="000E771D"/>
    <w:rsid w:val="000E7D4F"/>
    <w:rsid w:val="000F0171"/>
    <w:rsid w:val="000F2DA6"/>
    <w:rsid w:val="000F36CE"/>
    <w:rsid w:val="000F3A14"/>
    <w:rsid w:val="000F3A28"/>
    <w:rsid w:val="000F49AC"/>
    <w:rsid w:val="000F4CF3"/>
    <w:rsid w:val="000F4D4B"/>
    <w:rsid w:val="000F59E8"/>
    <w:rsid w:val="000F5D31"/>
    <w:rsid w:val="000F5DC0"/>
    <w:rsid w:val="000F6075"/>
    <w:rsid w:val="000F6E97"/>
    <w:rsid w:val="000F7367"/>
    <w:rsid w:val="001003A9"/>
    <w:rsid w:val="00100435"/>
    <w:rsid w:val="00100A4B"/>
    <w:rsid w:val="0010289C"/>
    <w:rsid w:val="00103582"/>
    <w:rsid w:val="0010451D"/>
    <w:rsid w:val="001047AE"/>
    <w:rsid w:val="0010514E"/>
    <w:rsid w:val="00106242"/>
    <w:rsid w:val="00106A04"/>
    <w:rsid w:val="00110770"/>
    <w:rsid w:val="00110937"/>
    <w:rsid w:val="001113BA"/>
    <w:rsid w:val="00112395"/>
    <w:rsid w:val="00112AD9"/>
    <w:rsid w:val="00112D2D"/>
    <w:rsid w:val="0011357B"/>
    <w:rsid w:val="00113E77"/>
    <w:rsid w:val="00114833"/>
    <w:rsid w:val="00115269"/>
    <w:rsid w:val="0011577A"/>
    <w:rsid w:val="001157DA"/>
    <w:rsid w:val="00116EEB"/>
    <w:rsid w:val="00117E5F"/>
    <w:rsid w:val="001203DC"/>
    <w:rsid w:val="00121FF3"/>
    <w:rsid w:val="00122B4F"/>
    <w:rsid w:val="00122E1E"/>
    <w:rsid w:val="00124B07"/>
    <w:rsid w:val="00125336"/>
    <w:rsid w:val="001257B2"/>
    <w:rsid w:val="001261C0"/>
    <w:rsid w:val="00126D97"/>
    <w:rsid w:val="00126EA9"/>
    <w:rsid w:val="0013112C"/>
    <w:rsid w:val="00131E50"/>
    <w:rsid w:val="00131F76"/>
    <w:rsid w:val="00133207"/>
    <w:rsid w:val="00133C29"/>
    <w:rsid w:val="00134CB3"/>
    <w:rsid w:val="00134D3D"/>
    <w:rsid w:val="00135518"/>
    <w:rsid w:val="00135F99"/>
    <w:rsid w:val="001365A6"/>
    <w:rsid w:val="001365C9"/>
    <w:rsid w:val="00137635"/>
    <w:rsid w:val="00141092"/>
    <w:rsid w:val="00142E83"/>
    <w:rsid w:val="00143328"/>
    <w:rsid w:val="00143C05"/>
    <w:rsid w:val="00143E51"/>
    <w:rsid w:val="00144B26"/>
    <w:rsid w:val="00144C22"/>
    <w:rsid w:val="00144DA9"/>
    <w:rsid w:val="00144EFA"/>
    <w:rsid w:val="00145DDD"/>
    <w:rsid w:val="00146F76"/>
    <w:rsid w:val="001474E1"/>
    <w:rsid w:val="001504A5"/>
    <w:rsid w:val="001510E2"/>
    <w:rsid w:val="00151269"/>
    <w:rsid w:val="001513BC"/>
    <w:rsid w:val="00151701"/>
    <w:rsid w:val="001529C1"/>
    <w:rsid w:val="00152B2F"/>
    <w:rsid w:val="00152C3C"/>
    <w:rsid w:val="00153BC4"/>
    <w:rsid w:val="001549E9"/>
    <w:rsid w:val="00154FFE"/>
    <w:rsid w:val="001552FA"/>
    <w:rsid w:val="001555F4"/>
    <w:rsid w:val="00155658"/>
    <w:rsid w:val="001561A2"/>
    <w:rsid w:val="00160976"/>
    <w:rsid w:val="00160F81"/>
    <w:rsid w:val="00161830"/>
    <w:rsid w:val="00161A29"/>
    <w:rsid w:val="00161FD6"/>
    <w:rsid w:val="00163144"/>
    <w:rsid w:val="001637E7"/>
    <w:rsid w:val="00163BA2"/>
    <w:rsid w:val="00164093"/>
    <w:rsid w:val="00164204"/>
    <w:rsid w:val="0016491D"/>
    <w:rsid w:val="00164E51"/>
    <w:rsid w:val="00165A2B"/>
    <w:rsid w:val="00165DFF"/>
    <w:rsid w:val="001676FC"/>
    <w:rsid w:val="00167750"/>
    <w:rsid w:val="00167791"/>
    <w:rsid w:val="00167C17"/>
    <w:rsid w:val="00167EDE"/>
    <w:rsid w:val="001703C4"/>
    <w:rsid w:val="0017175E"/>
    <w:rsid w:val="00172E3C"/>
    <w:rsid w:val="00172EB3"/>
    <w:rsid w:val="001733FA"/>
    <w:rsid w:val="00173687"/>
    <w:rsid w:val="00173A9D"/>
    <w:rsid w:val="00175A23"/>
    <w:rsid w:val="00175D27"/>
    <w:rsid w:val="001766C4"/>
    <w:rsid w:val="00180BE2"/>
    <w:rsid w:val="0018165B"/>
    <w:rsid w:val="00181800"/>
    <w:rsid w:val="00182433"/>
    <w:rsid w:val="00182D51"/>
    <w:rsid w:val="00183887"/>
    <w:rsid w:val="0018457B"/>
    <w:rsid w:val="00184B6C"/>
    <w:rsid w:val="00184D72"/>
    <w:rsid w:val="001852BB"/>
    <w:rsid w:val="00185805"/>
    <w:rsid w:val="00186546"/>
    <w:rsid w:val="001865AD"/>
    <w:rsid w:val="0018788E"/>
    <w:rsid w:val="00190362"/>
    <w:rsid w:val="00190622"/>
    <w:rsid w:val="00191F6B"/>
    <w:rsid w:val="00191FD0"/>
    <w:rsid w:val="001921FD"/>
    <w:rsid w:val="0019256F"/>
    <w:rsid w:val="00192B25"/>
    <w:rsid w:val="0019313F"/>
    <w:rsid w:val="00194882"/>
    <w:rsid w:val="00194909"/>
    <w:rsid w:val="0019504B"/>
    <w:rsid w:val="0019539B"/>
    <w:rsid w:val="001956A0"/>
    <w:rsid w:val="001973BD"/>
    <w:rsid w:val="00197933"/>
    <w:rsid w:val="00197E15"/>
    <w:rsid w:val="001A07C5"/>
    <w:rsid w:val="001A1E77"/>
    <w:rsid w:val="001A2122"/>
    <w:rsid w:val="001A2875"/>
    <w:rsid w:val="001A2F25"/>
    <w:rsid w:val="001A3D00"/>
    <w:rsid w:val="001A497E"/>
    <w:rsid w:val="001A5CB9"/>
    <w:rsid w:val="001A6F8F"/>
    <w:rsid w:val="001A7A83"/>
    <w:rsid w:val="001A7AE0"/>
    <w:rsid w:val="001A7CE3"/>
    <w:rsid w:val="001A7D6A"/>
    <w:rsid w:val="001B035B"/>
    <w:rsid w:val="001B0D96"/>
    <w:rsid w:val="001B0DB1"/>
    <w:rsid w:val="001B1719"/>
    <w:rsid w:val="001B19CA"/>
    <w:rsid w:val="001B27DA"/>
    <w:rsid w:val="001B5A6F"/>
    <w:rsid w:val="001B7636"/>
    <w:rsid w:val="001B7666"/>
    <w:rsid w:val="001B78BF"/>
    <w:rsid w:val="001B7B64"/>
    <w:rsid w:val="001B7EE6"/>
    <w:rsid w:val="001C094D"/>
    <w:rsid w:val="001C1621"/>
    <w:rsid w:val="001C19B6"/>
    <w:rsid w:val="001C2E76"/>
    <w:rsid w:val="001C3022"/>
    <w:rsid w:val="001C30D7"/>
    <w:rsid w:val="001C3CF6"/>
    <w:rsid w:val="001C42B2"/>
    <w:rsid w:val="001C4631"/>
    <w:rsid w:val="001C4E7E"/>
    <w:rsid w:val="001C5259"/>
    <w:rsid w:val="001C7BA5"/>
    <w:rsid w:val="001C7F86"/>
    <w:rsid w:val="001D03A5"/>
    <w:rsid w:val="001D18B4"/>
    <w:rsid w:val="001D19F5"/>
    <w:rsid w:val="001D1CE4"/>
    <w:rsid w:val="001D23C6"/>
    <w:rsid w:val="001D367B"/>
    <w:rsid w:val="001D4050"/>
    <w:rsid w:val="001D4153"/>
    <w:rsid w:val="001D495C"/>
    <w:rsid w:val="001D5609"/>
    <w:rsid w:val="001D5868"/>
    <w:rsid w:val="001D7968"/>
    <w:rsid w:val="001E124F"/>
    <w:rsid w:val="001E1D29"/>
    <w:rsid w:val="001E23DD"/>
    <w:rsid w:val="001E2831"/>
    <w:rsid w:val="001E304B"/>
    <w:rsid w:val="001E3513"/>
    <w:rsid w:val="001E3997"/>
    <w:rsid w:val="001E448B"/>
    <w:rsid w:val="001E5673"/>
    <w:rsid w:val="001E593C"/>
    <w:rsid w:val="001E70B4"/>
    <w:rsid w:val="001E78EB"/>
    <w:rsid w:val="001F0E46"/>
    <w:rsid w:val="001F1A4C"/>
    <w:rsid w:val="001F223C"/>
    <w:rsid w:val="001F2268"/>
    <w:rsid w:val="001F2803"/>
    <w:rsid w:val="001F282A"/>
    <w:rsid w:val="001F3056"/>
    <w:rsid w:val="001F33ED"/>
    <w:rsid w:val="001F4485"/>
    <w:rsid w:val="001F4F02"/>
    <w:rsid w:val="001F570A"/>
    <w:rsid w:val="001F58D3"/>
    <w:rsid w:val="001F5FDD"/>
    <w:rsid w:val="0020039E"/>
    <w:rsid w:val="0020240F"/>
    <w:rsid w:val="00202C58"/>
    <w:rsid w:val="00203743"/>
    <w:rsid w:val="00204286"/>
    <w:rsid w:val="0020439F"/>
    <w:rsid w:val="00204513"/>
    <w:rsid w:val="0020488F"/>
    <w:rsid w:val="00204D61"/>
    <w:rsid w:val="002061C5"/>
    <w:rsid w:val="00206FDB"/>
    <w:rsid w:val="00207A24"/>
    <w:rsid w:val="00210239"/>
    <w:rsid w:val="00210891"/>
    <w:rsid w:val="00210AF9"/>
    <w:rsid w:val="00211524"/>
    <w:rsid w:val="002121A0"/>
    <w:rsid w:val="0021281B"/>
    <w:rsid w:val="002128F7"/>
    <w:rsid w:val="00212969"/>
    <w:rsid w:val="00212D75"/>
    <w:rsid w:val="0021380D"/>
    <w:rsid w:val="00214D1F"/>
    <w:rsid w:val="00215B40"/>
    <w:rsid w:val="00215F43"/>
    <w:rsid w:val="002161EE"/>
    <w:rsid w:val="002171DC"/>
    <w:rsid w:val="002176A9"/>
    <w:rsid w:val="00217980"/>
    <w:rsid w:val="00217D25"/>
    <w:rsid w:val="00220924"/>
    <w:rsid w:val="00220E0D"/>
    <w:rsid w:val="0022109B"/>
    <w:rsid w:val="002211FB"/>
    <w:rsid w:val="0022133E"/>
    <w:rsid w:val="0022182D"/>
    <w:rsid w:val="0022255A"/>
    <w:rsid w:val="002225EF"/>
    <w:rsid w:val="0022367B"/>
    <w:rsid w:val="00225AC1"/>
    <w:rsid w:val="00226E80"/>
    <w:rsid w:val="0022792C"/>
    <w:rsid w:val="002304A3"/>
    <w:rsid w:val="00231941"/>
    <w:rsid w:val="00231983"/>
    <w:rsid w:val="002334D4"/>
    <w:rsid w:val="002339CB"/>
    <w:rsid w:val="002342BB"/>
    <w:rsid w:val="0023452F"/>
    <w:rsid w:val="0023462A"/>
    <w:rsid w:val="0023641D"/>
    <w:rsid w:val="00241223"/>
    <w:rsid w:val="00241337"/>
    <w:rsid w:val="002418E1"/>
    <w:rsid w:val="00241ECE"/>
    <w:rsid w:val="00241F8D"/>
    <w:rsid w:val="002431DB"/>
    <w:rsid w:val="002447C2"/>
    <w:rsid w:val="00244F6B"/>
    <w:rsid w:val="0024552E"/>
    <w:rsid w:val="00245889"/>
    <w:rsid w:val="002464D7"/>
    <w:rsid w:val="00246C63"/>
    <w:rsid w:val="00247D25"/>
    <w:rsid w:val="002502F2"/>
    <w:rsid w:val="00250446"/>
    <w:rsid w:val="00250D7D"/>
    <w:rsid w:val="00251031"/>
    <w:rsid w:val="00251227"/>
    <w:rsid w:val="002519C0"/>
    <w:rsid w:val="00251B78"/>
    <w:rsid w:val="00251D25"/>
    <w:rsid w:val="00251E45"/>
    <w:rsid w:val="00252F6C"/>
    <w:rsid w:val="0025326E"/>
    <w:rsid w:val="00255080"/>
    <w:rsid w:val="002550D1"/>
    <w:rsid w:val="00255336"/>
    <w:rsid w:val="0025597F"/>
    <w:rsid w:val="002560DE"/>
    <w:rsid w:val="00256683"/>
    <w:rsid w:val="002568D0"/>
    <w:rsid w:val="0025711E"/>
    <w:rsid w:val="002571D3"/>
    <w:rsid w:val="00257252"/>
    <w:rsid w:val="0025790B"/>
    <w:rsid w:val="00257F4E"/>
    <w:rsid w:val="0026028D"/>
    <w:rsid w:val="00260D09"/>
    <w:rsid w:val="00260FFA"/>
    <w:rsid w:val="002618C4"/>
    <w:rsid w:val="00261CE3"/>
    <w:rsid w:val="0026204E"/>
    <w:rsid w:val="002620EF"/>
    <w:rsid w:val="002631DC"/>
    <w:rsid w:val="002642E8"/>
    <w:rsid w:val="002642FC"/>
    <w:rsid w:val="00264C87"/>
    <w:rsid w:val="00264DF0"/>
    <w:rsid w:val="00265156"/>
    <w:rsid w:val="00265BBD"/>
    <w:rsid w:val="002664B4"/>
    <w:rsid w:val="00266AC2"/>
    <w:rsid w:val="002671F7"/>
    <w:rsid w:val="00267B63"/>
    <w:rsid w:val="00270631"/>
    <w:rsid w:val="002708AA"/>
    <w:rsid w:val="0027111C"/>
    <w:rsid w:val="002720A1"/>
    <w:rsid w:val="00272C99"/>
    <w:rsid w:val="00274229"/>
    <w:rsid w:val="002744A3"/>
    <w:rsid w:val="00274BC2"/>
    <w:rsid w:val="0027503F"/>
    <w:rsid w:val="00275EC7"/>
    <w:rsid w:val="00276EAF"/>
    <w:rsid w:val="002800A7"/>
    <w:rsid w:val="00280AE8"/>
    <w:rsid w:val="00280DEB"/>
    <w:rsid w:val="00281D73"/>
    <w:rsid w:val="002833C7"/>
    <w:rsid w:val="00284E5E"/>
    <w:rsid w:val="0029078F"/>
    <w:rsid w:val="00291329"/>
    <w:rsid w:val="00291976"/>
    <w:rsid w:val="002925F4"/>
    <w:rsid w:val="002938E6"/>
    <w:rsid w:val="00294349"/>
    <w:rsid w:val="00294778"/>
    <w:rsid w:val="00294CF7"/>
    <w:rsid w:val="00294DC2"/>
    <w:rsid w:val="00295501"/>
    <w:rsid w:val="00296222"/>
    <w:rsid w:val="00296F4E"/>
    <w:rsid w:val="002971E3"/>
    <w:rsid w:val="00297AD7"/>
    <w:rsid w:val="00297BED"/>
    <w:rsid w:val="002A0056"/>
    <w:rsid w:val="002A0B2E"/>
    <w:rsid w:val="002A0EBC"/>
    <w:rsid w:val="002A1B9F"/>
    <w:rsid w:val="002A2162"/>
    <w:rsid w:val="002A25BD"/>
    <w:rsid w:val="002A31D3"/>
    <w:rsid w:val="002A3261"/>
    <w:rsid w:val="002A50F7"/>
    <w:rsid w:val="002A549E"/>
    <w:rsid w:val="002A5D96"/>
    <w:rsid w:val="002A78F0"/>
    <w:rsid w:val="002A7AC8"/>
    <w:rsid w:val="002B269B"/>
    <w:rsid w:val="002B336A"/>
    <w:rsid w:val="002B3435"/>
    <w:rsid w:val="002B3699"/>
    <w:rsid w:val="002B376A"/>
    <w:rsid w:val="002B41A4"/>
    <w:rsid w:val="002B4A47"/>
    <w:rsid w:val="002B5392"/>
    <w:rsid w:val="002B5F32"/>
    <w:rsid w:val="002B5FE2"/>
    <w:rsid w:val="002B6CA3"/>
    <w:rsid w:val="002B785B"/>
    <w:rsid w:val="002C1407"/>
    <w:rsid w:val="002C2FEE"/>
    <w:rsid w:val="002C325F"/>
    <w:rsid w:val="002C335F"/>
    <w:rsid w:val="002C3FFF"/>
    <w:rsid w:val="002C4BE2"/>
    <w:rsid w:val="002C504B"/>
    <w:rsid w:val="002C58B6"/>
    <w:rsid w:val="002C59A0"/>
    <w:rsid w:val="002C686F"/>
    <w:rsid w:val="002D037D"/>
    <w:rsid w:val="002D1514"/>
    <w:rsid w:val="002D16E4"/>
    <w:rsid w:val="002D20FF"/>
    <w:rsid w:val="002D37A8"/>
    <w:rsid w:val="002D3C99"/>
    <w:rsid w:val="002D47F9"/>
    <w:rsid w:val="002D4C12"/>
    <w:rsid w:val="002D591A"/>
    <w:rsid w:val="002D5A92"/>
    <w:rsid w:val="002D65CB"/>
    <w:rsid w:val="002E0092"/>
    <w:rsid w:val="002E0892"/>
    <w:rsid w:val="002E0C97"/>
    <w:rsid w:val="002E1FC0"/>
    <w:rsid w:val="002E2529"/>
    <w:rsid w:val="002E2E9F"/>
    <w:rsid w:val="002E3839"/>
    <w:rsid w:val="002E4192"/>
    <w:rsid w:val="002E45B6"/>
    <w:rsid w:val="002E45DF"/>
    <w:rsid w:val="002E4906"/>
    <w:rsid w:val="002E520E"/>
    <w:rsid w:val="002E53A2"/>
    <w:rsid w:val="002E5615"/>
    <w:rsid w:val="002E5E16"/>
    <w:rsid w:val="002E6141"/>
    <w:rsid w:val="002E6FF2"/>
    <w:rsid w:val="002E7809"/>
    <w:rsid w:val="002F1895"/>
    <w:rsid w:val="002F1CA8"/>
    <w:rsid w:val="002F1D04"/>
    <w:rsid w:val="002F1DCF"/>
    <w:rsid w:val="002F4A3C"/>
    <w:rsid w:val="002F5045"/>
    <w:rsid w:val="002F6D70"/>
    <w:rsid w:val="002F7B3E"/>
    <w:rsid w:val="003001A1"/>
    <w:rsid w:val="0030061B"/>
    <w:rsid w:val="00300A39"/>
    <w:rsid w:val="003028D5"/>
    <w:rsid w:val="00302B72"/>
    <w:rsid w:val="00303EC2"/>
    <w:rsid w:val="0030422C"/>
    <w:rsid w:val="003047FA"/>
    <w:rsid w:val="00305819"/>
    <w:rsid w:val="00305943"/>
    <w:rsid w:val="003067A2"/>
    <w:rsid w:val="003075F1"/>
    <w:rsid w:val="00307AB9"/>
    <w:rsid w:val="00310E17"/>
    <w:rsid w:val="00311AC3"/>
    <w:rsid w:val="00311B61"/>
    <w:rsid w:val="00312527"/>
    <w:rsid w:val="0031349F"/>
    <w:rsid w:val="00314976"/>
    <w:rsid w:val="003149E5"/>
    <w:rsid w:val="00314AF9"/>
    <w:rsid w:val="003152DC"/>
    <w:rsid w:val="00315880"/>
    <w:rsid w:val="00315B9C"/>
    <w:rsid w:val="00315DAC"/>
    <w:rsid w:val="00315EBB"/>
    <w:rsid w:val="0031777E"/>
    <w:rsid w:val="00320A52"/>
    <w:rsid w:val="003210F6"/>
    <w:rsid w:val="0032137C"/>
    <w:rsid w:val="00321D00"/>
    <w:rsid w:val="0032264E"/>
    <w:rsid w:val="0032288D"/>
    <w:rsid w:val="003240B6"/>
    <w:rsid w:val="00324ED6"/>
    <w:rsid w:val="00326226"/>
    <w:rsid w:val="003262E6"/>
    <w:rsid w:val="003266CA"/>
    <w:rsid w:val="00327D4D"/>
    <w:rsid w:val="00332007"/>
    <w:rsid w:val="003322FB"/>
    <w:rsid w:val="003323B7"/>
    <w:rsid w:val="00334086"/>
    <w:rsid w:val="00334FEF"/>
    <w:rsid w:val="003356DB"/>
    <w:rsid w:val="00335B80"/>
    <w:rsid w:val="0033608E"/>
    <w:rsid w:val="00336A54"/>
    <w:rsid w:val="00336F7C"/>
    <w:rsid w:val="00337E83"/>
    <w:rsid w:val="00341839"/>
    <w:rsid w:val="003418F8"/>
    <w:rsid w:val="00341DF1"/>
    <w:rsid w:val="003426F7"/>
    <w:rsid w:val="00343051"/>
    <w:rsid w:val="003433BC"/>
    <w:rsid w:val="00345268"/>
    <w:rsid w:val="003452C1"/>
    <w:rsid w:val="003455BF"/>
    <w:rsid w:val="0034643C"/>
    <w:rsid w:val="00347041"/>
    <w:rsid w:val="00347B01"/>
    <w:rsid w:val="00351002"/>
    <w:rsid w:val="003528FE"/>
    <w:rsid w:val="003534BB"/>
    <w:rsid w:val="00353C4D"/>
    <w:rsid w:val="00353CED"/>
    <w:rsid w:val="00354001"/>
    <w:rsid w:val="003546EB"/>
    <w:rsid w:val="00354ABF"/>
    <w:rsid w:val="00354B7B"/>
    <w:rsid w:val="003561F0"/>
    <w:rsid w:val="003562A8"/>
    <w:rsid w:val="003568CE"/>
    <w:rsid w:val="00356E7E"/>
    <w:rsid w:val="00362A7C"/>
    <w:rsid w:val="00362B2F"/>
    <w:rsid w:val="0036341A"/>
    <w:rsid w:val="0036409C"/>
    <w:rsid w:val="00364DCC"/>
    <w:rsid w:val="00365982"/>
    <w:rsid w:val="0036700E"/>
    <w:rsid w:val="00370645"/>
    <w:rsid w:val="003708C3"/>
    <w:rsid w:val="003715C6"/>
    <w:rsid w:val="00371ABF"/>
    <w:rsid w:val="00371CA7"/>
    <w:rsid w:val="00372224"/>
    <w:rsid w:val="00372FBE"/>
    <w:rsid w:val="00373830"/>
    <w:rsid w:val="00373AEE"/>
    <w:rsid w:val="00374169"/>
    <w:rsid w:val="0037547C"/>
    <w:rsid w:val="00376362"/>
    <w:rsid w:val="00376B41"/>
    <w:rsid w:val="00377136"/>
    <w:rsid w:val="0037784C"/>
    <w:rsid w:val="00377B26"/>
    <w:rsid w:val="00377B3C"/>
    <w:rsid w:val="00377FA6"/>
    <w:rsid w:val="00381E0C"/>
    <w:rsid w:val="0038475C"/>
    <w:rsid w:val="00384E3F"/>
    <w:rsid w:val="00385722"/>
    <w:rsid w:val="00385B99"/>
    <w:rsid w:val="00385E8E"/>
    <w:rsid w:val="00386F77"/>
    <w:rsid w:val="00387195"/>
    <w:rsid w:val="003871BB"/>
    <w:rsid w:val="003879AB"/>
    <w:rsid w:val="00390270"/>
    <w:rsid w:val="00390568"/>
    <w:rsid w:val="003907B9"/>
    <w:rsid w:val="00392C53"/>
    <w:rsid w:val="003937A4"/>
    <w:rsid w:val="00393E47"/>
    <w:rsid w:val="00394F47"/>
    <w:rsid w:val="00395121"/>
    <w:rsid w:val="00395182"/>
    <w:rsid w:val="0039550B"/>
    <w:rsid w:val="00396FAA"/>
    <w:rsid w:val="003977A7"/>
    <w:rsid w:val="003A03E5"/>
    <w:rsid w:val="003A1043"/>
    <w:rsid w:val="003A1827"/>
    <w:rsid w:val="003A2036"/>
    <w:rsid w:val="003A310E"/>
    <w:rsid w:val="003A38F7"/>
    <w:rsid w:val="003A4DFA"/>
    <w:rsid w:val="003A5891"/>
    <w:rsid w:val="003A638D"/>
    <w:rsid w:val="003A6D87"/>
    <w:rsid w:val="003A724E"/>
    <w:rsid w:val="003A755C"/>
    <w:rsid w:val="003A7C8E"/>
    <w:rsid w:val="003A7CD5"/>
    <w:rsid w:val="003B181B"/>
    <w:rsid w:val="003B1927"/>
    <w:rsid w:val="003B2B13"/>
    <w:rsid w:val="003B2BC6"/>
    <w:rsid w:val="003B2F18"/>
    <w:rsid w:val="003B31F4"/>
    <w:rsid w:val="003B419C"/>
    <w:rsid w:val="003B4FE3"/>
    <w:rsid w:val="003B677B"/>
    <w:rsid w:val="003B6E08"/>
    <w:rsid w:val="003B711C"/>
    <w:rsid w:val="003B72B3"/>
    <w:rsid w:val="003B7F2F"/>
    <w:rsid w:val="003C0556"/>
    <w:rsid w:val="003C103C"/>
    <w:rsid w:val="003C17E2"/>
    <w:rsid w:val="003C1A0D"/>
    <w:rsid w:val="003C1B06"/>
    <w:rsid w:val="003C23EF"/>
    <w:rsid w:val="003C262C"/>
    <w:rsid w:val="003C2DE2"/>
    <w:rsid w:val="003C3787"/>
    <w:rsid w:val="003C394E"/>
    <w:rsid w:val="003C3DB7"/>
    <w:rsid w:val="003C6A30"/>
    <w:rsid w:val="003C70AE"/>
    <w:rsid w:val="003C7795"/>
    <w:rsid w:val="003D087E"/>
    <w:rsid w:val="003D21A3"/>
    <w:rsid w:val="003D355C"/>
    <w:rsid w:val="003D3E7D"/>
    <w:rsid w:val="003D4293"/>
    <w:rsid w:val="003D4853"/>
    <w:rsid w:val="003D4CF6"/>
    <w:rsid w:val="003D5432"/>
    <w:rsid w:val="003D5AB3"/>
    <w:rsid w:val="003D6192"/>
    <w:rsid w:val="003D6866"/>
    <w:rsid w:val="003E081F"/>
    <w:rsid w:val="003E099B"/>
    <w:rsid w:val="003E09E7"/>
    <w:rsid w:val="003E18E5"/>
    <w:rsid w:val="003E2BA1"/>
    <w:rsid w:val="003E396E"/>
    <w:rsid w:val="003E48A7"/>
    <w:rsid w:val="003E4D7F"/>
    <w:rsid w:val="003E6265"/>
    <w:rsid w:val="003E6857"/>
    <w:rsid w:val="003E6F26"/>
    <w:rsid w:val="003E731B"/>
    <w:rsid w:val="003E75AA"/>
    <w:rsid w:val="003E78B8"/>
    <w:rsid w:val="003E7F43"/>
    <w:rsid w:val="003F089F"/>
    <w:rsid w:val="003F09E2"/>
    <w:rsid w:val="003F1D3A"/>
    <w:rsid w:val="003F34A6"/>
    <w:rsid w:val="003F3976"/>
    <w:rsid w:val="003F4245"/>
    <w:rsid w:val="003F49CE"/>
    <w:rsid w:val="003F594D"/>
    <w:rsid w:val="003F595B"/>
    <w:rsid w:val="003F660E"/>
    <w:rsid w:val="003F6D94"/>
    <w:rsid w:val="003F6E5C"/>
    <w:rsid w:val="0040151A"/>
    <w:rsid w:val="00401CC4"/>
    <w:rsid w:val="00402E90"/>
    <w:rsid w:val="00403291"/>
    <w:rsid w:val="004040AC"/>
    <w:rsid w:val="0040539B"/>
    <w:rsid w:val="00405589"/>
    <w:rsid w:val="00405760"/>
    <w:rsid w:val="00405811"/>
    <w:rsid w:val="00405F88"/>
    <w:rsid w:val="004063EE"/>
    <w:rsid w:val="004119F7"/>
    <w:rsid w:val="0041226A"/>
    <w:rsid w:val="004126DA"/>
    <w:rsid w:val="00412923"/>
    <w:rsid w:val="00413364"/>
    <w:rsid w:val="00413890"/>
    <w:rsid w:val="004141A1"/>
    <w:rsid w:val="004146D2"/>
    <w:rsid w:val="0041508B"/>
    <w:rsid w:val="00415E40"/>
    <w:rsid w:val="00416039"/>
    <w:rsid w:val="00420656"/>
    <w:rsid w:val="004207D0"/>
    <w:rsid w:val="00420E8D"/>
    <w:rsid w:val="00421746"/>
    <w:rsid w:val="00422618"/>
    <w:rsid w:val="0042418B"/>
    <w:rsid w:val="00424FAC"/>
    <w:rsid w:val="00425FAB"/>
    <w:rsid w:val="004273D7"/>
    <w:rsid w:val="004304B3"/>
    <w:rsid w:val="00430698"/>
    <w:rsid w:val="00431C44"/>
    <w:rsid w:val="004322AE"/>
    <w:rsid w:val="00436B8F"/>
    <w:rsid w:val="00436D25"/>
    <w:rsid w:val="0044045E"/>
    <w:rsid w:val="0044062D"/>
    <w:rsid w:val="004406F4"/>
    <w:rsid w:val="004409F8"/>
    <w:rsid w:val="00440A20"/>
    <w:rsid w:val="0044104C"/>
    <w:rsid w:val="00441B8B"/>
    <w:rsid w:val="004422A1"/>
    <w:rsid w:val="00442BA4"/>
    <w:rsid w:val="00442CE2"/>
    <w:rsid w:val="0044394C"/>
    <w:rsid w:val="00443D73"/>
    <w:rsid w:val="0044416D"/>
    <w:rsid w:val="004444FC"/>
    <w:rsid w:val="00444FF5"/>
    <w:rsid w:val="004453D9"/>
    <w:rsid w:val="00445404"/>
    <w:rsid w:val="00446A49"/>
    <w:rsid w:val="0044727A"/>
    <w:rsid w:val="004472E3"/>
    <w:rsid w:val="00447F87"/>
    <w:rsid w:val="00450295"/>
    <w:rsid w:val="004508BE"/>
    <w:rsid w:val="004509A8"/>
    <w:rsid w:val="004518A8"/>
    <w:rsid w:val="004519B5"/>
    <w:rsid w:val="004527AE"/>
    <w:rsid w:val="00452B35"/>
    <w:rsid w:val="0045360A"/>
    <w:rsid w:val="00453682"/>
    <w:rsid w:val="004540D0"/>
    <w:rsid w:val="004541E5"/>
    <w:rsid w:val="0045467E"/>
    <w:rsid w:val="00454EA2"/>
    <w:rsid w:val="0045515A"/>
    <w:rsid w:val="004567C0"/>
    <w:rsid w:val="00456BA3"/>
    <w:rsid w:val="004575C1"/>
    <w:rsid w:val="00462087"/>
    <w:rsid w:val="00464715"/>
    <w:rsid w:val="0046476F"/>
    <w:rsid w:val="004652D1"/>
    <w:rsid w:val="004656A2"/>
    <w:rsid w:val="00465AD1"/>
    <w:rsid w:val="004669C1"/>
    <w:rsid w:val="00466B5D"/>
    <w:rsid w:val="0046751A"/>
    <w:rsid w:val="00467BF3"/>
    <w:rsid w:val="004714B4"/>
    <w:rsid w:val="00471A1E"/>
    <w:rsid w:val="00472E3D"/>
    <w:rsid w:val="00472F35"/>
    <w:rsid w:val="0047415B"/>
    <w:rsid w:val="004750CA"/>
    <w:rsid w:val="00475166"/>
    <w:rsid w:val="0048134A"/>
    <w:rsid w:val="004813CF"/>
    <w:rsid w:val="00481450"/>
    <w:rsid w:val="004841BF"/>
    <w:rsid w:val="00484425"/>
    <w:rsid w:val="004845C8"/>
    <w:rsid w:val="00485093"/>
    <w:rsid w:val="004854A3"/>
    <w:rsid w:val="0048573C"/>
    <w:rsid w:val="00485DA7"/>
    <w:rsid w:val="00485F6F"/>
    <w:rsid w:val="0048755E"/>
    <w:rsid w:val="0048757A"/>
    <w:rsid w:val="0048786F"/>
    <w:rsid w:val="00487CA4"/>
    <w:rsid w:val="004903C7"/>
    <w:rsid w:val="004903F8"/>
    <w:rsid w:val="00491B1D"/>
    <w:rsid w:val="0049246D"/>
    <w:rsid w:val="004935A0"/>
    <w:rsid w:val="0049369A"/>
    <w:rsid w:val="004944B0"/>
    <w:rsid w:val="00494D09"/>
    <w:rsid w:val="00495686"/>
    <w:rsid w:val="004962FD"/>
    <w:rsid w:val="00497003"/>
    <w:rsid w:val="004977AB"/>
    <w:rsid w:val="004A0375"/>
    <w:rsid w:val="004A0434"/>
    <w:rsid w:val="004A07EF"/>
    <w:rsid w:val="004A148E"/>
    <w:rsid w:val="004A240E"/>
    <w:rsid w:val="004A26C5"/>
    <w:rsid w:val="004A4A46"/>
    <w:rsid w:val="004A6710"/>
    <w:rsid w:val="004A6875"/>
    <w:rsid w:val="004A7D31"/>
    <w:rsid w:val="004B084B"/>
    <w:rsid w:val="004B2FAC"/>
    <w:rsid w:val="004B51ED"/>
    <w:rsid w:val="004B61E9"/>
    <w:rsid w:val="004B62C3"/>
    <w:rsid w:val="004B78A1"/>
    <w:rsid w:val="004C00C1"/>
    <w:rsid w:val="004C0A78"/>
    <w:rsid w:val="004C1120"/>
    <w:rsid w:val="004C1663"/>
    <w:rsid w:val="004C17F1"/>
    <w:rsid w:val="004C1F0F"/>
    <w:rsid w:val="004C2A5A"/>
    <w:rsid w:val="004C2C69"/>
    <w:rsid w:val="004C3576"/>
    <w:rsid w:val="004C435D"/>
    <w:rsid w:val="004C4FCE"/>
    <w:rsid w:val="004C6A30"/>
    <w:rsid w:val="004C76D7"/>
    <w:rsid w:val="004D0CA1"/>
    <w:rsid w:val="004D10F8"/>
    <w:rsid w:val="004D1D3F"/>
    <w:rsid w:val="004D268F"/>
    <w:rsid w:val="004D26C9"/>
    <w:rsid w:val="004D2CF5"/>
    <w:rsid w:val="004D315A"/>
    <w:rsid w:val="004D38C8"/>
    <w:rsid w:val="004D49F2"/>
    <w:rsid w:val="004D49FB"/>
    <w:rsid w:val="004D50C8"/>
    <w:rsid w:val="004D5359"/>
    <w:rsid w:val="004D5740"/>
    <w:rsid w:val="004D59A8"/>
    <w:rsid w:val="004D6981"/>
    <w:rsid w:val="004D7B4F"/>
    <w:rsid w:val="004E09B8"/>
    <w:rsid w:val="004E0F66"/>
    <w:rsid w:val="004E3AE9"/>
    <w:rsid w:val="004E409A"/>
    <w:rsid w:val="004E4598"/>
    <w:rsid w:val="004E49A5"/>
    <w:rsid w:val="004E5914"/>
    <w:rsid w:val="004E5C5E"/>
    <w:rsid w:val="004E5E22"/>
    <w:rsid w:val="004E6A50"/>
    <w:rsid w:val="004E6D6A"/>
    <w:rsid w:val="004E732C"/>
    <w:rsid w:val="004F1354"/>
    <w:rsid w:val="004F1D25"/>
    <w:rsid w:val="004F22D7"/>
    <w:rsid w:val="004F26F0"/>
    <w:rsid w:val="004F2D78"/>
    <w:rsid w:val="004F3119"/>
    <w:rsid w:val="004F3E94"/>
    <w:rsid w:val="004F42B4"/>
    <w:rsid w:val="004F53CD"/>
    <w:rsid w:val="004F5B19"/>
    <w:rsid w:val="004F73AF"/>
    <w:rsid w:val="00501064"/>
    <w:rsid w:val="005011BE"/>
    <w:rsid w:val="00501F18"/>
    <w:rsid w:val="00502452"/>
    <w:rsid w:val="0050252D"/>
    <w:rsid w:val="00502880"/>
    <w:rsid w:val="005028E5"/>
    <w:rsid w:val="00502961"/>
    <w:rsid w:val="00502D3C"/>
    <w:rsid w:val="00502F4B"/>
    <w:rsid w:val="00504595"/>
    <w:rsid w:val="005048FC"/>
    <w:rsid w:val="00504CFC"/>
    <w:rsid w:val="00505110"/>
    <w:rsid w:val="0050577D"/>
    <w:rsid w:val="00510CE1"/>
    <w:rsid w:val="00511435"/>
    <w:rsid w:val="0051156A"/>
    <w:rsid w:val="0051237A"/>
    <w:rsid w:val="00513B67"/>
    <w:rsid w:val="00514315"/>
    <w:rsid w:val="00514D81"/>
    <w:rsid w:val="005166E2"/>
    <w:rsid w:val="00517123"/>
    <w:rsid w:val="00517576"/>
    <w:rsid w:val="00517C99"/>
    <w:rsid w:val="0052055C"/>
    <w:rsid w:val="00521612"/>
    <w:rsid w:val="005218FE"/>
    <w:rsid w:val="00521BF5"/>
    <w:rsid w:val="00521E6C"/>
    <w:rsid w:val="005225B5"/>
    <w:rsid w:val="005226DC"/>
    <w:rsid w:val="00522B33"/>
    <w:rsid w:val="00523242"/>
    <w:rsid w:val="00523277"/>
    <w:rsid w:val="0052598A"/>
    <w:rsid w:val="00525BC1"/>
    <w:rsid w:val="00527088"/>
    <w:rsid w:val="005278CD"/>
    <w:rsid w:val="0052792C"/>
    <w:rsid w:val="0053120F"/>
    <w:rsid w:val="005317CE"/>
    <w:rsid w:val="0053246F"/>
    <w:rsid w:val="005329ED"/>
    <w:rsid w:val="00532BA4"/>
    <w:rsid w:val="00532C9B"/>
    <w:rsid w:val="0053344B"/>
    <w:rsid w:val="00533D6A"/>
    <w:rsid w:val="0053414B"/>
    <w:rsid w:val="00534CCB"/>
    <w:rsid w:val="00535426"/>
    <w:rsid w:val="00535E50"/>
    <w:rsid w:val="00536165"/>
    <w:rsid w:val="00536860"/>
    <w:rsid w:val="005368A3"/>
    <w:rsid w:val="00541FFB"/>
    <w:rsid w:val="00542419"/>
    <w:rsid w:val="00542BD3"/>
    <w:rsid w:val="00543022"/>
    <w:rsid w:val="005430AD"/>
    <w:rsid w:val="005432BF"/>
    <w:rsid w:val="00545487"/>
    <w:rsid w:val="00545668"/>
    <w:rsid w:val="00545873"/>
    <w:rsid w:val="0054588C"/>
    <w:rsid w:val="0054685E"/>
    <w:rsid w:val="00547296"/>
    <w:rsid w:val="00547337"/>
    <w:rsid w:val="00547E10"/>
    <w:rsid w:val="00550283"/>
    <w:rsid w:val="005505AC"/>
    <w:rsid w:val="00550B42"/>
    <w:rsid w:val="00551C6D"/>
    <w:rsid w:val="00554134"/>
    <w:rsid w:val="0055583F"/>
    <w:rsid w:val="00555B5D"/>
    <w:rsid w:val="00555ED8"/>
    <w:rsid w:val="00555FF4"/>
    <w:rsid w:val="005564DD"/>
    <w:rsid w:val="005568A9"/>
    <w:rsid w:val="00556B91"/>
    <w:rsid w:val="0055710D"/>
    <w:rsid w:val="00557B58"/>
    <w:rsid w:val="00560946"/>
    <w:rsid w:val="00561629"/>
    <w:rsid w:val="00562128"/>
    <w:rsid w:val="00562716"/>
    <w:rsid w:val="00563930"/>
    <w:rsid w:val="00564B0C"/>
    <w:rsid w:val="00564F8A"/>
    <w:rsid w:val="005654B8"/>
    <w:rsid w:val="00567265"/>
    <w:rsid w:val="0056784A"/>
    <w:rsid w:val="00567E21"/>
    <w:rsid w:val="00570370"/>
    <w:rsid w:val="00571A14"/>
    <w:rsid w:val="00571A26"/>
    <w:rsid w:val="00572AE9"/>
    <w:rsid w:val="00572D26"/>
    <w:rsid w:val="005738E9"/>
    <w:rsid w:val="00574400"/>
    <w:rsid w:val="0057455B"/>
    <w:rsid w:val="00574D53"/>
    <w:rsid w:val="00575155"/>
    <w:rsid w:val="00575777"/>
    <w:rsid w:val="005759E2"/>
    <w:rsid w:val="00575DA4"/>
    <w:rsid w:val="00576224"/>
    <w:rsid w:val="005768D4"/>
    <w:rsid w:val="00576AA9"/>
    <w:rsid w:val="00577827"/>
    <w:rsid w:val="00577E13"/>
    <w:rsid w:val="0058051A"/>
    <w:rsid w:val="00580B40"/>
    <w:rsid w:val="005814F7"/>
    <w:rsid w:val="00582BB8"/>
    <w:rsid w:val="00582C04"/>
    <w:rsid w:val="005835D5"/>
    <w:rsid w:val="00583D84"/>
    <w:rsid w:val="005844EA"/>
    <w:rsid w:val="00584DF1"/>
    <w:rsid w:val="005851FF"/>
    <w:rsid w:val="00585D7A"/>
    <w:rsid w:val="005862BF"/>
    <w:rsid w:val="0058638D"/>
    <w:rsid w:val="0058759E"/>
    <w:rsid w:val="0058786E"/>
    <w:rsid w:val="005879A0"/>
    <w:rsid w:val="00587A86"/>
    <w:rsid w:val="00590A5B"/>
    <w:rsid w:val="00590FC8"/>
    <w:rsid w:val="00591178"/>
    <w:rsid w:val="00594557"/>
    <w:rsid w:val="00594F14"/>
    <w:rsid w:val="005955E5"/>
    <w:rsid w:val="005956E1"/>
    <w:rsid w:val="00595913"/>
    <w:rsid w:val="00596224"/>
    <w:rsid w:val="00596457"/>
    <w:rsid w:val="00596D0A"/>
    <w:rsid w:val="005971C3"/>
    <w:rsid w:val="0059720F"/>
    <w:rsid w:val="0059752F"/>
    <w:rsid w:val="005A001C"/>
    <w:rsid w:val="005A0449"/>
    <w:rsid w:val="005A04D4"/>
    <w:rsid w:val="005A05DE"/>
    <w:rsid w:val="005A0FD7"/>
    <w:rsid w:val="005A18BA"/>
    <w:rsid w:val="005A1DCE"/>
    <w:rsid w:val="005A27B6"/>
    <w:rsid w:val="005A29E7"/>
    <w:rsid w:val="005A2E39"/>
    <w:rsid w:val="005A31B5"/>
    <w:rsid w:val="005A33C8"/>
    <w:rsid w:val="005A3F2F"/>
    <w:rsid w:val="005A481D"/>
    <w:rsid w:val="005A49CC"/>
    <w:rsid w:val="005A5AFD"/>
    <w:rsid w:val="005A5D16"/>
    <w:rsid w:val="005A607D"/>
    <w:rsid w:val="005A6740"/>
    <w:rsid w:val="005A692D"/>
    <w:rsid w:val="005A7DE3"/>
    <w:rsid w:val="005B18C7"/>
    <w:rsid w:val="005B2A8D"/>
    <w:rsid w:val="005B4993"/>
    <w:rsid w:val="005B4ED7"/>
    <w:rsid w:val="005B6026"/>
    <w:rsid w:val="005B6838"/>
    <w:rsid w:val="005B68BB"/>
    <w:rsid w:val="005B6F05"/>
    <w:rsid w:val="005B7248"/>
    <w:rsid w:val="005C146D"/>
    <w:rsid w:val="005C1D81"/>
    <w:rsid w:val="005C2F89"/>
    <w:rsid w:val="005C3D00"/>
    <w:rsid w:val="005C4180"/>
    <w:rsid w:val="005C51B5"/>
    <w:rsid w:val="005C7336"/>
    <w:rsid w:val="005C73EE"/>
    <w:rsid w:val="005C7D46"/>
    <w:rsid w:val="005C7FA3"/>
    <w:rsid w:val="005D09E2"/>
    <w:rsid w:val="005D0F3A"/>
    <w:rsid w:val="005D1F0F"/>
    <w:rsid w:val="005D267F"/>
    <w:rsid w:val="005D2E8E"/>
    <w:rsid w:val="005D3047"/>
    <w:rsid w:val="005D36F5"/>
    <w:rsid w:val="005D396C"/>
    <w:rsid w:val="005D3EE1"/>
    <w:rsid w:val="005D4624"/>
    <w:rsid w:val="005D5F30"/>
    <w:rsid w:val="005D6522"/>
    <w:rsid w:val="005D68D3"/>
    <w:rsid w:val="005D696C"/>
    <w:rsid w:val="005D6AF2"/>
    <w:rsid w:val="005D6FAA"/>
    <w:rsid w:val="005E005E"/>
    <w:rsid w:val="005E168A"/>
    <w:rsid w:val="005E23D1"/>
    <w:rsid w:val="005E2628"/>
    <w:rsid w:val="005E27B5"/>
    <w:rsid w:val="005E2D52"/>
    <w:rsid w:val="005E2EC0"/>
    <w:rsid w:val="005E342E"/>
    <w:rsid w:val="005E5421"/>
    <w:rsid w:val="005E5993"/>
    <w:rsid w:val="005E5E2A"/>
    <w:rsid w:val="005E6C5C"/>
    <w:rsid w:val="005E7629"/>
    <w:rsid w:val="005E781E"/>
    <w:rsid w:val="005E7B76"/>
    <w:rsid w:val="005F1229"/>
    <w:rsid w:val="005F1438"/>
    <w:rsid w:val="005F23EA"/>
    <w:rsid w:val="005F3346"/>
    <w:rsid w:val="005F61D6"/>
    <w:rsid w:val="005F6943"/>
    <w:rsid w:val="005F6B1B"/>
    <w:rsid w:val="005F725B"/>
    <w:rsid w:val="00602461"/>
    <w:rsid w:val="00602B7F"/>
    <w:rsid w:val="00602DB0"/>
    <w:rsid w:val="00603316"/>
    <w:rsid w:val="0060472E"/>
    <w:rsid w:val="0060563B"/>
    <w:rsid w:val="00605FFD"/>
    <w:rsid w:val="00607299"/>
    <w:rsid w:val="00610028"/>
    <w:rsid w:val="006100BC"/>
    <w:rsid w:val="006119B9"/>
    <w:rsid w:val="0061235B"/>
    <w:rsid w:val="00612369"/>
    <w:rsid w:val="00612652"/>
    <w:rsid w:val="00613A78"/>
    <w:rsid w:val="006145AE"/>
    <w:rsid w:val="00614FCD"/>
    <w:rsid w:val="00616217"/>
    <w:rsid w:val="00616A00"/>
    <w:rsid w:val="00616BD4"/>
    <w:rsid w:val="00617742"/>
    <w:rsid w:val="00617C75"/>
    <w:rsid w:val="006202AB"/>
    <w:rsid w:val="006206D3"/>
    <w:rsid w:val="0062105C"/>
    <w:rsid w:val="00621123"/>
    <w:rsid w:val="006215DB"/>
    <w:rsid w:val="00621CDC"/>
    <w:rsid w:val="00622E3E"/>
    <w:rsid w:val="006233AB"/>
    <w:rsid w:val="006240DD"/>
    <w:rsid w:val="00624277"/>
    <w:rsid w:val="00624E85"/>
    <w:rsid w:val="00626551"/>
    <w:rsid w:val="00626609"/>
    <w:rsid w:val="0062732F"/>
    <w:rsid w:val="006300CC"/>
    <w:rsid w:val="0063063B"/>
    <w:rsid w:val="006310CC"/>
    <w:rsid w:val="006311B3"/>
    <w:rsid w:val="00631627"/>
    <w:rsid w:val="00631779"/>
    <w:rsid w:val="00631F20"/>
    <w:rsid w:val="00633AA6"/>
    <w:rsid w:val="00634C65"/>
    <w:rsid w:val="00634EEE"/>
    <w:rsid w:val="00634F82"/>
    <w:rsid w:val="006353EF"/>
    <w:rsid w:val="00635663"/>
    <w:rsid w:val="00635AD0"/>
    <w:rsid w:val="00635F46"/>
    <w:rsid w:val="00635F52"/>
    <w:rsid w:val="0063747E"/>
    <w:rsid w:val="00637A4D"/>
    <w:rsid w:val="00637D86"/>
    <w:rsid w:val="00641310"/>
    <w:rsid w:val="00641544"/>
    <w:rsid w:val="0064187D"/>
    <w:rsid w:val="00641948"/>
    <w:rsid w:val="00641C07"/>
    <w:rsid w:val="0064224F"/>
    <w:rsid w:val="00643400"/>
    <w:rsid w:val="00643601"/>
    <w:rsid w:val="006445B2"/>
    <w:rsid w:val="00644679"/>
    <w:rsid w:val="00644F99"/>
    <w:rsid w:val="00644FA7"/>
    <w:rsid w:val="00645633"/>
    <w:rsid w:val="006457C0"/>
    <w:rsid w:val="00646C07"/>
    <w:rsid w:val="00646C14"/>
    <w:rsid w:val="0064763B"/>
    <w:rsid w:val="00650F96"/>
    <w:rsid w:val="0065215C"/>
    <w:rsid w:val="00652ED2"/>
    <w:rsid w:val="0065305D"/>
    <w:rsid w:val="0065352D"/>
    <w:rsid w:val="006542E3"/>
    <w:rsid w:val="006562AF"/>
    <w:rsid w:val="00656577"/>
    <w:rsid w:val="00656AA5"/>
    <w:rsid w:val="00656D93"/>
    <w:rsid w:val="006571F9"/>
    <w:rsid w:val="006572AE"/>
    <w:rsid w:val="006602B0"/>
    <w:rsid w:val="0066053D"/>
    <w:rsid w:val="00660A5C"/>
    <w:rsid w:val="00660CDD"/>
    <w:rsid w:val="00661075"/>
    <w:rsid w:val="006611D0"/>
    <w:rsid w:val="00661E77"/>
    <w:rsid w:val="0066249A"/>
    <w:rsid w:val="00662C2D"/>
    <w:rsid w:val="00662F66"/>
    <w:rsid w:val="006631CF"/>
    <w:rsid w:val="00663E93"/>
    <w:rsid w:val="00665518"/>
    <w:rsid w:val="00665C50"/>
    <w:rsid w:val="006662EC"/>
    <w:rsid w:val="006669B0"/>
    <w:rsid w:val="00666A6D"/>
    <w:rsid w:val="0066781C"/>
    <w:rsid w:val="00667CDF"/>
    <w:rsid w:val="00671262"/>
    <w:rsid w:val="006717DB"/>
    <w:rsid w:val="00671C7E"/>
    <w:rsid w:val="00671D49"/>
    <w:rsid w:val="00673A01"/>
    <w:rsid w:val="006742B2"/>
    <w:rsid w:val="0067621A"/>
    <w:rsid w:val="006762DE"/>
    <w:rsid w:val="00676BE4"/>
    <w:rsid w:val="00677B9B"/>
    <w:rsid w:val="006806A1"/>
    <w:rsid w:val="0068195D"/>
    <w:rsid w:val="00682408"/>
    <w:rsid w:val="006824AA"/>
    <w:rsid w:val="006830FF"/>
    <w:rsid w:val="00683A35"/>
    <w:rsid w:val="00684E60"/>
    <w:rsid w:val="00685773"/>
    <w:rsid w:val="006859CE"/>
    <w:rsid w:val="0068647A"/>
    <w:rsid w:val="00686934"/>
    <w:rsid w:val="006875D6"/>
    <w:rsid w:val="00687AB4"/>
    <w:rsid w:val="006909AF"/>
    <w:rsid w:val="00690FB6"/>
    <w:rsid w:val="0069194F"/>
    <w:rsid w:val="00691AB5"/>
    <w:rsid w:val="0069260D"/>
    <w:rsid w:val="0069329F"/>
    <w:rsid w:val="00694251"/>
    <w:rsid w:val="006942B6"/>
    <w:rsid w:val="0069483D"/>
    <w:rsid w:val="00695309"/>
    <w:rsid w:val="00695779"/>
    <w:rsid w:val="00696BC8"/>
    <w:rsid w:val="00697076"/>
    <w:rsid w:val="006A02B4"/>
    <w:rsid w:val="006A107D"/>
    <w:rsid w:val="006A2F6E"/>
    <w:rsid w:val="006A40C3"/>
    <w:rsid w:val="006A5BFD"/>
    <w:rsid w:val="006A78C7"/>
    <w:rsid w:val="006B0207"/>
    <w:rsid w:val="006B0925"/>
    <w:rsid w:val="006B0ED8"/>
    <w:rsid w:val="006B12AA"/>
    <w:rsid w:val="006B2077"/>
    <w:rsid w:val="006B2372"/>
    <w:rsid w:val="006B2B7A"/>
    <w:rsid w:val="006B3FEE"/>
    <w:rsid w:val="006B4DEF"/>
    <w:rsid w:val="006B5AE2"/>
    <w:rsid w:val="006B5D38"/>
    <w:rsid w:val="006B71E0"/>
    <w:rsid w:val="006B7882"/>
    <w:rsid w:val="006C0719"/>
    <w:rsid w:val="006C0ABE"/>
    <w:rsid w:val="006C1251"/>
    <w:rsid w:val="006C12E5"/>
    <w:rsid w:val="006C1926"/>
    <w:rsid w:val="006C196D"/>
    <w:rsid w:val="006C2029"/>
    <w:rsid w:val="006C22CE"/>
    <w:rsid w:val="006C30A5"/>
    <w:rsid w:val="006C32C1"/>
    <w:rsid w:val="006C469C"/>
    <w:rsid w:val="006C61F9"/>
    <w:rsid w:val="006C7017"/>
    <w:rsid w:val="006C7CFA"/>
    <w:rsid w:val="006D0BC4"/>
    <w:rsid w:val="006D1002"/>
    <w:rsid w:val="006D1B19"/>
    <w:rsid w:val="006D2604"/>
    <w:rsid w:val="006D27E1"/>
    <w:rsid w:val="006D34CF"/>
    <w:rsid w:val="006D3575"/>
    <w:rsid w:val="006D3C33"/>
    <w:rsid w:val="006D4C30"/>
    <w:rsid w:val="006D577A"/>
    <w:rsid w:val="006D5DDA"/>
    <w:rsid w:val="006D6941"/>
    <w:rsid w:val="006D6A58"/>
    <w:rsid w:val="006D6E0B"/>
    <w:rsid w:val="006D7DEB"/>
    <w:rsid w:val="006E0B70"/>
    <w:rsid w:val="006E1700"/>
    <w:rsid w:val="006E20E6"/>
    <w:rsid w:val="006E2295"/>
    <w:rsid w:val="006E2461"/>
    <w:rsid w:val="006E3393"/>
    <w:rsid w:val="006E48D6"/>
    <w:rsid w:val="006E542E"/>
    <w:rsid w:val="006E736F"/>
    <w:rsid w:val="006E7721"/>
    <w:rsid w:val="006E7A4D"/>
    <w:rsid w:val="006F00E7"/>
    <w:rsid w:val="006F06A3"/>
    <w:rsid w:val="006F14A6"/>
    <w:rsid w:val="006F169D"/>
    <w:rsid w:val="006F206F"/>
    <w:rsid w:val="006F270E"/>
    <w:rsid w:val="006F3404"/>
    <w:rsid w:val="006F389A"/>
    <w:rsid w:val="006F44C0"/>
    <w:rsid w:val="006F4F0F"/>
    <w:rsid w:val="006F5CEB"/>
    <w:rsid w:val="006F5EFB"/>
    <w:rsid w:val="006F76B8"/>
    <w:rsid w:val="00700066"/>
    <w:rsid w:val="0070114F"/>
    <w:rsid w:val="00701B46"/>
    <w:rsid w:val="007022B4"/>
    <w:rsid w:val="007065CF"/>
    <w:rsid w:val="0070682D"/>
    <w:rsid w:val="00707D86"/>
    <w:rsid w:val="00707FE6"/>
    <w:rsid w:val="007107C7"/>
    <w:rsid w:val="00710B60"/>
    <w:rsid w:val="00711AA0"/>
    <w:rsid w:val="00711AD9"/>
    <w:rsid w:val="00712072"/>
    <w:rsid w:val="00712933"/>
    <w:rsid w:val="00712D54"/>
    <w:rsid w:val="00713927"/>
    <w:rsid w:val="00714889"/>
    <w:rsid w:val="00715239"/>
    <w:rsid w:val="007161CD"/>
    <w:rsid w:val="00716925"/>
    <w:rsid w:val="00716C1C"/>
    <w:rsid w:val="00721849"/>
    <w:rsid w:val="00721AD2"/>
    <w:rsid w:val="00721EE7"/>
    <w:rsid w:val="007222EA"/>
    <w:rsid w:val="0072252F"/>
    <w:rsid w:val="00722F4A"/>
    <w:rsid w:val="00723422"/>
    <w:rsid w:val="007251EF"/>
    <w:rsid w:val="00725B00"/>
    <w:rsid w:val="00725C90"/>
    <w:rsid w:val="00727EF4"/>
    <w:rsid w:val="00730929"/>
    <w:rsid w:val="007313A8"/>
    <w:rsid w:val="00732A19"/>
    <w:rsid w:val="007335FC"/>
    <w:rsid w:val="00735C87"/>
    <w:rsid w:val="00736022"/>
    <w:rsid w:val="007362B0"/>
    <w:rsid w:val="0073630B"/>
    <w:rsid w:val="007366B0"/>
    <w:rsid w:val="00736C4E"/>
    <w:rsid w:val="007407ED"/>
    <w:rsid w:val="00742D4D"/>
    <w:rsid w:val="00742E98"/>
    <w:rsid w:val="00743743"/>
    <w:rsid w:val="00743D55"/>
    <w:rsid w:val="00744153"/>
    <w:rsid w:val="00744D0A"/>
    <w:rsid w:val="00744D72"/>
    <w:rsid w:val="00745A0B"/>
    <w:rsid w:val="007462ED"/>
    <w:rsid w:val="007464AE"/>
    <w:rsid w:val="00747B19"/>
    <w:rsid w:val="00750065"/>
    <w:rsid w:val="00750085"/>
    <w:rsid w:val="00751132"/>
    <w:rsid w:val="00751BA5"/>
    <w:rsid w:val="00752B2F"/>
    <w:rsid w:val="007538E6"/>
    <w:rsid w:val="007545A5"/>
    <w:rsid w:val="00755604"/>
    <w:rsid w:val="00755898"/>
    <w:rsid w:val="00756B65"/>
    <w:rsid w:val="00757DA2"/>
    <w:rsid w:val="0076025E"/>
    <w:rsid w:val="00760CEC"/>
    <w:rsid w:val="00761B55"/>
    <w:rsid w:val="00762317"/>
    <w:rsid w:val="00763419"/>
    <w:rsid w:val="007639FE"/>
    <w:rsid w:val="007645CF"/>
    <w:rsid w:val="00764830"/>
    <w:rsid w:val="00764889"/>
    <w:rsid w:val="007662F8"/>
    <w:rsid w:val="00766BFD"/>
    <w:rsid w:val="007673C3"/>
    <w:rsid w:val="007701D3"/>
    <w:rsid w:val="00771870"/>
    <w:rsid w:val="00772DE1"/>
    <w:rsid w:val="007732C3"/>
    <w:rsid w:val="0077350F"/>
    <w:rsid w:val="007744F5"/>
    <w:rsid w:val="00774CA5"/>
    <w:rsid w:val="0077540C"/>
    <w:rsid w:val="00775C6D"/>
    <w:rsid w:val="00776BBE"/>
    <w:rsid w:val="00776F26"/>
    <w:rsid w:val="00777AE6"/>
    <w:rsid w:val="00777C09"/>
    <w:rsid w:val="00777C5C"/>
    <w:rsid w:val="00782C5A"/>
    <w:rsid w:val="00782E17"/>
    <w:rsid w:val="0078499D"/>
    <w:rsid w:val="00785665"/>
    <w:rsid w:val="00785D0A"/>
    <w:rsid w:val="0078636E"/>
    <w:rsid w:val="007863D2"/>
    <w:rsid w:val="00786A0B"/>
    <w:rsid w:val="00786FCC"/>
    <w:rsid w:val="00787600"/>
    <w:rsid w:val="00787FD4"/>
    <w:rsid w:val="007908DB"/>
    <w:rsid w:val="007909F4"/>
    <w:rsid w:val="007919B3"/>
    <w:rsid w:val="00791C87"/>
    <w:rsid w:val="00792801"/>
    <w:rsid w:val="00792DA3"/>
    <w:rsid w:val="00794AD2"/>
    <w:rsid w:val="00795419"/>
    <w:rsid w:val="00795DE1"/>
    <w:rsid w:val="00797070"/>
    <w:rsid w:val="00797848"/>
    <w:rsid w:val="00797862"/>
    <w:rsid w:val="00797985"/>
    <w:rsid w:val="00797CCB"/>
    <w:rsid w:val="00797E67"/>
    <w:rsid w:val="007A04BF"/>
    <w:rsid w:val="007A0BA3"/>
    <w:rsid w:val="007A1C55"/>
    <w:rsid w:val="007A208A"/>
    <w:rsid w:val="007A2AA8"/>
    <w:rsid w:val="007A5515"/>
    <w:rsid w:val="007A5D6B"/>
    <w:rsid w:val="007A6292"/>
    <w:rsid w:val="007A66E6"/>
    <w:rsid w:val="007A66F7"/>
    <w:rsid w:val="007A6BF4"/>
    <w:rsid w:val="007B0015"/>
    <w:rsid w:val="007B00B4"/>
    <w:rsid w:val="007B087E"/>
    <w:rsid w:val="007B090C"/>
    <w:rsid w:val="007B0A1E"/>
    <w:rsid w:val="007B0D34"/>
    <w:rsid w:val="007B21F1"/>
    <w:rsid w:val="007B2521"/>
    <w:rsid w:val="007B3491"/>
    <w:rsid w:val="007B4097"/>
    <w:rsid w:val="007B4246"/>
    <w:rsid w:val="007B480D"/>
    <w:rsid w:val="007B4BF5"/>
    <w:rsid w:val="007B5FBF"/>
    <w:rsid w:val="007B652F"/>
    <w:rsid w:val="007B782A"/>
    <w:rsid w:val="007C029E"/>
    <w:rsid w:val="007C0517"/>
    <w:rsid w:val="007C0E23"/>
    <w:rsid w:val="007C1B76"/>
    <w:rsid w:val="007C1EED"/>
    <w:rsid w:val="007C2584"/>
    <w:rsid w:val="007C2C69"/>
    <w:rsid w:val="007C3432"/>
    <w:rsid w:val="007C3B90"/>
    <w:rsid w:val="007C3F29"/>
    <w:rsid w:val="007C462F"/>
    <w:rsid w:val="007C4B77"/>
    <w:rsid w:val="007C5027"/>
    <w:rsid w:val="007C5883"/>
    <w:rsid w:val="007C5B11"/>
    <w:rsid w:val="007C5E4A"/>
    <w:rsid w:val="007C5FE3"/>
    <w:rsid w:val="007C63EA"/>
    <w:rsid w:val="007D0099"/>
    <w:rsid w:val="007D02CC"/>
    <w:rsid w:val="007D0393"/>
    <w:rsid w:val="007D0687"/>
    <w:rsid w:val="007D0BAA"/>
    <w:rsid w:val="007D237D"/>
    <w:rsid w:val="007D26FB"/>
    <w:rsid w:val="007D2FD4"/>
    <w:rsid w:val="007D3402"/>
    <w:rsid w:val="007D3798"/>
    <w:rsid w:val="007D3E5A"/>
    <w:rsid w:val="007D484F"/>
    <w:rsid w:val="007D4EA5"/>
    <w:rsid w:val="007D5229"/>
    <w:rsid w:val="007D60BF"/>
    <w:rsid w:val="007D66DD"/>
    <w:rsid w:val="007D6F0C"/>
    <w:rsid w:val="007D7874"/>
    <w:rsid w:val="007D7C90"/>
    <w:rsid w:val="007E07F5"/>
    <w:rsid w:val="007E0D88"/>
    <w:rsid w:val="007E1331"/>
    <w:rsid w:val="007E199F"/>
    <w:rsid w:val="007E36EF"/>
    <w:rsid w:val="007E42FD"/>
    <w:rsid w:val="007E5225"/>
    <w:rsid w:val="007E61BC"/>
    <w:rsid w:val="007E705F"/>
    <w:rsid w:val="007E7924"/>
    <w:rsid w:val="007E7C6F"/>
    <w:rsid w:val="007F20D5"/>
    <w:rsid w:val="007F3895"/>
    <w:rsid w:val="007F3A06"/>
    <w:rsid w:val="007F3BFB"/>
    <w:rsid w:val="007F3E33"/>
    <w:rsid w:val="007F4561"/>
    <w:rsid w:val="007F564A"/>
    <w:rsid w:val="007F5758"/>
    <w:rsid w:val="007F6295"/>
    <w:rsid w:val="007F683E"/>
    <w:rsid w:val="007F7A09"/>
    <w:rsid w:val="00800437"/>
    <w:rsid w:val="0080078A"/>
    <w:rsid w:val="008007A2"/>
    <w:rsid w:val="00800AE0"/>
    <w:rsid w:val="00801B74"/>
    <w:rsid w:val="008027AB"/>
    <w:rsid w:val="00802946"/>
    <w:rsid w:val="00804096"/>
    <w:rsid w:val="00804A16"/>
    <w:rsid w:val="00804C54"/>
    <w:rsid w:val="00806E7B"/>
    <w:rsid w:val="008075C1"/>
    <w:rsid w:val="008104B3"/>
    <w:rsid w:val="00810F8F"/>
    <w:rsid w:val="0081160F"/>
    <w:rsid w:val="00811B75"/>
    <w:rsid w:val="00811E51"/>
    <w:rsid w:val="00813002"/>
    <w:rsid w:val="008139CC"/>
    <w:rsid w:val="00813C8D"/>
    <w:rsid w:val="0081425E"/>
    <w:rsid w:val="0081571A"/>
    <w:rsid w:val="00815B79"/>
    <w:rsid w:val="008160A3"/>
    <w:rsid w:val="0081617A"/>
    <w:rsid w:val="0081633A"/>
    <w:rsid w:val="0081690F"/>
    <w:rsid w:val="00816A16"/>
    <w:rsid w:val="008171C0"/>
    <w:rsid w:val="008173DA"/>
    <w:rsid w:val="00817735"/>
    <w:rsid w:val="00817A59"/>
    <w:rsid w:val="008204DD"/>
    <w:rsid w:val="0082227A"/>
    <w:rsid w:val="00822A28"/>
    <w:rsid w:val="00822EB1"/>
    <w:rsid w:val="0082332F"/>
    <w:rsid w:val="0082385E"/>
    <w:rsid w:val="0082434C"/>
    <w:rsid w:val="00824E4D"/>
    <w:rsid w:val="00824EFE"/>
    <w:rsid w:val="00825186"/>
    <w:rsid w:val="008255BC"/>
    <w:rsid w:val="00825775"/>
    <w:rsid w:val="0082578C"/>
    <w:rsid w:val="00826582"/>
    <w:rsid w:val="00826888"/>
    <w:rsid w:val="00826944"/>
    <w:rsid w:val="00826A4E"/>
    <w:rsid w:val="00827D19"/>
    <w:rsid w:val="00827EA9"/>
    <w:rsid w:val="008300F6"/>
    <w:rsid w:val="008307ED"/>
    <w:rsid w:val="00834602"/>
    <w:rsid w:val="008355CF"/>
    <w:rsid w:val="00835F7E"/>
    <w:rsid w:val="0083675D"/>
    <w:rsid w:val="008367EF"/>
    <w:rsid w:val="00836A7D"/>
    <w:rsid w:val="008370DA"/>
    <w:rsid w:val="008373C7"/>
    <w:rsid w:val="00837604"/>
    <w:rsid w:val="00837655"/>
    <w:rsid w:val="00837C39"/>
    <w:rsid w:val="008402A6"/>
    <w:rsid w:val="00840B6D"/>
    <w:rsid w:val="00840BBD"/>
    <w:rsid w:val="00842DED"/>
    <w:rsid w:val="00844340"/>
    <w:rsid w:val="008444E3"/>
    <w:rsid w:val="0084466E"/>
    <w:rsid w:val="00844783"/>
    <w:rsid w:val="00844B29"/>
    <w:rsid w:val="008462D8"/>
    <w:rsid w:val="008463C5"/>
    <w:rsid w:val="0085104F"/>
    <w:rsid w:val="0085142D"/>
    <w:rsid w:val="00851B07"/>
    <w:rsid w:val="00852237"/>
    <w:rsid w:val="00853E82"/>
    <w:rsid w:val="00853F86"/>
    <w:rsid w:val="00853FEA"/>
    <w:rsid w:val="00855EA6"/>
    <w:rsid w:val="008563DF"/>
    <w:rsid w:val="00856D4F"/>
    <w:rsid w:val="0085721A"/>
    <w:rsid w:val="008575EC"/>
    <w:rsid w:val="008578E6"/>
    <w:rsid w:val="008601CC"/>
    <w:rsid w:val="00860607"/>
    <w:rsid w:val="0086077E"/>
    <w:rsid w:val="00860C28"/>
    <w:rsid w:val="00860DE4"/>
    <w:rsid w:val="0086191C"/>
    <w:rsid w:val="0086193F"/>
    <w:rsid w:val="008624BB"/>
    <w:rsid w:val="00862AE3"/>
    <w:rsid w:val="0086329C"/>
    <w:rsid w:val="008643FE"/>
    <w:rsid w:val="0086455F"/>
    <w:rsid w:val="00865D89"/>
    <w:rsid w:val="00867545"/>
    <w:rsid w:val="00870727"/>
    <w:rsid w:val="0087137D"/>
    <w:rsid w:val="00871A75"/>
    <w:rsid w:val="00871EED"/>
    <w:rsid w:val="00872463"/>
    <w:rsid w:val="00872C52"/>
    <w:rsid w:val="00872D0A"/>
    <w:rsid w:val="00872F89"/>
    <w:rsid w:val="0087368F"/>
    <w:rsid w:val="00874135"/>
    <w:rsid w:val="00874417"/>
    <w:rsid w:val="00874478"/>
    <w:rsid w:val="00874B0C"/>
    <w:rsid w:val="00874E63"/>
    <w:rsid w:val="00875878"/>
    <w:rsid w:val="00875E44"/>
    <w:rsid w:val="00876316"/>
    <w:rsid w:val="00877E32"/>
    <w:rsid w:val="0088019A"/>
    <w:rsid w:val="00880338"/>
    <w:rsid w:val="008803F1"/>
    <w:rsid w:val="008816ED"/>
    <w:rsid w:val="00885EEC"/>
    <w:rsid w:val="00886415"/>
    <w:rsid w:val="00886A45"/>
    <w:rsid w:val="00886E0B"/>
    <w:rsid w:val="00886EB0"/>
    <w:rsid w:val="00890854"/>
    <w:rsid w:val="00890B63"/>
    <w:rsid w:val="00892475"/>
    <w:rsid w:val="008925A9"/>
    <w:rsid w:val="00892CB2"/>
    <w:rsid w:val="00892E4B"/>
    <w:rsid w:val="00893399"/>
    <w:rsid w:val="00893565"/>
    <w:rsid w:val="00894ACC"/>
    <w:rsid w:val="00895B4F"/>
    <w:rsid w:val="008969EE"/>
    <w:rsid w:val="00897344"/>
    <w:rsid w:val="008973E9"/>
    <w:rsid w:val="00897996"/>
    <w:rsid w:val="00897A29"/>
    <w:rsid w:val="008A06C9"/>
    <w:rsid w:val="008A075C"/>
    <w:rsid w:val="008A0947"/>
    <w:rsid w:val="008A0C41"/>
    <w:rsid w:val="008A1067"/>
    <w:rsid w:val="008A148D"/>
    <w:rsid w:val="008A1CEA"/>
    <w:rsid w:val="008A27AD"/>
    <w:rsid w:val="008A2914"/>
    <w:rsid w:val="008A2FEB"/>
    <w:rsid w:val="008A318B"/>
    <w:rsid w:val="008A3ADD"/>
    <w:rsid w:val="008A489A"/>
    <w:rsid w:val="008A4E42"/>
    <w:rsid w:val="008A56D0"/>
    <w:rsid w:val="008A5DFB"/>
    <w:rsid w:val="008A5E66"/>
    <w:rsid w:val="008A611A"/>
    <w:rsid w:val="008A6395"/>
    <w:rsid w:val="008A6B4B"/>
    <w:rsid w:val="008A6CD7"/>
    <w:rsid w:val="008A6D6B"/>
    <w:rsid w:val="008A7FF8"/>
    <w:rsid w:val="008B022E"/>
    <w:rsid w:val="008B0719"/>
    <w:rsid w:val="008B0894"/>
    <w:rsid w:val="008B0C52"/>
    <w:rsid w:val="008B0F6D"/>
    <w:rsid w:val="008B1116"/>
    <w:rsid w:val="008B207D"/>
    <w:rsid w:val="008B303D"/>
    <w:rsid w:val="008B3332"/>
    <w:rsid w:val="008B4589"/>
    <w:rsid w:val="008B5275"/>
    <w:rsid w:val="008B652D"/>
    <w:rsid w:val="008B6FFE"/>
    <w:rsid w:val="008C011F"/>
    <w:rsid w:val="008C0A8D"/>
    <w:rsid w:val="008C0FF9"/>
    <w:rsid w:val="008C16FB"/>
    <w:rsid w:val="008C2A8A"/>
    <w:rsid w:val="008C394E"/>
    <w:rsid w:val="008C545A"/>
    <w:rsid w:val="008C56DD"/>
    <w:rsid w:val="008C6D66"/>
    <w:rsid w:val="008C700D"/>
    <w:rsid w:val="008C70D1"/>
    <w:rsid w:val="008C7D9F"/>
    <w:rsid w:val="008C7E97"/>
    <w:rsid w:val="008D0534"/>
    <w:rsid w:val="008D1D81"/>
    <w:rsid w:val="008D1EFC"/>
    <w:rsid w:val="008D2112"/>
    <w:rsid w:val="008D4FFB"/>
    <w:rsid w:val="008D5666"/>
    <w:rsid w:val="008D64C4"/>
    <w:rsid w:val="008D65E3"/>
    <w:rsid w:val="008E0020"/>
    <w:rsid w:val="008E00A1"/>
    <w:rsid w:val="008E014C"/>
    <w:rsid w:val="008E039E"/>
    <w:rsid w:val="008E07D8"/>
    <w:rsid w:val="008E1168"/>
    <w:rsid w:val="008E200B"/>
    <w:rsid w:val="008E2272"/>
    <w:rsid w:val="008E258B"/>
    <w:rsid w:val="008E2768"/>
    <w:rsid w:val="008E2D82"/>
    <w:rsid w:val="008E2F78"/>
    <w:rsid w:val="008E3155"/>
    <w:rsid w:val="008E3514"/>
    <w:rsid w:val="008E43B8"/>
    <w:rsid w:val="008E522F"/>
    <w:rsid w:val="008E6AC5"/>
    <w:rsid w:val="008E7C66"/>
    <w:rsid w:val="008F0AD2"/>
    <w:rsid w:val="008F2110"/>
    <w:rsid w:val="008F2283"/>
    <w:rsid w:val="008F22D8"/>
    <w:rsid w:val="008F25C1"/>
    <w:rsid w:val="008F2654"/>
    <w:rsid w:val="008F3678"/>
    <w:rsid w:val="008F3B30"/>
    <w:rsid w:val="008F3C16"/>
    <w:rsid w:val="008F3C47"/>
    <w:rsid w:val="008F40C0"/>
    <w:rsid w:val="008F4BE2"/>
    <w:rsid w:val="008F7081"/>
    <w:rsid w:val="00900218"/>
    <w:rsid w:val="00900FFB"/>
    <w:rsid w:val="00901A52"/>
    <w:rsid w:val="00902ACA"/>
    <w:rsid w:val="00902B34"/>
    <w:rsid w:val="00902D00"/>
    <w:rsid w:val="00902EA9"/>
    <w:rsid w:val="0090332F"/>
    <w:rsid w:val="00903E2E"/>
    <w:rsid w:val="0090401B"/>
    <w:rsid w:val="009040AF"/>
    <w:rsid w:val="009050A9"/>
    <w:rsid w:val="00905120"/>
    <w:rsid w:val="00905656"/>
    <w:rsid w:val="00906327"/>
    <w:rsid w:val="00906B7B"/>
    <w:rsid w:val="009072DB"/>
    <w:rsid w:val="00907D80"/>
    <w:rsid w:val="00910669"/>
    <w:rsid w:val="00910938"/>
    <w:rsid w:val="009111A1"/>
    <w:rsid w:val="009129E6"/>
    <w:rsid w:val="009136D5"/>
    <w:rsid w:val="00913C61"/>
    <w:rsid w:val="00914095"/>
    <w:rsid w:val="009143AD"/>
    <w:rsid w:val="0091463C"/>
    <w:rsid w:val="009148DC"/>
    <w:rsid w:val="00914D63"/>
    <w:rsid w:val="009163C1"/>
    <w:rsid w:val="00916F54"/>
    <w:rsid w:val="00917276"/>
    <w:rsid w:val="00917747"/>
    <w:rsid w:val="009179B2"/>
    <w:rsid w:val="00920534"/>
    <w:rsid w:val="0092098D"/>
    <w:rsid w:val="009209B3"/>
    <w:rsid w:val="00920EFC"/>
    <w:rsid w:val="0092166B"/>
    <w:rsid w:val="00921AD2"/>
    <w:rsid w:val="0092287D"/>
    <w:rsid w:val="00922FA3"/>
    <w:rsid w:val="00923338"/>
    <w:rsid w:val="00923970"/>
    <w:rsid w:val="00923AE0"/>
    <w:rsid w:val="0092575C"/>
    <w:rsid w:val="00926092"/>
    <w:rsid w:val="009270D0"/>
    <w:rsid w:val="0092745B"/>
    <w:rsid w:val="00927EBA"/>
    <w:rsid w:val="00930666"/>
    <w:rsid w:val="00931637"/>
    <w:rsid w:val="00935763"/>
    <w:rsid w:val="00935872"/>
    <w:rsid w:val="00935B5A"/>
    <w:rsid w:val="00935CEB"/>
    <w:rsid w:val="00935E67"/>
    <w:rsid w:val="00936307"/>
    <w:rsid w:val="00940119"/>
    <w:rsid w:val="009410E1"/>
    <w:rsid w:val="00941BA9"/>
    <w:rsid w:val="00942797"/>
    <w:rsid w:val="00942D19"/>
    <w:rsid w:val="009436C4"/>
    <w:rsid w:val="00945935"/>
    <w:rsid w:val="009474BC"/>
    <w:rsid w:val="00947627"/>
    <w:rsid w:val="0095174D"/>
    <w:rsid w:val="0095174F"/>
    <w:rsid w:val="00952497"/>
    <w:rsid w:val="0095289A"/>
    <w:rsid w:val="00953BAD"/>
    <w:rsid w:val="00953C6F"/>
    <w:rsid w:val="00954A4C"/>
    <w:rsid w:val="00954F47"/>
    <w:rsid w:val="00955166"/>
    <w:rsid w:val="009558C9"/>
    <w:rsid w:val="00956F9F"/>
    <w:rsid w:val="00960EEB"/>
    <w:rsid w:val="009612FF"/>
    <w:rsid w:val="0096195F"/>
    <w:rsid w:val="009625E6"/>
    <w:rsid w:val="009626C4"/>
    <w:rsid w:val="00962795"/>
    <w:rsid w:val="009627AA"/>
    <w:rsid w:val="00962B4E"/>
    <w:rsid w:val="00962E7D"/>
    <w:rsid w:val="00962FF1"/>
    <w:rsid w:val="0096394F"/>
    <w:rsid w:val="00963CA8"/>
    <w:rsid w:val="00970637"/>
    <w:rsid w:val="00971081"/>
    <w:rsid w:val="0097208A"/>
    <w:rsid w:val="00972867"/>
    <w:rsid w:val="00973590"/>
    <w:rsid w:val="009735A5"/>
    <w:rsid w:val="00973B47"/>
    <w:rsid w:val="00973C81"/>
    <w:rsid w:val="00973FF1"/>
    <w:rsid w:val="00974587"/>
    <w:rsid w:val="00974875"/>
    <w:rsid w:val="00974A6B"/>
    <w:rsid w:val="00974AFE"/>
    <w:rsid w:val="00974E61"/>
    <w:rsid w:val="009762FE"/>
    <w:rsid w:val="00976406"/>
    <w:rsid w:val="00976C6D"/>
    <w:rsid w:val="00976D80"/>
    <w:rsid w:val="00977735"/>
    <w:rsid w:val="0097778B"/>
    <w:rsid w:val="0097799B"/>
    <w:rsid w:val="009802E8"/>
    <w:rsid w:val="00980554"/>
    <w:rsid w:val="00980660"/>
    <w:rsid w:val="0098291D"/>
    <w:rsid w:val="00982C17"/>
    <w:rsid w:val="00982DB7"/>
    <w:rsid w:val="009855CF"/>
    <w:rsid w:val="009856CF"/>
    <w:rsid w:val="00986884"/>
    <w:rsid w:val="009876A8"/>
    <w:rsid w:val="00987D10"/>
    <w:rsid w:val="009900F8"/>
    <w:rsid w:val="00990F71"/>
    <w:rsid w:val="00991EF6"/>
    <w:rsid w:val="009936C9"/>
    <w:rsid w:val="00994BE1"/>
    <w:rsid w:val="00995453"/>
    <w:rsid w:val="00995538"/>
    <w:rsid w:val="00996B5C"/>
    <w:rsid w:val="00996DB8"/>
    <w:rsid w:val="009973F6"/>
    <w:rsid w:val="00997AC8"/>
    <w:rsid w:val="009A0F38"/>
    <w:rsid w:val="009A103D"/>
    <w:rsid w:val="009A14A3"/>
    <w:rsid w:val="009A1B03"/>
    <w:rsid w:val="009A20F9"/>
    <w:rsid w:val="009A3071"/>
    <w:rsid w:val="009A30AA"/>
    <w:rsid w:val="009A3BB6"/>
    <w:rsid w:val="009A3DE6"/>
    <w:rsid w:val="009A4AC5"/>
    <w:rsid w:val="009A4E3A"/>
    <w:rsid w:val="009A520B"/>
    <w:rsid w:val="009A57B3"/>
    <w:rsid w:val="009A7DA8"/>
    <w:rsid w:val="009B034A"/>
    <w:rsid w:val="009B04A9"/>
    <w:rsid w:val="009B068D"/>
    <w:rsid w:val="009B2364"/>
    <w:rsid w:val="009B27AB"/>
    <w:rsid w:val="009B2AD9"/>
    <w:rsid w:val="009B2BD7"/>
    <w:rsid w:val="009B411E"/>
    <w:rsid w:val="009B5D31"/>
    <w:rsid w:val="009B6636"/>
    <w:rsid w:val="009B7726"/>
    <w:rsid w:val="009C034F"/>
    <w:rsid w:val="009C0EA7"/>
    <w:rsid w:val="009C137A"/>
    <w:rsid w:val="009C16C3"/>
    <w:rsid w:val="009C1AAA"/>
    <w:rsid w:val="009C1F28"/>
    <w:rsid w:val="009C2288"/>
    <w:rsid w:val="009C28C6"/>
    <w:rsid w:val="009C548B"/>
    <w:rsid w:val="009C6345"/>
    <w:rsid w:val="009C6F60"/>
    <w:rsid w:val="009D01FF"/>
    <w:rsid w:val="009D0248"/>
    <w:rsid w:val="009D038A"/>
    <w:rsid w:val="009D05E7"/>
    <w:rsid w:val="009D0F31"/>
    <w:rsid w:val="009D15ED"/>
    <w:rsid w:val="009D1B7E"/>
    <w:rsid w:val="009D34F5"/>
    <w:rsid w:val="009D42BA"/>
    <w:rsid w:val="009D52A9"/>
    <w:rsid w:val="009D5371"/>
    <w:rsid w:val="009D61E0"/>
    <w:rsid w:val="009D651D"/>
    <w:rsid w:val="009D657E"/>
    <w:rsid w:val="009D6A12"/>
    <w:rsid w:val="009D7F95"/>
    <w:rsid w:val="009E033D"/>
    <w:rsid w:val="009E1512"/>
    <w:rsid w:val="009E17E7"/>
    <w:rsid w:val="009E1D63"/>
    <w:rsid w:val="009E1D9C"/>
    <w:rsid w:val="009E3FB3"/>
    <w:rsid w:val="009E4044"/>
    <w:rsid w:val="009E49D9"/>
    <w:rsid w:val="009E6C54"/>
    <w:rsid w:val="009E6C81"/>
    <w:rsid w:val="009F0267"/>
    <w:rsid w:val="009F04B7"/>
    <w:rsid w:val="009F0541"/>
    <w:rsid w:val="009F05BF"/>
    <w:rsid w:val="009F1314"/>
    <w:rsid w:val="009F2F1A"/>
    <w:rsid w:val="009F320C"/>
    <w:rsid w:val="009F32B4"/>
    <w:rsid w:val="009F4957"/>
    <w:rsid w:val="009F4C38"/>
    <w:rsid w:val="009F63E2"/>
    <w:rsid w:val="009F6728"/>
    <w:rsid w:val="009F7B03"/>
    <w:rsid w:val="00A000AE"/>
    <w:rsid w:val="00A00A09"/>
    <w:rsid w:val="00A013A7"/>
    <w:rsid w:val="00A01498"/>
    <w:rsid w:val="00A02950"/>
    <w:rsid w:val="00A02CFE"/>
    <w:rsid w:val="00A03DD3"/>
    <w:rsid w:val="00A03E16"/>
    <w:rsid w:val="00A044B1"/>
    <w:rsid w:val="00A04E45"/>
    <w:rsid w:val="00A05708"/>
    <w:rsid w:val="00A057DD"/>
    <w:rsid w:val="00A061E7"/>
    <w:rsid w:val="00A06BC9"/>
    <w:rsid w:val="00A06E73"/>
    <w:rsid w:val="00A06ED8"/>
    <w:rsid w:val="00A07426"/>
    <w:rsid w:val="00A104B8"/>
    <w:rsid w:val="00A104FB"/>
    <w:rsid w:val="00A129EE"/>
    <w:rsid w:val="00A12E1C"/>
    <w:rsid w:val="00A13550"/>
    <w:rsid w:val="00A13BB7"/>
    <w:rsid w:val="00A14BF7"/>
    <w:rsid w:val="00A14DDA"/>
    <w:rsid w:val="00A159A1"/>
    <w:rsid w:val="00A15C37"/>
    <w:rsid w:val="00A1602C"/>
    <w:rsid w:val="00A16695"/>
    <w:rsid w:val="00A16FFC"/>
    <w:rsid w:val="00A17648"/>
    <w:rsid w:val="00A176C8"/>
    <w:rsid w:val="00A200D3"/>
    <w:rsid w:val="00A21A3F"/>
    <w:rsid w:val="00A223F9"/>
    <w:rsid w:val="00A22E02"/>
    <w:rsid w:val="00A230E6"/>
    <w:rsid w:val="00A233AA"/>
    <w:rsid w:val="00A242A1"/>
    <w:rsid w:val="00A2512E"/>
    <w:rsid w:val="00A255B0"/>
    <w:rsid w:val="00A256BD"/>
    <w:rsid w:val="00A25BE6"/>
    <w:rsid w:val="00A25CA8"/>
    <w:rsid w:val="00A2697C"/>
    <w:rsid w:val="00A269DA"/>
    <w:rsid w:val="00A2707E"/>
    <w:rsid w:val="00A27F06"/>
    <w:rsid w:val="00A3164B"/>
    <w:rsid w:val="00A31CDF"/>
    <w:rsid w:val="00A32199"/>
    <w:rsid w:val="00A32CBF"/>
    <w:rsid w:val="00A3320A"/>
    <w:rsid w:val="00A333CC"/>
    <w:rsid w:val="00A34932"/>
    <w:rsid w:val="00A36FB1"/>
    <w:rsid w:val="00A375A6"/>
    <w:rsid w:val="00A37FA8"/>
    <w:rsid w:val="00A400E9"/>
    <w:rsid w:val="00A406F3"/>
    <w:rsid w:val="00A407DB"/>
    <w:rsid w:val="00A410AE"/>
    <w:rsid w:val="00A41D1A"/>
    <w:rsid w:val="00A43691"/>
    <w:rsid w:val="00A436A5"/>
    <w:rsid w:val="00A44F72"/>
    <w:rsid w:val="00A457DF"/>
    <w:rsid w:val="00A45CCE"/>
    <w:rsid w:val="00A471A2"/>
    <w:rsid w:val="00A473BF"/>
    <w:rsid w:val="00A474D4"/>
    <w:rsid w:val="00A5046D"/>
    <w:rsid w:val="00A505E1"/>
    <w:rsid w:val="00A50F82"/>
    <w:rsid w:val="00A5336F"/>
    <w:rsid w:val="00A5498C"/>
    <w:rsid w:val="00A55896"/>
    <w:rsid w:val="00A5609A"/>
    <w:rsid w:val="00A56278"/>
    <w:rsid w:val="00A568AD"/>
    <w:rsid w:val="00A56ECF"/>
    <w:rsid w:val="00A575D4"/>
    <w:rsid w:val="00A57BE8"/>
    <w:rsid w:val="00A57DCD"/>
    <w:rsid w:val="00A6031A"/>
    <w:rsid w:val="00A6054C"/>
    <w:rsid w:val="00A60AD3"/>
    <w:rsid w:val="00A60D4D"/>
    <w:rsid w:val="00A610F7"/>
    <w:rsid w:val="00A617C2"/>
    <w:rsid w:val="00A6189D"/>
    <w:rsid w:val="00A61B6E"/>
    <w:rsid w:val="00A624C2"/>
    <w:rsid w:val="00A62AF3"/>
    <w:rsid w:val="00A62EA9"/>
    <w:rsid w:val="00A630B9"/>
    <w:rsid w:val="00A642C7"/>
    <w:rsid w:val="00A64C17"/>
    <w:rsid w:val="00A64F8C"/>
    <w:rsid w:val="00A6526A"/>
    <w:rsid w:val="00A6547A"/>
    <w:rsid w:val="00A65C31"/>
    <w:rsid w:val="00A65C32"/>
    <w:rsid w:val="00A66E2B"/>
    <w:rsid w:val="00A70480"/>
    <w:rsid w:val="00A70AFE"/>
    <w:rsid w:val="00A7178A"/>
    <w:rsid w:val="00A719F2"/>
    <w:rsid w:val="00A72BC7"/>
    <w:rsid w:val="00A731EB"/>
    <w:rsid w:val="00A7336A"/>
    <w:rsid w:val="00A7342A"/>
    <w:rsid w:val="00A735DA"/>
    <w:rsid w:val="00A7437C"/>
    <w:rsid w:val="00A7448F"/>
    <w:rsid w:val="00A7505B"/>
    <w:rsid w:val="00A75300"/>
    <w:rsid w:val="00A76A9B"/>
    <w:rsid w:val="00A76CAC"/>
    <w:rsid w:val="00A77354"/>
    <w:rsid w:val="00A77C7C"/>
    <w:rsid w:val="00A80A48"/>
    <w:rsid w:val="00A80D4B"/>
    <w:rsid w:val="00A81301"/>
    <w:rsid w:val="00A81469"/>
    <w:rsid w:val="00A8196B"/>
    <w:rsid w:val="00A81DBA"/>
    <w:rsid w:val="00A82877"/>
    <w:rsid w:val="00A83049"/>
    <w:rsid w:val="00A83BFF"/>
    <w:rsid w:val="00A84508"/>
    <w:rsid w:val="00A847FE"/>
    <w:rsid w:val="00A84D8C"/>
    <w:rsid w:val="00A8512A"/>
    <w:rsid w:val="00A85D26"/>
    <w:rsid w:val="00A8669E"/>
    <w:rsid w:val="00A869AC"/>
    <w:rsid w:val="00A87387"/>
    <w:rsid w:val="00A874ED"/>
    <w:rsid w:val="00A90BE8"/>
    <w:rsid w:val="00A90F87"/>
    <w:rsid w:val="00A917B9"/>
    <w:rsid w:val="00A9453A"/>
    <w:rsid w:val="00A9484B"/>
    <w:rsid w:val="00A94D3B"/>
    <w:rsid w:val="00A95FC2"/>
    <w:rsid w:val="00A96971"/>
    <w:rsid w:val="00A97683"/>
    <w:rsid w:val="00AA0523"/>
    <w:rsid w:val="00AA06D0"/>
    <w:rsid w:val="00AA1311"/>
    <w:rsid w:val="00AA3E32"/>
    <w:rsid w:val="00AA45EF"/>
    <w:rsid w:val="00AA5FE0"/>
    <w:rsid w:val="00AA621A"/>
    <w:rsid w:val="00AA78F6"/>
    <w:rsid w:val="00AB01D2"/>
    <w:rsid w:val="00AB05E2"/>
    <w:rsid w:val="00AB0E13"/>
    <w:rsid w:val="00AB13DE"/>
    <w:rsid w:val="00AB16E1"/>
    <w:rsid w:val="00AB1C28"/>
    <w:rsid w:val="00AB39EC"/>
    <w:rsid w:val="00AB3B58"/>
    <w:rsid w:val="00AB3C5A"/>
    <w:rsid w:val="00AB470B"/>
    <w:rsid w:val="00AB4CB6"/>
    <w:rsid w:val="00AB569D"/>
    <w:rsid w:val="00AB56A1"/>
    <w:rsid w:val="00AB658E"/>
    <w:rsid w:val="00AB6670"/>
    <w:rsid w:val="00AB6BFA"/>
    <w:rsid w:val="00AB7116"/>
    <w:rsid w:val="00AB7373"/>
    <w:rsid w:val="00AC022B"/>
    <w:rsid w:val="00AC0248"/>
    <w:rsid w:val="00AC070B"/>
    <w:rsid w:val="00AC13C8"/>
    <w:rsid w:val="00AC233E"/>
    <w:rsid w:val="00AC27C8"/>
    <w:rsid w:val="00AC2FE9"/>
    <w:rsid w:val="00AC347E"/>
    <w:rsid w:val="00AC3923"/>
    <w:rsid w:val="00AC49C1"/>
    <w:rsid w:val="00AC511B"/>
    <w:rsid w:val="00AC5C47"/>
    <w:rsid w:val="00AC5D42"/>
    <w:rsid w:val="00AC64D1"/>
    <w:rsid w:val="00AC788F"/>
    <w:rsid w:val="00AC7E71"/>
    <w:rsid w:val="00AD01D6"/>
    <w:rsid w:val="00AD09FD"/>
    <w:rsid w:val="00AD0AFF"/>
    <w:rsid w:val="00AD0EDD"/>
    <w:rsid w:val="00AD371D"/>
    <w:rsid w:val="00AD391A"/>
    <w:rsid w:val="00AD3A01"/>
    <w:rsid w:val="00AD3CA6"/>
    <w:rsid w:val="00AD3F3B"/>
    <w:rsid w:val="00AD432C"/>
    <w:rsid w:val="00AD452A"/>
    <w:rsid w:val="00AD4B24"/>
    <w:rsid w:val="00AD5C97"/>
    <w:rsid w:val="00AD5D2C"/>
    <w:rsid w:val="00AD6DF2"/>
    <w:rsid w:val="00AD6EC7"/>
    <w:rsid w:val="00AD6FBD"/>
    <w:rsid w:val="00AE028B"/>
    <w:rsid w:val="00AE03CA"/>
    <w:rsid w:val="00AE1370"/>
    <w:rsid w:val="00AE17A1"/>
    <w:rsid w:val="00AE1FA4"/>
    <w:rsid w:val="00AE2AEB"/>
    <w:rsid w:val="00AE2ECD"/>
    <w:rsid w:val="00AE35C6"/>
    <w:rsid w:val="00AE3E77"/>
    <w:rsid w:val="00AE68F9"/>
    <w:rsid w:val="00AE74E9"/>
    <w:rsid w:val="00AE7B01"/>
    <w:rsid w:val="00AE7C39"/>
    <w:rsid w:val="00AE7DC9"/>
    <w:rsid w:val="00AF0C7D"/>
    <w:rsid w:val="00AF1ED2"/>
    <w:rsid w:val="00AF27FB"/>
    <w:rsid w:val="00AF2858"/>
    <w:rsid w:val="00AF2AA0"/>
    <w:rsid w:val="00AF341D"/>
    <w:rsid w:val="00AF3BE4"/>
    <w:rsid w:val="00AF3CAA"/>
    <w:rsid w:val="00AF49E0"/>
    <w:rsid w:val="00AF4B6B"/>
    <w:rsid w:val="00AF4D8F"/>
    <w:rsid w:val="00AF5018"/>
    <w:rsid w:val="00AF5A5A"/>
    <w:rsid w:val="00AF5B5F"/>
    <w:rsid w:val="00AF64E4"/>
    <w:rsid w:val="00AF6846"/>
    <w:rsid w:val="00AF6C15"/>
    <w:rsid w:val="00AF7829"/>
    <w:rsid w:val="00B00C0B"/>
    <w:rsid w:val="00B01243"/>
    <w:rsid w:val="00B0171A"/>
    <w:rsid w:val="00B02606"/>
    <w:rsid w:val="00B03719"/>
    <w:rsid w:val="00B042D3"/>
    <w:rsid w:val="00B047AD"/>
    <w:rsid w:val="00B04A97"/>
    <w:rsid w:val="00B052AD"/>
    <w:rsid w:val="00B052CB"/>
    <w:rsid w:val="00B057D4"/>
    <w:rsid w:val="00B05C9A"/>
    <w:rsid w:val="00B061E3"/>
    <w:rsid w:val="00B072E6"/>
    <w:rsid w:val="00B077A5"/>
    <w:rsid w:val="00B07AB2"/>
    <w:rsid w:val="00B07F92"/>
    <w:rsid w:val="00B1031B"/>
    <w:rsid w:val="00B12B2A"/>
    <w:rsid w:val="00B1372C"/>
    <w:rsid w:val="00B13E48"/>
    <w:rsid w:val="00B13FCE"/>
    <w:rsid w:val="00B14558"/>
    <w:rsid w:val="00B14798"/>
    <w:rsid w:val="00B14841"/>
    <w:rsid w:val="00B15036"/>
    <w:rsid w:val="00B155F4"/>
    <w:rsid w:val="00B15AC9"/>
    <w:rsid w:val="00B15D7E"/>
    <w:rsid w:val="00B165F8"/>
    <w:rsid w:val="00B175E7"/>
    <w:rsid w:val="00B17E57"/>
    <w:rsid w:val="00B20001"/>
    <w:rsid w:val="00B206A7"/>
    <w:rsid w:val="00B206E1"/>
    <w:rsid w:val="00B208DC"/>
    <w:rsid w:val="00B21424"/>
    <w:rsid w:val="00B2154E"/>
    <w:rsid w:val="00B21D08"/>
    <w:rsid w:val="00B21F1D"/>
    <w:rsid w:val="00B22017"/>
    <w:rsid w:val="00B22215"/>
    <w:rsid w:val="00B2275E"/>
    <w:rsid w:val="00B248C3"/>
    <w:rsid w:val="00B259D3"/>
    <w:rsid w:val="00B26079"/>
    <w:rsid w:val="00B2770B"/>
    <w:rsid w:val="00B27BA6"/>
    <w:rsid w:val="00B3017C"/>
    <w:rsid w:val="00B30CB0"/>
    <w:rsid w:val="00B3129F"/>
    <w:rsid w:val="00B317BA"/>
    <w:rsid w:val="00B31F2B"/>
    <w:rsid w:val="00B35BEE"/>
    <w:rsid w:val="00B35D5B"/>
    <w:rsid w:val="00B36331"/>
    <w:rsid w:val="00B37B89"/>
    <w:rsid w:val="00B40321"/>
    <w:rsid w:val="00B404FB"/>
    <w:rsid w:val="00B40944"/>
    <w:rsid w:val="00B40A5D"/>
    <w:rsid w:val="00B40BB0"/>
    <w:rsid w:val="00B426F9"/>
    <w:rsid w:val="00B442FD"/>
    <w:rsid w:val="00B44E23"/>
    <w:rsid w:val="00B44EAD"/>
    <w:rsid w:val="00B458BD"/>
    <w:rsid w:val="00B45D83"/>
    <w:rsid w:val="00B4631A"/>
    <w:rsid w:val="00B467DD"/>
    <w:rsid w:val="00B46D17"/>
    <w:rsid w:val="00B47887"/>
    <w:rsid w:val="00B47A9D"/>
    <w:rsid w:val="00B47C91"/>
    <w:rsid w:val="00B50030"/>
    <w:rsid w:val="00B5010F"/>
    <w:rsid w:val="00B515AE"/>
    <w:rsid w:val="00B51F26"/>
    <w:rsid w:val="00B5407B"/>
    <w:rsid w:val="00B54669"/>
    <w:rsid w:val="00B5557C"/>
    <w:rsid w:val="00B55CB7"/>
    <w:rsid w:val="00B55E0A"/>
    <w:rsid w:val="00B560CC"/>
    <w:rsid w:val="00B6022C"/>
    <w:rsid w:val="00B60795"/>
    <w:rsid w:val="00B60859"/>
    <w:rsid w:val="00B62121"/>
    <w:rsid w:val="00B6413A"/>
    <w:rsid w:val="00B64813"/>
    <w:rsid w:val="00B64A54"/>
    <w:rsid w:val="00B652A0"/>
    <w:rsid w:val="00B65C5E"/>
    <w:rsid w:val="00B664C9"/>
    <w:rsid w:val="00B67335"/>
    <w:rsid w:val="00B674D7"/>
    <w:rsid w:val="00B67D28"/>
    <w:rsid w:val="00B70532"/>
    <w:rsid w:val="00B70DE8"/>
    <w:rsid w:val="00B71EC7"/>
    <w:rsid w:val="00B723DF"/>
    <w:rsid w:val="00B738B1"/>
    <w:rsid w:val="00B742F4"/>
    <w:rsid w:val="00B745A3"/>
    <w:rsid w:val="00B754A6"/>
    <w:rsid w:val="00B7567B"/>
    <w:rsid w:val="00B75AA9"/>
    <w:rsid w:val="00B76972"/>
    <w:rsid w:val="00B77335"/>
    <w:rsid w:val="00B801C6"/>
    <w:rsid w:val="00B8188F"/>
    <w:rsid w:val="00B81970"/>
    <w:rsid w:val="00B81FCF"/>
    <w:rsid w:val="00B82353"/>
    <w:rsid w:val="00B825CE"/>
    <w:rsid w:val="00B82A08"/>
    <w:rsid w:val="00B82ED8"/>
    <w:rsid w:val="00B83315"/>
    <w:rsid w:val="00B83DEA"/>
    <w:rsid w:val="00B83FBD"/>
    <w:rsid w:val="00B83FEB"/>
    <w:rsid w:val="00B84374"/>
    <w:rsid w:val="00B85053"/>
    <w:rsid w:val="00B85E04"/>
    <w:rsid w:val="00B85E07"/>
    <w:rsid w:val="00B86EE8"/>
    <w:rsid w:val="00B86EF9"/>
    <w:rsid w:val="00B8778F"/>
    <w:rsid w:val="00B87FA9"/>
    <w:rsid w:val="00B905BE"/>
    <w:rsid w:val="00B9281F"/>
    <w:rsid w:val="00B931FE"/>
    <w:rsid w:val="00B93506"/>
    <w:rsid w:val="00B938DF"/>
    <w:rsid w:val="00B946F8"/>
    <w:rsid w:val="00B97825"/>
    <w:rsid w:val="00BA01C2"/>
    <w:rsid w:val="00BA02FA"/>
    <w:rsid w:val="00BA15FC"/>
    <w:rsid w:val="00BA211A"/>
    <w:rsid w:val="00BA2922"/>
    <w:rsid w:val="00BA35E4"/>
    <w:rsid w:val="00BA3702"/>
    <w:rsid w:val="00BA4CF8"/>
    <w:rsid w:val="00BA62FE"/>
    <w:rsid w:val="00BA64C5"/>
    <w:rsid w:val="00BA68AD"/>
    <w:rsid w:val="00BA6949"/>
    <w:rsid w:val="00BA6D83"/>
    <w:rsid w:val="00BB0D68"/>
    <w:rsid w:val="00BB1090"/>
    <w:rsid w:val="00BB2701"/>
    <w:rsid w:val="00BB34FE"/>
    <w:rsid w:val="00BB3B20"/>
    <w:rsid w:val="00BB42F7"/>
    <w:rsid w:val="00BB4F43"/>
    <w:rsid w:val="00BB63B9"/>
    <w:rsid w:val="00BB6ECB"/>
    <w:rsid w:val="00BB6F96"/>
    <w:rsid w:val="00BC02EE"/>
    <w:rsid w:val="00BC05D1"/>
    <w:rsid w:val="00BC05E7"/>
    <w:rsid w:val="00BC0DB2"/>
    <w:rsid w:val="00BC0EA0"/>
    <w:rsid w:val="00BC386E"/>
    <w:rsid w:val="00BC43F1"/>
    <w:rsid w:val="00BC4877"/>
    <w:rsid w:val="00BC4EB6"/>
    <w:rsid w:val="00BC54D8"/>
    <w:rsid w:val="00BC56A7"/>
    <w:rsid w:val="00BC5717"/>
    <w:rsid w:val="00BC6070"/>
    <w:rsid w:val="00BC67AD"/>
    <w:rsid w:val="00BD034F"/>
    <w:rsid w:val="00BD048E"/>
    <w:rsid w:val="00BD0FA1"/>
    <w:rsid w:val="00BD1369"/>
    <w:rsid w:val="00BD1C7E"/>
    <w:rsid w:val="00BD1F19"/>
    <w:rsid w:val="00BD247D"/>
    <w:rsid w:val="00BD2560"/>
    <w:rsid w:val="00BD2F5E"/>
    <w:rsid w:val="00BD30AE"/>
    <w:rsid w:val="00BD441F"/>
    <w:rsid w:val="00BD44DD"/>
    <w:rsid w:val="00BD46C5"/>
    <w:rsid w:val="00BD4E6F"/>
    <w:rsid w:val="00BD58EF"/>
    <w:rsid w:val="00BD5D36"/>
    <w:rsid w:val="00BD654E"/>
    <w:rsid w:val="00BD7386"/>
    <w:rsid w:val="00BE02BC"/>
    <w:rsid w:val="00BE0466"/>
    <w:rsid w:val="00BE0751"/>
    <w:rsid w:val="00BE0BBD"/>
    <w:rsid w:val="00BE2978"/>
    <w:rsid w:val="00BE35A0"/>
    <w:rsid w:val="00BE3BB7"/>
    <w:rsid w:val="00BE3E1F"/>
    <w:rsid w:val="00BE44DF"/>
    <w:rsid w:val="00BE6227"/>
    <w:rsid w:val="00BE6849"/>
    <w:rsid w:val="00BF0469"/>
    <w:rsid w:val="00BF168C"/>
    <w:rsid w:val="00BF1EE0"/>
    <w:rsid w:val="00BF2A90"/>
    <w:rsid w:val="00BF2FD6"/>
    <w:rsid w:val="00BF33C1"/>
    <w:rsid w:val="00BF3826"/>
    <w:rsid w:val="00BF39BA"/>
    <w:rsid w:val="00BF3B0C"/>
    <w:rsid w:val="00BF3E2A"/>
    <w:rsid w:val="00BF4B7B"/>
    <w:rsid w:val="00BF56D4"/>
    <w:rsid w:val="00BF6340"/>
    <w:rsid w:val="00BF641E"/>
    <w:rsid w:val="00BF76CA"/>
    <w:rsid w:val="00C00FE3"/>
    <w:rsid w:val="00C017C7"/>
    <w:rsid w:val="00C01DF2"/>
    <w:rsid w:val="00C027A2"/>
    <w:rsid w:val="00C02A1B"/>
    <w:rsid w:val="00C02ED4"/>
    <w:rsid w:val="00C033B9"/>
    <w:rsid w:val="00C03601"/>
    <w:rsid w:val="00C03BD0"/>
    <w:rsid w:val="00C04D08"/>
    <w:rsid w:val="00C067C1"/>
    <w:rsid w:val="00C07227"/>
    <w:rsid w:val="00C07B5D"/>
    <w:rsid w:val="00C101BA"/>
    <w:rsid w:val="00C1045A"/>
    <w:rsid w:val="00C10810"/>
    <w:rsid w:val="00C11520"/>
    <w:rsid w:val="00C11CD4"/>
    <w:rsid w:val="00C12C4B"/>
    <w:rsid w:val="00C1310D"/>
    <w:rsid w:val="00C13220"/>
    <w:rsid w:val="00C160B8"/>
    <w:rsid w:val="00C17BB9"/>
    <w:rsid w:val="00C20402"/>
    <w:rsid w:val="00C206BF"/>
    <w:rsid w:val="00C2121F"/>
    <w:rsid w:val="00C2203A"/>
    <w:rsid w:val="00C22097"/>
    <w:rsid w:val="00C2215C"/>
    <w:rsid w:val="00C229C1"/>
    <w:rsid w:val="00C22EA1"/>
    <w:rsid w:val="00C23995"/>
    <w:rsid w:val="00C2516A"/>
    <w:rsid w:val="00C2586A"/>
    <w:rsid w:val="00C25988"/>
    <w:rsid w:val="00C274A1"/>
    <w:rsid w:val="00C30982"/>
    <w:rsid w:val="00C30E27"/>
    <w:rsid w:val="00C3126F"/>
    <w:rsid w:val="00C31A4D"/>
    <w:rsid w:val="00C31D8B"/>
    <w:rsid w:val="00C327F2"/>
    <w:rsid w:val="00C32BE8"/>
    <w:rsid w:val="00C32C25"/>
    <w:rsid w:val="00C331B2"/>
    <w:rsid w:val="00C3336E"/>
    <w:rsid w:val="00C346EA"/>
    <w:rsid w:val="00C349DC"/>
    <w:rsid w:val="00C34D38"/>
    <w:rsid w:val="00C357B6"/>
    <w:rsid w:val="00C358DC"/>
    <w:rsid w:val="00C35A78"/>
    <w:rsid w:val="00C36B4E"/>
    <w:rsid w:val="00C376D2"/>
    <w:rsid w:val="00C37721"/>
    <w:rsid w:val="00C37BAB"/>
    <w:rsid w:val="00C37DCE"/>
    <w:rsid w:val="00C407E1"/>
    <w:rsid w:val="00C40E80"/>
    <w:rsid w:val="00C41276"/>
    <w:rsid w:val="00C41324"/>
    <w:rsid w:val="00C41499"/>
    <w:rsid w:val="00C41E4C"/>
    <w:rsid w:val="00C41EA5"/>
    <w:rsid w:val="00C42531"/>
    <w:rsid w:val="00C4291E"/>
    <w:rsid w:val="00C42DAA"/>
    <w:rsid w:val="00C436DC"/>
    <w:rsid w:val="00C45930"/>
    <w:rsid w:val="00C464D1"/>
    <w:rsid w:val="00C46A54"/>
    <w:rsid w:val="00C47C0D"/>
    <w:rsid w:val="00C501F9"/>
    <w:rsid w:val="00C5072A"/>
    <w:rsid w:val="00C50AB7"/>
    <w:rsid w:val="00C516E9"/>
    <w:rsid w:val="00C526C2"/>
    <w:rsid w:val="00C53101"/>
    <w:rsid w:val="00C54836"/>
    <w:rsid w:val="00C550FC"/>
    <w:rsid w:val="00C55A3E"/>
    <w:rsid w:val="00C578EA"/>
    <w:rsid w:val="00C57AA9"/>
    <w:rsid w:val="00C57C69"/>
    <w:rsid w:val="00C604E3"/>
    <w:rsid w:val="00C6064D"/>
    <w:rsid w:val="00C60E31"/>
    <w:rsid w:val="00C61494"/>
    <w:rsid w:val="00C61FB0"/>
    <w:rsid w:val="00C62324"/>
    <w:rsid w:val="00C62B04"/>
    <w:rsid w:val="00C62BB6"/>
    <w:rsid w:val="00C63866"/>
    <w:rsid w:val="00C63CBC"/>
    <w:rsid w:val="00C64579"/>
    <w:rsid w:val="00C657FD"/>
    <w:rsid w:val="00C65A64"/>
    <w:rsid w:val="00C65BAC"/>
    <w:rsid w:val="00C65F3C"/>
    <w:rsid w:val="00C665E5"/>
    <w:rsid w:val="00C6708D"/>
    <w:rsid w:val="00C67673"/>
    <w:rsid w:val="00C6791B"/>
    <w:rsid w:val="00C71F6A"/>
    <w:rsid w:val="00C72076"/>
    <w:rsid w:val="00C74598"/>
    <w:rsid w:val="00C771E4"/>
    <w:rsid w:val="00C809BB"/>
    <w:rsid w:val="00C80BCE"/>
    <w:rsid w:val="00C80C77"/>
    <w:rsid w:val="00C80DA9"/>
    <w:rsid w:val="00C80FEA"/>
    <w:rsid w:val="00C81932"/>
    <w:rsid w:val="00C8204A"/>
    <w:rsid w:val="00C82E6F"/>
    <w:rsid w:val="00C82FC0"/>
    <w:rsid w:val="00C83967"/>
    <w:rsid w:val="00C846D1"/>
    <w:rsid w:val="00C8487F"/>
    <w:rsid w:val="00C86C58"/>
    <w:rsid w:val="00C86CEB"/>
    <w:rsid w:val="00C9053D"/>
    <w:rsid w:val="00C91507"/>
    <w:rsid w:val="00C916F9"/>
    <w:rsid w:val="00C918E2"/>
    <w:rsid w:val="00C91E8D"/>
    <w:rsid w:val="00C91F8E"/>
    <w:rsid w:val="00C92F8E"/>
    <w:rsid w:val="00C93603"/>
    <w:rsid w:val="00C94289"/>
    <w:rsid w:val="00C952AA"/>
    <w:rsid w:val="00C95571"/>
    <w:rsid w:val="00C96157"/>
    <w:rsid w:val="00C970AA"/>
    <w:rsid w:val="00CA139E"/>
    <w:rsid w:val="00CA23E7"/>
    <w:rsid w:val="00CA25C2"/>
    <w:rsid w:val="00CA274B"/>
    <w:rsid w:val="00CA28A9"/>
    <w:rsid w:val="00CA2C96"/>
    <w:rsid w:val="00CA30CF"/>
    <w:rsid w:val="00CA30F8"/>
    <w:rsid w:val="00CA47E2"/>
    <w:rsid w:val="00CA5FCF"/>
    <w:rsid w:val="00CA643D"/>
    <w:rsid w:val="00CA6C14"/>
    <w:rsid w:val="00CB0D23"/>
    <w:rsid w:val="00CB1079"/>
    <w:rsid w:val="00CB1D99"/>
    <w:rsid w:val="00CB1FE4"/>
    <w:rsid w:val="00CB24A2"/>
    <w:rsid w:val="00CB26EF"/>
    <w:rsid w:val="00CB352F"/>
    <w:rsid w:val="00CB3C73"/>
    <w:rsid w:val="00CB3EBF"/>
    <w:rsid w:val="00CB4811"/>
    <w:rsid w:val="00CB5629"/>
    <w:rsid w:val="00CB5AD4"/>
    <w:rsid w:val="00CB5ECD"/>
    <w:rsid w:val="00CB76D0"/>
    <w:rsid w:val="00CB7E15"/>
    <w:rsid w:val="00CC0245"/>
    <w:rsid w:val="00CC042E"/>
    <w:rsid w:val="00CC195B"/>
    <w:rsid w:val="00CC1E3D"/>
    <w:rsid w:val="00CC48E0"/>
    <w:rsid w:val="00CC4C75"/>
    <w:rsid w:val="00CC5FD9"/>
    <w:rsid w:val="00CC6DEA"/>
    <w:rsid w:val="00CD0888"/>
    <w:rsid w:val="00CD2170"/>
    <w:rsid w:val="00CD2623"/>
    <w:rsid w:val="00CD2DB7"/>
    <w:rsid w:val="00CD328D"/>
    <w:rsid w:val="00CD34CD"/>
    <w:rsid w:val="00CD3789"/>
    <w:rsid w:val="00CD4304"/>
    <w:rsid w:val="00CD462B"/>
    <w:rsid w:val="00CD5478"/>
    <w:rsid w:val="00CD5E08"/>
    <w:rsid w:val="00CD68C1"/>
    <w:rsid w:val="00CD7449"/>
    <w:rsid w:val="00CE066F"/>
    <w:rsid w:val="00CE0DFC"/>
    <w:rsid w:val="00CE14EC"/>
    <w:rsid w:val="00CE163D"/>
    <w:rsid w:val="00CE196D"/>
    <w:rsid w:val="00CE1B51"/>
    <w:rsid w:val="00CE2E47"/>
    <w:rsid w:val="00CE393A"/>
    <w:rsid w:val="00CE3C8A"/>
    <w:rsid w:val="00CE3D55"/>
    <w:rsid w:val="00CE41B0"/>
    <w:rsid w:val="00CE458C"/>
    <w:rsid w:val="00CE4FAE"/>
    <w:rsid w:val="00CE524B"/>
    <w:rsid w:val="00CE6665"/>
    <w:rsid w:val="00CE7A24"/>
    <w:rsid w:val="00CE7C52"/>
    <w:rsid w:val="00CF05F8"/>
    <w:rsid w:val="00CF0D15"/>
    <w:rsid w:val="00CF1784"/>
    <w:rsid w:val="00CF17E0"/>
    <w:rsid w:val="00CF1B10"/>
    <w:rsid w:val="00CF1DE0"/>
    <w:rsid w:val="00CF1E85"/>
    <w:rsid w:val="00CF23AC"/>
    <w:rsid w:val="00CF2413"/>
    <w:rsid w:val="00CF3A7D"/>
    <w:rsid w:val="00CF42FB"/>
    <w:rsid w:val="00CF4D73"/>
    <w:rsid w:val="00CF4E11"/>
    <w:rsid w:val="00CF5C35"/>
    <w:rsid w:val="00CF5E75"/>
    <w:rsid w:val="00CF6099"/>
    <w:rsid w:val="00CF62E1"/>
    <w:rsid w:val="00CF72D0"/>
    <w:rsid w:val="00CF7467"/>
    <w:rsid w:val="00CF7CEC"/>
    <w:rsid w:val="00D010D7"/>
    <w:rsid w:val="00D012F1"/>
    <w:rsid w:val="00D01754"/>
    <w:rsid w:val="00D01BB0"/>
    <w:rsid w:val="00D01D82"/>
    <w:rsid w:val="00D03DB3"/>
    <w:rsid w:val="00D0418B"/>
    <w:rsid w:val="00D04BFE"/>
    <w:rsid w:val="00D06274"/>
    <w:rsid w:val="00D06AE2"/>
    <w:rsid w:val="00D07389"/>
    <w:rsid w:val="00D07EB2"/>
    <w:rsid w:val="00D1027B"/>
    <w:rsid w:val="00D11708"/>
    <w:rsid w:val="00D125C0"/>
    <w:rsid w:val="00D12E87"/>
    <w:rsid w:val="00D13B2D"/>
    <w:rsid w:val="00D14B9A"/>
    <w:rsid w:val="00D152FB"/>
    <w:rsid w:val="00D16417"/>
    <w:rsid w:val="00D16454"/>
    <w:rsid w:val="00D165C9"/>
    <w:rsid w:val="00D16D3C"/>
    <w:rsid w:val="00D17E15"/>
    <w:rsid w:val="00D207A7"/>
    <w:rsid w:val="00D222B1"/>
    <w:rsid w:val="00D23266"/>
    <w:rsid w:val="00D23C9C"/>
    <w:rsid w:val="00D23DAD"/>
    <w:rsid w:val="00D24665"/>
    <w:rsid w:val="00D25AE1"/>
    <w:rsid w:val="00D26BC7"/>
    <w:rsid w:val="00D26EFE"/>
    <w:rsid w:val="00D30A61"/>
    <w:rsid w:val="00D3315C"/>
    <w:rsid w:val="00D33A9E"/>
    <w:rsid w:val="00D341B3"/>
    <w:rsid w:val="00D34C92"/>
    <w:rsid w:val="00D35049"/>
    <w:rsid w:val="00D3510E"/>
    <w:rsid w:val="00D36475"/>
    <w:rsid w:val="00D37285"/>
    <w:rsid w:val="00D37F31"/>
    <w:rsid w:val="00D4019E"/>
    <w:rsid w:val="00D403CB"/>
    <w:rsid w:val="00D40BD8"/>
    <w:rsid w:val="00D40CC6"/>
    <w:rsid w:val="00D41767"/>
    <w:rsid w:val="00D420C3"/>
    <w:rsid w:val="00D44412"/>
    <w:rsid w:val="00D45ED5"/>
    <w:rsid w:val="00D46CEB"/>
    <w:rsid w:val="00D50569"/>
    <w:rsid w:val="00D5064C"/>
    <w:rsid w:val="00D50CCC"/>
    <w:rsid w:val="00D5143B"/>
    <w:rsid w:val="00D52145"/>
    <w:rsid w:val="00D53525"/>
    <w:rsid w:val="00D53AA9"/>
    <w:rsid w:val="00D53CD9"/>
    <w:rsid w:val="00D544B0"/>
    <w:rsid w:val="00D5494C"/>
    <w:rsid w:val="00D55A43"/>
    <w:rsid w:val="00D55C53"/>
    <w:rsid w:val="00D5622F"/>
    <w:rsid w:val="00D577E1"/>
    <w:rsid w:val="00D57981"/>
    <w:rsid w:val="00D57FB9"/>
    <w:rsid w:val="00D6089B"/>
    <w:rsid w:val="00D60925"/>
    <w:rsid w:val="00D60ACE"/>
    <w:rsid w:val="00D62830"/>
    <w:rsid w:val="00D645A5"/>
    <w:rsid w:val="00D646F1"/>
    <w:rsid w:val="00D647C4"/>
    <w:rsid w:val="00D6676F"/>
    <w:rsid w:val="00D66D3F"/>
    <w:rsid w:val="00D67224"/>
    <w:rsid w:val="00D70B94"/>
    <w:rsid w:val="00D70D73"/>
    <w:rsid w:val="00D70DEC"/>
    <w:rsid w:val="00D7171D"/>
    <w:rsid w:val="00D720AB"/>
    <w:rsid w:val="00D72429"/>
    <w:rsid w:val="00D7285A"/>
    <w:rsid w:val="00D7465B"/>
    <w:rsid w:val="00D75B22"/>
    <w:rsid w:val="00D776D5"/>
    <w:rsid w:val="00D777BB"/>
    <w:rsid w:val="00D77AB0"/>
    <w:rsid w:val="00D77CBF"/>
    <w:rsid w:val="00D8004E"/>
    <w:rsid w:val="00D80216"/>
    <w:rsid w:val="00D80719"/>
    <w:rsid w:val="00D80867"/>
    <w:rsid w:val="00D80921"/>
    <w:rsid w:val="00D80AEB"/>
    <w:rsid w:val="00D80E61"/>
    <w:rsid w:val="00D815EF"/>
    <w:rsid w:val="00D8180C"/>
    <w:rsid w:val="00D81CCA"/>
    <w:rsid w:val="00D83447"/>
    <w:rsid w:val="00D83762"/>
    <w:rsid w:val="00D8435A"/>
    <w:rsid w:val="00D84F64"/>
    <w:rsid w:val="00D85044"/>
    <w:rsid w:val="00D85960"/>
    <w:rsid w:val="00D85A19"/>
    <w:rsid w:val="00D85B11"/>
    <w:rsid w:val="00D85C38"/>
    <w:rsid w:val="00D86760"/>
    <w:rsid w:val="00D86B0A"/>
    <w:rsid w:val="00D87555"/>
    <w:rsid w:val="00D9060A"/>
    <w:rsid w:val="00D9226F"/>
    <w:rsid w:val="00D92723"/>
    <w:rsid w:val="00D927D7"/>
    <w:rsid w:val="00D95753"/>
    <w:rsid w:val="00D95C13"/>
    <w:rsid w:val="00D95EF1"/>
    <w:rsid w:val="00D96C17"/>
    <w:rsid w:val="00D9767B"/>
    <w:rsid w:val="00D97883"/>
    <w:rsid w:val="00D97C16"/>
    <w:rsid w:val="00DA00B5"/>
    <w:rsid w:val="00DA170E"/>
    <w:rsid w:val="00DA2B32"/>
    <w:rsid w:val="00DA2F3D"/>
    <w:rsid w:val="00DA3413"/>
    <w:rsid w:val="00DA464D"/>
    <w:rsid w:val="00DA4E22"/>
    <w:rsid w:val="00DA4F29"/>
    <w:rsid w:val="00DA6C52"/>
    <w:rsid w:val="00DA71B1"/>
    <w:rsid w:val="00DA7A6E"/>
    <w:rsid w:val="00DA7C74"/>
    <w:rsid w:val="00DA7E08"/>
    <w:rsid w:val="00DB0B55"/>
    <w:rsid w:val="00DB0C2C"/>
    <w:rsid w:val="00DB0F50"/>
    <w:rsid w:val="00DB1205"/>
    <w:rsid w:val="00DB140F"/>
    <w:rsid w:val="00DB1525"/>
    <w:rsid w:val="00DB16E5"/>
    <w:rsid w:val="00DB1C22"/>
    <w:rsid w:val="00DB1FAD"/>
    <w:rsid w:val="00DB2062"/>
    <w:rsid w:val="00DB29E0"/>
    <w:rsid w:val="00DB2E0E"/>
    <w:rsid w:val="00DB2ECD"/>
    <w:rsid w:val="00DB33F2"/>
    <w:rsid w:val="00DB3604"/>
    <w:rsid w:val="00DB3A38"/>
    <w:rsid w:val="00DB4462"/>
    <w:rsid w:val="00DB48B0"/>
    <w:rsid w:val="00DB4CDD"/>
    <w:rsid w:val="00DB5696"/>
    <w:rsid w:val="00DB5CEB"/>
    <w:rsid w:val="00DB609E"/>
    <w:rsid w:val="00DB6238"/>
    <w:rsid w:val="00DB69A2"/>
    <w:rsid w:val="00DB780E"/>
    <w:rsid w:val="00DB7C44"/>
    <w:rsid w:val="00DB7D0F"/>
    <w:rsid w:val="00DC1044"/>
    <w:rsid w:val="00DC1064"/>
    <w:rsid w:val="00DC24C3"/>
    <w:rsid w:val="00DC3C84"/>
    <w:rsid w:val="00DC49B7"/>
    <w:rsid w:val="00DC6402"/>
    <w:rsid w:val="00DC6B59"/>
    <w:rsid w:val="00DC6CD9"/>
    <w:rsid w:val="00DC7B6F"/>
    <w:rsid w:val="00DD0DF4"/>
    <w:rsid w:val="00DD103F"/>
    <w:rsid w:val="00DD135E"/>
    <w:rsid w:val="00DD16FA"/>
    <w:rsid w:val="00DD1B32"/>
    <w:rsid w:val="00DD38CE"/>
    <w:rsid w:val="00DD4BE7"/>
    <w:rsid w:val="00DD4EAD"/>
    <w:rsid w:val="00DD5DDA"/>
    <w:rsid w:val="00DD75D9"/>
    <w:rsid w:val="00DE138B"/>
    <w:rsid w:val="00DE33E1"/>
    <w:rsid w:val="00DE3A8C"/>
    <w:rsid w:val="00DE3AAD"/>
    <w:rsid w:val="00DE446A"/>
    <w:rsid w:val="00DE49AD"/>
    <w:rsid w:val="00DE49B6"/>
    <w:rsid w:val="00DE5117"/>
    <w:rsid w:val="00DE521E"/>
    <w:rsid w:val="00DE5313"/>
    <w:rsid w:val="00DE5439"/>
    <w:rsid w:val="00DE5714"/>
    <w:rsid w:val="00DE57BE"/>
    <w:rsid w:val="00DE654E"/>
    <w:rsid w:val="00DE68EC"/>
    <w:rsid w:val="00DE69D4"/>
    <w:rsid w:val="00DE6C47"/>
    <w:rsid w:val="00DE71E4"/>
    <w:rsid w:val="00DE7692"/>
    <w:rsid w:val="00DE7B77"/>
    <w:rsid w:val="00DF0638"/>
    <w:rsid w:val="00DF1E2D"/>
    <w:rsid w:val="00DF1E6F"/>
    <w:rsid w:val="00DF487A"/>
    <w:rsid w:val="00DF4E2F"/>
    <w:rsid w:val="00DF63F5"/>
    <w:rsid w:val="00DF682B"/>
    <w:rsid w:val="00DF68D6"/>
    <w:rsid w:val="00DF7744"/>
    <w:rsid w:val="00E0025E"/>
    <w:rsid w:val="00E02214"/>
    <w:rsid w:val="00E02451"/>
    <w:rsid w:val="00E036B1"/>
    <w:rsid w:val="00E0394C"/>
    <w:rsid w:val="00E04702"/>
    <w:rsid w:val="00E047F3"/>
    <w:rsid w:val="00E0500A"/>
    <w:rsid w:val="00E06818"/>
    <w:rsid w:val="00E103D2"/>
    <w:rsid w:val="00E1127A"/>
    <w:rsid w:val="00E11B3D"/>
    <w:rsid w:val="00E12BCB"/>
    <w:rsid w:val="00E13D87"/>
    <w:rsid w:val="00E140FD"/>
    <w:rsid w:val="00E1482C"/>
    <w:rsid w:val="00E149C2"/>
    <w:rsid w:val="00E14B4E"/>
    <w:rsid w:val="00E14DA1"/>
    <w:rsid w:val="00E152A5"/>
    <w:rsid w:val="00E157FA"/>
    <w:rsid w:val="00E1663B"/>
    <w:rsid w:val="00E168E9"/>
    <w:rsid w:val="00E16ABA"/>
    <w:rsid w:val="00E16FEF"/>
    <w:rsid w:val="00E171BA"/>
    <w:rsid w:val="00E179F4"/>
    <w:rsid w:val="00E20644"/>
    <w:rsid w:val="00E20C8B"/>
    <w:rsid w:val="00E2125A"/>
    <w:rsid w:val="00E21600"/>
    <w:rsid w:val="00E2199F"/>
    <w:rsid w:val="00E251A1"/>
    <w:rsid w:val="00E25254"/>
    <w:rsid w:val="00E253D6"/>
    <w:rsid w:val="00E26392"/>
    <w:rsid w:val="00E268E5"/>
    <w:rsid w:val="00E27C2F"/>
    <w:rsid w:val="00E27EE0"/>
    <w:rsid w:val="00E30D17"/>
    <w:rsid w:val="00E314B6"/>
    <w:rsid w:val="00E327FE"/>
    <w:rsid w:val="00E32ADF"/>
    <w:rsid w:val="00E32C40"/>
    <w:rsid w:val="00E32C63"/>
    <w:rsid w:val="00E33B31"/>
    <w:rsid w:val="00E33F94"/>
    <w:rsid w:val="00E34EDD"/>
    <w:rsid w:val="00E3612F"/>
    <w:rsid w:val="00E368A1"/>
    <w:rsid w:val="00E36970"/>
    <w:rsid w:val="00E37410"/>
    <w:rsid w:val="00E40323"/>
    <w:rsid w:val="00E4096E"/>
    <w:rsid w:val="00E40DEF"/>
    <w:rsid w:val="00E41FCE"/>
    <w:rsid w:val="00E42E27"/>
    <w:rsid w:val="00E43B78"/>
    <w:rsid w:val="00E44048"/>
    <w:rsid w:val="00E44523"/>
    <w:rsid w:val="00E448E6"/>
    <w:rsid w:val="00E4495F"/>
    <w:rsid w:val="00E45212"/>
    <w:rsid w:val="00E454EB"/>
    <w:rsid w:val="00E45651"/>
    <w:rsid w:val="00E45D18"/>
    <w:rsid w:val="00E45EAD"/>
    <w:rsid w:val="00E502DD"/>
    <w:rsid w:val="00E528CE"/>
    <w:rsid w:val="00E53460"/>
    <w:rsid w:val="00E5351D"/>
    <w:rsid w:val="00E5353C"/>
    <w:rsid w:val="00E53841"/>
    <w:rsid w:val="00E5448D"/>
    <w:rsid w:val="00E54EEC"/>
    <w:rsid w:val="00E560C7"/>
    <w:rsid w:val="00E57558"/>
    <w:rsid w:val="00E577A6"/>
    <w:rsid w:val="00E60345"/>
    <w:rsid w:val="00E6036E"/>
    <w:rsid w:val="00E6091A"/>
    <w:rsid w:val="00E6119F"/>
    <w:rsid w:val="00E621A7"/>
    <w:rsid w:val="00E63390"/>
    <w:rsid w:val="00E6470A"/>
    <w:rsid w:val="00E64F32"/>
    <w:rsid w:val="00E64FF1"/>
    <w:rsid w:val="00E653FE"/>
    <w:rsid w:val="00E65BDC"/>
    <w:rsid w:val="00E66840"/>
    <w:rsid w:val="00E66BF3"/>
    <w:rsid w:val="00E66C6C"/>
    <w:rsid w:val="00E678D7"/>
    <w:rsid w:val="00E71AC9"/>
    <w:rsid w:val="00E73099"/>
    <w:rsid w:val="00E7338F"/>
    <w:rsid w:val="00E73433"/>
    <w:rsid w:val="00E74718"/>
    <w:rsid w:val="00E75BE1"/>
    <w:rsid w:val="00E7622A"/>
    <w:rsid w:val="00E771B2"/>
    <w:rsid w:val="00E77279"/>
    <w:rsid w:val="00E772CB"/>
    <w:rsid w:val="00E81828"/>
    <w:rsid w:val="00E820D8"/>
    <w:rsid w:val="00E820E8"/>
    <w:rsid w:val="00E8258B"/>
    <w:rsid w:val="00E8263B"/>
    <w:rsid w:val="00E827E2"/>
    <w:rsid w:val="00E828F7"/>
    <w:rsid w:val="00E82DEF"/>
    <w:rsid w:val="00E8363A"/>
    <w:rsid w:val="00E866CB"/>
    <w:rsid w:val="00E87752"/>
    <w:rsid w:val="00E87E61"/>
    <w:rsid w:val="00E90C28"/>
    <w:rsid w:val="00E90E4E"/>
    <w:rsid w:val="00E91B22"/>
    <w:rsid w:val="00E92AF6"/>
    <w:rsid w:val="00E936D4"/>
    <w:rsid w:val="00E936D9"/>
    <w:rsid w:val="00E94FA2"/>
    <w:rsid w:val="00E969D4"/>
    <w:rsid w:val="00EA0D15"/>
    <w:rsid w:val="00EA0F12"/>
    <w:rsid w:val="00EA25E3"/>
    <w:rsid w:val="00EA2622"/>
    <w:rsid w:val="00EA287F"/>
    <w:rsid w:val="00EA28FB"/>
    <w:rsid w:val="00EA2CFC"/>
    <w:rsid w:val="00EA3570"/>
    <w:rsid w:val="00EA3D47"/>
    <w:rsid w:val="00EA3D89"/>
    <w:rsid w:val="00EA43E9"/>
    <w:rsid w:val="00EA478E"/>
    <w:rsid w:val="00EA4F37"/>
    <w:rsid w:val="00EA5ECB"/>
    <w:rsid w:val="00EA717E"/>
    <w:rsid w:val="00EA760B"/>
    <w:rsid w:val="00EA79BC"/>
    <w:rsid w:val="00EA7E5B"/>
    <w:rsid w:val="00EB0069"/>
    <w:rsid w:val="00EB0792"/>
    <w:rsid w:val="00EB184A"/>
    <w:rsid w:val="00EB28AB"/>
    <w:rsid w:val="00EB2C58"/>
    <w:rsid w:val="00EB313A"/>
    <w:rsid w:val="00EB36BD"/>
    <w:rsid w:val="00EB38BB"/>
    <w:rsid w:val="00EB3B9D"/>
    <w:rsid w:val="00EB495C"/>
    <w:rsid w:val="00EB5322"/>
    <w:rsid w:val="00EB6BD4"/>
    <w:rsid w:val="00EB6E83"/>
    <w:rsid w:val="00EB7646"/>
    <w:rsid w:val="00EB7BB2"/>
    <w:rsid w:val="00EC09C3"/>
    <w:rsid w:val="00EC0D1B"/>
    <w:rsid w:val="00EC22CF"/>
    <w:rsid w:val="00EC2455"/>
    <w:rsid w:val="00EC26AC"/>
    <w:rsid w:val="00EC28B5"/>
    <w:rsid w:val="00EC2A14"/>
    <w:rsid w:val="00EC2E3D"/>
    <w:rsid w:val="00EC365B"/>
    <w:rsid w:val="00EC3690"/>
    <w:rsid w:val="00EC3991"/>
    <w:rsid w:val="00EC3A2F"/>
    <w:rsid w:val="00EC3E54"/>
    <w:rsid w:val="00EC4162"/>
    <w:rsid w:val="00EC50FF"/>
    <w:rsid w:val="00EC66D8"/>
    <w:rsid w:val="00EC7131"/>
    <w:rsid w:val="00EC74DD"/>
    <w:rsid w:val="00ED045F"/>
    <w:rsid w:val="00ED050B"/>
    <w:rsid w:val="00ED06D5"/>
    <w:rsid w:val="00ED088D"/>
    <w:rsid w:val="00ED1655"/>
    <w:rsid w:val="00ED296B"/>
    <w:rsid w:val="00ED2A5F"/>
    <w:rsid w:val="00ED300D"/>
    <w:rsid w:val="00ED38F6"/>
    <w:rsid w:val="00ED39C4"/>
    <w:rsid w:val="00ED3D78"/>
    <w:rsid w:val="00ED4B76"/>
    <w:rsid w:val="00ED59E2"/>
    <w:rsid w:val="00ED5E51"/>
    <w:rsid w:val="00ED7F76"/>
    <w:rsid w:val="00EE2642"/>
    <w:rsid w:val="00EE278F"/>
    <w:rsid w:val="00EE2881"/>
    <w:rsid w:val="00EE2906"/>
    <w:rsid w:val="00EE2F3D"/>
    <w:rsid w:val="00EE5DBD"/>
    <w:rsid w:val="00EE5DD0"/>
    <w:rsid w:val="00EE6062"/>
    <w:rsid w:val="00EE6B4A"/>
    <w:rsid w:val="00EE7E54"/>
    <w:rsid w:val="00EF05C4"/>
    <w:rsid w:val="00EF128E"/>
    <w:rsid w:val="00EF1650"/>
    <w:rsid w:val="00EF212C"/>
    <w:rsid w:val="00EF21CA"/>
    <w:rsid w:val="00EF28AC"/>
    <w:rsid w:val="00EF2941"/>
    <w:rsid w:val="00EF30A7"/>
    <w:rsid w:val="00EF342E"/>
    <w:rsid w:val="00EF5529"/>
    <w:rsid w:val="00EF6421"/>
    <w:rsid w:val="00EF64F9"/>
    <w:rsid w:val="00EF7077"/>
    <w:rsid w:val="00EF747C"/>
    <w:rsid w:val="00EF7858"/>
    <w:rsid w:val="00EF7D56"/>
    <w:rsid w:val="00F009B9"/>
    <w:rsid w:val="00F00A00"/>
    <w:rsid w:val="00F01D62"/>
    <w:rsid w:val="00F022E9"/>
    <w:rsid w:val="00F0324A"/>
    <w:rsid w:val="00F03F28"/>
    <w:rsid w:val="00F04D61"/>
    <w:rsid w:val="00F06484"/>
    <w:rsid w:val="00F06CCB"/>
    <w:rsid w:val="00F070B6"/>
    <w:rsid w:val="00F0764D"/>
    <w:rsid w:val="00F076D9"/>
    <w:rsid w:val="00F07C70"/>
    <w:rsid w:val="00F105A3"/>
    <w:rsid w:val="00F13A2C"/>
    <w:rsid w:val="00F13A68"/>
    <w:rsid w:val="00F15196"/>
    <w:rsid w:val="00F17819"/>
    <w:rsid w:val="00F17866"/>
    <w:rsid w:val="00F17AB0"/>
    <w:rsid w:val="00F17CDD"/>
    <w:rsid w:val="00F20A1C"/>
    <w:rsid w:val="00F20F41"/>
    <w:rsid w:val="00F21EDE"/>
    <w:rsid w:val="00F21EE3"/>
    <w:rsid w:val="00F22596"/>
    <w:rsid w:val="00F229F5"/>
    <w:rsid w:val="00F22E01"/>
    <w:rsid w:val="00F23657"/>
    <w:rsid w:val="00F23A71"/>
    <w:rsid w:val="00F2415B"/>
    <w:rsid w:val="00F249B4"/>
    <w:rsid w:val="00F24A5C"/>
    <w:rsid w:val="00F2513A"/>
    <w:rsid w:val="00F25801"/>
    <w:rsid w:val="00F26399"/>
    <w:rsid w:val="00F2660C"/>
    <w:rsid w:val="00F27FAC"/>
    <w:rsid w:val="00F3083F"/>
    <w:rsid w:val="00F30F0E"/>
    <w:rsid w:val="00F3124E"/>
    <w:rsid w:val="00F31CB1"/>
    <w:rsid w:val="00F3328D"/>
    <w:rsid w:val="00F332FD"/>
    <w:rsid w:val="00F33642"/>
    <w:rsid w:val="00F345C3"/>
    <w:rsid w:val="00F348BE"/>
    <w:rsid w:val="00F34C39"/>
    <w:rsid w:val="00F36294"/>
    <w:rsid w:val="00F36FC1"/>
    <w:rsid w:val="00F372DB"/>
    <w:rsid w:val="00F377DB"/>
    <w:rsid w:val="00F37938"/>
    <w:rsid w:val="00F41144"/>
    <w:rsid w:val="00F4126D"/>
    <w:rsid w:val="00F41DFC"/>
    <w:rsid w:val="00F420F9"/>
    <w:rsid w:val="00F433A2"/>
    <w:rsid w:val="00F43541"/>
    <w:rsid w:val="00F45372"/>
    <w:rsid w:val="00F46BB6"/>
    <w:rsid w:val="00F46D5F"/>
    <w:rsid w:val="00F500C0"/>
    <w:rsid w:val="00F51357"/>
    <w:rsid w:val="00F53EBD"/>
    <w:rsid w:val="00F54BD9"/>
    <w:rsid w:val="00F557DA"/>
    <w:rsid w:val="00F562C5"/>
    <w:rsid w:val="00F5721D"/>
    <w:rsid w:val="00F57EA8"/>
    <w:rsid w:val="00F608C6"/>
    <w:rsid w:val="00F61CB5"/>
    <w:rsid w:val="00F64085"/>
    <w:rsid w:val="00F64116"/>
    <w:rsid w:val="00F646B9"/>
    <w:rsid w:val="00F64C67"/>
    <w:rsid w:val="00F65100"/>
    <w:rsid w:val="00F6605A"/>
    <w:rsid w:val="00F66688"/>
    <w:rsid w:val="00F671C1"/>
    <w:rsid w:val="00F7071B"/>
    <w:rsid w:val="00F7114B"/>
    <w:rsid w:val="00F735A3"/>
    <w:rsid w:val="00F735E2"/>
    <w:rsid w:val="00F73A6B"/>
    <w:rsid w:val="00F73A98"/>
    <w:rsid w:val="00F73C56"/>
    <w:rsid w:val="00F73FDD"/>
    <w:rsid w:val="00F742A5"/>
    <w:rsid w:val="00F74700"/>
    <w:rsid w:val="00F74F52"/>
    <w:rsid w:val="00F750AA"/>
    <w:rsid w:val="00F7518C"/>
    <w:rsid w:val="00F75A35"/>
    <w:rsid w:val="00F75CF0"/>
    <w:rsid w:val="00F75FD3"/>
    <w:rsid w:val="00F76FEC"/>
    <w:rsid w:val="00F77702"/>
    <w:rsid w:val="00F80267"/>
    <w:rsid w:val="00F80B1B"/>
    <w:rsid w:val="00F80C8E"/>
    <w:rsid w:val="00F80E47"/>
    <w:rsid w:val="00F821E5"/>
    <w:rsid w:val="00F82540"/>
    <w:rsid w:val="00F85794"/>
    <w:rsid w:val="00F862D2"/>
    <w:rsid w:val="00F86F43"/>
    <w:rsid w:val="00F90A29"/>
    <w:rsid w:val="00F9258A"/>
    <w:rsid w:val="00F9370D"/>
    <w:rsid w:val="00F93D5D"/>
    <w:rsid w:val="00F9526F"/>
    <w:rsid w:val="00F958F2"/>
    <w:rsid w:val="00F95937"/>
    <w:rsid w:val="00F95FDC"/>
    <w:rsid w:val="00F96F79"/>
    <w:rsid w:val="00F97D0C"/>
    <w:rsid w:val="00F97E84"/>
    <w:rsid w:val="00FA0BC6"/>
    <w:rsid w:val="00FA15B0"/>
    <w:rsid w:val="00FA1902"/>
    <w:rsid w:val="00FA2074"/>
    <w:rsid w:val="00FA3272"/>
    <w:rsid w:val="00FA393A"/>
    <w:rsid w:val="00FA4BC2"/>
    <w:rsid w:val="00FA633B"/>
    <w:rsid w:val="00FA6998"/>
    <w:rsid w:val="00FA6BDA"/>
    <w:rsid w:val="00FA7423"/>
    <w:rsid w:val="00FB1418"/>
    <w:rsid w:val="00FB188C"/>
    <w:rsid w:val="00FB19C4"/>
    <w:rsid w:val="00FB1FDD"/>
    <w:rsid w:val="00FB2DBD"/>
    <w:rsid w:val="00FB321A"/>
    <w:rsid w:val="00FB3999"/>
    <w:rsid w:val="00FB3DDA"/>
    <w:rsid w:val="00FB44F4"/>
    <w:rsid w:val="00FB4899"/>
    <w:rsid w:val="00FB4D59"/>
    <w:rsid w:val="00FB592B"/>
    <w:rsid w:val="00FB5AA8"/>
    <w:rsid w:val="00FB608C"/>
    <w:rsid w:val="00FB64AB"/>
    <w:rsid w:val="00FB7A73"/>
    <w:rsid w:val="00FC06C8"/>
    <w:rsid w:val="00FC0BA9"/>
    <w:rsid w:val="00FC1781"/>
    <w:rsid w:val="00FC29CB"/>
    <w:rsid w:val="00FC2E20"/>
    <w:rsid w:val="00FC3B5D"/>
    <w:rsid w:val="00FC41D9"/>
    <w:rsid w:val="00FC4517"/>
    <w:rsid w:val="00FC5C05"/>
    <w:rsid w:val="00FC6FD6"/>
    <w:rsid w:val="00FD04DD"/>
    <w:rsid w:val="00FD06AD"/>
    <w:rsid w:val="00FD0C8D"/>
    <w:rsid w:val="00FD0DF1"/>
    <w:rsid w:val="00FD0E2C"/>
    <w:rsid w:val="00FD1A2C"/>
    <w:rsid w:val="00FD25B2"/>
    <w:rsid w:val="00FD32F1"/>
    <w:rsid w:val="00FD3D8C"/>
    <w:rsid w:val="00FD3F77"/>
    <w:rsid w:val="00FD45F7"/>
    <w:rsid w:val="00FD4C4F"/>
    <w:rsid w:val="00FD5994"/>
    <w:rsid w:val="00FD712E"/>
    <w:rsid w:val="00FD7D96"/>
    <w:rsid w:val="00FD7E57"/>
    <w:rsid w:val="00FE0880"/>
    <w:rsid w:val="00FE0B9A"/>
    <w:rsid w:val="00FE0C2A"/>
    <w:rsid w:val="00FE1155"/>
    <w:rsid w:val="00FE11F0"/>
    <w:rsid w:val="00FE13F7"/>
    <w:rsid w:val="00FE2456"/>
    <w:rsid w:val="00FE2738"/>
    <w:rsid w:val="00FE4048"/>
    <w:rsid w:val="00FE4BEB"/>
    <w:rsid w:val="00FE5C40"/>
    <w:rsid w:val="00FE5ECD"/>
    <w:rsid w:val="00FE6E0D"/>
    <w:rsid w:val="00FE7415"/>
    <w:rsid w:val="00FF0857"/>
    <w:rsid w:val="00FF0BCC"/>
    <w:rsid w:val="00FF1FE5"/>
    <w:rsid w:val="00FF20AA"/>
    <w:rsid w:val="00FF3BD4"/>
    <w:rsid w:val="00FF3BED"/>
    <w:rsid w:val="00FF452E"/>
    <w:rsid w:val="00FF55E8"/>
    <w:rsid w:val="00FF5B7E"/>
    <w:rsid w:val="00FF6564"/>
    <w:rsid w:val="00FF7AB6"/>
    <w:rsid w:val="00FF7B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E9F7BA"/>
  <w15:chartTrackingRefBased/>
  <w15:docId w15:val="{008E709D-F9A5-3B45-B7DF-9565AD5A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6D4F"/>
  </w:style>
  <w:style w:type="paragraph" w:styleId="Titolo1">
    <w:name w:val="heading 1"/>
    <w:basedOn w:val="Normale"/>
    <w:next w:val="Normale"/>
    <w:link w:val="Titolo1Carattere"/>
    <w:uiPriority w:val="9"/>
    <w:qFormat/>
    <w:rsid w:val="00902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2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2E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2E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2E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2E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2E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2E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2E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2E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2E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2E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2E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2E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2E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2E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2E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2E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2EA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2E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2EA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2E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2EA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2EA9"/>
    <w:rPr>
      <w:i/>
      <w:iCs/>
      <w:color w:val="404040" w:themeColor="text1" w:themeTint="BF"/>
    </w:rPr>
  </w:style>
  <w:style w:type="paragraph" w:styleId="Paragrafoelenco">
    <w:name w:val="List Paragraph"/>
    <w:basedOn w:val="Normale"/>
    <w:uiPriority w:val="34"/>
    <w:qFormat/>
    <w:rsid w:val="00902EA9"/>
    <w:pPr>
      <w:ind w:left="720"/>
      <w:contextualSpacing/>
    </w:pPr>
  </w:style>
  <w:style w:type="character" w:styleId="Enfasiintensa">
    <w:name w:val="Intense Emphasis"/>
    <w:basedOn w:val="Carpredefinitoparagrafo"/>
    <w:uiPriority w:val="21"/>
    <w:qFormat/>
    <w:rsid w:val="00902EA9"/>
    <w:rPr>
      <w:i/>
      <w:iCs/>
      <w:color w:val="0F4761" w:themeColor="accent1" w:themeShade="BF"/>
    </w:rPr>
  </w:style>
  <w:style w:type="paragraph" w:styleId="Citazioneintensa">
    <w:name w:val="Intense Quote"/>
    <w:basedOn w:val="Normale"/>
    <w:next w:val="Normale"/>
    <w:link w:val="CitazioneintensaCarattere"/>
    <w:uiPriority w:val="30"/>
    <w:qFormat/>
    <w:rsid w:val="00902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2EA9"/>
    <w:rPr>
      <w:i/>
      <w:iCs/>
      <w:color w:val="0F4761" w:themeColor="accent1" w:themeShade="BF"/>
    </w:rPr>
  </w:style>
  <w:style w:type="character" w:styleId="Riferimentointenso">
    <w:name w:val="Intense Reference"/>
    <w:basedOn w:val="Carpredefinitoparagrafo"/>
    <w:uiPriority w:val="32"/>
    <w:qFormat/>
    <w:rsid w:val="00902EA9"/>
    <w:rPr>
      <w:b/>
      <w:bCs/>
      <w:smallCaps/>
      <w:color w:val="0F4761" w:themeColor="accent1" w:themeShade="BF"/>
      <w:spacing w:val="5"/>
    </w:rPr>
  </w:style>
  <w:style w:type="paragraph" w:styleId="Intestazione">
    <w:name w:val="header"/>
    <w:basedOn w:val="Normale"/>
    <w:link w:val="IntestazioneCarattere"/>
    <w:uiPriority w:val="99"/>
    <w:unhideWhenUsed/>
    <w:rsid w:val="004C1120"/>
    <w:pPr>
      <w:tabs>
        <w:tab w:val="center" w:pos="4819"/>
        <w:tab w:val="right" w:pos="9638"/>
      </w:tabs>
    </w:pPr>
  </w:style>
  <w:style w:type="character" w:customStyle="1" w:styleId="IntestazioneCarattere">
    <w:name w:val="Intestazione Carattere"/>
    <w:basedOn w:val="Carpredefinitoparagrafo"/>
    <w:link w:val="Intestazione"/>
    <w:uiPriority w:val="99"/>
    <w:rsid w:val="004C1120"/>
  </w:style>
  <w:style w:type="paragraph" w:styleId="Pidipagina">
    <w:name w:val="footer"/>
    <w:basedOn w:val="Normale"/>
    <w:link w:val="PidipaginaCarattere"/>
    <w:uiPriority w:val="99"/>
    <w:unhideWhenUsed/>
    <w:rsid w:val="004C1120"/>
    <w:pPr>
      <w:tabs>
        <w:tab w:val="center" w:pos="4819"/>
        <w:tab w:val="right" w:pos="9638"/>
      </w:tabs>
    </w:pPr>
  </w:style>
  <w:style w:type="character" w:customStyle="1" w:styleId="PidipaginaCarattere">
    <w:name w:val="Piè di pagina Carattere"/>
    <w:basedOn w:val="Carpredefinitoparagrafo"/>
    <w:link w:val="Pidipagina"/>
    <w:uiPriority w:val="99"/>
    <w:rsid w:val="004C1120"/>
  </w:style>
  <w:style w:type="character" w:styleId="Collegamentoipertestuale">
    <w:name w:val="Hyperlink"/>
    <w:uiPriority w:val="99"/>
    <w:rsid w:val="004C1120"/>
    <w:rPr>
      <w:rFonts w:cs="Times New Roman"/>
      <w:color w:val="0000FF"/>
      <w:u w:val="single"/>
    </w:rPr>
  </w:style>
  <w:style w:type="character" w:styleId="Collegamentovisitato">
    <w:name w:val="FollowedHyperlink"/>
    <w:basedOn w:val="Carpredefinitoparagrafo"/>
    <w:uiPriority w:val="99"/>
    <w:semiHidden/>
    <w:unhideWhenUsed/>
    <w:rsid w:val="004C1120"/>
    <w:rPr>
      <w:color w:val="96607D" w:themeColor="followedHyperlink"/>
      <w:u w:val="single"/>
    </w:rPr>
  </w:style>
  <w:style w:type="paragraph" w:customStyle="1" w:styleId="012titoloparagrafo">
    <w:name w:val="012_titolo paragrafo"/>
    <w:basedOn w:val="Normale"/>
    <w:uiPriority w:val="99"/>
    <w:rsid w:val="004C1120"/>
    <w:pPr>
      <w:spacing w:before="360" w:after="240"/>
    </w:pPr>
    <w:rPr>
      <w:rFonts w:ascii="Arial" w:eastAsia="Times New Roman" w:hAnsi="Arial" w:cs="Arial"/>
      <w:b/>
      <w:color w:val="008080"/>
      <w:spacing w:val="-2"/>
      <w:sz w:val="26"/>
      <w:szCs w:val="22"/>
    </w:rPr>
  </w:style>
  <w:style w:type="paragraph" w:customStyle="1" w:styleId="016testobulletprimapagina">
    <w:name w:val="016_testo_bullet_prima_pagina"/>
    <w:basedOn w:val="Normale"/>
    <w:uiPriority w:val="99"/>
    <w:rsid w:val="004C1120"/>
    <w:pPr>
      <w:spacing w:after="180" w:line="264" w:lineRule="auto"/>
      <w:ind w:left="284" w:right="284"/>
      <w:jc w:val="both"/>
    </w:pPr>
    <w:rPr>
      <w:rFonts w:ascii="Arial" w:eastAsia="Times New Roman" w:hAnsi="Arial" w:cs="Arial"/>
      <w:iCs/>
      <w:color w:val="008080"/>
      <w:szCs w:val="19"/>
    </w:rPr>
  </w:style>
  <w:style w:type="paragraph" w:customStyle="1" w:styleId="051tabella-figuratitolo">
    <w:name w:val="051_tabella-figura titolo"/>
    <w:basedOn w:val="Normale"/>
    <w:next w:val="Normale"/>
    <w:uiPriority w:val="99"/>
    <w:rsid w:val="004C1120"/>
    <w:pPr>
      <w:tabs>
        <w:tab w:val="right" w:pos="7938"/>
      </w:tabs>
      <w:autoSpaceDE w:val="0"/>
      <w:autoSpaceDN w:val="0"/>
      <w:adjustRightInd w:val="0"/>
      <w:spacing w:before="40" w:after="40"/>
      <w:jc w:val="both"/>
    </w:pPr>
    <w:rPr>
      <w:rFonts w:ascii="Arial Narrow" w:eastAsia="Times New Roman" w:hAnsi="Arial Narrow" w:cs="Arial"/>
      <w:b/>
      <w:iCs/>
      <w:noProof/>
      <w:color w:val="008080"/>
      <w:sz w:val="21"/>
      <w:szCs w:val="20"/>
    </w:rPr>
  </w:style>
  <w:style w:type="paragraph" w:customStyle="1" w:styleId="054tabella-figuranote">
    <w:name w:val="054_tabella-figura note"/>
    <w:basedOn w:val="Normale"/>
    <w:link w:val="054tabella-figuranoteCarattereCarattere"/>
    <w:uiPriority w:val="99"/>
    <w:rsid w:val="004C1120"/>
    <w:pPr>
      <w:spacing w:before="20" w:after="20"/>
      <w:ind w:left="227" w:hanging="227"/>
      <w:jc w:val="both"/>
    </w:pPr>
    <w:rPr>
      <w:rFonts w:ascii="Arial Narrow" w:eastAsia="Times New Roman" w:hAnsi="Arial Narrow" w:cs="Arial"/>
      <w:iCs/>
      <w:sz w:val="15"/>
      <w:szCs w:val="19"/>
    </w:rPr>
  </w:style>
  <w:style w:type="character" w:customStyle="1" w:styleId="054tabella-figuranoteCarattereCarattere">
    <w:name w:val="054_tabella-figura note Carattere Carattere"/>
    <w:link w:val="054tabella-figuranote"/>
    <w:uiPriority w:val="99"/>
    <w:locked/>
    <w:rsid w:val="004C1120"/>
    <w:rPr>
      <w:rFonts w:ascii="Arial Narrow" w:eastAsia="Times New Roman" w:hAnsi="Arial Narrow" w:cs="Arial"/>
      <w:iCs/>
      <w:sz w:val="15"/>
      <w:szCs w:val="19"/>
    </w:rPr>
  </w:style>
  <w:style w:type="paragraph" w:customStyle="1" w:styleId="StilePALLINO">
    <w:name w:val="StilePALLINO"/>
    <w:basedOn w:val="Normale"/>
    <w:rsid w:val="004C1120"/>
    <w:pPr>
      <w:numPr>
        <w:numId w:val="1"/>
      </w:numPr>
      <w:spacing w:after="200" w:line="276" w:lineRule="auto"/>
    </w:pPr>
    <w:rPr>
      <w:rFonts w:ascii="Calibri" w:eastAsia="Times New Roman" w:hAnsi="Calibri" w:cs="Calibri"/>
      <w:sz w:val="22"/>
      <w:szCs w:val="22"/>
    </w:rPr>
  </w:style>
  <w:style w:type="paragraph" w:customStyle="1" w:styleId="052tabella-figurasottotitolo">
    <w:name w:val="052_tabella-figura sottotitolo"/>
    <w:basedOn w:val="Normale"/>
    <w:uiPriority w:val="99"/>
    <w:rsid w:val="003C7795"/>
    <w:pPr>
      <w:tabs>
        <w:tab w:val="left" w:pos="567"/>
        <w:tab w:val="right" w:pos="7938"/>
      </w:tabs>
      <w:autoSpaceDE w:val="0"/>
      <w:autoSpaceDN w:val="0"/>
      <w:adjustRightInd w:val="0"/>
      <w:spacing w:after="40"/>
    </w:pPr>
    <w:rPr>
      <w:rFonts w:ascii="Arial Narrow" w:eastAsia="Times New Roman" w:hAnsi="Arial Narrow" w:cs="Arial"/>
      <w:iCs/>
      <w:noProof/>
      <w:color w:val="008080"/>
      <w:sz w:val="21"/>
      <w:szCs w:val="20"/>
    </w:rPr>
  </w:style>
  <w:style w:type="table" w:styleId="Grigliatabella">
    <w:name w:val="Table Grid"/>
    <w:basedOn w:val="Tabellanormale"/>
    <w:uiPriority w:val="39"/>
    <w:rsid w:val="003C7795"/>
    <w:pPr>
      <w:spacing w:after="200" w:line="276"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aliases w:val="Rimando nota a piè di pagina_relazione,Footnote Reference Superscript"/>
    <w:uiPriority w:val="99"/>
    <w:qFormat/>
    <w:rsid w:val="003C7795"/>
    <w:rPr>
      <w:rFonts w:cs="Times New Roman"/>
      <w:vertAlign w:val="superscript"/>
    </w:rPr>
  </w:style>
  <w:style w:type="paragraph" w:customStyle="1" w:styleId="014notapipagina">
    <w:name w:val="014_nota piè pagina"/>
    <w:basedOn w:val="Normale"/>
    <w:uiPriority w:val="99"/>
    <w:rsid w:val="003C7795"/>
    <w:pPr>
      <w:spacing w:after="60"/>
      <w:jc w:val="both"/>
    </w:pPr>
    <w:rPr>
      <w:rFonts w:ascii="Arial" w:eastAsia="Times New Roman" w:hAnsi="Arial" w:cs="Arial"/>
      <w:sz w:val="15"/>
      <w:szCs w:val="16"/>
    </w:rPr>
  </w:style>
  <w:style w:type="paragraph" w:styleId="NormaleWeb">
    <w:name w:val="Normal (Web)"/>
    <w:basedOn w:val="Normale"/>
    <w:uiPriority w:val="99"/>
    <w:unhideWhenUsed/>
    <w:rsid w:val="003C7795"/>
    <w:pPr>
      <w:spacing w:before="100" w:beforeAutospacing="1" w:after="100" w:afterAutospacing="1"/>
    </w:pPr>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3C7795"/>
  </w:style>
  <w:style w:type="paragraph" w:customStyle="1" w:styleId="013titolosottoparagrafo">
    <w:name w:val="013_titolo sottoparagrafo"/>
    <w:basedOn w:val="Normale"/>
    <w:uiPriority w:val="99"/>
    <w:rsid w:val="00E621A7"/>
    <w:pPr>
      <w:spacing w:before="240" w:after="120"/>
    </w:pPr>
    <w:rPr>
      <w:rFonts w:ascii="Arial" w:eastAsia="Times New Roman" w:hAnsi="Arial" w:cs="Arial"/>
      <w:b/>
      <w:bCs/>
      <w:szCs w:val="20"/>
    </w:rPr>
  </w:style>
  <w:style w:type="character" w:customStyle="1" w:styleId="01testoCarattere">
    <w:name w:val="01_testo Carattere"/>
    <w:link w:val="01testo"/>
    <w:uiPriority w:val="99"/>
    <w:locked/>
    <w:rsid w:val="002671F7"/>
    <w:rPr>
      <w:rFonts w:ascii="Arial" w:eastAsiaTheme="minorEastAsia" w:hAnsi="Arial" w:cs="Arial"/>
      <w:iCs/>
      <w:sz w:val="20"/>
      <w:szCs w:val="20"/>
      <w:lang w:val="en-GB" w:eastAsia="it-IT"/>
    </w:rPr>
  </w:style>
  <w:style w:type="paragraph" w:customStyle="1" w:styleId="01testo">
    <w:name w:val="01_testo"/>
    <w:basedOn w:val="Normale"/>
    <w:link w:val="01testoCarattere"/>
    <w:uiPriority w:val="99"/>
    <w:qFormat/>
    <w:rsid w:val="002671F7"/>
    <w:pPr>
      <w:spacing w:after="60"/>
      <w:jc w:val="both"/>
    </w:pPr>
    <w:rPr>
      <w:rFonts w:ascii="Arial" w:eastAsiaTheme="minorEastAsia" w:hAnsi="Arial" w:cs="Arial"/>
      <w:iCs/>
      <w:sz w:val="20"/>
      <w:szCs w:val="20"/>
      <w:lang w:val="en-GB" w:eastAsia="it-IT"/>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unhideWhenUsed/>
    <w:rsid w:val="00C526C2"/>
    <w:pPr>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526C2"/>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471A1E"/>
    <w:rPr>
      <w:rFonts w:ascii="Times New Roman" w:eastAsia="Calibri" w:hAnsi="Times New Roman" w:cs="Times New Roman"/>
      <w:szCs w:val="20"/>
      <w:lang w:eastAsia="it-IT"/>
    </w:rPr>
  </w:style>
  <w:style w:type="character" w:customStyle="1" w:styleId="CorpotestoCarattere">
    <w:name w:val="Corpo testo Carattere"/>
    <w:basedOn w:val="Carpredefinitoparagrafo"/>
    <w:link w:val="Corpotesto"/>
    <w:uiPriority w:val="99"/>
    <w:rsid w:val="00471A1E"/>
    <w:rPr>
      <w:rFonts w:ascii="Times New Roman" w:eastAsia="Calibri" w:hAnsi="Times New Roman" w:cs="Times New Roman"/>
      <w:szCs w:val="20"/>
      <w:lang w:eastAsia="it-IT"/>
    </w:rPr>
  </w:style>
  <w:style w:type="table" w:customStyle="1" w:styleId="Grigliatabella1">
    <w:name w:val="Griglia tabella1"/>
    <w:basedOn w:val="Tabellanormale"/>
    <w:next w:val="Grigliatabella"/>
    <w:uiPriority w:val="39"/>
    <w:rsid w:val="00042248"/>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9799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7996"/>
    <w:rPr>
      <w:rFonts w:ascii="Segoe UI" w:hAnsi="Segoe UI" w:cs="Segoe UI"/>
      <w:sz w:val="18"/>
      <w:szCs w:val="18"/>
    </w:rPr>
  </w:style>
  <w:style w:type="character" w:styleId="Rimandocommento">
    <w:name w:val="annotation reference"/>
    <w:basedOn w:val="Carpredefinitoparagrafo"/>
    <w:uiPriority w:val="99"/>
    <w:semiHidden/>
    <w:unhideWhenUsed/>
    <w:rsid w:val="00C10810"/>
    <w:rPr>
      <w:sz w:val="16"/>
      <w:szCs w:val="16"/>
    </w:rPr>
  </w:style>
  <w:style w:type="paragraph" w:styleId="Testocommento">
    <w:name w:val="annotation text"/>
    <w:basedOn w:val="Normale"/>
    <w:link w:val="TestocommentoCarattere"/>
    <w:uiPriority w:val="99"/>
    <w:unhideWhenUsed/>
    <w:rsid w:val="00C10810"/>
    <w:rPr>
      <w:sz w:val="20"/>
      <w:szCs w:val="20"/>
    </w:rPr>
  </w:style>
  <w:style w:type="character" w:customStyle="1" w:styleId="TestocommentoCarattere">
    <w:name w:val="Testo commento Carattere"/>
    <w:basedOn w:val="Carpredefinitoparagrafo"/>
    <w:link w:val="Testocommento"/>
    <w:uiPriority w:val="99"/>
    <w:rsid w:val="00C10810"/>
    <w:rPr>
      <w:sz w:val="20"/>
      <w:szCs w:val="20"/>
    </w:rPr>
  </w:style>
  <w:style w:type="paragraph" w:styleId="Soggettocommento">
    <w:name w:val="annotation subject"/>
    <w:basedOn w:val="Testocommento"/>
    <w:next w:val="Testocommento"/>
    <w:link w:val="SoggettocommentoCarattere"/>
    <w:uiPriority w:val="99"/>
    <w:semiHidden/>
    <w:unhideWhenUsed/>
    <w:rsid w:val="00C10810"/>
    <w:rPr>
      <w:b/>
      <w:bCs/>
    </w:rPr>
  </w:style>
  <w:style w:type="character" w:customStyle="1" w:styleId="SoggettocommentoCarattere">
    <w:name w:val="Soggetto commento Carattere"/>
    <w:basedOn w:val="TestocommentoCarattere"/>
    <w:link w:val="Soggettocommento"/>
    <w:uiPriority w:val="99"/>
    <w:semiHidden/>
    <w:rsid w:val="00C10810"/>
    <w:rPr>
      <w:b/>
      <w:bCs/>
      <w:sz w:val="20"/>
      <w:szCs w:val="20"/>
    </w:rPr>
  </w:style>
  <w:style w:type="paragraph" w:styleId="Revisione">
    <w:name w:val="Revision"/>
    <w:hidden/>
    <w:uiPriority w:val="99"/>
    <w:semiHidden/>
    <w:rsid w:val="00C10810"/>
  </w:style>
  <w:style w:type="character" w:styleId="Enfasicorsivo">
    <w:name w:val="Emphasis"/>
    <w:basedOn w:val="Carpredefinitoparagrafo"/>
    <w:uiPriority w:val="20"/>
    <w:qFormat/>
    <w:rsid w:val="00635F46"/>
    <w:rPr>
      <w:i/>
      <w:iCs/>
    </w:rPr>
  </w:style>
  <w:style w:type="table" w:styleId="Tabellagriglia2">
    <w:name w:val="Grid Table 2"/>
    <w:basedOn w:val="Tabellanormale"/>
    <w:uiPriority w:val="47"/>
    <w:rsid w:val="00354B7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semplice-2">
    <w:name w:val="Plain Table 2"/>
    <w:basedOn w:val="Tabellanormale"/>
    <w:uiPriority w:val="42"/>
    <w:rsid w:val="00354B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5">
    <w:name w:val="Plain Table 5"/>
    <w:basedOn w:val="Tabellanormale"/>
    <w:uiPriority w:val="45"/>
    <w:rsid w:val="00354B7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1">
    <w:name w:val="Plain Table 1"/>
    <w:basedOn w:val="Tabellanormale"/>
    <w:uiPriority w:val="41"/>
    <w:rsid w:val="00354B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4">
    <w:name w:val="Plain Table 4"/>
    <w:basedOn w:val="Tabellanormale"/>
    <w:uiPriority w:val="44"/>
    <w:rsid w:val="00354B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1chiara">
    <w:name w:val="Grid Table 1 Light"/>
    <w:basedOn w:val="Tabellanormale"/>
    <w:uiPriority w:val="46"/>
    <w:rsid w:val="00354B7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stonotadichiusura">
    <w:name w:val="endnote text"/>
    <w:basedOn w:val="Normale"/>
    <w:link w:val="TestonotadichiusuraCarattere"/>
    <w:uiPriority w:val="99"/>
    <w:semiHidden/>
    <w:unhideWhenUsed/>
    <w:rsid w:val="00014031"/>
    <w:rPr>
      <w:sz w:val="20"/>
      <w:szCs w:val="20"/>
    </w:rPr>
  </w:style>
  <w:style w:type="character" w:customStyle="1" w:styleId="TestonotadichiusuraCarattere">
    <w:name w:val="Testo nota di chiusura Carattere"/>
    <w:basedOn w:val="Carpredefinitoparagrafo"/>
    <w:link w:val="Testonotadichiusura"/>
    <w:uiPriority w:val="99"/>
    <w:semiHidden/>
    <w:rsid w:val="00014031"/>
    <w:rPr>
      <w:sz w:val="20"/>
      <w:szCs w:val="20"/>
    </w:rPr>
  </w:style>
  <w:style w:type="character" w:styleId="Rimandonotadichiusura">
    <w:name w:val="endnote reference"/>
    <w:basedOn w:val="Carpredefinitoparagrafo"/>
    <w:uiPriority w:val="99"/>
    <w:semiHidden/>
    <w:unhideWhenUsed/>
    <w:rsid w:val="00014031"/>
    <w:rPr>
      <w:vertAlign w:val="superscript"/>
    </w:rPr>
  </w:style>
  <w:style w:type="paragraph" w:customStyle="1" w:styleId="first-token">
    <w:name w:val="first-token"/>
    <w:basedOn w:val="Normale"/>
    <w:rsid w:val="0020439F"/>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6119B9"/>
    <w:pPr>
      <w:autoSpaceDE w:val="0"/>
      <w:autoSpaceDN w:val="0"/>
      <w:adjustRightInd w:val="0"/>
    </w:pPr>
    <w:rPr>
      <w:rFonts w:ascii="Arial" w:eastAsia="Times New Roman" w:hAnsi="Arial" w:cs="Arial"/>
      <w:color w:val="000000"/>
    </w:rPr>
  </w:style>
  <w:style w:type="paragraph" w:customStyle="1" w:styleId="Corpotesto1">
    <w:name w:val="Corpo testo1"/>
    <w:basedOn w:val="Normale"/>
    <w:rsid w:val="00D92723"/>
    <w:pPr>
      <w:jc w:val="both"/>
    </w:pPr>
    <w:rPr>
      <w:rFonts w:ascii="Times New Roman" w:eastAsia="Times New Roman" w:hAnsi="Times New Roman" w:cs="Times New Roman"/>
      <w:b/>
      <w:lang w:val="en-US"/>
    </w:rPr>
  </w:style>
  <w:style w:type="paragraph" w:styleId="Corpodeltesto2">
    <w:name w:val="Body Text 2"/>
    <w:basedOn w:val="Normale"/>
    <w:link w:val="Corpodeltesto2Carattere"/>
    <w:uiPriority w:val="99"/>
    <w:semiHidden/>
    <w:unhideWhenUsed/>
    <w:rsid w:val="00AC13C8"/>
    <w:pPr>
      <w:spacing w:after="120" w:line="480" w:lineRule="auto"/>
    </w:pPr>
  </w:style>
  <w:style w:type="character" w:customStyle="1" w:styleId="Corpodeltesto2Carattere">
    <w:name w:val="Corpo del testo 2 Carattere"/>
    <w:basedOn w:val="Carpredefinitoparagrafo"/>
    <w:link w:val="Corpodeltesto2"/>
    <w:uiPriority w:val="99"/>
    <w:semiHidden/>
    <w:rsid w:val="00AC13C8"/>
  </w:style>
  <w:style w:type="paragraph" w:customStyle="1" w:styleId="atext">
    <w:name w:val="atext"/>
    <w:basedOn w:val="Normale"/>
    <w:rsid w:val="00C017C7"/>
    <w:pPr>
      <w:spacing w:before="100" w:beforeAutospacing="1" w:after="100" w:afterAutospacing="1"/>
    </w:pPr>
    <w:rPr>
      <w:rFonts w:ascii="Times New Roman" w:eastAsia="Times New Roman" w:hAnsi="Times New Roman" w:cs="Times New Roman"/>
      <w:lang w:val="en-GB" w:eastAsia="en-GB"/>
    </w:rPr>
  </w:style>
  <w:style w:type="character" w:customStyle="1" w:styleId="object">
    <w:name w:val="object"/>
    <w:basedOn w:val="Carpredefinitoparagrafo"/>
    <w:rsid w:val="00E02451"/>
  </w:style>
  <w:style w:type="character" w:customStyle="1" w:styleId="Menzionenonrisolta1">
    <w:name w:val="Menzione non risolta1"/>
    <w:basedOn w:val="Carpredefinitoparagrafo"/>
    <w:uiPriority w:val="99"/>
    <w:semiHidden/>
    <w:unhideWhenUsed/>
    <w:rsid w:val="001B19CA"/>
    <w:rPr>
      <w:color w:val="605E5C"/>
      <w:shd w:val="clear" w:color="auto" w:fill="E1DFDD"/>
    </w:rPr>
  </w:style>
  <w:style w:type="character" w:customStyle="1" w:styleId="Menzionenonrisolta2">
    <w:name w:val="Menzione non risolta2"/>
    <w:basedOn w:val="Carpredefinitoparagrafo"/>
    <w:uiPriority w:val="99"/>
    <w:semiHidden/>
    <w:unhideWhenUsed/>
    <w:rsid w:val="00917747"/>
    <w:rPr>
      <w:color w:val="605E5C"/>
      <w:shd w:val="clear" w:color="auto" w:fill="E1DFDD"/>
    </w:rPr>
  </w:style>
  <w:style w:type="table" w:customStyle="1" w:styleId="Grigliatabella2">
    <w:name w:val="Griglia tabella2"/>
    <w:basedOn w:val="Tabellanormale"/>
    <w:next w:val="Grigliatabella"/>
    <w:uiPriority w:val="39"/>
    <w:rsid w:val="002938E6"/>
    <w:pPr>
      <w:spacing w:after="200" w:line="276"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3209">
      <w:bodyDiv w:val="1"/>
      <w:marLeft w:val="0"/>
      <w:marRight w:val="0"/>
      <w:marTop w:val="0"/>
      <w:marBottom w:val="0"/>
      <w:divBdr>
        <w:top w:val="none" w:sz="0" w:space="0" w:color="auto"/>
        <w:left w:val="none" w:sz="0" w:space="0" w:color="auto"/>
        <w:bottom w:val="none" w:sz="0" w:space="0" w:color="auto"/>
        <w:right w:val="none" w:sz="0" w:space="0" w:color="auto"/>
      </w:divBdr>
    </w:div>
    <w:div w:id="137113645">
      <w:bodyDiv w:val="1"/>
      <w:marLeft w:val="0"/>
      <w:marRight w:val="0"/>
      <w:marTop w:val="0"/>
      <w:marBottom w:val="0"/>
      <w:divBdr>
        <w:top w:val="none" w:sz="0" w:space="0" w:color="auto"/>
        <w:left w:val="none" w:sz="0" w:space="0" w:color="auto"/>
        <w:bottom w:val="none" w:sz="0" w:space="0" w:color="auto"/>
        <w:right w:val="none" w:sz="0" w:space="0" w:color="auto"/>
      </w:divBdr>
    </w:div>
    <w:div w:id="203519049">
      <w:bodyDiv w:val="1"/>
      <w:marLeft w:val="0"/>
      <w:marRight w:val="0"/>
      <w:marTop w:val="0"/>
      <w:marBottom w:val="0"/>
      <w:divBdr>
        <w:top w:val="none" w:sz="0" w:space="0" w:color="auto"/>
        <w:left w:val="none" w:sz="0" w:space="0" w:color="auto"/>
        <w:bottom w:val="none" w:sz="0" w:space="0" w:color="auto"/>
        <w:right w:val="none" w:sz="0" w:space="0" w:color="auto"/>
      </w:divBdr>
    </w:div>
    <w:div w:id="244843761">
      <w:bodyDiv w:val="1"/>
      <w:marLeft w:val="0"/>
      <w:marRight w:val="0"/>
      <w:marTop w:val="0"/>
      <w:marBottom w:val="0"/>
      <w:divBdr>
        <w:top w:val="none" w:sz="0" w:space="0" w:color="auto"/>
        <w:left w:val="none" w:sz="0" w:space="0" w:color="auto"/>
        <w:bottom w:val="none" w:sz="0" w:space="0" w:color="auto"/>
        <w:right w:val="none" w:sz="0" w:space="0" w:color="auto"/>
      </w:divBdr>
    </w:div>
    <w:div w:id="272565982">
      <w:bodyDiv w:val="1"/>
      <w:marLeft w:val="0"/>
      <w:marRight w:val="0"/>
      <w:marTop w:val="0"/>
      <w:marBottom w:val="0"/>
      <w:divBdr>
        <w:top w:val="none" w:sz="0" w:space="0" w:color="auto"/>
        <w:left w:val="none" w:sz="0" w:space="0" w:color="auto"/>
        <w:bottom w:val="none" w:sz="0" w:space="0" w:color="auto"/>
        <w:right w:val="none" w:sz="0" w:space="0" w:color="auto"/>
      </w:divBdr>
    </w:div>
    <w:div w:id="273678728">
      <w:bodyDiv w:val="1"/>
      <w:marLeft w:val="0"/>
      <w:marRight w:val="0"/>
      <w:marTop w:val="0"/>
      <w:marBottom w:val="0"/>
      <w:divBdr>
        <w:top w:val="none" w:sz="0" w:space="0" w:color="auto"/>
        <w:left w:val="none" w:sz="0" w:space="0" w:color="auto"/>
        <w:bottom w:val="none" w:sz="0" w:space="0" w:color="auto"/>
        <w:right w:val="none" w:sz="0" w:space="0" w:color="auto"/>
      </w:divBdr>
      <w:divsChild>
        <w:div w:id="520121259">
          <w:marLeft w:val="0"/>
          <w:marRight w:val="0"/>
          <w:marTop w:val="0"/>
          <w:marBottom w:val="0"/>
          <w:divBdr>
            <w:top w:val="none" w:sz="0" w:space="0" w:color="auto"/>
            <w:left w:val="none" w:sz="0" w:space="0" w:color="auto"/>
            <w:bottom w:val="none" w:sz="0" w:space="0" w:color="auto"/>
            <w:right w:val="none" w:sz="0" w:space="0" w:color="auto"/>
          </w:divBdr>
        </w:div>
      </w:divsChild>
    </w:div>
    <w:div w:id="277369820">
      <w:bodyDiv w:val="1"/>
      <w:marLeft w:val="0"/>
      <w:marRight w:val="0"/>
      <w:marTop w:val="0"/>
      <w:marBottom w:val="0"/>
      <w:divBdr>
        <w:top w:val="none" w:sz="0" w:space="0" w:color="auto"/>
        <w:left w:val="none" w:sz="0" w:space="0" w:color="auto"/>
        <w:bottom w:val="none" w:sz="0" w:space="0" w:color="auto"/>
        <w:right w:val="none" w:sz="0" w:space="0" w:color="auto"/>
      </w:divBdr>
    </w:div>
    <w:div w:id="324211130">
      <w:bodyDiv w:val="1"/>
      <w:marLeft w:val="0"/>
      <w:marRight w:val="0"/>
      <w:marTop w:val="0"/>
      <w:marBottom w:val="0"/>
      <w:divBdr>
        <w:top w:val="none" w:sz="0" w:space="0" w:color="auto"/>
        <w:left w:val="none" w:sz="0" w:space="0" w:color="auto"/>
        <w:bottom w:val="none" w:sz="0" w:space="0" w:color="auto"/>
        <w:right w:val="none" w:sz="0" w:space="0" w:color="auto"/>
      </w:divBdr>
    </w:div>
    <w:div w:id="334382068">
      <w:bodyDiv w:val="1"/>
      <w:marLeft w:val="0"/>
      <w:marRight w:val="0"/>
      <w:marTop w:val="0"/>
      <w:marBottom w:val="0"/>
      <w:divBdr>
        <w:top w:val="none" w:sz="0" w:space="0" w:color="auto"/>
        <w:left w:val="none" w:sz="0" w:space="0" w:color="auto"/>
        <w:bottom w:val="none" w:sz="0" w:space="0" w:color="auto"/>
        <w:right w:val="none" w:sz="0" w:space="0" w:color="auto"/>
      </w:divBdr>
    </w:div>
    <w:div w:id="356588359">
      <w:bodyDiv w:val="1"/>
      <w:marLeft w:val="0"/>
      <w:marRight w:val="0"/>
      <w:marTop w:val="0"/>
      <w:marBottom w:val="0"/>
      <w:divBdr>
        <w:top w:val="none" w:sz="0" w:space="0" w:color="auto"/>
        <w:left w:val="none" w:sz="0" w:space="0" w:color="auto"/>
        <w:bottom w:val="none" w:sz="0" w:space="0" w:color="auto"/>
        <w:right w:val="none" w:sz="0" w:space="0" w:color="auto"/>
      </w:divBdr>
    </w:div>
    <w:div w:id="368263968">
      <w:bodyDiv w:val="1"/>
      <w:marLeft w:val="0"/>
      <w:marRight w:val="0"/>
      <w:marTop w:val="0"/>
      <w:marBottom w:val="0"/>
      <w:divBdr>
        <w:top w:val="none" w:sz="0" w:space="0" w:color="auto"/>
        <w:left w:val="none" w:sz="0" w:space="0" w:color="auto"/>
        <w:bottom w:val="none" w:sz="0" w:space="0" w:color="auto"/>
        <w:right w:val="none" w:sz="0" w:space="0" w:color="auto"/>
      </w:divBdr>
    </w:div>
    <w:div w:id="368533240">
      <w:bodyDiv w:val="1"/>
      <w:marLeft w:val="0"/>
      <w:marRight w:val="0"/>
      <w:marTop w:val="0"/>
      <w:marBottom w:val="0"/>
      <w:divBdr>
        <w:top w:val="none" w:sz="0" w:space="0" w:color="auto"/>
        <w:left w:val="none" w:sz="0" w:space="0" w:color="auto"/>
        <w:bottom w:val="none" w:sz="0" w:space="0" w:color="auto"/>
        <w:right w:val="none" w:sz="0" w:space="0" w:color="auto"/>
      </w:divBdr>
    </w:div>
    <w:div w:id="415513822">
      <w:bodyDiv w:val="1"/>
      <w:marLeft w:val="0"/>
      <w:marRight w:val="0"/>
      <w:marTop w:val="0"/>
      <w:marBottom w:val="0"/>
      <w:divBdr>
        <w:top w:val="none" w:sz="0" w:space="0" w:color="auto"/>
        <w:left w:val="none" w:sz="0" w:space="0" w:color="auto"/>
        <w:bottom w:val="none" w:sz="0" w:space="0" w:color="auto"/>
        <w:right w:val="none" w:sz="0" w:space="0" w:color="auto"/>
      </w:divBdr>
    </w:div>
    <w:div w:id="424571293">
      <w:bodyDiv w:val="1"/>
      <w:marLeft w:val="0"/>
      <w:marRight w:val="0"/>
      <w:marTop w:val="0"/>
      <w:marBottom w:val="0"/>
      <w:divBdr>
        <w:top w:val="none" w:sz="0" w:space="0" w:color="auto"/>
        <w:left w:val="none" w:sz="0" w:space="0" w:color="auto"/>
        <w:bottom w:val="none" w:sz="0" w:space="0" w:color="auto"/>
        <w:right w:val="none" w:sz="0" w:space="0" w:color="auto"/>
      </w:divBdr>
    </w:div>
    <w:div w:id="498236802">
      <w:bodyDiv w:val="1"/>
      <w:marLeft w:val="0"/>
      <w:marRight w:val="0"/>
      <w:marTop w:val="0"/>
      <w:marBottom w:val="0"/>
      <w:divBdr>
        <w:top w:val="none" w:sz="0" w:space="0" w:color="auto"/>
        <w:left w:val="none" w:sz="0" w:space="0" w:color="auto"/>
        <w:bottom w:val="none" w:sz="0" w:space="0" w:color="auto"/>
        <w:right w:val="none" w:sz="0" w:space="0" w:color="auto"/>
      </w:divBdr>
    </w:div>
    <w:div w:id="585237435">
      <w:bodyDiv w:val="1"/>
      <w:marLeft w:val="0"/>
      <w:marRight w:val="0"/>
      <w:marTop w:val="0"/>
      <w:marBottom w:val="0"/>
      <w:divBdr>
        <w:top w:val="none" w:sz="0" w:space="0" w:color="auto"/>
        <w:left w:val="none" w:sz="0" w:space="0" w:color="auto"/>
        <w:bottom w:val="none" w:sz="0" w:space="0" w:color="auto"/>
        <w:right w:val="none" w:sz="0" w:space="0" w:color="auto"/>
      </w:divBdr>
    </w:div>
    <w:div w:id="601377440">
      <w:bodyDiv w:val="1"/>
      <w:marLeft w:val="0"/>
      <w:marRight w:val="0"/>
      <w:marTop w:val="0"/>
      <w:marBottom w:val="0"/>
      <w:divBdr>
        <w:top w:val="none" w:sz="0" w:space="0" w:color="auto"/>
        <w:left w:val="none" w:sz="0" w:space="0" w:color="auto"/>
        <w:bottom w:val="none" w:sz="0" w:space="0" w:color="auto"/>
        <w:right w:val="none" w:sz="0" w:space="0" w:color="auto"/>
      </w:divBdr>
    </w:div>
    <w:div w:id="606353624">
      <w:bodyDiv w:val="1"/>
      <w:marLeft w:val="0"/>
      <w:marRight w:val="0"/>
      <w:marTop w:val="0"/>
      <w:marBottom w:val="0"/>
      <w:divBdr>
        <w:top w:val="none" w:sz="0" w:space="0" w:color="auto"/>
        <w:left w:val="none" w:sz="0" w:space="0" w:color="auto"/>
        <w:bottom w:val="none" w:sz="0" w:space="0" w:color="auto"/>
        <w:right w:val="none" w:sz="0" w:space="0" w:color="auto"/>
      </w:divBdr>
    </w:div>
    <w:div w:id="629481900">
      <w:bodyDiv w:val="1"/>
      <w:marLeft w:val="0"/>
      <w:marRight w:val="0"/>
      <w:marTop w:val="0"/>
      <w:marBottom w:val="0"/>
      <w:divBdr>
        <w:top w:val="none" w:sz="0" w:space="0" w:color="auto"/>
        <w:left w:val="none" w:sz="0" w:space="0" w:color="auto"/>
        <w:bottom w:val="none" w:sz="0" w:space="0" w:color="auto"/>
        <w:right w:val="none" w:sz="0" w:space="0" w:color="auto"/>
      </w:divBdr>
    </w:div>
    <w:div w:id="650907343">
      <w:bodyDiv w:val="1"/>
      <w:marLeft w:val="0"/>
      <w:marRight w:val="0"/>
      <w:marTop w:val="0"/>
      <w:marBottom w:val="0"/>
      <w:divBdr>
        <w:top w:val="none" w:sz="0" w:space="0" w:color="auto"/>
        <w:left w:val="none" w:sz="0" w:space="0" w:color="auto"/>
        <w:bottom w:val="none" w:sz="0" w:space="0" w:color="auto"/>
        <w:right w:val="none" w:sz="0" w:space="0" w:color="auto"/>
      </w:divBdr>
    </w:div>
    <w:div w:id="738208310">
      <w:bodyDiv w:val="1"/>
      <w:marLeft w:val="0"/>
      <w:marRight w:val="0"/>
      <w:marTop w:val="0"/>
      <w:marBottom w:val="0"/>
      <w:divBdr>
        <w:top w:val="none" w:sz="0" w:space="0" w:color="auto"/>
        <w:left w:val="none" w:sz="0" w:space="0" w:color="auto"/>
        <w:bottom w:val="none" w:sz="0" w:space="0" w:color="auto"/>
        <w:right w:val="none" w:sz="0" w:space="0" w:color="auto"/>
      </w:divBdr>
    </w:div>
    <w:div w:id="747464152">
      <w:bodyDiv w:val="1"/>
      <w:marLeft w:val="0"/>
      <w:marRight w:val="0"/>
      <w:marTop w:val="0"/>
      <w:marBottom w:val="0"/>
      <w:divBdr>
        <w:top w:val="none" w:sz="0" w:space="0" w:color="auto"/>
        <w:left w:val="none" w:sz="0" w:space="0" w:color="auto"/>
        <w:bottom w:val="none" w:sz="0" w:space="0" w:color="auto"/>
        <w:right w:val="none" w:sz="0" w:space="0" w:color="auto"/>
      </w:divBdr>
    </w:div>
    <w:div w:id="772748200">
      <w:bodyDiv w:val="1"/>
      <w:marLeft w:val="0"/>
      <w:marRight w:val="0"/>
      <w:marTop w:val="0"/>
      <w:marBottom w:val="0"/>
      <w:divBdr>
        <w:top w:val="none" w:sz="0" w:space="0" w:color="auto"/>
        <w:left w:val="none" w:sz="0" w:space="0" w:color="auto"/>
        <w:bottom w:val="none" w:sz="0" w:space="0" w:color="auto"/>
        <w:right w:val="none" w:sz="0" w:space="0" w:color="auto"/>
      </w:divBdr>
    </w:div>
    <w:div w:id="844980966">
      <w:bodyDiv w:val="1"/>
      <w:marLeft w:val="0"/>
      <w:marRight w:val="0"/>
      <w:marTop w:val="0"/>
      <w:marBottom w:val="0"/>
      <w:divBdr>
        <w:top w:val="none" w:sz="0" w:space="0" w:color="auto"/>
        <w:left w:val="none" w:sz="0" w:space="0" w:color="auto"/>
        <w:bottom w:val="none" w:sz="0" w:space="0" w:color="auto"/>
        <w:right w:val="none" w:sz="0" w:space="0" w:color="auto"/>
      </w:divBdr>
    </w:div>
    <w:div w:id="852570255">
      <w:bodyDiv w:val="1"/>
      <w:marLeft w:val="0"/>
      <w:marRight w:val="0"/>
      <w:marTop w:val="0"/>
      <w:marBottom w:val="0"/>
      <w:divBdr>
        <w:top w:val="none" w:sz="0" w:space="0" w:color="auto"/>
        <w:left w:val="none" w:sz="0" w:space="0" w:color="auto"/>
        <w:bottom w:val="none" w:sz="0" w:space="0" w:color="auto"/>
        <w:right w:val="none" w:sz="0" w:space="0" w:color="auto"/>
      </w:divBdr>
    </w:div>
    <w:div w:id="882983627">
      <w:bodyDiv w:val="1"/>
      <w:marLeft w:val="0"/>
      <w:marRight w:val="0"/>
      <w:marTop w:val="0"/>
      <w:marBottom w:val="0"/>
      <w:divBdr>
        <w:top w:val="none" w:sz="0" w:space="0" w:color="auto"/>
        <w:left w:val="none" w:sz="0" w:space="0" w:color="auto"/>
        <w:bottom w:val="none" w:sz="0" w:space="0" w:color="auto"/>
        <w:right w:val="none" w:sz="0" w:space="0" w:color="auto"/>
      </w:divBdr>
    </w:div>
    <w:div w:id="917980785">
      <w:bodyDiv w:val="1"/>
      <w:marLeft w:val="0"/>
      <w:marRight w:val="0"/>
      <w:marTop w:val="0"/>
      <w:marBottom w:val="0"/>
      <w:divBdr>
        <w:top w:val="none" w:sz="0" w:space="0" w:color="auto"/>
        <w:left w:val="none" w:sz="0" w:space="0" w:color="auto"/>
        <w:bottom w:val="none" w:sz="0" w:space="0" w:color="auto"/>
        <w:right w:val="none" w:sz="0" w:space="0" w:color="auto"/>
      </w:divBdr>
    </w:div>
    <w:div w:id="926890454">
      <w:bodyDiv w:val="1"/>
      <w:marLeft w:val="0"/>
      <w:marRight w:val="0"/>
      <w:marTop w:val="0"/>
      <w:marBottom w:val="0"/>
      <w:divBdr>
        <w:top w:val="none" w:sz="0" w:space="0" w:color="auto"/>
        <w:left w:val="none" w:sz="0" w:space="0" w:color="auto"/>
        <w:bottom w:val="none" w:sz="0" w:space="0" w:color="auto"/>
        <w:right w:val="none" w:sz="0" w:space="0" w:color="auto"/>
      </w:divBdr>
    </w:div>
    <w:div w:id="953705364">
      <w:bodyDiv w:val="1"/>
      <w:marLeft w:val="0"/>
      <w:marRight w:val="0"/>
      <w:marTop w:val="0"/>
      <w:marBottom w:val="0"/>
      <w:divBdr>
        <w:top w:val="none" w:sz="0" w:space="0" w:color="auto"/>
        <w:left w:val="none" w:sz="0" w:space="0" w:color="auto"/>
        <w:bottom w:val="none" w:sz="0" w:space="0" w:color="auto"/>
        <w:right w:val="none" w:sz="0" w:space="0" w:color="auto"/>
      </w:divBdr>
    </w:div>
    <w:div w:id="958872096">
      <w:bodyDiv w:val="1"/>
      <w:marLeft w:val="0"/>
      <w:marRight w:val="0"/>
      <w:marTop w:val="0"/>
      <w:marBottom w:val="0"/>
      <w:divBdr>
        <w:top w:val="none" w:sz="0" w:space="0" w:color="auto"/>
        <w:left w:val="none" w:sz="0" w:space="0" w:color="auto"/>
        <w:bottom w:val="none" w:sz="0" w:space="0" w:color="auto"/>
        <w:right w:val="none" w:sz="0" w:space="0" w:color="auto"/>
      </w:divBdr>
    </w:div>
    <w:div w:id="1000738813">
      <w:bodyDiv w:val="1"/>
      <w:marLeft w:val="0"/>
      <w:marRight w:val="0"/>
      <w:marTop w:val="0"/>
      <w:marBottom w:val="0"/>
      <w:divBdr>
        <w:top w:val="none" w:sz="0" w:space="0" w:color="auto"/>
        <w:left w:val="none" w:sz="0" w:space="0" w:color="auto"/>
        <w:bottom w:val="none" w:sz="0" w:space="0" w:color="auto"/>
        <w:right w:val="none" w:sz="0" w:space="0" w:color="auto"/>
      </w:divBdr>
    </w:div>
    <w:div w:id="1102796793">
      <w:bodyDiv w:val="1"/>
      <w:marLeft w:val="0"/>
      <w:marRight w:val="0"/>
      <w:marTop w:val="0"/>
      <w:marBottom w:val="0"/>
      <w:divBdr>
        <w:top w:val="none" w:sz="0" w:space="0" w:color="auto"/>
        <w:left w:val="none" w:sz="0" w:space="0" w:color="auto"/>
        <w:bottom w:val="none" w:sz="0" w:space="0" w:color="auto"/>
        <w:right w:val="none" w:sz="0" w:space="0" w:color="auto"/>
      </w:divBdr>
    </w:div>
    <w:div w:id="1162349465">
      <w:bodyDiv w:val="1"/>
      <w:marLeft w:val="0"/>
      <w:marRight w:val="0"/>
      <w:marTop w:val="0"/>
      <w:marBottom w:val="0"/>
      <w:divBdr>
        <w:top w:val="none" w:sz="0" w:space="0" w:color="auto"/>
        <w:left w:val="none" w:sz="0" w:space="0" w:color="auto"/>
        <w:bottom w:val="none" w:sz="0" w:space="0" w:color="auto"/>
        <w:right w:val="none" w:sz="0" w:space="0" w:color="auto"/>
      </w:divBdr>
    </w:div>
    <w:div w:id="1239826895">
      <w:bodyDiv w:val="1"/>
      <w:marLeft w:val="0"/>
      <w:marRight w:val="0"/>
      <w:marTop w:val="0"/>
      <w:marBottom w:val="0"/>
      <w:divBdr>
        <w:top w:val="none" w:sz="0" w:space="0" w:color="auto"/>
        <w:left w:val="none" w:sz="0" w:space="0" w:color="auto"/>
        <w:bottom w:val="none" w:sz="0" w:space="0" w:color="auto"/>
        <w:right w:val="none" w:sz="0" w:space="0" w:color="auto"/>
      </w:divBdr>
    </w:div>
    <w:div w:id="1271090628">
      <w:bodyDiv w:val="1"/>
      <w:marLeft w:val="0"/>
      <w:marRight w:val="0"/>
      <w:marTop w:val="0"/>
      <w:marBottom w:val="0"/>
      <w:divBdr>
        <w:top w:val="none" w:sz="0" w:space="0" w:color="auto"/>
        <w:left w:val="none" w:sz="0" w:space="0" w:color="auto"/>
        <w:bottom w:val="none" w:sz="0" w:space="0" w:color="auto"/>
        <w:right w:val="none" w:sz="0" w:space="0" w:color="auto"/>
      </w:divBdr>
    </w:div>
    <w:div w:id="1390955139">
      <w:bodyDiv w:val="1"/>
      <w:marLeft w:val="0"/>
      <w:marRight w:val="0"/>
      <w:marTop w:val="0"/>
      <w:marBottom w:val="0"/>
      <w:divBdr>
        <w:top w:val="none" w:sz="0" w:space="0" w:color="auto"/>
        <w:left w:val="none" w:sz="0" w:space="0" w:color="auto"/>
        <w:bottom w:val="none" w:sz="0" w:space="0" w:color="auto"/>
        <w:right w:val="none" w:sz="0" w:space="0" w:color="auto"/>
      </w:divBdr>
    </w:div>
    <w:div w:id="1457486162">
      <w:bodyDiv w:val="1"/>
      <w:marLeft w:val="0"/>
      <w:marRight w:val="0"/>
      <w:marTop w:val="0"/>
      <w:marBottom w:val="0"/>
      <w:divBdr>
        <w:top w:val="none" w:sz="0" w:space="0" w:color="auto"/>
        <w:left w:val="none" w:sz="0" w:space="0" w:color="auto"/>
        <w:bottom w:val="none" w:sz="0" w:space="0" w:color="auto"/>
        <w:right w:val="none" w:sz="0" w:space="0" w:color="auto"/>
      </w:divBdr>
    </w:div>
    <w:div w:id="1517307646">
      <w:bodyDiv w:val="1"/>
      <w:marLeft w:val="0"/>
      <w:marRight w:val="0"/>
      <w:marTop w:val="0"/>
      <w:marBottom w:val="0"/>
      <w:divBdr>
        <w:top w:val="none" w:sz="0" w:space="0" w:color="auto"/>
        <w:left w:val="none" w:sz="0" w:space="0" w:color="auto"/>
        <w:bottom w:val="none" w:sz="0" w:space="0" w:color="auto"/>
        <w:right w:val="none" w:sz="0" w:space="0" w:color="auto"/>
      </w:divBdr>
      <w:divsChild>
        <w:div w:id="1957787715">
          <w:marLeft w:val="0"/>
          <w:marRight w:val="0"/>
          <w:marTop w:val="0"/>
          <w:marBottom w:val="0"/>
          <w:divBdr>
            <w:top w:val="none" w:sz="0" w:space="0" w:color="auto"/>
            <w:left w:val="none" w:sz="0" w:space="0" w:color="auto"/>
            <w:bottom w:val="none" w:sz="0" w:space="0" w:color="auto"/>
            <w:right w:val="none" w:sz="0" w:space="0" w:color="auto"/>
          </w:divBdr>
          <w:divsChild>
            <w:div w:id="1550191280">
              <w:marLeft w:val="0"/>
              <w:marRight w:val="0"/>
              <w:marTop w:val="0"/>
              <w:marBottom w:val="0"/>
              <w:divBdr>
                <w:top w:val="none" w:sz="0" w:space="0" w:color="auto"/>
                <w:left w:val="none" w:sz="0" w:space="0" w:color="auto"/>
                <w:bottom w:val="none" w:sz="0" w:space="0" w:color="auto"/>
                <w:right w:val="none" w:sz="0" w:space="0" w:color="auto"/>
              </w:divBdr>
              <w:divsChild>
                <w:div w:id="538396576">
                  <w:marLeft w:val="0"/>
                  <w:marRight w:val="0"/>
                  <w:marTop w:val="0"/>
                  <w:marBottom w:val="0"/>
                  <w:divBdr>
                    <w:top w:val="none" w:sz="0" w:space="0" w:color="auto"/>
                    <w:left w:val="none" w:sz="0" w:space="0" w:color="auto"/>
                    <w:bottom w:val="none" w:sz="0" w:space="0" w:color="auto"/>
                    <w:right w:val="none" w:sz="0" w:space="0" w:color="auto"/>
                  </w:divBdr>
                  <w:divsChild>
                    <w:div w:id="1917277831">
                      <w:marLeft w:val="0"/>
                      <w:marRight w:val="0"/>
                      <w:marTop w:val="0"/>
                      <w:marBottom w:val="0"/>
                      <w:divBdr>
                        <w:top w:val="none" w:sz="0" w:space="0" w:color="auto"/>
                        <w:left w:val="none" w:sz="0" w:space="0" w:color="auto"/>
                        <w:bottom w:val="none" w:sz="0" w:space="0" w:color="auto"/>
                        <w:right w:val="none" w:sz="0" w:space="0" w:color="auto"/>
                      </w:divBdr>
                      <w:divsChild>
                        <w:div w:id="18255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510">
              <w:marLeft w:val="0"/>
              <w:marRight w:val="0"/>
              <w:marTop w:val="0"/>
              <w:marBottom w:val="0"/>
              <w:divBdr>
                <w:top w:val="none" w:sz="0" w:space="0" w:color="auto"/>
                <w:left w:val="none" w:sz="0" w:space="0" w:color="auto"/>
                <w:bottom w:val="none" w:sz="0" w:space="0" w:color="auto"/>
                <w:right w:val="none" w:sz="0" w:space="0" w:color="auto"/>
              </w:divBdr>
              <w:divsChild>
                <w:div w:id="957220250">
                  <w:marLeft w:val="0"/>
                  <w:marRight w:val="0"/>
                  <w:marTop w:val="0"/>
                  <w:marBottom w:val="0"/>
                  <w:divBdr>
                    <w:top w:val="none" w:sz="0" w:space="0" w:color="auto"/>
                    <w:left w:val="none" w:sz="0" w:space="0" w:color="auto"/>
                    <w:bottom w:val="none" w:sz="0" w:space="0" w:color="auto"/>
                    <w:right w:val="none" w:sz="0" w:space="0" w:color="auto"/>
                  </w:divBdr>
                  <w:divsChild>
                    <w:div w:id="493111409">
                      <w:marLeft w:val="0"/>
                      <w:marRight w:val="0"/>
                      <w:marTop w:val="0"/>
                      <w:marBottom w:val="0"/>
                      <w:divBdr>
                        <w:top w:val="none" w:sz="0" w:space="0" w:color="auto"/>
                        <w:left w:val="none" w:sz="0" w:space="0" w:color="auto"/>
                        <w:bottom w:val="none" w:sz="0" w:space="0" w:color="auto"/>
                        <w:right w:val="none" w:sz="0" w:space="0" w:color="auto"/>
                      </w:divBdr>
                      <w:divsChild>
                        <w:div w:id="334919693">
                          <w:marLeft w:val="0"/>
                          <w:marRight w:val="0"/>
                          <w:marTop w:val="0"/>
                          <w:marBottom w:val="0"/>
                          <w:divBdr>
                            <w:top w:val="none" w:sz="0" w:space="0" w:color="auto"/>
                            <w:left w:val="none" w:sz="0" w:space="0" w:color="auto"/>
                            <w:bottom w:val="none" w:sz="0" w:space="0" w:color="auto"/>
                            <w:right w:val="none" w:sz="0" w:space="0" w:color="auto"/>
                          </w:divBdr>
                        </w:div>
                        <w:div w:id="1066345375">
                          <w:marLeft w:val="0"/>
                          <w:marRight w:val="0"/>
                          <w:marTop w:val="0"/>
                          <w:marBottom w:val="0"/>
                          <w:divBdr>
                            <w:top w:val="none" w:sz="0" w:space="0" w:color="auto"/>
                            <w:left w:val="none" w:sz="0" w:space="0" w:color="auto"/>
                            <w:bottom w:val="none" w:sz="0" w:space="0" w:color="auto"/>
                            <w:right w:val="none" w:sz="0" w:space="0" w:color="auto"/>
                          </w:divBdr>
                          <w:divsChild>
                            <w:div w:id="11354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606110">
      <w:bodyDiv w:val="1"/>
      <w:marLeft w:val="0"/>
      <w:marRight w:val="0"/>
      <w:marTop w:val="0"/>
      <w:marBottom w:val="0"/>
      <w:divBdr>
        <w:top w:val="none" w:sz="0" w:space="0" w:color="auto"/>
        <w:left w:val="none" w:sz="0" w:space="0" w:color="auto"/>
        <w:bottom w:val="none" w:sz="0" w:space="0" w:color="auto"/>
        <w:right w:val="none" w:sz="0" w:space="0" w:color="auto"/>
      </w:divBdr>
    </w:div>
    <w:div w:id="1637485037">
      <w:bodyDiv w:val="1"/>
      <w:marLeft w:val="0"/>
      <w:marRight w:val="0"/>
      <w:marTop w:val="0"/>
      <w:marBottom w:val="0"/>
      <w:divBdr>
        <w:top w:val="none" w:sz="0" w:space="0" w:color="auto"/>
        <w:left w:val="none" w:sz="0" w:space="0" w:color="auto"/>
        <w:bottom w:val="none" w:sz="0" w:space="0" w:color="auto"/>
        <w:right w:val="none" w:sz="0" w:space="0" w:color="auto"/>
      </w:divBdr>
    </w:div>
    <w:div w:id="1678847618">
      <w:bodyDiv w:val="1"/>
      <w:marLeft w:val="0"/>
      <w:marRight w:val="0"/>
      <w:marTop w:val="0"/>
      <w:marBottom w:val="0"/>
      <w:divBdr>
        <w:top w:val="none" w:sz="0" w:space="0" w:color="auto"/>
        <w:left w:val="none" w:sz="0" w:space="0" w:color="auto"/>
        <w:bottom w:val="none" w:sz="0" w:space="0" w:color="auto"/>
        <w:right w:val="none" w:sz="0" w:space="0" w:color="auto"/>
      </w:divBdr>
    </w:div>
    <w:div w:id="1679700206">
      <w:bodyDiv w:val="1"/>
      <w:marLeft w:val="0"/>
      <w:marRight w:val="0"/>
      <w:marTop w:val="0"/>
      <w:marBottom w:val="0"/>
      <w:divBdr>
        <w:top w:val="none" w:sz="0" w:space="0" w:color="auto"/>
        <w:left w:val="none" w:sz="0" w:space="0" w:color="auto"/>
        <w:bottom w:val="none" w:sz="0" w:space="0" w:color="auto"/>
        <w:right w:val="none" w:sz="0" w:space="0" w:color="auto"/>
      </w:divBdr>
    </w:div>
    <w:div w:id="1703240775">
      <w:bodyDiv w:val="1"/>
      <w:marLeft w:val="0"/>
      <w:marRight w:val="0"/>
      <w:marTop w:val="0"/>
      <w:marBottom w:val="0"/>
      <w:divBdr>
        <w:top w:val="none" w:sz="0" w:space="0" w:color="auto"/>
        <w:left w:val="none" w:sz="0" w:space="0" w:color="auto"/>
        <w:bottom w:val="none" w:sz="0" w:space="0" w:color="auto"/>
        <w:right w:val="none" w:sz="0" w:space="0" w:color="auto"/>
      </w:divBdr>
    </w:div>
    <w:div w:id="1749425053">
      <w:bodyDiv w:val="1"/>
      <w:marLeft w:val="0"/>
      <w:marRight w:val="0"/>
      <w:marTop w:val="0"/>
      <w:marBottom w:val="0"/>
      <w:divBdr>
        <w:top w:val="none" w:sz="0" w:space="0" w:color="auto"/>
        <w:left w:val="none" w:sz="0" w:space="0" w:color="auto"/>
        <w:bottom w:val="none" w:sz="0" w:space="0" w:color="auto"/>
        <w:right w:val="none" w:sz="0" w:space="0" w:color="auto"/>
      </w:divBdr>
    </w:div>
    <w:div w:id="1760248336">
      <w:bodyDiv w:val="1"/>
      <w:marLeft w:val="0"/>
      <w:marRight w:val="0"/>
      <w:marTop w:val="0"/>
      <w:marBottom w:val="0"/>
      <w:divBdr>
        <w:top w:val="none" w:sz="0" w:space="0" w:color="auto"/>
        <w:left w:val="none" w:sz="0" w:space="0" w:color="auto"/>
        <w:bottom w:val="none" w:sz="0" w:space="0" w:color="auto"/>
        <w:right w:val="none" w:sz="0" w:space="0" w:color="auto"/>
      </w:divBdr>
      <w:divsChild>
        <w:div w:id="648285628">
          <w:marLeft w:val="0"/>
          <w:marRight w:val="0"/>
          <w:marTop w:val="0"/>
          <w:marBottom w:val="0"/>
          <w:divBdr>
            <w:top w:val="none" w:sz="0" w:space="0" w:color="auto"/>
            <w:left w:val="none" w:sz="0" w:space="0" w:color="auto"/>
            <w:bottom w:val="none" w:sz="0" w:space="0" w:color="auto"/>
            <w:right w:val="none" w:sz="0" w:space="0" w:color="auto"/>
          </w:divBdr>
          <w:divsChild>
            <w:div w:id="1577128889">
              <w:marLeft w:val="0"/>
              <w:marRight w:val="0"/>
              <w:marTop w:val="0"/>
              <w:marBottom w:val="0"/>
              <w:divBdr>
                <w:top w:val="none" w:sz="0" w:space="0" w:color="auto"/>
                <w:left w:val="none" w:sz="0" w:space="0" w:color="auto"/>
                <w:bottom w:val="none" w:sz="0" w:space="0" w:color="auto"/>
                <w:right w:val="none" w:sz="0" w:space="0" w:color="auto"/>
              </w:divBdr>
              <w:divsChild>
                <w:div w:id="1173376074">
                  <w:marLeft w:val="0"/>
                  <w:marRight w:val="0"/>
                  <w:marTop w:val="0"/>
                  <w:marBottom w:val="0"/>
                  <w:divBdr>
                    <w:top w:val="none" w:sz="0" w:space="0" w:color="auto"/>
                    <w:left w:val="none" w:sz="0" w:space="0" w:color="auto"/>
                    <w:bottom w:val="none" w:sz="0" w:space="0" w:color="auto"/>
                    <w:right w:val="none" w:sz="0" w:space="0" w:color="auto"/>
                  </w:divBdr>
                  <w:divsChild>
                    <w:div w:id="1728526218">
                      <w:marLeft w:val="0"/>
                      <w:marRight w:val="0"/>
                      <w:marTop w:val="0"/>
                      <w:marBottom w:val="0"/>
                      <w:divBdr>
                        <w:top w:val="none" w:sz="0" w:space="0" w:color="auto"/>
                        <w:left w:val="none" w:sz="0" w:space="0" w:color="auto"/>
                        <w:bottom w:val="none" w:sz="0" w:space="0" w:color="auto"/>
                        <w:right w:val="none" w:sz="0" w:space="0" w:color="auto"/>
                      </w:divBdr>
                      <w:divsChild>
                        <w:div w:id="8093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7798">
              <w:marLeft w:val="0"/>
              <w:marRight w:val="0"/>
              <w:marTop w:val="0"/>
              <w:marBottom w:val="0"/>
              <w:divBdr>
                <w:top w:val="none" w:sz="0" w:space="0" w:color="auto"/>
                <w:left w:val="none" w:sz="0" w:space="0" w:color="auto"/>
                <w:bottom w:val="none" w:sz="0" w:space="0" w:color="auto"/>
                <w:right w:val="none" w:sz="0" w:space="0" w:color="auto"/>
              </w:divBdr>
              <w:divsChild>
                <w:div w:id="887691684">
                  <w:marLeft w:val="0"/>
                  <w:marRight w:val="0"/>
                  <w:marTop w:val="0"/>
                  <w:marBottom w:val="0"/>
                  <w:divBdr>
                    <w:top w:val="none" w:sz="0" w:space="0" w:color="auto"/>
                    <w:left w:val="none" w:sz="0" w:space="0" w:color="auto"/>
                    <w:bottom w:val="none" w:sz="0" w:space="0" w:color="auto"/>
                    <w:right w:val="none" w:sz="0" w:space="0" w:color="auto"/>
                  </w:divBdr>
                  <w:divsChild>
                    <w:div w:id="359824054">
                      <w:marLeft w:val="0"/>
                      <w:marRight w:val="0"/>
                      <w:marTop w:val="0"/>
                      <w:marBottom w:val="0"/>
                      <w:divBdr>
                        <w:top w:val="none" w:sz="0" w:space="0" w:color="auto"/>
                        <w:left w:val="none" w:sz="0" w:space="0" w:color="auto"/>
                        <w:bottom w:val="none" w:sz="0" w:space="0" w:color="auto"/>
                        <w:right w:val="none" w:sz="0" w:space="0" w:color="auto"/>
                      </w:divBdr>
                      <w:divsChild>
                        <w:div w:id="511335004">
                          <w:marLeft w:val="0"/>
                          <w:marRight w:val="0"/>
                          <w:marTop w:val="0"/>
                          <w:marBottom w:val="0"/>
                          <w:divBdr>
                            <w:top w:val="none" w:sz="0" w:space="0" w:color="auto"/>
                            <w:left w:val="none" w:sz="0" w:space="0" w:color="auto"/>
                            <w:bottom w:val="none" w:sz="0" w:space="0" w:color="auto"/>
                            <w:right w:val="none" w:sz="0" w:space="0" w:color="auto"/>
                          </w:divBdr>
                        </w:div>
                        <w:div w:id="321667437">
                          <w:marLeft w:val="0"/>
                          <w:marRight w:val="0"/>
                          <w:marTop w:val="0"/>
                          <w:marBottom w:val="0"/>
                          <w:divBdr>
                            <w:top w:val="none" w:sz="0" w:space="0" w:color="auto"/>
                            <w:left w:val="none" w:sz="0" w:space="0" w:color="auto"/>
                            <w:bottom w:val="none" w:sz="0" w:space="0" w:color="auto"/>
                            <w:right w:val="none" w:sz="0" w:space="0" w:color="auto"/>
                          </w:divBdr>
                          <w:divsChild>
                            <w:div w:id="445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43793">
      <w:bodyDiv w:val="1"/>
      <w:marLeft w:val="0"/>
      <w:marRight w:val="0"/>
      <w:marTop w:val="0"/>
      <w:marBottom w:val="0"/>
      <w:divBdr>
        <w:top w:val="none" w:sz="0" w:space="0" w:color="auto"/>
        <w:left w:val="none" w:sz="0" w:space="0" w:color="auto"/>
        <w:bottom w:val="none" w:sz="0" w:space="0" w:color="auto"/>
        <w:right w:val="none" w:sz="0" w:space="0" w:color="auto"/>
      </w:divBdr>
    </w:div>
    <w:div w:id="1821187976">
      <w:bodyDiv w:val="1"/>
      <w:marLeft w:val="0"/>
      <w:marRight w:val="0"/>
      <w:marTop w:val="0"/>
      <w:marBottom w:val="0"/>
      <w:divBdr>
        <w:top w:val="none" w:sz="0" w:space="0" w:color="auto"/>
        <w:left w:val="none" w:sz="0" w:space="0" w:color="auto"/>
        <w:bottom w:val="none" w:sz="0" w:space="0" w:color="auto"/>
        <w:right w:val="none" w:sz="0" w:space="0" w:color="auto"/>
      </w:divBdr>
    </w:div>
    <w:div w:id="1849757443">
      <w:bodyDiv w:val="1"/>
      <w:marLeft w:val="0"/>
      <w:marRight w:val="0"/>
      <w:marTop w:val="0"/>
      <w:marBottom w:val="0"/>
      <w:divBdr>
        <w:top w:val="none" w:sz="0" w:space="0" w:color="auto"/>
        <w:left w:val="none" w:sz="0" w:space="0" w:color="auto"/>
        <w:bottom w:val="none" w:sz="0" w:space="0" w:color="auto"/>
        <w:right w:val="none" w:sz="0" w:space="0" w:color="auto"/>
      </w:divBdr>
    </w:div>
    <w:div w:id="1887250735">
      <w:bodyDiv w:val="1"/>
      <w:marLeft w:val="0"/>
      <w:marRight w:val="0"/>
      <w:marTop w:val="0"/>
      <w:marBottom w:val="0"/>
      <w:divBdr>
        <w:top w:val="none" w:sz="0" w:space="0" w:color="auto"/>
        <w:left w:val="none" w:sz="0" w:space="0" w:color="auto"/>
        <w:bottom w:val="none" w:sz="0" w:space="0" w:color="auto"/>
        <w:right w:val="none" w:sz="0" w:space="0" w:color="auto"/>
      </w:divBdr>
    </w:div>
    <w:div w:id="1902713873">
      <w:bodyDiv w:val="1"/>
      <w:marLeft w:val="0"/>
      <w:marRight w:val="0"/>
      <w:marTop w:val="0"/>
      <w:marBottom w:val="0"/>
      <w:divBdr>
        <w:top w:val="none" w:sz="0" w:space="0" w:color="auto"/>
        <w:left w:val="none" w:sz="0" w:space="0" w:color="auto"/>
        <w:bottom w:val="none" w:sz="0" w:space="0" w:color="auto"/>
        <w:right w:val="none" w:sz="0" w:space="0" w:color="auto"/>
      </w:divBdr>
    </w:div>
    <w:div w:id="1929578008">
      <w:bodyDiv w:val="1"/>
      <w:marLeft w:val="0"/>
      <w:marRight w:val="0"/>
      <w:marTop w:val="0"/>
      <w:marBottom w:val="0"/>
      <w:divBdr>
        <w:top w:val="none" w:sz="0" w:space="0" w:color="auto"/>
        <w:left w:val="none" w:sz="0" w:space="0" w:color="auto"/>
        <w:bottom w:val="none" w:sz="0" w:space="0" w:color="auto"/>
        <w:right w:val="none" w:sz="0" w:space="0" w:color="auto"/>
      </w:divBdr>
    </w:div>
    <w:div w:id="1984776893">
      <w:bodyDiv w:val="1"/>
      <w:marLeft w:val="0"/>
      <w:marRight w:val="0"/>
      <w:marTop w:val="0"/>
      <w:marBottom w:val="0"/>
      <w:divBdr>
        <w:top w:val="none" w:sz="0" w:space="0" w:color="auto"/>
        <w:left w:val="none" w:sz="0" w:space="0" w:color="auto"/>
        <w:bottom w:val="none" w:sz="0" w:space="0" w:color="auto"/>
        <w:right w:val="none" w:sz="0" w:space="0" w:color="auto"/>
      </w:divBdr>
    </w:div>
    <w:div w:id="2009012819">
      <w:bodyDiv w:val="1"/>
      <w:marLeft w:val="0"/>
      <w:marRight w:val="0"/>
      <w:marTop w:val="0"/>
      <w:marBottom w:val="0"/>
      <w:divBdr>
        <w:top w:val="none" w:sz="0" w:space="0" w:color="auto"/>
        <w:left w:val="none" w:sz="0" w:space="0" w:color="auto"/>
        <w:bottom w:val="none" w:sz="0" w:space="0" w:color="auto"/>
        <w:right w:val="none" w:sz="0" w:space="0" w:color="auto"/>
      </w:divBdr>
    </w:div>
    <w:div w:id="2063015567">
      <w:bodyDiv w:val="1"/>
      <w:marLeft w:val="0"/>
      <w:marRight w:val="0"/>
      <w:marTop w:val="0"/>
      <w:marBottom w:val="0"/>
      <w:divBdr>
        <w:top w:val="none" w:sz="0" w:space="0" w:color="auto"/>
        <w:left w:val="none" w:sz="0" w:space="0" w:color="auto"/>
        <w:bottom w:val="none" w:sz="0" w:space="0" w:color="auto"/>
        <w:right w:val="none" w:sz="0" w:space="0" w:color="auto"/>
      </w:divBdr>
    </w:div>
    <w:div w:id="20844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istat.it/comunicato-stampa/fiducia-dei-consumatori-e-delle-imprese-agosto-2025/" TargetMode="External"/><Relationship Id="rId26" Type="http://schemas.openxmlformats.org/officeDocument/2006/relationships/hyperlink" Target="https://www.istat.it/comunicato-stampa/commercio-al-dettaglio-luglio-2025/" TargetMode="External"/><Relationship Id="rId39" Type="http://schemas.openxmlformats.org/officeDocument/2006/relationships/hyperlink" Target="mailto:rdesantis@istat.it" TargetMode="External"/><Relationship Id="rId21" Type="http://schemas.openxmlformats.org/officeDocument/2006/relationships/chart" Target="charts/chart4.xml"/><Relationship Id="rId34" Type="http://schemas.openxmlformats.org/officeDocument/2006/relationships/hyperlink" Target="https://www.istat.it/comunicato-stampa/fiducia-dei-consumatori-e-delle-imprese-agosto-2025/"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stat.it/comunicato-stampa/conti-economici-trimestrali-ii-trimestre-2025/"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tat.it/comunicato-stampa/occupati-e-disoccupati-dati-provvisori-luglio-2025/" TargetMode="External"/><Relationship Id="rId32" Type="http://schemas.openxmlformats.org/officeDocument/2006/relationships/hyperlink" Target="https://www.istat.it/comunicato-stampa/commercio-con-lestero-e-prezzi-allimport-giugno-2025/" TargetMode="External"/><Relationship Id="rId37" Type="http://schemas.openxmlformats.org/officeDocument/2006/relationships/chart" Target="charts/chart8.xml"/><Relationship Id="rId40" Type="http://schemas.openxmlformats.org/officeDocument/2006/relationships/hyperlink" Target="mailto:cvicarelli@istat.it"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stat.it/comunicato-stampa/conti-economici-trimestrali-ii-trimestre-2025/" TargetMode="External"/><Relationship Id="rId23" Type="http://schemas.openxmlformats.org/officeDocument/2006/relationships/hyperlink" Target="https://www.istat.it/comunicato-stampa/occupati-e-disoccupati-dati-provvisori-luglio-2025/" TargetMode="External"/><Relationship Id="rId28" Type="http://schemas.openxmlformats.org/officeDocument/2006/relationships/hyperlink" Target="https://www.istat.it/comunicato-stampa/prezzi-al-consumo-dati-provvisori-agosto-2025/" TargetMode="External"/><Relationship Id="rId36" Type="http://schemas.openxmlformats.org/officeDocument/2006/relationships/chart" Target="charts/chart7.xml"/><Relationship Id="rId10" Type="http://schemas.openxmlformats.org/officeDocument/2006/relationships/endnotes" Target="endnotes.xml"/><Relationship Id="rId19" Type="http://schemas.openxmlformats.org/officeDocument/2006/relationships/hyperlink" Target="https://www.istat.it/comunicato-stampa/commercio-con-lestero-e-prezzi-allimport-giugno-2025/" TargetMode="External"/><Relationship Id="rId31" Type="http://schemas.openxmlformats.org/officeDocument/2006/relationships/hyperlink" Target="https://www.istat.it/comunicato-stampa/prezzi-al-consumo-dati-provvisori-agosto-2025/"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tat.it/comunicato-stampa/stima-preliminare-del-pil-ii-trimestre-2025/" TargetMode="External"/><Relationship Id="rId22" Type="http://schemas.openxmlformats.org/officeDocument/2006/relationships/hyperlink" Target="https://www.istat.it/comunicato-stampa/commercio-estero-extra-ue-giugno-2025/" TargetMode="External"/><Relationship Id="rId27" Type="http://schemas.openxmlformats.org/officeDocument/2006/relationships/hyperlink" Target="https://www.istat.it/comunicato-stampa/contratti-collettivi-e-retribuzioni-contrattuali-ii-trimestre-2025/" TargetMode="External"/><Relationship Id="rId30" Type="http://schemas.openxmlformats.org/officeDocument/2006/relationships/chart" Target="charts/chart6.xml"/><Relationship Id="rId35" Type="http://schemas.openxmlformats.org/officeDocument/2006/relationships/image" Target="media/image2.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www.istat.it/comunicato-stampa/produzione-industriale-luglio-2025/" TargetMode="External"/><Relationship Id="rId25" Type="http://schemas.openxmlformats.org/officeDocument/2006/relationships/hyperlink" Target="https://www.istat.it/comunicato-stampa/fiducia-dei-consumatori-e-delle-imprese-agosto-2025/" TargetMode="External"/><Relationship Id="rId33" Type="http://schemas.openxmlformats.org/officeDocument/2006/relationships/hyperlink" Target="https://www.istat.it/comunicato-stampa/prezzi-alla-produzione-dellindustria-e-delle-costruzioni-luglio-2025/" TargetMode="External"/><Relationship Id="rId38" Type="http://schemas.openxmlformats.org/officeDocument/2006/relationships/chart" Target="charts/chart9.xml"/><Relationship Id="rId46" Type="http://schemas.openxmlformats.org/officeDocument/2006/relationships/footer" Target="footer3.xml"/><Relationship Id="rId20" Type="http://schemas.openxmlformats.org/officeDocument/2006/relationships/chart" Target="charts/chart3.xml"/><Relationship Id="rId41"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mailto:ufficiostampa@istat.it" TargetMode="External"/><Relationship Id="rId2" Type="http://schemas.openxmlformats.org/officeDocument/2006/relationships/hyperlink" Target="https://contact.istat.it/s/?language=it" TargetMode="External"/><Relationship Id="rId1" Type="http://schemas.openxmlformats.org/officeDocument/2006/relationships/hyperlink" Target="http://www.istat.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stat.it/it/archivio/17113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Nas-balbo\diqr-sep\NOTA\N_2025_04_settembre\figure_nota_settembre_2025\fig_1-2%20nota_settembre%2025\FIGURA_1_N_4_202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Nas-balbo\diqr-sep\NOTA\N_2025_04_settembre\figure_nota_settembre_2025\fig_1-2%20nota_settembre%2025\FIGURA_2_N_4_2025%20-%20usata%20a%20settembr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as-balbo\diqr-sep\NOTA\N_2025_04_settembre\figure_nota_settembre_2025\fig_3_contributi_pil\fig%203%20contr.%20crescita%20cong.%20pil_sett_(da%20agg).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Nas-balbo\diqr-sep\NOTA\N_2025_04_settembre\figure_nota_settembre_2025\fig_4%20commercio\fig%204%20nota_maggio_25.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piergiuseppe.cossu\Desktop\Fig%205__MdL_sett_25.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Nas-balbo\diqr-sep\NOTA\N_2025_04_settembre\figure_nota_settembre_2025\fig_6%20prezzi%20settembre%2025\fig_6_prezzi_set_25.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piergiuseppe.cossu\Desktop\grafici%20focus%20Tanda%20rev.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piergiuseppe.cossu\Desktop\grafici%20focus%20Tanda%20Segre.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piergiuseppe.cossu\Desktop\grafici%20focus%20Tanda%20Seg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247682411273349E-2"/>
          <c:y val="0.15923013125503155"/>
          <c:w val="0.83604343084423915"/>
          <c:h val="0.65026134985923023"/>
        </c:manualLayout>
      </c:layout>
      <c:lineChart>
        <c:grouping val="standard"/>
        <c:varyColors val="0"/>
        <c:ser>
          <c:idx val="2"/>
          <c:order val="0"/>
          <c:tx>
            <c:strRef>
              <c:f>'fig 1 ita'!$D$1</c:f>
              <c:strCache>
                <c:ptCount val="1"/>
                <c:pt idx="0">
                  <c:v>PMI glob. nuovi ordini exp. (sx)</c:v>
                </c:pt>
              </c:strCache>
            </c:strRef>
          </c:tx>
          <c:spPr>
            <a:ln w="19050">
              <a:solidFill>
                <a:srgbClr val="004172"/>
              </a:solidFill>
            </a:ln>
          </c:spPr>
          <c:marker>
            <c:symbol val="none"/>
          </c:marker>
          <c:cat>
            <c:multiLvlStrRef>
              <c:f>'fig 1 ita'!$A$2:$B$33</c:f>
              <c:multiLvlStrCache>
                <c:ptCount val="32"/>
                <c:lvl>
                  <c:pt idx="1">
                    <c:v>feb</c:v>
                  </c:pt>
                  <c:pt idx="3">
                    <c:v>apr</c:v>
                  </c:pt>
                  <c:pt idx="5">
                    <c:v>giu</c:v>
                  </c:pt>
                  <c:pt idx="7">
                    <c:v>ago</c:v>
                  </c:pt>
                  <c:pt idx="9">
                    <c:v>ott</c:v>
                  </c:pt>
                  <c:pt idx="11">
                    <c:v>dic</c:v>
                  </c:pt>
                  <c:pt idx="13">
                    <c:v>feb</c:v>
                  </c:pt>
                  <c:pt idx="15">
                    <c:v>apr</c:v>
                  </c:pt>
                  <c:pt idx="17">
                    <c:v>giu</c:v>
                  </c:pt>
                  <c:pt idx="19">
                    <c:v>ago</c:v>
                  </c:pt>
                  <c:pt idx="21">
                    <c:v>ott</c:v>
                  </c:pt>
                  <c:pt idx="23">
                    <c:v>dic</c:v>
                  </c:pt>
                  <c:pt idx="25">
                    <c:v>feb</c:v>
                  </c:pt>
                  <c:pt idx="27">
                    <c:v>apr</c:v>
                  </c:pt>
                  <c:pt idx="29">
                    <c:v>giu</c:v>
                  </c:pt>
                  <c:pt idx="31">
                    <c:v>ago</c:v>
                  </c:pt>
                </c:lvl>
                <c:lvl>
                  <c:pt idx="0">
                    <c:v>2023</c:v>
                  </c:pt>
                  <c:pt idx="12">
                    <c:v>2024</c:v>
                  </c:pt>
                  <c:pt idx="24">
                    <c:v>2025</c:v>
                  </c:pt>
                </c:lvl>
              </c:multiLvlStrCache>
            </c:multiLvlStrRef>
          </c:cat>
          <c:val>
            <c:numRef>
              <c:f>'fig 1 ita'!$D$2:$D$33</c:f>
              <c:numCache>
                <c:formatCode>0.0</c:formatCode>
                <c:ptCount val="32"/>
                <c:pt idx="0">
                  <c:v>47.8</c:v>
                </c:pt>
                <c:pt idx="1">
                  <c:v>48.7</c:v>
                </c:pt>
                <c:pt idx="2">
                  <c:v>48.6</c:v>
                </c:pt>
                <c:pt idx="3">
                  <c:v>49.3</c:v>
                </c:pt>
                <c:pt idx="4">
                  <c:v>48.8</c:v>
                </c:pt>
                <c:pt idx="5">
                  <c:v>48.3</c:v>
                </c:pt>
                <c:pt idx="6">
                  <c:v>47.8</c:v>
                </c:pt>
                <c:pt idx="7">
                  <c:v>47.9</c:v>
                </c:pt>
                <c:pt idx="8">
                  <c:v>48.1</c:v>
                </c:pt>
                <c:pt idx="9">
                  <c:v>48</c:v>
                </c:pt>
                <c:pt idx="10">
                  <c:v>48.5</c:v>
                </c:pt>
                <c:pt idx="11">
                  <c:v>48.3</c:v>
                </c:pt>
                <c:pt idx="12">
                  <c:v>49.2</c:v>
                </c:pt>
                <c:pt idx="13">
                  <c:v>49.6</c:v>
                </c:pt>
                <c:pt idx="14" formatCode="General">
                  <c:v>49.8</c:v>
                </c:pt>
                <c:pt idx="15">
                  <c:v>50.6</c:v>
                </c:pt>
                <c:pt idx="16">
                  <c:v>50.6</c:v>
                </c:pt>
                <c:pt idx="17">
                  <c:v>49.7</c:v>
                </c:pt>
                <c:pt idx="18">
                  <c:v>49.7</c:v>
                </c:pt>
                <c:pt idx="19">
                  <c:v>48.9</c:v>
                </c:pt>
                <c:pt idx="20">
                  <c:v>48.4</c:v>
                </c:pt>
                <c:pt idx="21" formatCode="General">
                  <c:v>48.9</c:v>
                </c:pt>
                <c:pt idx="22">
                  <c:v>49.2</c:v>
                </c:pt>
                <c:pt idx="23">
                  <c:v>48.7</c:v>
                </c:pt>
                <c:pt idx="24">
                  <c:v>49.6</c:v>
                </c:pt>
                <c:pt idx="25">
                  <c:v>49.7</c:v>
                </c:pt>
                <c:pt idx="26">
                  <c:v>50.1</c:v>
                </c:pt>
                <c:pt idx="27">
                  <c:v>47.5</c:v>
                </c:pt>
                <c:pt idx="28">
                  <c:v>48</c:v>
                </c:pt>
                <c:pt idx="29">
                  <c:v>49.1</c:v>
                </c:pt>
                <c:pt idx="30">
                  <c:v>48.2</c:v>
                </c:pt>
                <c:pt idx="31">
                  <c:v>48.7</c:v>
                </c:pt>
              </c:numCache>
            </c:numRef>
          </c:val>
          <c:smooth val="0"/>
          <c:extLst xmlns:c15="http://schemas.microsoft.com/office/drawing/2012/chart">
            <c:ext xmlns:c16="http://schemas.microsoft.com/office/drawing/2014/chart" uri="{C3380CC4-5D6E-409C-BE32-E72D297353CC}">
              <c16:uniqueId val="{00000000-25A9-4732-AD1A-1FCA20CA41F3}"/>
            </c:ext>
          </c:extLst>
        </c:ser>
        <c:dLbls>
          <c:showLegendKey val="0"/>
          <c:showVal val="0"/>
          <c:showCatName val="0"/>
          <c:showSerName val="0"/>
          <c:showPercent val="0"/>
          <c:showBubbleSize val="0"/>
        </c:dLbls>
        <c:marker val="1"/>
        <c:smooth val="0"/>
        <c:axId val="1938237616"/>
        <c:axId val="1"/>
        <c:extLst/>
      </c:lineChart>
      <c:lineChart>
        <c:grouping val="standard"/>
        <c:varyColors val="0"/>
        <c:ser>
          <c:idx val="1"/>
          <c:order val="1"/>
          <c:tx>
            <c:strRef>
              <c:f>'fig 1 ita'!$C$1</c:f>
              <c:strCache>
                <c:ptCount val="1"/>
                <c:pt idx="0">
                  <c:v>Commercio mondiale merci (dx)</c:v>
                </c:pt>
              </c:strCache>
            </c:strRef>
          </c:tx>
          <c:spPr>
            <a:ln w="19050">
              <a:solidFill>
                <a:srgbClr val="00817F"/>
              </a:solidFill>
            </a:ln>
          </c:spPr>
          <c:marker>
            <c:symbol val="none"/>
          </c:marker>
          <c:cat>
            <c:multiLvlStrRef>
              <c:f>'fig 1 ita'!$A$2:$B$31</c:f>
              <c:multiLvlStrCache>
                <c:ptCount val="30"/>
                <c:lvl>
                  <c:pt idx="1">
                    <c:v>feb</c:v>
                  </c:pt>
                  <c:pt idx="3">
                    <c:v>apr</c:v>
                  </c:pt>
                  <c:pt idx="5">
                    <c:v>giu</c:v>
                  </c:pt>
                  <c:pt idx="7">
                    <c:v>ago</c:v>
                  </c:pt>
                  <c:pt idx="9">
                    <c:v>ott</c:v>
                  </c:pt>
                  <c:pt idx="11">
                    <c:v>dic</c:v>
                  </c:pt>
                  <c:pt idx="13">
                    <c:v>feb</c:v>
                  </c:pt>
                  <c:pt idx="15">
                    <c:v>apr</c:v>
                  </c:pt>
                  <c:pt idx="17">
                    <c:v>giu</c:v>
                  </c:pt>
                  <c:pt idx="19">
                    <c:v>ago</c:v>
                  </c:pt>
                  <c:pt idx="21">
                    <c:v>ott</c:v>
                  </c:pt>
                  <c:pt idx="23">
                    <c:v>dic</c:v>
                  </c:pt>
                  <c:pt idx="25">
                    <c:v>feb</c:v>
                  </c:pt>
                  <c:pt idx="27">
                    <c:v>apr</c:v>
                  </c:pt>
                  <c:pt idx="29">
                    <c:v>giu</c:v>
                  </c:pt>
                </c:lvl>
                <c:lvl>
                  <c:pt idx="0">
                    <c:v>2023</c:v>
                  </c:pt>
                  <c:pt idx="12">
                    <c:v>2024</c:v>
                  </c:pt>
                  <c:pt idx="24">
                    <c:v>2025</c:v>
                  </c:pt>
                </c:lvl>
              </c:multiLvlStrCache>
            </c:multiLvlStrRef>
          </c:cat>
          <c:val>
            <c:numRef>
              <c:f>'fig 1 ita'!$C$2:$C$33</c:f>
              <c:numCache>
                <c:formatCode>0.0</c:formatCode>
                <c:ptCount val="32"/>
                <c:pt idx="0">
                  <c:v>101.659575035383</c:v>
                </c:pt>
                <c:pt idx="1">
                  <c:v>101.62009296665801</c:v>
                </c:pt>
                <c:pt idx="2">
                  <c:v>103.237906764247</c:v>
                </c:pt>
                <c:pt idx="3">
                  <c:v>101.62276686797</c:v>
                </c:pt>
                <c:pt idx="4">
                  <c:v>102.899538439694</c:v>
                </c:pt>
                <c:pt idx="5">
                  <c:v>101.962860511136</c:v>
                </c:pt>
                <c:pt idx="6">
                  <c:v>102.426694704406</c:v>
                </c:pt>
                <c:pt idx="7">
                  <c:v>102.458230466524</c:v>
                </c:pt>
                <c:pt idx="8">
                  <c:v>102.67886828077501</c:v>
                </c:pt>
                <c:pt idx="9">
                  <c:v>103.14104116372199</c:v>
                </c:pt>
                <c:pt idx="10">
                  <c:v>102.451178101523</c:v>
                </c:pt>
                <c:pt idx="11">
                  <c:v>103.62894181732</c:v>
                </c:pt>
                <c:pt idx="12">
                  <c:v>102.976643074629</c:v>
                </c:pt>
                <c:pt idx="13">
                  <c:v>104.363016961025</c:v>
                </c:pt>
                <c:pt idx="14">
                  <c:v>103.258295516657</c:v>
                </c:pt>
                <c:pt idx="15">
                  <c:v>104.55416651153</c:v>
                </c:pt>
                <c:pt idx="16">
                  <c:v>104.450247596599</c:v>
                </c:pt>
                <c:pt idx="17">
                  <c:v>105.150167586086</c:v>
                </c:pt>
                <c:pt idx="18">
                  <c:v>104.92931193220601</c:v>
                </c:pt>
                <c:pt idx="19">
                  <c:v>106.387061200188</c:v>
                </c:pt>
                <c:pt idx="20">
                  <c:v>105.58850666372</c:v>
                </c:pt>
                <c:pt idx="21">
                  <c:v>105.831816015163</c:v>
                </c:pt>
                <c:pt idx="22">
                  <c:v>106.172177337338</c:v>
                </c:pt>
                <c:pt idx="23">
                  <c:v>106.79537051577999</c:v>
                </c:pt>
                <c:pt idx="24">
                  <c:v>107.150515379072</c:v>
                </c:pt>
                <c:pt idx="25">
                  <c:v>107.505569036192</c:v>
                </c:pt>
                <c:pt idx="26">
                  <c:v>110.170593014109</c:v>
                </c:pt>
                <c:pt idx="27">
                  <c:v>109.22019317244499</c:v>
                </c:pt>
                <c:pt idx="28">
                  <c:v>108.763003831552</c:v>
                </c:pt>
                <c:pt idx="29">
                  <c:v>108.383039717065</c:v>
                </c:pt>
              </c:numCache>
            </c:numRef>
          </c:val>
          <c:smooth val="0"/>
          <c:extLst>
            <c:ext xmlns:c16="http://schemas.microsoft.com/office/drawing/2014/chart" uri="{C3380CC4-5D6E-409C-BE32-E72D297353CC}">
              <c16:uniqueId val="{00000001-25A9-4732-AD1A-1FCA20CA41F3}"/>
            </c:ext>
          </c:extLst>
        </c:ser>
        <c:dLbls>
          <c:showLegendKey val="0"/>
          <c:showVal val="0"/>
          <c:showCatName val="0"/>
          <c:showSerName val="0"/>
          <c:showPercent val="0"/>
          <c:showBubbleSize val="0"/>
        </c:dLbls>
        <c:marker val="1"/>
        <c:smooth val="0"/>
        <c:axId val="1110765887"/>
        <c:axId val="1110760479"/>
        <c:extLst/>
      </c:lineChart>
      <c:catAx>
        <c:axId val="1938237616"/>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vert="horz"/>
          <a:lstStyle/>
          <a:p>
            <a:pPr>
              <a:defRPr sz="750" b="0"/>
            </a:pPr>
            <a:endParaRPr lang="en-US"/>
          </a:p>
        </c:txPr>
        <c:crossAx val="1"/>
        <c:crosses val="autoZero"/>
        <c:auto val="1"/>
        <c:lblAlgn val="ctr"/>
        <c:lblOffset val="100"/>
        <c:tickLblSkip val="2"/>
        <c:tickMarkSkip val="1"/>
        <c:noMultiLvlLbl val="0"/>
      </c:catAx>
      <c:valAx>
        <c:axId val="1"/>
        <c:scaling>
          <c:orientation val="minMax"/>
          <c:max val="56"/>
          <c:min val="46"/>
        </c:scaling>
        <c:delete val="0"/>
        <c:axPos val="l"/>
        <c:majorGridlines>
          <c:spPr>
            <a:ln w="3175" cap="flat" cmpd="sng" algn="ctr">
              <a:solidFill>
                <a:sysClr val="window" lastClr="FFFFFF">
                  <a:lumMod val="85000"/>
                </a:sysClr>
              </a:solidFill>
              <a:round/>
            </a:ln>
            <a:effectLst/>
          </c:spPr>
        </c:majorGridlines>
        <c:numFmt formatCode="#,##0" sourceLinked="0"/>
        <c:majorTickMark val="out"/>
        <c:minorTickMark val="none"/>
        <c:tickLblPos val="nextTo"/>
        <c:spPr>
          <a:noFill/>
          <a:ln w="9525">
            <a:solidFill>
              <a:sysClr val="window" lastClr="FFFFFF">
                <a:lumMod val="65000"/>
              </a:sysClr>
            </a:solidFill>
          </a:ln>
          <a:effectLst/>
        </c:spPr>
        <c:txPr>
          <a:bodyPr rot="-60000000" vert="horz"/>
          <a:lstStyle/>
          <a:p>
            <a:pPr>
              <a:defRPr sz="750"/>
            </a:pPr>
            <a:endParaRPr lang="en-US"/>
          </a:p>
        </c:txPr>
        <c:crossAx val="1938237616"/>
        <c:crossesAt val="1"/>
        <c:crossBetween val="between"/>
        <c:majorUnit val="2"/>
      </c:valAx>
      <c:valAx>
        <c:axId val="1110760479"/>
        <c:scaling>
          <c:orientation val="minMax"/>
          <c:max val="112"/>
          <c:min val="97"/>
        </c:scaling>
        <c:delete val="0"/>
        <c:axPos val="r"/>
        <c:numFmt formatCode="0" sourceLinked="0"/>
        <c:majorTickMark val="out"/>
        <c:minorTickMark val="none"/>
        <c:tickLblPos val="nextTo"/>
        <c:spPr>
          <a:ln w="9525">
            <a:solidFill>
              <a:sysClr val="window" lastClr="FFFFFF">
                <a:lumMod val="65000"/>
              </a:sysClr>
            </a:solidFill>
          </a:ln>
        </c:spPr>
        <c:txPr>
          <a:bodyPr/>
          <a:lstStyle/>
          <a:p>
            <a:pPr>
              <a:defRPr sz="750"/>
            </a:pPr>
            <a:endParaRPr lang="en-US"/>
          </a:p>
        </c:txPr>
        <c:crossAx val="1110765887"/>
        <c:crosses val="max"/>
        <c:crossBetween val="between"/>
        <c:majorUnit val="3"/>
      </c:valAx>
      <c:catAx>
        <c:axId val="1110765887"/>
        <c:scaling>
          <c:orientation val="minMax"/>
        </c:scaling>
        <c:delete val="1"/>
        <c:axPos val="b"/>
        <c:numFmt formatCode="General" sourceLinked="1"/>
        <c:majorTickMark val="out"/>
        <c:minorTickMark val="none"/>
        <c:tickLblPos val="nextTo"/>
        <c:crossAx val="1110760479"/>
        <c:crosses val="autoZero"/>
        <c:auto val="1"/>
        <c:lblAlgn val="ctr"/>
        <c:lblOffset val="100"/>
        <c:noMultiLvlLbl val="0"/>
      </c:catAx>
      <c:spPr>
        <a:noFill/>
        <a:ln w="25400">
          <a:noFill/>
        </a:ln>
      </c:spPr>
    </c:plotArea>
    <c:legend>
      <c:legendPos val="t"/>
      <c:layout>
        <c:manualLayout>
          <c:xMode val="edge"/>
          <c:yMode val="edge"/>
          <c:x val="3.7903225806451619E-2"/>
          <c:y val="0"/>
          <c:w val="0.9"/>
          <c:h val="0.13314676616915422"/>
        </c:manualLayout>
      </c:layout>
      <c:overlay val="0"/>
      <c:spPr>
        <a:noFill/>
        <a:ln w="25400">
          <a:noFill/>
        </a:ln>
      </c:spPr>
      <c:txPr>
        <a:bodyPr rot="0" vert="horz"/>
        <a:lstStyle/>
        <a:p>
          <a:pPr>
            <a:defRPr sz="750"/>
          </a:pPr>
          <a:endParaRPr lang="en-US"/>
        </a:p>
      </c:txPr>
    </c:legend>
    <c:plotVisOnly val="1"/>
    <c:dispBlanksAs val="gap"/>
    <c:showDLblsOverMax val="0"/>
  </c:chart>
  <c:spPr>
    <a:solidFill>
      <a:sysClr val="window" lastClr="FFFFFF"/>
    </a:solidFill>
    <a:ln w="9525">
      <a:noFill/>
    </a:ln>
  </c:spPr>
  <c:txPr>
    <a:bodyPr/>
    <a:lstStyle/>
    <a:p>
      <a:pPr>
        <a:defRPr sz="800" baseline="0">
          <a:latin typeface="Arial Narrow" panose="020B0606020202030204"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56617540933655E-2"/>
          <c:y val="0.15597477946835589"/>
          <c:w val="0.86970734126984128"/>
          <c:h val="0.61824166716002604"/>
        </c:manualLayout>
      </c:layout>
      <c:lineChart>
        <c:grouping val="standard"/>
        <c:varyColors val="0"/>
        <c:ser>
          <c:idx val="2"/>
          <c:order val="1"/>
          <c:tx>
            <c:strRef>
              <c:f>'fig 2 ita'!$D$1</c:f>
              <c:strCache>
                <c:ptCount val="1"/>
                <c:pt idx="0">
                  <c:v>Brent (sx)</c:v>
                </c:pt>
              </c:strCache>
            </c:strRef>
          </c:tx>
          <c:spPr>
            <a:ln w="19050">
              <a:solidFill>
                <a:srgbClr val="00817F"/>
              </a:solidFill>
            </a:ln>
          </c:spPr>
          <c:marker>
            <c:symbol val="none"/>
          </c:marker>
          <c:cat>
            <c:multiLvlStrRef>
              <c:f>'fig 2 ita'!$A$2:$B$16</c:f>
              <c:multiLvlStrCache>
                <c:ptCount val="15"/>
                <c:lvl>
                  <c:pt idx="0">
                    <c:v>giu</c:v>
                  </c:pt>
                  <c:pt idx="1">
                    <c:v>lug</c:v>
                  </c:pt>
                  <c:pt idx="2">
                    <c:v>ago</c:v>
                  </c:pt>
                  <c:pt idx="3">
                    <c:v>set</c:v>
                  </c:pt>
                  <c:pt idx="4">
                    <c:v>ott</c:v>
                  </c:pt>
                  <c:pt idx="5">
                    <c:v>nov</c:v>
                  </c:pt>
                  <c:pt idx="6">
                    <c:v>dic</c:v>
                  </c:pt>
                  <c:pt idx="7">
                    <c:v>gen</c:v>
                  </c:pt>
                  <c:pt idx="8">
                    <c:v>feb</c:v>
                  </c:pt>
                  <c:pt idx="9">
                    <c:v>mar</c:v>
                  </c:pt>
                  <c:pt idx="10">
                    <c:v>apr</c:v>
                  </c:pt>
                  <c:pt idx="11">
                    <c:v>mag</c:v>
                  </c:pt>
                  <c:pt idx="12">
                    <c:v>giu</c:v>
                  </c:pt>
                  <c:pt idx="13">
                    <c:v>lug</c:v>
                  </c:pt>
                  <c:pt idx="14">
                    <c:v>ago</c:v>
                  </c:pt>
                </c:lvl>
                <c:lvl>
                  <c:pt idx="0">
                    <c:v>2024</c:v>
                  </c:pt>
                  <c:pt idx="7">
                    <c:v>2025</c:v>
                  </c:pt>
                </c:lvl>
              </c:multiLvlStrCache>
            </c:multiLvlStrRef>
          </c:cat>
          <c:val>
            <c:numRef>
              <c:f>'fig 2 ita'!$D$2:$D$16</c:f>
              <c:numCache>
                <c:formatCode>0.0</c:formatCode>
                <c:ptCount val="15"/>
                <c:pt idx="0">
                  <c:v>82.555000000000007</c:v>
                </c:pt>
                <c:pt idx="1">
                  <c:v>85.296000000000006</c:v>
                </c:pt>
                <c:pt idx="2">
                  <c:v>80.863</c:v>
                </c:pt>
                <c:pt idx="3">
                  <c:v>74.293000000000006</c:v>
                </c:pt>
                <c:pt idx="4">
                  <c:v>75.662000000000006</c:v>
                </c:pt>
                <c:pt idx="5">
                  <c:v>74.394999999999996</c:v>
                </c:pt>
                <c:pt idx="6">
                  <c:v>73.832999999999998</c:v>
                </c:pt>
                <c:pt idx="7">
                  <c:v>79.206000000000003</c:v>
                </c:pt>
                <c:pt idx="8">
                  <c:v>75.156999999999996</c:v>
                </c:pt>
                <c:pt idx="9">
                  <c:v>72.573999999999998</c:v>
                </c:pt>
                <c:pt idx="10">
                  <c:v>67.745000000000005</c:v>
                </c:pt>
                <c:pt idx="11">
                  <c:v>64.206000000000003</c:v>
                </c:pt>
                <c:pt idx="12">
                  <c:v>71.45</c:v>
                </c:pt>
                <c:pt idx="13">
                  <c:v>70.950999999999993</c:v>
                </c:pt>
                <c:pt idx="14">
                  <c:v>68.203000000000003</c:v>
                </c:pt>
              </c:numCache>
            </c:numRef>
          </c:val>
          <c:smooth val="0"/>
          <c:extLst>
            <c:ext xmlns:c16="http://schemas.microsoft.com/office/drawing/2014/chart" uri="{C3380CC4-5D6E-409C-BE32-E72D297353CC}">
              <c16:uniqueId val="{00000000-C83A-4480-ABB7-0C6D0417B566}"/>
            </c:ext>
          </c:extLst>
        </c:ser>
        <c:dLbls>
          <c:showLegendKey val="0"/>
          <c:showVal val="0"/>
          <c:showCatName val="0"/>
          <c:showSerName val="0"/>
          <c:showPercent val="0"/>
          <c:showBubbleSize val="0"/>
        </c:dLbls>
        <c:marker val="1"/>
        <c:smooth val="0"/>
        <c:axId val="-1811779872"/>
        <c:axId val="-1811784224"/>
      </c:lineChart>
      <c:lineChart>
        <c:grouping val="standard"/>
        <c:varyColors val="0"/>
        <c:ser>
          <c:idx val="1"/>
          <c:order val="0"/>
          <c:tx>
            <c:strRef>
              <c:f>'fig 2 ita'!$C$1</c:f>
              <c:strCache>
                <c:ptCount val="1"/>
                <c:pt idx="0">
                  <c:v>US dollar index (dx)</c:v>
                </c:pt>
              </c:strCache>
            </c:strRef>
          </c:tx>
          <c:spPr>
            <a:ln w="19050">
              <a:solidFill>
                <a:srgbClr val="004172"/>
              </a:solidFill>
            </a:ln>
          </c:spPr>
          <c:marker>
            <c:symbol val="none"/>
          </c:marker>
          <c:cat>
            <c:multiLvlStrRef>
              <c:f>'fig 2 ita'!$A$2:$B$16</c:f>
              <c:multiLvlStrCache>
                <c:ptCount val="15"/>
                <c:lvl>
                  <c:pt idx="0">
                    <c:v>giu</c:v>
                  </c:pt>
                  <c:pt idx="1">
                    <c:v>lug</c:v>
                  </c:pt>
                  <c:pt idx="2">
                    <c:v>ago</c:v>
                  </c:pt>
                  <c:pt idx="3">
                    <c:v>set</c:v>
                  </c:pt>
                  <c:pt idx="4">
                    <c:v>ott</c:v>
                  </c:pt>
                  <c:pt idx="5">
                    <c:v>nov</c:v>
                  </c:pt>
                  <c:pt idx="6">
                    <c:v>dic</c:v>
                  </c:pt>
                  <c:pt idx="7">
                    <c:v>gen</c:v>
                  </c:pt>
                  <c:pt idx="8">
                    <c:v>feb</c:v>
                  </c:pt>
                  <c:pt idx="9">
                    <c:v>mar</c:v>
                  </c:pt>
                  <c:pt idx="10">
                    <c:v>apr</c:v>
                  </c:pt>
                  <c:pt idx="11">
                    <c:v>mag</c:v>
                  </c:pt>
                  <c:pt idx="12">
                    <c:v>giu</c:v>
                  </c:pt>
                  <c:pt idx="13">
                    <c:v>lug</c:v>
                  </c:pt>
                  <c:pt idx="14">
                    <c:v>ago</c:v>
                  </c:pt>
                </c:lvl>
                <c:lvl>
                  <c:pt idx="0">
                    <c:v>2024</c:v>
                  </c:pt>
                  <c:pt idx="7">
                    <c:v>2025</c:v>
                  </c:pt>
                </c:lvl>
              </c:multiLvlStrCache>
            </c:multiLvlStrRef>
          </c:cat>
          <c:val>
            <c:numRef>
              <c:f>'fig 2 ita'!$C$2:$C$16</c:f>
              <c:numCache>
                <c:formatCode>0.0</c:formatCode>
                <c:ptCount val="15"/>
                <c:pt idx="0">
                  <c:v>105.87</c:v>
                </c:pt>
                <c:pt idx="1">
                  <c:v>104.1</c:v>
                </c:pt>
                <c:pt idx="2">
                  <c:v>101.7</c:v>
                </c:pt>
                <c:pt idx="3">
                  <c:v>100.78</c:v>
                </c:pt>
                <c:pt idx="4">
                  <c:v>103.98</c:v>
                </c:pt>
                <c:pt idx="5">
                  <c:v>105.74</c:v>
                </c:pt>
                <c:pt idx="6">
                  <c:v>108.49</c:v>
                </c:pt>
                <c:pt idx="7">
                  <c:v>108.37</c:v>
                </c:pt>
                <c:pt idx="8">
                  <c:v>107.61</c:v>
                </c:pt>
                <c:pt idx="9">
                  <c:v>104.21</c:v>
                </c:pt>
                <c:pt idx="10">
                  <c:v>99.47</c:v>
                </c:pt>
                <c:pt idx="11">
                  <c:v>99.33</c:v>
                </c:pt>
                <c:pt idx="12">
                  <c:v>96.88</c:v>
                </c:pt>
                <c:pt idx="13">
                  <c:v>99.97</c:v>
                </c:pt>
                <c:pt idx="14">
                  <c:v>97.77</c:v>
                </c:pt>
              </c:numCache>
            </c:numRef>
          </c:val>
          <c:smooth val="0"/>
          <c:extLst>
            <c:ext xmlns:c16="http://schemas.microsoft.com/office/drawing/2014/chart" uri="{C3380CC4-5D6E-409C-BE32-E72D297353CC}">
              <c16:uniqueId val="{00000001-C83A-4480-ABB7-0C6D0417B566}"/>
            </c:ext>
          </c:extLst>
        </c:ser>
        <c:dLbls>
          <c:showLegendKey val="0"/>
          <c:showVal val="0"/>
          <c:showCatName val="0"/>
          <c:showSerName val="0"/>
          <c:showPercent val="0"/>
          <c:showBubbleSize val="0"/>
        </c:dLbls>
        <c:marker val="1"/>
        <c:smooth val="0"/>
        <c:axId val="476428288"/>
        <c:axId val="476428944"/>
      </c:lineChart>
      <c:catAx>
        <c:axId val="-1811779872"/>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low"/>
        <c:spPr>
          <a:ln w="9525">
            <a:solidFill>
              <a:sysClr val="window" lastClr="FFFFFF">
                <a:lumMod val="65000"/>
              </a:sysClr>
            </a:solidFill>
          </a:ln>
        </c:spPr>
        <c:txPr>
          <a:bodyPr/>
          <a:lstStyle/>
          <a:p>
            <a:pPr>
              <a:defRPr sz="750"/>
            </a:pPr>
            <a:endParaRPr lang="en-US"/>
          </a:p>
        </c:txPr>
        <c:crossAx val="-1811784224"/>
        <c:crosses val="autoZero"/>
        <c:auto val="1"/>
        <c:lblAlgn val="ctr"/>
        <c:lblOffset val="100"/>
        <c:noMultiLvlLbl val="0"/>
      </c:catAx>
      <c:valAx>
        <c:axId val="-1811784224"/>
        <c:scaling>
          <c:orientation val="minMax"/>
          <c:max val="90"/>
          <c:min val="60"/>
        </c:scaling>
        <c:delete val="0"/>
        <c:axPos val="l"/>
        <c:majorGridlines>
          <c:spPr>
            <a:ln w="3175">
              <a:solidFill>
                <a:sysClr val="window" lastClr="FFFFFF">
                  <a:lumMod val="85000"/>
                </a:sysClr>
              </a:solidFill>
            </a:ln>
          </c:spPr>
        </c:majorGridlines>
        <c:numFmt formatCode="0" sourceLinked="0"/>
        <c:majorTickMark val="out"/>
        <c:minorTickMark val="none"/>
        <c:tickLblPos val="nextTo"/>
        <c:spPr>
          <a:ln w="9525">
            <a:solidFill>
              <a:sysClr val="window" lastClr="FFFFFF">
                <a:lumMod val="65000"/>
              </a:sysClr>
            </a:solidFill>
          </a:ln>
        </c:spPr>
        <c:txPr>
          <a:bodyPr/>
          <a:lstStyle/>
          <a:p>
            <a:pPr>
              <a:defRPr sz="750"/>
            </a:pPr>
            <a:endParaRPr lang="en-US"/>
          </a:p>
        </c:txPr>
        <c:crossAx val="-1811779872"/>
        <c:crosses val="autoZero"/>
        <c:crossBetween val="between"/>
        <c:majorUnit val="10"/>
      </c:valAx>
      <c:valAx>
        <c:axId val="476428944"/>
        <c:scaling>
          <c:orientation val="minMax"/>
          <c:min val="95"/>
        </c:scaling>
        <c:delete val="0"/>
        <c:axPos val="r"/>
        <c:numFmt formatCode="0" sourceLinked="0"/>
        <c:majorTickMark val="out"/>
        <c:minorTickMark val="none"/>
        <c:tickLblPos val="nextTo"/>
        <c:txPr>
          <a:bodyPr/>
          <a:lstStyle/>
          <a:p>
            <a:pPr>
              <a:defRPr sz="750"/>
            </a:pPr>
            <a:endParaRPr lang="en-US"/>
          </a:p>
        </c:txPr>
        <c:crossAx val="476428288"/>
        <c:crosses val="max"/>
        <c:crossBetween val="between"/>
        <c:majorUnit val="5"/>
      </c:valAx>
      <c:catAx>
        <c:axId val="476428288"/>
        <c:scaling>
          <c:orientation val="minMax"/>
        </c:scaling>
        <c:delete val="1"/>
        <c:axPos val="b"/>
        <c:numFmt formatCode="General" sourceLinked="1"/>
        <c:majorTickMark val="out"/>
        <c:minorTickMark val="none"/>
        <c:tickLblPos val="nextTo"/>
        <c:crossAx val="476428944"/>
        <c:crosses val="autoZero"/>
        <c:auto val="1"/>
        <c:lblAlgn val="ctr"/>
        <c:lblOffset val="100"/>
        <c:noMultiLvlLbl val="0"/>
      </c:catAx>
      <c:spPr>
        <a:noFill/>
        <a:ln w="25400">
          <a:noFill/>
        </a:ln>
      </c:spPr>
    </c:plotArea>
    <c:legend>
      <c:legendPos val="t"/>
      <c:layout>
        <c:manualLayout>
          <c:xMode val="edge"/>
          <c:yMode val="edge"/>
          <c:x val="0.1070089965841846"/>
          <c:y val="2.2556390977443608E-2"/>
          <c:w val="0.62520889144023473"/>
          <c:h val="8.5870401651651648E-2"/>
        </c:manualLayout>
      </c:layout>
      <c:overlay val="0"/>
      <c:txPr>
        <a:bodyPr/>
        <a:lstStyle/>
        <a:p>
          <a:pPr>
            <a:defRPr sz="750"/>
          </a:pPr>
          <a:endParaRPr lang="en-US"/>
        </a:p>
      </c:txPr>
    </c:legend>
    <c:plotVisOnly val="1"/>
    <c:dispBlanksAs val="gap"/>
    <c:showDLblsOverMax val="0"/>
  </c:chart>
  <c:spPr>
    <a:noFill/>
    <a:ln>
      <a:noFill/>
    </a:ln>
  </c:spPr>
  <c:txPr>
    <a:bodyPr/>
    <a:lstStyle/>
    <a:p>
      <a:pPr>
        <a:defRPr sz="700" b="0" i="0" baseline="0">
          <a:latin typeface="Arial Narrow"/>
          <a:ea typeface="Arial Narrow"/>
          <a:cs typeface="Arial Narrow"/>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787918871252204E-2"/>
          <c:y val="0.16358802371925732"/>
          <c:w val="0.89090211640211636"/>
          <c:h val="0.66762613006707494"/>
        </c:manualLayout>
      </c:layout>
      <c:barChart>
        <c:barDir val="col"/>
        <c:grouping val="stacked"/>
        <c:varyColors val="0"/>
        <c:ser>
          <c:idx val="1"/>
          <c:order val="0"/>
          <c:tx>
            <c:strRef>
              <c:f>'Pil contri  sett 2025'!$D$6</c:f>
              <c:strCache>
                <c:ptCount val="1"/>
                <c:pt idx="0">
                  <c:v>Consumi delle famiglie e ISP</c:v>
                </c:pt>
              </c:strCache>
            </c:strRef>
          </c:tx>
          <c:spPr>
            <a:solidFill>
              <a:srgbClr val="00B0AC"/>
            </a:solidFill>
            <a:ln>
              <a:noFill/>
            </a:ln>
            <a:effectLst/>
          </c:spPr>
          <c:invertIfNegative val="0"/>
          <c:cat>
            <c:multiLvlStrRef>
              <c:f>'Pil contri  sett 2025'!$A$7:$B$16</c:f>
              <c:multiLvlStrCache>
                <c:ptCount val="10"/>
                <c:lvl>
                  <c:pt idx="0">
                    <c:v>T1</c:v>
                  </c:pt>
                  <c:pt idx="1">
                    <c:v>T2</c:v>
                  </c:pt>
                  <c:pt idx="2">
                    <c:v>T3</c:v>
                  </c:pt>
                  <c:pt idx="3">
                    <c:v>T4</c:v>
                  </c:pt>
                  <c:pt idx="4">
                    <c:v>T1</c:v>
                  </c:pt>
                  <c:pt idx="5">
                    <c:v>T2</c:v>
                  </c:pt>
                  <c:pt idx="6">
                    <c:v>T3</c:v>
                  </c:pt>
                  <c:pt idx="7">
                    <c:v>T4</c:v>
                  </c:pt>
                  <c:pt idx="8">
                    <c:v>T1</c:v>
                  </c:pt>
                  <c:pt idx="9">
                    <c:v>T2</c:v>
                  </c:pt>
                </c:lvl>
                <c:lvl>
                  <c:pt idx="0">
                    <c:v>2023</c:v>
                  </c:pt>
                  <c:pt idx="4">
                    <c:v>2024</c:v>
                  </c:pt>
                  <c:pt idx="8">
                    <c:v>2025</c:v>
                  </c:pt>
                </c:lvl>
              </c:multiLvlStrCache>
            </c:multiLvlStrRef>
          </c:cat>
          <c:val>
            <c:numRef>
              <c:f>'Pil contri  sett 2025'!$D$7:$D$16</c:f>
              <c:numCache>
                <c:formatCode>#,##0.0</c:formatCode>
                <c:ptCount val="10"/>
                <c:pt idx="0">
                  <c:v>0.79800000000000004</c:v>
                </c:pt>
                <c:pt idx="1">
                  <c:v>-0.307</c:v>
                </c:pt>
                <c:pt idx="2">
                  <c:v>-0.17699999999999999</c:v>
                </c:pt>
                <c:pt idx="3">
                  <c:v>-0.41499999999999998</c:v>
                </c:pt>
                <c:pt idx="4">
                  <c:v>0.69099999999999995</c:v>
                </c:pt>
                <c:pt idx="5">
                  <c:v>-0.109</c:v>
                </c:pt>
                <c:pt idx="6">
                  <c:v>0.16700000000000001</c:v>
                </c:pt>
                <c:pt idx="7">
                  <c:v>9.1999999999999998E-2</c:v>
                </c:pt>
                <c:pt idx="8">
                  <c:v>0.13400000000000001</c:v>
                </c:pt>
                <c:pt idx="9">
                  <c:v>-2.4E-2</c:v>
                </c:pt>
              </c:numCache>
            </c:numRef>
          </c:val>
          <c:extLst>
            <c:ext xmlns:c16="http://schemas.microsoft.com/office/drawing/2014/chart" uri="{C3380CC4-5D6E-409C-BE32-E72D297353CC}">
              <c16:uniqueId val="{00000000-CF17-405D-9E1C-31175FFB7485}"/>
            </c:ext>
          </c:extLst>
        </c:ser>
        <c:ser>
          <c:idx val="3"/>
          <c:order val="1"/>
          <c:tx>
            <c:strRef>
              <c:f>'Pil contri  sett 2025'!$E$6</c:f>
              <c:strCache>
                <c:ptCount val="1"/>
                <c:pt idx="0">
                  <c:v>Consumi della PA</c:v>
                </c:pt>
              </c:strCache>
            </c:strRef>
          </c:tx>
          <c:spPr>
            <a:solidFill>
              <a:srgbClr val="0F9ED5">
                <a:lumMod val="60000"/>
                <a:lumOff val="40000"/>
              </a:srgbClr>
            </a:solidFill>
            <a:ln>
              <a:noFill/>
            </a:ln>
            <a:effectLst/>
          </c:spPr>
          <c:invertIfNegative val="0"/>
          <c:cat>
            <c:multiLvlStrRef>
              <c:f>'Pil contri  sett 2025'!$A$7:$B$16</c:f>
              <c:multiLvlStrCache>
                <c:ptCount val="10"/>
                <c:lvl>
                  <c:pt idx="0">
                    <c:v>T1</c:v>
                  </c:pt>
                  <c:pt idx="1">
                    <c:v>T2</c:v>
                  </c:pt>
                  <c:pt idx="2">
                    <c:v>T3</c:v>
                  </c:pt>
                  <c:pt idx="3">
                    <c:v>T4</c:v>
                  </c:pt>
                  <c:pt idx="4">
                    <c:v>T1</c:v>
                  </c:pt>
                  <c:pt idx="5">
                    <c:v>T2</c:v>
                  </c:pt>
                  <c:pt idx="6">
                    <c:v>T3</c:v>
                  </c:pt>
                  <c:pt idx="7">
                    <c:v>T4</c:v>
                  </c:pt>
                  <c:pt idx="8">
                    <c:v>T1</c:v>
                  </c:pt>
                  <c:pt idx="9">
                    <c:v>T2</c:v>
                  </c:pt>
                </c:lvl>
                <c:lvl>
                  <c:pt idx="0">
                    <c:v>2023</c:v>
                  </c:pt>
                  <c:pt idx="4">
                    <c:v>2024</c:v>
                  </c:pt>
                  <c:pt idx="8">
                    <c:v>2025</c:v>
                  </c:pt>
                </c:lvl>
              </c:multiLvlStrCache>
            </c:multiLvlStrRef>
          </c:cat>
          <c:val>
            <c:numRef>
              <c:f>'Pil contri  sett 2025'!$E$7:$E$16</c:f>
              <c:numCache>
                <c:formatCode>#,##0.0</c:formatCode>
                <c:ptCount val="10"/>
                <c:pt idx="0">
                  <c:v>-3.4000000000000002E-2</c:v>
                </c:pt>
                <c:pt idx="1">
                  <c:v>5.6000000000000001E-2</c:v>
                </c:pt>
                <c:pt idx="2">
                  <c:v>8.5000000000000006E-2</c:v>
                </c:pt>
                <c:pt idx="3">
                  <c:v>0.12</c:v>
                </c:pt>
                <c:pt idx="4">
                  <c:v>-6.5000000000000002E-2</c:v>
                </c:pt>
                <c:pt idx="5">
                  <c:v>0.105</c:v>
                </c:pt>
                <c:pt idx="6">
                  <c:v>6.8000000000000005E-2</c:v>
                </c:pt>
                <c:pt idx="7">
                  <c:v>3.7999999999999999E-2</c:v>
                </c:pt>
                <c:pt idx="8">
                  <c:v>-4.7E-2</c:v>
                </c:pt>
                <c:pt idx="9">
                  <c:v>0.03</c:v>
                </c:pt>
              </c:numCache>
            </c:numRef>
          </c:val>
          <c:extLst>
            <c:ext xmlns:c16="http://schemas.microsoft.com/office/drawing/2014/chart" uri="{C3380CC4-5D6E-409C-BE32-E72D297353CC}">
              <c16:uniqueId val="{00000001-CF17-405D-9E1C-31175FFB7485}"/>
            </c:ext>
          </c:extLst>
        </c:ser>
        <c:ser>
          <c:idx val="0"/>
          <c:order val="2"/>
          <c:tx>
            <c:strRef>
              <c:f>'Pil contri  sett 2025'!$F$6</c:f>
              <c:strCache>
                <c:ptCount val="1"/>
                <c:pt idx="0">
                  <c:v>Investimenti fissi lordi</c:v>
                </c:pt>
              </c:strCache>
            </c:strRef>
          </c:tx>
          <c:spPr>
            <a:solidFill>
              <a:sysClr val="window" lastClr="FFFFFF">
                <a:lumMod val="85000"/>
              </a:sysClr>
            </a:solidFill>
            <a:ln>
              <a:noFill/>
              <a:prstDash val="sysDot"/>
            </a:ln>
            <a:effectLst/>
          </c:spPr>
          <c:invertIfNegative val="0"/>
          <c:cat>
            <c:multiLvlStrRef>
              <c:f>'Pil contri  sett 2025'!$A$7:$B$16</c:f>
              <c:multiLvlStrCache>
                <c:ptCount val="10"/>
                <c:lvl>
                  <c:pt idx="0">
                    <c:v>T1</c:v>
                  </c:pt>
                  <c:pt idx="1">
                    <c:v>T2</c:v>
                  </c:pt>
                  <c:pt idx="2">
                    <c:v>T3</c:v>
                  </c:pt>
                  <c:pt idx="3">
                    <c:v>T4</c:v>
                  </c:pt>
                  <c:pt idx="4">
                    <c:v>T1</c:v>
                  </c:pt>
                  <c:pt idx="5">
                    <c:v>T2</c:v>
                  </c:pt>
                  <c:pt idx="6">
                    <c:v>T3</c:v>
                  </c:pt>
                  <c:pt idx="7">
                    <c:v>T4</c:v>
                  </c:pt>
                  <c:pt idx="8">
                    <c:v>T1</c:v>
                  </c:pt>
                  <c:pt idx="9">
                    <c:v>T2</c:v>
                  </c:pt>
                </c:lvl>
                <c:lvl>
                  <c:pt idx="0">
                    <c:v>2023</c:v>
                  </c:pt>
                  <c:pt idx="4">
                    <c:v>2024</c:v>
                  </c:pt>
                  <c:pt idx="8">
                    <c:v>2025</c:v>
                  </c:pt>
                </c:lvl>
              </c:multiLvlStrCache>
            </c:multiLvlStrRef>
          </c:cat>
          <c:val>
            <c:numRef>
              <c:f>'Pil contri  sett 2025'!$F$7:$F$16</c:f>
              <c:numCache>
                <c:formatCode>#,##0.0</c:formatCode>
                <c:ptCount val="10"/>
                <c:pt idx="0">
                  <c:v>1.74</c:v>
                </c:pt>
                <c:pt idx="1">
                  <c:v>-0.155</c:v>
                </c:pt>
                <c:pt idx="2">
                  <c:v>0.41399999999999998</c:v>
                </c:pt>
                <c:pt idx="3">
                  <c:v>0.14799999999999999</c:v>
                </c:pt>
                <c:pt idx="4">
                  <c:v>-0.13700000000000001</c:v>
                </c:pt>
                <c:pt idx="5">
                  <c:v>-0.114</c:v>
                </c:pt>
                <c:pt idx="6">
                  <c:v>-0.28899999999999998</c:v>
                </c:pt>
                <c:pt idx="7">
                  <c:v>0.378</c:v>
                </c:pt>
                <c:pt idx="8">
                  <c:v>0.23699999999999999</c:v>
                </c:pt>
                <c:pt idx="9">
                  <c:v>0.23</c:v>
                </c:pt>
              </c:numCache>
            </c:numRef>
          </c:val>
          <c:extLst>
            <c:ext xmlns:c16="http://schemas.microsoft.com/office/drawing/2014/chart" uri="{C3380CC4-5D6E-409C-BE32-E72D297353CC}">
              <c16:uniqueId val="{00000002-CF17-405D-9E1C-31175FFB7485}"/>
            </c:ext>
          </c:extLst>
        </c:ser>
        <c:ser>
          <c:idx val="4"/>
          <c:order val="4"/>
          <c:tx>
            <c:strRef>
              <c:f>'Pil contri  sett 2025'!$H$6</c:f>
              <c:strCache>
                <c:ptCount val="1"/>
                <c:pt idx="0">
                  <c:v>Domanda estera netta</c:v>
                </c:pt>
              </c:strCache>
            </c:strRef>
          </c:tx>
          <c:spPr>
            <a:solidFill>
              <a:srgbClr val="00817F"/>
            </a:solidFill>
            <a:ln>
              <a:noFill/>
            </a:ln>
            <a:effectLst/>
          </c:spPr>
          <c:invertIfNegative val="0"/>
          <c:cat>
            <c:multiLvlStrRef>
              <c:f>'Pil contri  sett 2025'!$A$7:$B$16</c:f>
              <c:multiLvlStrCache>
                <c:ptCount val="10"/>
                <c:lvl>
                  <c:pt idx="0">
                    <c:v>T1</c:v>
                  </c:pt>
                  <c:pt idx="1">
                    <c:v>T2</c:v>
                  </c:pt>
                  <c:pt idx="2">
                    <c:v>T3</c:v>
                  </c:pt>
                  <c:pt idx="3">
                    <c:v>T4</c:v>
                  </c:pt>
                  <c:pt idx="4">
                    <c:v>T1</c:v>
                  </c:pt>
                  <c:pt idx="5">
                    <c:v>T2</c:v>
                  </c:pt>
                  <c:pt idx="6">
                    <c:v>T3</c:v>
                  </c:pt>
                  <c:pt idx="7">
                    <c:v>T4</c:v>
                  </c:pt>
                  <c:pt idx="8">
                    <c:v>T1</c:v>
                  </c:pt>
                  <c:pt idx="9">
                    <c:v>T2</c:v>
                  </c:pt>
                </c:lvl>
                <c:lvl>
                  <c:pt idx="0">
                    <c:v>2023</c:v>
                  </c:pt>
                  <c:pt idx="4">
                    <c:v>2024</c:v>
                  </c:pt>
                  <c:pt idx="8">
                    <c:v>2025</c:v>
                  </c:pt>
                </c:lvl>
              </c:multiLvlStrCache>
            </c:multiLvlStrRef>
          </c:cat>
          <c:val>
            <c:numRef>
              <c:f>'Pil contri  sett 2025'!$H$7:$H$16</c:f>
              <c:numCache>
                <c:formatCode>#,##0.0</c:formatCode>
                <c:ptCount val="10"/>
                <c:pt idx="0">
                  <c:v>2.504</c:v>
                </c:pt>
                <c:pt idx="1">
                  <c:v>-0.40600000000000003</c:v>
                </c:pt>
                <c:pt idx="2">
                  <c:v>0.32100000000000001</c:v>
                </c:pt>
                <c:pt idx="3">
                  <c:v>-0.14699999999999999</c:v>
                </c:pt>
                <c:pt idx="4">
                  <c:v>0.48899999999999999</c:v>
                </c:pt>
                <c:pt idx="5">
                  <c:v>-0.11799999999999999</c:v>
                </c:pt>
                <c:pt idx="6">
                  <c:v>-5.3999999999999999E-2</c:v>
                </c:pt>
                <c:pt idx="7">
                  <c:v>0.50800000000000001</c:v>
                </c:pt>
                <c:pt idx="8">
                  <c:v>0.32400000000000001</c:v>
                </c:pt>
                <c:pt idx="9">
                  <c:v>0.23599999999999999</c:v>
                </c:pt>
              </c:numCache>
            </c:numRef>
          </c:val>
          <c:extLst>
            <c:ext xmlns:c16="http://schemas.microsoft.com/office/drawing/2014/chart" uri="{C3380CC4-5D6E-409C-BE32-E72D297353CC}">
              <c16:uniqueId val="{00000003-CF17-405D-9E1C-31175FFB7485}"/>
            </c:ext>
          </c:extLst>
        </c:ser>
        <c:ser>
          <c:idx val="5"/>
          <c:order val="5"/>
          <c:tx>
            <c:strRef>
              <c:f>'Pil contri  sett 2025'!$G$6</c:f>
              <c:strCache>
                <c:ptCount val="1"/>
                <c:pt idx="0">
                  <c:v>Scorte</c:v>
                </c:pt>
              </c:strCache>
            </c:strRef>
          </c:tx>
          <c:spPr>
            <a:solidFill>
              <a:srgbClr val="004172"/>
            </a:solidFill>
            <a:ln>
              <a:noFill/>
            </a:ln>
            <a:effectLst/>
          </c:spPr>
          <c:invertIfNegative val="0"/>
          <c:cat>
            <c:multiLvlStrRef>
              <c:f>'Pil contri  sett 2025'!$A$7:$B$16</c:f>
              <c:multiLvlStrCache>
                <c:ptCount val="10"/>
                <c:lvl>
                  <c:pt idx="0">
                    <c:v>T1</c:v>
                  </c:pt>
                  <c:pt idx="1">
                    <c:v>T2</c:v>
                  </c:pt>
                  <c:pt idx="2">
                    <c:v>T3</c:v>
                  </c:pt>
                  <c:pt idx="3">
                    <c:v>T4</c:v>
                  </c:pt>
                  <c:pt idx="4">
                    <c:v>T1</c:v>
                  </c:pt>
                  <c:pt idx="5">
                    <c:v>T2</c:v>
                  </c:pt>
                  <c:pt idx="6">
                    <c:v>T3</c:v>
                  </c:pt>
                  <c:pt idx="7">
                    <c:v>T4</c:v>
                  </c:pt>
                  <c:pt idx="8">
                    <c:v>T1</c:v>
                  </c:pt>
                  <c:pt idx="9">
                    <c:v>T2</c:v>
                  </c:pt>
                </c:lvl>
                <c:lvl>
                  <c:pt idx="0">
                    <c:v>2023</c:v>
                  </c:pt>
                  <c:pt idx="4">
                    <c:v>2024</c:v>
                  </c:pt>
                  <c:pt idx="8">
                    <c:v>2025</c:v>
                  </c:pt>
                </c:lvl>
              </c:multiLvlStrCache>
            </c:multiLvlStrRef>
          </c:cat>
          <c:val>
            <c:numRef>
              <c:f>'Pil contri  sett 2025'!$G$7:$G$16</c:f>
              <c:numCache>
                <c:formatCode>#,##0.0</c:formatCode>
                <c:ptCount val="10"/>
                <c:pt idx="0">
                  <c:v>-1.639</c:v>
                </c:pt>
                <c:pt idx="1">
                  <c:v>0.68400000000000005</c:v>
                </c:pt>
                <c:pt idx="2">
                  <c:v>-1.5860000000000001</c:v>
                </c:pt>
                <c:pt idx="3">
                  <c:v>-0.52100000000000002</c:v>
                </c:pt>
                <c:pt idx="4">
                  <c:v>-0.251</c:v>
                </c:pt>
                <c:pt idx="5">
                  <c:v>1.0640000000000001</c:v>
                </c:pt>
                <c:pt idx="6">
                  <c:v>0.48</c:v>
                </c:pt>
                <c:pt idx="7">
                  <c:v>-0.29499999999999998</c:v>
                </c:pt>
                <c:pt idx="8">
                  <c:v>-0.32600000000000001</c:v>
                </c:pt>
                <c:pt idx="9">
                  <c:v>0.39500000000000002</c:v>
                </c:pt>
              </c:numCache>
            </c:numRef>
          </c:val>
          <c:extLst>
            <c:ext xmlns:c16="http://schemas.microsoft.com/office/drawing/2014/chart" uri="{C3380CC4-5D6E-409C-BE32-E72D297353CC}">
              <c16:uniqueId val="{00000004-CF17-405D-9E1C-31175FFB7485}"/>
            </c:ext>
          </c:extLst>
        </c:ser>
        <c:dLbls>
          <c:showLegendKey val="0"/>
          <c:showVal val="0"/>
          <c:showCatName val="0"/>
          <c:showSerName val="0"/>
          <c:showPercent val="0"/>
          <c:showBubbleSize val="0"/>
        </c:dLbls>
        <c:gapWidth val="90"/>
        <c:overlap val="100"/>
        <c:axId val="1356899279"/>
        <c:axId val="1"/>
      </c:barChart>
      <c:lineChart>
        <c:grouping val="standard"/>
        <c:varyColors val="0"/>
        <c:ser>
          <c:idx val="2"/>
          <c:order val="3"/>
          <c:tx>
            <c:strRef>
              <c:f>'Pil contri  sett 2025'!$C$6</c:f>
              <c:strCache>
                <c:ptCount val="1"/>
                <c:pt idx="0">
                  <c:v>Pil</c:v>
                </c:pt>
              </c:strCache>
            </c:strRef>
          </c:tx>
          <c:spPr>
            <a:ln w="19050" cap="rnd" cmpd="sng" algn="ctr">
              <a:solidFill>
                <a:sysClr val="windowText" lastClr="000000">
                  <a:lumMod val="50000"/>
                  <a:lumOff val="50000"/>
                </a:sysClr>
              </a:solidFill>
              <a:prstDash val="sysDash"/>
              <a:round/>
            </a:ln>
            <a:effectLst/>
          </c:spPr>
          <c:marker>
            <c:symbol val="none"/>
          </c:marker>
          <c:cat>
            <c:multiLvlStrRef>
              <c:f>'Pil contri  sett 2025'!$A$7:$B$16</c:f>
              <c:multiLvlStrCache>
                <c:ptCount val="10"/>
                <c:lvl>
                  <c:pt idx="0">
                    <c:v>T1</c:v>
                  </c:pt>
                  <c:pt idx="1">
                    <c:v>T2</c:v>
                  </c:pt>
                  <c:pt idx="2">
                    <c:v>T3</c:v>
                  </c:pt>
                  <c:pt idx="3">
                    <c:v>T4</c:v>
                  </c:pt>
                  <c:pt idx="4">
                    <c:v>T1</c:v>
                  </c:pt>
                  <c:pt idx="5">
                    <c:v>T2</c:v>
                  </c:pt>
                  <c:pt idx="6">
                    <c:v>T3</c:v>
                  </c:pt>
                  <c:pt idx="7">
                    <c:v>T4</c:v>
                  </c:pt>
                  <c:pt idx="8">
                    <c:v>T1</c:v>
                  </c:pt>
                  <c:pt idx="9">
                    <c:v>T2</c:v>
                  </c:pt>
                </c:lvl>
                <c:lvl>
                  <c:pt idx="0">
                    <c:v>2023</c:v>
                  </c:pt>
                  <c:pt idx="4">
                    <c:v>2024</c:v>
                  </c:pt>
                  <c:pt idx="8">
                    <c:v>2025</c:v>
                  </c:pt>
                </c:lvl>
              </c:multiLvlStrCache>
            </c:multiLvlStrRef>
          </c:cat>
          <c:val>
            <c:numRef>
              <c:f>'Pil contri  sett 2025'!$C$7:$C$16</c:f>
              <c:numCache>
                <c:formatCode>#,##0.0</c:formatCode>
                <c:ptCount val="10"/>
                <c:pt idx="0">
                  <c:v>0.45500000000000002</c:v>
                </c:pt>
                <c:pt idx="1">
                  <c:v>-0.16200000000000001</c:v>
                </c:pt>
                <c:pt idx="2">
                  <c:v>0.126</c:v>
                </c:pt>
                <c:pt idx="3">
                  <c:v>0.16600000000000001</c:v>
                </c:pt>
                <c:pt idx="4">
                  <c:v>0.159</c:v>
                </c:pt>
                <c:pt idx="5">
                  <c:v>0.215</c:v>
                </c:pt>
                <c:pt idx="6">
                  <c:v>4.0000000000000001E-3</c:v>
                </c:pt>
                <c:pt idx="7">
                  <c:v>0.19800000000000001</c:v>
                </c:pt>
                <c:pt idx="8">
                  <c:v>0.311</c:v>
                </c:pt>
                <c:pt idx="9">
                  <c:v>-7.5999999999999998E-2</c:v>
                </c:pt>
              </c:numCache>
            </c:numRef>
          </c:val>
          <c:smooth val="0"/>
          <c:extLst>
            <c:ext xmlns:c16="http://schemas.microsoft.com/office/drawing/2014/chart" uri="{C3380CC4-5D6E-409C-BE32-E72D297353CC}">
              <c16:uniqueId val="{00000005-CF17-405D-9E1C-31175FFB7485}"/>
            </c:ext>
          </c:extLst>
        </c:ser>
        <c:dLbls>
          <c:showLegendKey val="0"/>
          <c:showVal val="0"/>
          <c:showCatName val="0"/>
          <c:showSerName val="0"/>
          <c:showPercent val="0"/>
          <c:showBubbleSize val="0"/>
        </c:dLbls>
        <c:marker val="1"/>
        <c:smooth val="0"/>
        <c:axId val="1356899279"/>
        <c:axId val="1"/>
      </c:lineChart>
      <c:catAx>
        <c:axId val="1356899279"/>
        <c:scaling>
          <c:orientation val="minMax"/>
        </c:scaling>
        <c:delete val="0"/>
        <c:axPos val="b"/>
        <c:majorGridlines>
          <c:spPr>
            <a:ln w="3175" cap="flat" cmpd="sng" algn="ctr">
              <a:solidFill>
                <a:sysClr val="window" lastClr="FFFFFF">
                  <a:lumMod val="85000"/>
                </a:sysClr>
              </a:solidFill>
              <a:prstDash val="solid"/>
              <a:round/>
            </a:ln>
            <a:effectLst/>
          </c:spPr>
        </c:majorGridlines>
        <c:numFmt formatCode="General" sourceLinked="1"/>
        <c:majorTickMark val="out"/>
        <c:minorTickMark val="none"/>
        <c:tickLblPos val="low"/>
        <c:spPr>
          <a:noFill/>
          <a:ln w="6350" cap="flat" cmpd="sng" algn="ctr">
            <a:solidFill>
              <a:sysClr val="window" lastClr="FFFFFF">
                <a:lumMod val="50000"/>
              </a:sysClr>
            </a:solidFill>
            <a:prstDash val="solid"/>
            <a:round/>
          </a:ln>
          <a:effectLst/>
        </c:spPr>
        <c:txPr>
          <a:bodyPr rot="0" spcFirstLastPara="1" vertOverflow="ellipsis" wrap="square" anchor="ctr" anchorCtr="1"/>
          <a:lstStyle/>
          <a:p>
            <a:pPr>
              <a:defRPr sz="750" b="1" i="0" u="none" strike="noStrike" kern="1200" baseline="0">
                <a:solidFill>
                  <a:schemeClr val="tx1">
                    <a:lumMod val="75000"/>
                    <a:lumOff val="25000"/>
                  </a:schemeClr>
                </a:solidFill>
                <a:latin typeface="Arial Narrow" panose="020B0606020202030204" pitchFamily="34" charset="0"/>
                <a:ea typeface="Times New Roman"/>
                <a:cs typeface="Times New Roman"/>
              </a:defRPr>
            </a:pPr>
            <a:endParaRPr lang="en-US"/>
          </a:p>
        </c:txPr>
        <c:crossAx val="1"/>
        <c:crossesAt val="0"/>
        <c:auto val="1"/>
        <c:lblAlgn val="ctr"/>
        <c:lblOffset val="100"/>
        <c:tickLblSkip val="2"/>
        <c:tickMarkSkip val="1"/>
        <c:noMultiLvlLbl val="0"/>
      </c:catAx>
      <c:valAx>
        <c:axId val="1"/>
        <c:scaling>
          <c:orientation val="minMax"/>
          <c:max val="6"/>
          <c:min val="-2"/>
        </c:scaling>
        <c:delete val="0"/>
        <c:axPos val="l"/>
        <c:majorGridlines>
          <c:spPr>
            <a:ln w="3175" cap="flat" cmpd="sng" algn="ctr">
              <a:solidFill>
                <a:sysClr val="window" lastClr="FFFFFF">
                  <a:lumMod val="85000"/>
                </a:sysClr>
              </a:solidFill>
              <a:prstDash val="solid"/>
              <a:round/>
            </a:ln>
            <a:effectLst/>
          </c:spPr>
        </c:majorGridlines>
        <c:numFmt formatCode="0" sourceLinked="0"/>
        <c:majorTickMark val="out"/>
        <c:minorTickMark val="none"/>
        <c:tickLblPos val="nextTo"/>
        <c:spPr>
          <a:noFill/>
          <a:ln w="6350" cap="flat" cmpd="sng" algn="ctr">
            <a:solidFill>
              <a:sysClr val="window" lastClr="FFFFFF">
                <a:lumMod val="65000"/>
              </a:sysClr>
            </a:solidFill>
            <a:prstDash val="solid"/>
            <a:round/>
          </a:ln>
          <a:effectLst/>
        </c:spPr>
        <c:txPr>
          <a:bodyPr rot="0" spcFirstLastPara="1" vertOverflow="ellipsis" wrap="square" anchor="ctr" anchorCtr="1"/>
          <a:lstStyle/>
          <a:p>
            <a:pPr>
              <a:defRPr sz="750" b="0" i="0" u="none" strike="noStrike" kern="1200" baseline="0">
                <a:solidFill>
                  <a:srgbClr val="000000"/>
                </a:solidFill>
                <a:latin typeface="Arial Narrow" panose="020B0606020202030204" pitchFamily="34" charset="0"/>
                <a:ea typeface="Times New Roman"/>
                <a:cs typeface="Times New Roman"/>
              </a:defRPr>
            </a:pPr>
            <a:endParaRPr lang="en-US"/>
          </a:p>
        </c:txPr>
        <c:crossAx val="1356899279"/>
        <c:crosses val="autoZero"/>
        <c:crossBetween val="between"/>
        <c:majorUnit val="2"/>
      </c:valAx>
      <c:spPr>
        <a:noFill/>
        <a:ln w="12700">
          <a:noFill/>
          <a:prstDash val="solid"/>
        </a:ln>
        <a:effectLst/>
      </c:spPr>
    </c:plotArea>
    <c:legend>
      <c:legendPos val="t"/>
      <c:layout>
        <c:manualLayout>
          <c:xMode val="edge"/>
          <c:yMode val="edge"/>
          <c:x val="1.2153129430828438E-2"/>
          <c:y val="1.2345499422822445E-2"/>
          <c:w val="0.98023441823671165"/>
          <c:h val="0.13540163111315495"/>
        </c:manualLayout>
      </c:layout>
      <c:overlay val="0"/>
      <c:spPr>
        <a:noFill/>
        <a:ln>
          <a:noFill/>
        </a:ln>
        <a:effectLst/>
      </c:spPr>
      <c:txPr>
        <a:bodyPr rot="0" spcFirstLastPara="1" vertOverflow="ellipsis" vert="horz" wrap="square" anchor="ctr" anchorCtr="1"/>
        <a:lstStyle/>
        <a:p>
          <a:pPr>
            <a:defRPr sz="700" b="0" i="0" u="none" strike="noStrike" kern="1200" baseline="0">
              <a:solidFill>
                <a:srgbClr val="000000"/>
              </a:solidFill>
              <a:latin typeface="Arial Narrow" panose="020B0606020202030204" pitchFamily="34" charset="0"/>
              <a:ea typeface="Times New Roman"/>
              <a:cs typeface="Times New Roman"/>
            </a:defRPr>
          </a:pPr>
          <a:endParaRPr lang="en-US"/>
        </a:p>
      </c:txPr>
    </c:legend>
    <c:plotVisOnly val="1"/>
    <c:dispBlanksAs val="gap"/>
    <c:showDLblsOverMax val="0"/>
  </c:chart>
  <c:spPr>
    <a:noFill/>
    <a:ln w="3175" cap="flat" cmpd="sng" algn="ctr">
      <a:noFill/>
      <a:prstDash val="solid"/>
      <a:round/>
    </a:ln>
    <a:effectLst/>
  </c:spPr>
  <c:txPr>
    <a:bodyPr/>
    <a:lstStyle/>
    <a:p>
      <a:pPr>
        <a:defRPr sz="740" b="0" i="0" u="none" strike="noStrike" baseline="0">
          <a:solidFill>
            <a:srgbClr val="000000"/>
          </a:solidFill>
          <a:latin typeface="Arial Narrow" panose="020B0606020202030204" pitchFamily="34" charset="0"/>
          <a:ea typeface="Times New Roman"/>
          <a:cs typeface="Times New Roman"/>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787918871252204E-2"/>
          <c:y val="0.15756567014489042"/>
          <c:w val="0.89090211640211636"/>
          <c:h val="0.67364824654370781"/>
        </c:manualLayout>
      </c:layout>
      <c:barChart>
        <c:barDir val="col"/>
        <c:grouping val="clustered"/>
        <c:varyColors val="0"/>
        <c:ser>
          <c:idx val="3"/>
          <c:order val="0"/>
          <c:tx>
            <c:strRef>
              <c:f>'figura nota sett 25'!$B$3</c:f>
              <c:strCache>
                <c:ptCount val="1"/>
                <c:pt idx="0">
                  <c:v>I-2025</c:v>
                </c:pt>
              </c:strCache>
            </c:strRef>
          </c:tx>
          <c:spPr>
            <a:solidFill>
              <a:srgbClr val="00817F"/>
            </a:solidFill>
            <a:ln>
              <a:noFill/>
            </a:ln>
            <a:effectLst/>
          </c:spPr>
          <c:invertIfNegative val="0"/>
          <c:cat>
            <c:multiLvlStrRef>
              <c:f>'figura nota sett 25'!$C$1:$F$2</c:f>
              <c:multiLvlStrCache>
                <c:ptCount val="4"/>
                <c:lvl>
                  <c:pt idx="0">
                    <c:v>Ue</c:v>
                  </c:pt>
                  <c:pt idx="1">
                    <c:v>Extra Ue</c:v>
                  </c:pt>
                  <c:pt idx="2">
                    <c:v>Ue</c:v>
                  </c:pt>
                  <c:pt idx="3">
                    <c:v>Extra Ue</c:v>
                  </c:pt>
                </c:lvl>
                <c:lvl>
                  <c:pt idx="0">
                    <c:v>Export</c:v>
                  </c:pt>
                  <c:pt idx="2">
                    <c:v>Import</c:v>
                  </c:pt>
                </c:lvl>
              </c:multiLvlStrCache>
            </c:multiLvlStrRef>
          </c:cat>
          <c:val>
            <c:numRef>
              <c:f>'figura nota sett 25'!$C$3:$F$3</c:f>
              <c:numCache>
                <c:formatCode>0.0</c:formatCode>
                <c:ptCount val="4"/>
                <c:pt idx="0">
                  <c:v>3.0633672382540738</c:v>
                </c:pt>
                <c:pt idx="1">
                  <c:v>3.3305366956841027</c:v>
                </c:pt>
                <c:pt idx="2">
                  <c:v>2.4224669141750041</c:v>
                </c:pt>
                <c:pt idx="3">
                  <c:v>11.73107890811977</c:v>
                </c:pt>
              </c:numCache>
            </c:numRef>
          </c:val>
          <c:extLst>
            <c:ext xmlns:c16="http://schemas.microsoft.com/office/drawing/2014/chart" uri="{C3380CC4-5D6E-409C-BE32-E72D297353CC}">
              <c16:uniqueId val="{00000000-D311-49F4-9925-5A0AB27487A2}"/>
            </c:ext>
          </c:extLst>
        </c:ser>
        <c:ser>
          <c:idx val="0"/>
          <c:order val="1"/>
          <c:tx>
            <c:strRef>
              <c:f>'figura nota sett 25'!$B$4</c:f>
              <c:strCache>
                <c:ptCount val="1"/>
                <c:pt idx="0">
                  <c:v>II-2025</c:v>
                </c:pt>
              </c:strCache>
            </c:strRef>
          </c:tx>
          <c:spPr>
            <a:solidFill>
              <a:srgbClr val="004172"/>
            </a:solidFill>
            <a:ln>
              <a:noFill/>
            </a:ln>
            <a:effectLst/>
          </c:spPr>
          <c:invertIfNegative val="0"/>
          <c:cat>
            <c:multiLvlStrRef>
              <c:f>'figura nota sett 25'!$C$1:$F$2</c:f>
              <c:multiLvlStrCache>
                <c:ptCount val="4"/>
                <c:lvl>
                  <c:pt idx="0">
                    <c:v>Ue</c:v>
                  </c:pt>
                  <c:pt idx="1">
                    <c:v>Extra Ue</c:v>
                  </c:pt>
                  <c:pt idx="2">
                    <c:v>Ue</c:v>
                  </c:pt>
                  <c:pt idx="3">
                    <c:v>Extra Ue</c:v>
                  </c:pt>
                </c:lvl>
                <c:lvl>
                  <c:pt idx="0">
                    <c:v>Export</c:v>
                  </c:pt>
                  <c:pt idx="2">
                    <c:v>Import</c:v>
                  </c:pt>
                </c:lvl>
              </c:multiLvlStrCache>
            </c:multiLvlStrRef>
          </c:cat>
          <c:val>
            <c:numRef>
              <c:f>'figura nota sett 25'!$C$4:$F$4</c:f>
              <c:numCache>
                <c:formatCode>0.0</c:formatCode>
                <c:ptCount val="4"/>
                <c:pt idx="0">
                  <c:v>2.5465879268481473</c:v>
                </c:pt>
                <c:pt idx="1">
                  <c:v>-0.42349563348787456</c:v>
                </c:pt>
                <c:pt idx="2">
                  <c:v>0.75997308209319669</c:v>
                </c:pt>
                <c:pt idx="3">
                  <c:v>5.7957054857646426</c:v>
                </c:pt>
              </c:numCache>
            </c:numRef>
          </c:val>
          <c:extLst>
            <c:ext xmlns:c16="http://schemas.microsoft.com/office/drawing/2014/chart" uri="{C3380CC4-5D6E-409C-BE32-E72D297353CC}">
              <c16:uniqueId val="{00000001-D311-49F4-9925-5A0AB27487A2}"/>
            </c:ext>
          </c:extLst>
        </c:ser>
        <c:dLbls>
          <c:showLegendKey val="0"/>
          <c:showVal val="0"/>
          <c:showCatName val="0"/>
          <c:showSerName val="0"/>
          <c:showPercent val="0"/>
          <c:showBubbleSize val="0"/>
        </c:dLbls>
        <c:gapWidth val="90"/>
        <c:axId val="1356899279"/>
        <c:axId val="1"/>
        <c:extLst>
          <c:ext xmlns:c15="http://schemas.microsoft.com/office/drawing/2012/chart" uri="{02D57815-91ED-43cb-92C2-25804820EDAC}">
            <c15:filteredBarSeries>
              <c15:ser>
                <c:idx val="1"/>
                <c:order val="2"/>
                <c:tx>
                  <c:strRef>
                    <c:extLst>
                      <c:ext uri="{02D57815-91ED-43cb-92C2-25804820EDAC}">
                        <c15:formulaRef>
                          <c15:sqref>'figura nota sett 25'!$B$5</c15:sqref>
                        </c15:formulaRef>
                      </c:ext>
                    </c:extLst>
                    <c:strCache>
                      <c:ptCount val="1"/>
                    </c:strCache>
                  </c:strRef>
                </c:tx>
                <c:spPr>
                  <a:solidFill>
                    <a:srgbClr val="008193"/>
                  </a:solidFill>
                  <a:ln>
                    <a:noFill/>
                  </a:ln>
                  <a:effectLst/>
                </c:spPr>
                <c:invertIfNegative val="0"/>
                <c:cat>
                  <c:multiLvlStrRef>
                    <c:extLst>
                      <c:ext uri="{02D57815-91ED-43cb-92C2-25804820EDAC}">
                        <c15:formulaRef>
                          <c15:sqref>'figura nota sett 25'!$C$1:$F$2</c15:sqref>
                        </c15:formulaRef>
                      </c:ext>
                    </c:extLst>
                    <c:multiLvlStrCache>
                      <c:ptCount val="4"/>
                      <c:lvl>
                        <c:pt idx="0">
                          <c:v>Ue</c:v>
                        </c:pt>
                        <c:pt idx="1">
                          <c:v>Extra Ue</c:v>
                        </c:pt>
                        <c:pt idx="2">
                          <c:v>Ue</c:v>
                        </c:pt>
                        <c:pt idx="3">
                          <c:v>Extra Ue</c:v>
                        </c:pt>
                      </c:lvl>
                      <c:lvl>
                        <c:pt idx="0">
                          <c:v>Export</c:v>
                        </c:pt>
                        <c:pt idx="2">
                          <c:v>Import</c:v>
                        </c:pt>
                      </c:lvl>
                    </c:multiLvlStrCache>
                  </c:multiLvlStrRef>
                </c:cat>
                <c:val>
                  <c:numRef>
                    <c:extLst>
                      <c:ext uri="{02D57815-91ED-43cb-92C2-25804820EDAC}">
                        <c15:formulaRef>
                          <c15:sqref>'figura nota sett 25'!$C$5:$F$5</c15:sqref>
                        </c15:formulaRef>
                      </c:ext>
                    </c:extLst>
                    <c:numCache>
                      <c:formatCode>General</c:formatCode>
                      <c:ptCount val="4"/>
                    </c:numCache>
                  </c:numRef>
                </c:val>
                <c:extLst>
                  <c:ext xmlns:c16="http://schemas.microsoft.com/office/drawing/2014/chart" uri="{C3380CC4-5D6E-409C-BE32-E72D297353CC}">
                    <c16:uniqueId val="{00000002-D311-49F4-9925-5A0AB27487A2}"/>
                  </c:ext>
                </c:extLst>
              </c15:ser>
            </c15:filteredBarSeries>
          </c:ext>
        </c:extLst>
      </c:barChart>
      <c:catAx>
        <c:axId val="1356899279"/>
        <c:scaling>
          <c:orientation val="minMax"/>
        </c:scaling>
        <c:delete val="0"/>
        <c:axPos val="b"/>
        <c:majorGridlines>
          <c:spPr>
            <a:ln w="3175" cap="flat" cmpd="sng" algn="ctr">
              <a:solidFill>
                <a:sysClr val="window" lastClr="FFFFFF">
                  <a:lumMod val="85000"/>
                </a:sysClr>
              </a:solidFill>
              <a:prstDash val="solid"/>
              <a:round/>
            </a:ln>
            <a:effectLst/>
          </c:spPr>
        </c:majorGridlines>
        <c:numFmt formatCode="General" sourceLinked="1"/>
        <c:majorTickMark val="out"/>
        <c:minorTickMark val="none"/>
        <c:tickLblPos val="low"/>
        <c:spPr>
          <a:noFill/>
          <a:ln w="9525" cap="flat" cmpd="sng" algn="ctr">
            <a:solidFill>
              <a:srgbClr val="A6A6A6"/>
            </a:solidFill>
            <a:prstDash val="solid"/>
            <a:round/>
          </a:ln>
          <a:effectLst/>
        </c:spPr>
        <c:txPr>
          <a:bodyPr rot="0" spcFirstLastPara="1" vertOverflow="ellipsis" wrap="square" anchor="ctr" anchorCtr="1"/>
          <a:lstStyle/>
          <a:p>
            <a:pPr>
              <a:defRPr sz="750" b="1" i="0" u="none" strike="noStrike" kern="1200" baseline="0">
                <a:solidFill>
                  <a:schemeClr val="tx1">
                    <a:lumMod val="65000"/>
                    <a:lumOff val="35000"/>
                  </a:schemeClr>
                </a:solidFill>
                <a:latin typeface="Arial Narrow" panose="020B0606020202030204" pitchFamily="34" charset="0"/>
                <a:ea typeface="Times New Roman"/>
                <a:cs typeface="Times New Roman"/>
              </a:defRPr>
            </a:pPr>
            <a:endParaRPr lang="en-US"/>
          </a:p>
        </c:txPr>
        <c:crossAx val="1"/>
        <c:crossesAt val="0"/>
        <c:auto val="1"/>
        <c:lblAlgn val="ctr"/>
        <c:lblOffset val="100"/>
        <c:tickLblSkip val="1"/>
        <c:tickMarkSkip val="1"/>
        <c:noMultiLvlLbl val="0"/>
      </c:catAx>
      <c:valAx>
        <c:axId val="1"/>
        <c:scaling>
          <c:orientation val="minMax"/>
          <c:max val="12"/>
          <c:min val="-2"/>
        </c:scaling>
        <c:delete val="0"/>
        <c:axPos val="l"/>
        <c:majorGridlines>
          <c:spPr>
            <a:ln w="3175" cap="flat" cmpd="sng" algn="ctr">
              <a:solidFill>
                <a:sysClr val="window" lastClr="FFFFFF">
                  <a:lumMod val="85000"/>
                </a:sysClr>
              </a:solidFill>
              <a:prstDash val="solid"/>
              <a:round/>
            </a:ln>
            <a:effectLst/>
          </c:spPr>
        </c:majorGridlines>
        <c:numFmt formatCode="0" sourceLinked="0"/>
        <c:majorTickMark val="out"/>
        <c:minorTickMark val="none"/>
        <c:tickLblPos val="nextTo"/>
        <c:spPr>
          <a:noFill/>
          <a:ln w="9525" cap="flat" cmpd="sng" algn="ctr">
            <a:solidFill>
              <a:srgbClr val="A6A6A6"/>
            </a:solidFill>
            <a:prstDash val="solid"/>
            <a:round/>
          </a:ln>
          <a:effectLst/>
        </c:spPr>
        <c:txPr>
          <a:bodyPr rot="0" spcFirstLastPara="1" vertOverflow="ellipsis" wrap="square" anchor="ctr" anchorCtr="1"/>
          <a:lstStyle/>
          <a:p>
            <a:pPr>
              <a:defRPr sz="750" b="0" i="0" u="none" strike="noStrike" kern="1200" baseline="0">
                <a:solidFill>
                  <a:sysClr val="windowText" lastClr="000000"/>
                </a:solidFill>
                <a:latin typeface="Arial Narrow" panose="020B0606020202030204" pitchFamily="34" charset="0"/>
                <a:ea typeface="Times New Roman"/>
                <a:cs typeface="Times New Roman"/>
              </a:defRPr>
            </a:pPr>
            <a:endParaRPr lang="en-US"/>
          </a:p>
        </c:txPr>
        <c:crossAx val="1356899279"/>
        <c:crosses val="autoZero"/>
        <c:crossBetween val="between"/>
        <c:majorUnit val="2"/>
      </c:valAx>
      <c:spPr>
        <a:noFill/>
        <a:ln w="12700">
          <a:noFill/>
          <a:prstDash val="solid"/>
        </a:ln>
        <a:effectLst/>
      </c:spPr>
    </c:plotArea>
    <c:legend>
      <c:legendPos val="t"/>
      <c:layout>
        <c:manualLayout>
          <c:xMode val="edge"/>
          <c:yMode val="edge"/>
          <c:x val="2.9512165636409061E-2"/>
          <c:y val="1.8367961457392348E-2"/>
          <c:w val="0.86742849669616695"/>
          <c:h val="8.920959522491155E-2"/>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Arial Narrow" panose="020B0606020202030204" pitchFamily="34" charset="0"/>
              <a:ea typeface="Times New Roman"/>
              <a:cs typeface="Times New Roman"/>
            </a:defRPr>
          </a:pPr>
          <a:endParaRPr lang="en-US"/>
        </a:p>
      </c:txPr>
    </c:legend>
    <c:plotVisOnly val="1"/>
    <c:dispBlanksAs val="gap"/>
    <c:showDLblsOverMax val="0"/>
  </c:chart>
  <c:spPr>
    <a:noFill/>
    <a:ln w="3175" cap="flat" cmpd="sng" algn="ctr">
      <a:noFill/>
      <a:prstDash val="solid"/>
      <a:round/>
    </a:ln>
    <a:effectLst/>
  </c:spPr>
  <c:txPr>
    <a:bodyPr/>
    <a:lstStyle/>
    <a:p>
      <a:pPr>
        <a:defRPr sz="740" b="0" i="0" u="none" strike="noStrike" baseline="0">
          <a:solidFill>
            <a:srgbClr val="000000"/>
          </a:solidFill>
          <a:latin typeface="Arial Narrow" panose="020B0606020202030204" pitchFamily="34" charset="0"/>
          <a:ea typeface="Times New Roman"/>
          <a:cs typeface="Times New Roman"/>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236075949159778E-2"/>
          <c:y val="0.16709343994539386"/>
          <c:w val="0.84606330176396349"/>
          <c:h val="0.66359815704151537"/>
        </c:manualLayout>
      </c:layout>
      <c:lineChart>
        <c:grouping val="standard"/>
        <c:varyColors val="0"/>
        <c:ser>
          <c:idx val="2"/>
          <c:order val="0"/>
          <c:tx>
            <c:strRef>
              <c:f>'fig sett 25'!$C$1</c:f>
              <c:strCache>
                <c:ptCount val="1"/>
                <c:pt idx="0">
                  <c:v>Tasso occupazione  (sx)</c:v>
                </c:pt>
              </c:strCache>
            </c:strRef>
          </c:tx>
          <c:spPr>
            <a:ln w="19050">
              <a:solidFill>
                <a:sysClr val="windowText" lastClr="000000">
                  <a:lumMod val="50000"/>
                  <a:lumOff val="50000"/>
                </a:sysClr>
              </a:solidFill>
              <a:prstDash val="sysDash"/>
            </a:ln>
          </c:spPr>
          <c:marker>
            <c:symbol val="none"/>
          </c:marker>
          <c:cat>
            <c:multiLvlStrRef>
              <c:f>'fig sett 25'!$A$2:$B$32</c:f>
              <c:multiLvlStrCache>
                <c:ptCount val="31"/>
                <c:lvl>
                  <c:pt idx="0">
                    <c:v>gen</c:v>
                  </c:pt>
                  <c:pt idx="2">
                    <c:v>mar</c:v>
                  </c:pt>
                  <c:pt idx="4">
                    <c:v>mag</c:v>
                  </c:pt>
                  <c:pt idx="6">
                    <c:v>lug</c:v>
                  </c:pt>
                  <c:pt idx="8">
                    <c:v>set</c:v>
                  </c:pt>
                  <c:pt idx="10">
                    <c:v>nov</c:v>
                  </c:pt>
                  <c:pt idx="12">
                    <c:v>gen</c:v>
                  </c:pt>
                  <c:pt idx="14">
                    <c:v>mar</c:v>
                  </c:pt>
                  <c:pt idx="16">
                    <c:v>mag</c:v>
                  </c:pt>
                  <c:pt idx="18">
                    <c:v>lug</c:v>
                  </c:pt>
                  <c:pt idx="20">
                    <c:v>set</c:v>
                  </c:pt>
                  <c:pt idx="22">
                    <c:v>nov</c:v>
                  </c:pt>
                  <c:pt idx="24">
                    <c:v>gen</c:v>
                  </c:pt>
                  <c:pt idx="26">
                    <c:v>mar</c:v>
                  </c:pt>
                  <c:pt idx="28">
                    <c:v>mag</c:v>
                  </c:pt>
                  <c:pt idx="30">
                    <c:v>lug</c:v>
                  </c:pt>
                </c:lvl>
                <c:lvl>
                  <c:pt idx="0">
                    <c:v>2023</c:v>
                  </c:pt>
                  <c:pt idx="12">
                    <c:v>2024</c:v>
                  </c:pt>
                  <c:pt idx="24">
                    <c:v>2025</c:v>
                  </c:pt>
                </c:lvl>
              </c:multiLvlStrCache>
            </c:multiLvlStrRef>
          </c:cat>
          <c:val>
            <c:numRef>
              <c:f>'fig sett 25'!$C$2:$C$32</c:f>
              <c:numCache>
                <c:formatCode>0.0</c:formatCode>
                <c:ptCount val="31"/>
                <c:pt idx="0">
                  <c:v>103.24289279465005</c:v>
                </c:pt>
                <c:pt idx="1">
                  <c:v>103.44240254975216</c:v>
                </c:pt>
                <c:pt idx="2">
                  <c:v>103.42951597754093</c:v>
                </c:pt>
                <c:pt idx="3">
                  <c:v>103.55968289442828</c:v>
                </c:pt>
                <c:pt idx="4">
                  <c:v>103.85013904839013</c:v>
                </c:pt>
                <c:pt idx="5">
                  <c:v>104.46699008491561</c:v>
                </c:pt>
                <c:pt idx="6">
                  <c:v>103.89083357612374</c:v>
                </c:pt>
                <c:pt idx="7">
                  <c:v>104.10478523781651</c:v>
                </c:pt>
                <c:pt idx="8">
                  <c:v>104.55201164246286</c:v>
                </c:pt>
                <c:pt idx="9">
                  <c:v>104.9261407198042</c:v>
                </c:pt>
                <c:pt idx="10">
                  <c:v>104.89591166098313</c:v>
                </c:pt>
                <c:pt idx="11">
                  <c:v>105.14533612866946</c:v>
                </c:pt>
                <c:pt idx="12">
                  <c:v>104.66989853366164</c:v>
                </c:pt>
                <c:pt idx="13">
                  <c:v>104.92088511278351</c:v>
                </c:pt>
                <c:pt idx="14">
                  <c:v>105.1842923415084</c:v>
                </c:pt>
                <c:pt idx="15">
                  <c:v>105.41969338581943</c:v>
                </c:pt>
                <c:pt idx="16">
                  <c:v>105.2960324428068</c:v>
                </c:pt>
                <c:pt idx="17">
                  <c:v>105.6012913815977</c:v>
                </c:pt>
                <c:pt idx="18">
                  <c:v>105.60051540867201</c:v>
                </c:pt>
                <c:pt idx="19">
                  <c:v>105.81243734205701</c:v>
                </c:pt>
                <c:pt idx="20">
                  <c:v>105.6754391526012</c:v>
                </c:pt>
                <c:pt idx="21">
                  <c:v>105.5883285675051</c:v>
                </c:pt>
                <c:pt idx="22">
                  <c:v>105.60344309691565</c:v>
                </c:pt>
                <c:pt idx="23">
                  <c:v>105.74520725108749</c:v>
                </c:pt>
                <c:pt idx="24">
                  <c:v>106.16844287707077</c:v>
                </c:pt>
                <c:pt idx="25">
                  <c:v>106.1683717179815</c:v>
                </c:pt>
                <c:pt idx="26">
                  <c:v>106.1806314125017</c:v>
                </c:pt>
                <c:pt idx="27">
                  <c:v>106.00974794244836</c:v>
                </c:pt>
                <c:pt idx="28">
                  <c:v>106.16299751247873</c:v>
                </c:pt>
                <c:pt idx="29">
                  <c:v>106.20733131934853</c:v>
                </c:pt>
                <c:pt idx="30">
                  <c:v>106.34885149950006</c:v>
                </c:pt>
              </c:numCache>
            </c:numRef>
          </c:val>
          <c:smooth val="0"/>
          <c:extLst>
            <c:ext xmlns:c16="http://schemas.microsoft.com/office/drawing/2014/chart" uri="{C3380CC4-5D6E-409C-BE32-E72D297353CC}">
              <c16:uniqueId val="{00000000-82BF-471B-96A5-6EC0AE0DD87D}"/>
            </c:ext>
          </c:extLst>
        </c:ser>
        <c:dLbls>
          <c:showLegendKey val="0"/>
          <c:showVal val="0"/>
          <c:showCatName val="0"/>
          <c:showSerName val="0"/>
          <c:showPercent val="0"/>
          <c:showBubbleSize val="0"/>
        </c:dLbls>
        <c:marker val="1"/>
        <c:smooth val="0"/>
        <c:axId val="313173408"/>
        <c:axId val="313173968"/>
      </c:lineChart>
      <c:lineChart>
        <c:grouping val="standard"/>
        <c:varyColors val="0"/>
        <c:ser>
          <c:idx val="1"/>
          <c:order val="1"/>
          <c:tx>
            <c:strRef>
              <c:f>'fig sett 25'!$D$1</c:f>
              <c:strCache>
                <c:ptCount val="1"/>
                <c:pt idx="0">
                  <c:v>Tasso disoccupazione (dx)</c:v>
                </c:pt>
              </c:strCache>
            </c:strRef>
          </c:tx>
          <c:spPr>
            <a:ln w="19050">
              <a:solidFill>
                <a:srgbClr val="008080"/>
              </a:solidFill>
              <a:prstDash val="solid"/>
            </a:ln>
          </c:spPr>
          <c:marker>
            <c:symbol val="none"/>
          </c:marker>
          <c:cat>
            <c:multiLvlStrRef>
              <c:f>'fig sett 25'!$A$2:$B$32</c:f>
              <c:multiLvlStrCache>
                <c:ptCount val="31"/>
                <c:lvl>
                  <c:pt idx="0">
                    <c:v>gen</c:v>
                  </c:pt>
                  <c:pt idx="2">
                    <c:v>mar</c:v>
                  </c:pt>
                  <c:pt idx="4">
                    <c:v>mag</c:v>
                  </c:pt>
                  <c:pt idx="6">
                    <c:v>lug</c:v>
                  </c:pt>
                  <c:pt idx="8">
                    <c:v>set</c:v>
                  </c:pt>
                  <c:pt idx="10">
                    <c:v>nov</c:v>
                  </c:pt>
                  <c:pt idx="12">
                    <c:v>gen</c:v>
                  </c:pt>
                  <c:pt idx="14">
                    <c:v>mar</c:v>
                  </c:pt>
                  <c:pt idx="16">
                    <c:v>mag</c:v>
                  </c:pt>
                  <c:pt idx="18">
                    <c:v>lug</c:v>
                  </c:pt>
                  <c:pt idx="20">
                    <c:v>set</c:v>
                  </c:pt>
                  <c:pt idx="22">
                    <c:v>nov</c:v>
                  </c:pt>
                  <c:pt idx="24">
                    <c:v>gen</c:v>
                  </c:pt>
                  <c:pt idx="26">
                    <c:v>mar</c:v>
                  </c:pt>
                  <c:pt idx="28">
                    <c:v>mag</c:v>
                  </c:pt>
                  <c:pt idx="30">
                    <c:v>lug</c:v>
                  </c:pt>
                </c:lvl>
                <c:lvl>
                  <c:pt idx="0">
                    <c:v>2023</c:v>
                  </c:pt>
                  <c:pt idx="12">
                    <c:v>2024</c:v>
                  </c:pt>
                  <c:pt idx="24">
                    <c:v>2025</c:v>
                  </c:pt>
                </c:lvl>
              </c:multiLvlStrCache>
            </c:multiLvlStrRef>
          </c:cat>
          <c:val>
            <c:numRef>
              <c:f>'fig sett 25'!$D$2:$D$32</c:f>
              <c:numCache>
                <c:formatCode>0.0</c:formatCode>
                <c:ptCount val="31"/>
                <c:pt idx="0">
                  <c:v>79.794598013229731</c:v>
                </c:pt>
                <c:pt idx="1">
                  <c:v>78.751420577462355</c:v>
                </c:pt>
                <c:pt idx="2">
                  <c:v>79.801301939919327</c:v>
                </c:pt>
                <c:pt idx="3">
                  <c:v>79.452849196187159</c:v>
                </c:pt>
                <c:pt idx="4">
                  <c:v>78.48873569100148</c:v>
                </c:pt>
                <c:pt idx="5">
                  <c:v>75.018837756350209</c:v>
                </c:pt>
                <c:pt idx="6">
                  <c:v>78.60440871522249</c:v>
                </c:pt>
                <c:pt idx="7">
                  <c:v>76.711902326278548</c:v>
                </c:pt>
                <c:pt idx="8">
                  <c:v>78.21431893283382</c:v>
                </c:pt>
                <c:pt idx="9">
                  <c:v>78.678010560956196</c:v>
                </c:pt>
                <c:pt idx="10">
                  <c:v>75.723527471943612</c:v>
                </c:pt>
                <c:pt idx="11">
                  <c:v>71.477538963944639</c:v>
                </c:pt>
                <c:pt idx="12">
                  <c:v>71.858380558309705</c:v>
                </c:pt>
                <c:pt idx="13">
                  <c:v>73.86624698694547</c:v>
                </c:pt>
                <c:pt idx="14">
                  <c:v>69.732387710595148</c:v>
                </c:pt>
                <c:pt idx="15">
                  <c:v>68.447788143801077</c:v>
                </c:pt>
                <c:pt idx="16">
                  <c:v>66.246507372405276</c:v>
                </c:pt>
                <c:pt idx="17">
                  <c:v>67.422824388377123</c:v>
                </c:pt>
                <c:pt idx="18">
                  <c:v>64.919180369240124</c:v>
                </c:pt>
                <c:pt idx="19">
                  <c:v>63.081971279210258</c:v>
                </c:pt>
                <c:pt idx="20">
                  <c:v>62.516529390277952</c:v>
                </c:pt>
                <c:pt idx="21">
                  <c:v>61.314699087040111</c:v>
                </c:pt>
                <c:pt idx="22">
                  <c:v>61.256383001860691</c:v>
                </c:pt>
                <c:pt idx="23">
                  <c:v>64.423857111119972</c:v>
                </c:pt>
                <c:pt idx="24">
                  <c:v>64.67782891213939</c:v>
                </c:pt>
                <c:pt idx="25">
                  <c:v>61.316879882469252</c:v>
                </c:pt>
                <c:pt idx="26">
                  <c:v>63.263371054559727</c:v>
                </c:pt>
                <c:pt idx="27">
                  <c:v>61.698347445892686</c:v>
                </c:pt>
                <c:pt idx="28">
                  <c:v>65.818546461985434</c:v>
                </c:pt>
                <c:pt idx="29">
                  <c:v>62.98250277658083</c:v>
                </c:pt>
                <c:pt idx="30">
                  <c:v>60.183764827799827</c:v>
                </c:pt>
              </c:numCache>
            </c:numRef>
          </c:val>
          <c:smooth val="0"/>
          <c:extLst>
            <c:ext xmlns:c16="http://schemas.microsoft.com/office/drawing/2014/chart" uri="{C3380CC4-5D6E-409C-BE32-E72D297353CC}">
              <c16:uniqueId val="{00000001-82BF-471B-96A5-6EC0AE0DD87D}"/>
            </c:ext>
          </c:extLst>
        </c:ser>
        <c:ser>
          <c:idx val="0"/>
          <c:order val="2"/>
          <c:tx>
            <c:strRef>
              <c:f>'fig sett 25'!$E$1</c:f>
              <c:strCache>
                <c:ptCount val="1"/>
                <c:pt idx="0">
                  <c:v>Tasso disocc. giovanile (dx)</c:v>
                </c:pt>
              </c:strCache>
            </c:strRef>
          </c:tx>
          <c:spPr>
            <a:ln w="19050">
              <a:solidFill>
                <a:srgbClr val="004172"/>
              </a:solidFill>
            </a:ln>
          </c:spPr>
          <c:marker>
            <c:symbol val="none"/>
          </c:marker>
          <c:cat>
            <c:multiLvlStrRef>
              <c:f>'fig sett 25'!$A$2:$B$32</c:f>
              <c:multiLvlStrCache>
                <c:ptCount val="31"/>
                <c:lvl>
                  <c:pt idx="0">
                    <c:v>gen</c:v>
                  </c:pt>
                  <c:pt idx="2">
                    <c:v>mar</c:v>
                  </c:pt>
                  <c:pt idx="4">
                    <c:v>mag</c:v>
                  </c:pt>
                  <c:pt idx="6">
                    <c:v>lug</c:v>
                  </c:pt>
                  <c:pt idx="8">
                    <c:v>set</c:v>
                  </c:pt>
                  <c:pt idx="10">
                    <c:v>nov</c:v>
                  </c:pt>
                  <c:pt idx="12">
                    <c:v>gen</c:v>
                  </c:pt>
                  <c:pt idx="14">
                    <c:v>mar</c:v>
                  </c:pt>
                  <c:pt idx="16">
                    <c:v>mag</c:v>
                  </c:pt>
                  <c:pt idx="18">
                    <c:v>lug</c:v>
                  </c:pt>
                  <c:pt idx="20">
                    <c:v>set</c:v>
                  </c:pt>
                  <c:pt idx="22">
                    <c:v>nov</c:v>
                  </c:pt>
                  <c:pt idx="24">
                    <c:v>gen</c:v>
                  </c:pt>
                  <c:pt idx="26">
                    <c:v>mar</c:v>
                  </c:pt>
                  <c:pt idx="28">
                    <c:v>mag</c:v>
                  </c:pt>
                  <c:pt idx="30">
                    <c:v>lug</c:v>
                  </c:pt>
                </c:lvl>
                <c:lvl>
                  <c:pt idx="0">
                    <c:v>2023</c:v>
                  </c:pt>
                  <c:pt idx="12">
                    <c:v>2024</c:v>
                  </c:pt>
                  <c:pt idx="24">
                    <c:v>2025</c:v>
                  </c:pt>
                </c:lvl>
              </c:multiLvlStrCache>
            </c:multiLvlStrRef>
          </c:cat>
          <c:val>
            <c:numRef>
              <c:f>'fig sett 25'!$E$2:$E$32</c:f>
              <c:numCache>
                <c:formatCode>0.0</c:formatCode>
                <c:ptCount val="31"/>
                <c:pt idx="0">
                  <c:v>77.878738178758113</c:v>
                </c:pt>
                <c:pt idx="1">
                  <c:v>75.366873282199421</c:v>
                </c:pt>
                <c:pt idx="2">
                  <c:v>78.431052215833361</c:v>
                </c:pt>
                <c:pt idx="3">
                  <c:v>75.763542913515991</c:v>
                </c:pt>
                <c:pt idx="4">
                  <c:v>80.751458443251181</c:v>
                </c:pt>
                <c:pt idx="5">
                  <c:v>77.227133271871367</c:v>
                </c:pt>
                <c:pt idx="6">
                  <c:v>76.561415974501259</c:v>
                </c:pt>
                <c:pt idx="7">
                  <c:v>80.635932322759672</c:v>
                </c:pt>
                <c:pt idx="8">
                  <c:v>78.418143579677974</c:v>
                </c:pt>
                <c:pt idx="9">
                  <c:v>86.324206524414777</c:v>
                </c:pt>
                <c:pt idx="10">
                  <c:v>75.009077027827914</c:v>
                </c:pt>
                <c:pt idx="11">
                  <c:v>74.144246418410759</c:v>
                </c:pt>
                <c:pt idx="12">
                  <c:v>73.844055467307555</c:v>
                </c:pt>
                <c:pt idx="13">
                  <c:v>79.772250595678358</c:v>
                </c:pt>
                <c:pt idx="14">
                  <c:v>68.281774218648266</c:v>
                </c:pt>
                <c:pt idx="15">
                  <c:v>69.784656352888916</c:v>
                </c:pt>
                <c:pt idx="16">
                  <c:v>70.557494067451699</c:v>
                </c:pt>
                <c:pt idx="17">
                  <c:v>69.74824535659198</c:v>
                </c:pt>
                <c:pt idx="18">
                  <c:v>73.464831699998001</c:v>
                </c:pt>
                <c:pt idx="19">
                  <c:v>66.153958395209614</c:v>
                </c:pt>
                <c:pt idx="20">
                  <c:v>66.178143225753644</c:v>
                </c:pt>
                <c:pt idx="21">
                  <c:v>63.424412876257108</c:v>
                </c:pt>
                <c:pt idx="22">
                  <c:v>70.98188434330703</c:v>
                </c:pt>
                <c:pt idx="23">
                  <c:v>66.139657382253205</c:v>
                </c:pt>
                <c:pt idx="24">
                  <c:v>70.853682792626813</c:v>
                </c:pt>
                <c:pt idx="25">
                  <c:v>62.518051027774703</c:v>
                </c:pt>
                <c:pt idx="26">
                  <c:v>71.676508892046343</c:v>
                </c:pt>
                <c:pt idx="27">
                  <c:v>68.633078430447497</c:v>
                </c:pt>
                <c:pt idx="28">
                  <c:v>73.643419457478103</c:v>
                </c:pt>
                <c:pt idx="29">
                  <c:v>68.861630566287772</c:v>
                </c:pt>
                <c:pt idx="30">
                  <c:v>64.026458085725849</c:v>
                </c:pt>
              </c:numCache>
            </c:numRef>
          </c:val>
          <c:smooth val="0"/>
          <c:extLst>
            <c:ext xmlns:c16="http://schemas.microsoft.com/office/drawing/2014/chart" uri="{C3380CC4-5D6E-409C-BE32-E72D297353CC}">
              <c16:uniqueId val="{00000002-82BF-471B-96A5-6EC0AE0DD87D}"/>
            </c:ext>
          </c:extLst>
        </c:ser>
        <c:dLbls>
          <c:showLegendKey val="0"/>
          <c:showVal val="0"/>
          <c:showCatName val="0"/>
          <c:showSerName val="0"/>
          <c:showPercent val="0"/>
          <c:showBubbleSize val="0"/>
        </c:dLbls>
        <c:marker val="1"/>
        <c:smooth val="0"/>
        <c:axId val="357820976"/>
        <c:axId val="357820648"/>
      </c:lineChart>
      <c:catAx>
        <c:axId val="313173408"/>
        <c:scaling>
          <c:orientation val="minMax"/>
        </c:scaling>
        <c:delete val="0"/>
        <c:axPos val="b"/>
        <c:majorGridlines>
          <c:spPr>
            <a:ln w="3175">
              <a:solidFill>
                <a:sysClr val="window" lastClr="FFFFFF">
                  <a:lumMod val="85000"/>
                </a:sysClr>
              </a:solidFill>
            </a:ln>
          </c:spPr>
        </c:majorGridlines>
        <c:numFmt formatCode="General" sourceLinked="1"/>
        <c:majorTickMark val="out"/>
        <c:minorTickMark val="none"/>
        <c:tickLblPos val="nextTo"/>
        <c:spPr>
          <a:ln w="9525">
            <a:solidFill>
              <a:sysClr val="window" lastClr="FFFFFF">
                <a:lumMod val="65000"/>
              </a:sysClr>
            </a:solidFill>
          </a:ln>
        </c:spPr>
        <c:txPr>
          <a:bodyPr/>
          <a:lstStyle/>
          <a:p>
            <a:pPr>
              <a:defRPr sz="750" b="0"/>
            </a:pPr>
            <a:endParaRPr lang="en-US"/>
          </a:p>
        </c:txPr>
        <c:crossAx val="313173968"/>
        <c:crosses val="autoZero"/>
        <c:auto val="1"/>
        <c:lblAlgn val="ctr"/>
        <c:lblOffset val="100"/>
        <c:noMultiLvlLbl val="0"/>
      </c:catAx>
      <c:valAx>
        <c:axId val="313173968"/>
        <c:scaling>
          <c:orientation val="minMax"/>
          <c:max val="108"/>
          <c:min val="102"/>
        </c:scaling>
        <c:delete val="0"/>
        <c:axPos val="l"/>
        <c:majorGridlines>
          <c:spPr>
            <a:ln w="3175">
              <a:solidFill>
                <a:sysClr val="window" lastClr="FFFFFF">
                  <a:lumMod val="85000"/>
                </a:sysClr>
              </a:solidFill>
            </a:ln>
          </c:spPr>
        </c:majorGridlines>
        <c:numFmt formatCode="0" sourceLinked="0"/>
        <c:majorTickMark val="out"/>
        <c:minorTickMark val="none"/>
        <c:tickLblPos val="nextTo"/>
        <c:spPr>
          <a:ln w="9525">
            <a:solidFill>
              <a:sysClr val="window" lastClr="FFFFFF">
                <a:lumMod val="65000"/>
              </a:sysClr>
            </a:solidFill>
          </a:ln>
        </c:spPr>
        <c:txPr>
          <a:bodyPr/>
          <a:lstStyle/>
          <a:p>
            <a:pPr>
              <a:defRPr sz="750"/>
            </a:pPr>
            <a:endParaRPr lang="en-US"/>
          </a:p>
        </c:txPr>
        <c:crossAx val="313173408"/>
        <c:crosses val="autoZero"/>
        <c:crossBetween val="between"/>
        <c:majorUnit val="1"/>
        <c:minorUnit val="0.5"/>
      </c:valAx>
      <c:valAx>
        <c:axId val="357820648"/>
        <c:scaling>
          <c:orientation val="minMax"/>
          <c:max val="90"/>
          <c:min val="55"/>
        </c:scaling>
        <c:delete val="0"/>
        <c:axPos val="r"/>
        <c:numFmt formatCode="0" sourceLinked="0"/>
        <c:majorTickMark val="out"/>
        <c:minorTickMark val="none"/>
        <c:tickLblPos val="nextTo"/>
        <c:txPr>
          <a:bodyPr/>
          <a:lstStyle/>
          <a:p>
            <a:pPr>
              <a:defRPr sz="750"/>
            </a:pPr>
            <a:endParaRPr lang="en-US"/>
          </a:p>
        </c:txPr>
        <c:crossAx val="357820976"/>
        <c:crosses val="max"/>
        <c:crossBetween val="between"/>
        <c:majorUnit val="5"/>
      </c:valAx>
      <c:catAx>
        <c:axId val="357820976"/>
        <c:scaling>
          <c:orientation val="minMax"/>
        </c:scaling>
        <c:delete val="1"/>
        <c:axPos val="b"/>
        <c:numFmt formatCode="General" sourceLinked="1"/>
        <c:majorTickMark val="out"/>
        <c:minorTickMark val="none"/>
        <c:tickLblPos val="nextTo"/>
        <c:crossAx val="357820648"/>
        <c:crosses val="autoZero"/>
        <c:auto val="1"/>
        <c:lblAlgn val="ctr"/>
        <c:lblOffset val="100"/>
        <c:noMultiLvlLbl val="0"/>
      </c:catAx>
      <c:spPr>
        <a:noFill/>
      </c:spPr>
    </c:plotArea>
    <c:legend>
      <c:legendPos val="t"/>
      <c:layout>
        <c:manualLayout>
          <c:xMode val="edge"/>
          <c:yMode val="edge"/>
          <c:x val="4.1605991262741839E-3"/>
          <c:y val="2.4767801857585141E-2"/>
          <c:w val="0.99583926386299892"/>
          <c:h val="0.10923050901941436"/>
        </c:manualLayout>
      </c:layout>
      <c:overlay val="0"/>
      <c:txPr>
        <a:bodyPr/>
        <a:lstStyle/>
        <a:p>
          <a:pPr>
            <a:defRPr sz="800"/>
          </a:pPr>
          <a:endParaRPr lang="en-US"/>
        </a:p>
      </c:txPr>
    </c:legend>
    <c:plotVisOnly val="1"/>
    <c:dispBlanksAs val="gap"/>
    <c:showDLblsOverMax val="0"/>
  </c:chart>
  <c:spPr>
    <a:noFill/>
    <a:ln>
      <a:noFill/>
    </a:ln>
  </c:spPr>
  <c:txPr>
    <a:bodyPr/>
    <a:lstStyle/>
    <a:p>
      <a:pPr>
        <a:defRPr sz="740" baseline="0">
          <a:latin typeface="Arial Narrow"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787918871252204E-2"/>
          <c:y val="0.16358802371925732"/>
          <c:w val="0.89090211640211636"/>
          <c:h val="0.7156454707867399"/>
        </c:manualLayout>
      </c:layout>
      <c:lineChart>
        <c:grouping val="standard"/>
        <c:varyColors val="0"/>
        <c:ser>
          <c:idx val="0"/>
          <c:order val="0"/>
          <c:tx>
            <c:strRef>
              <c:f>'figura ipca '!$D$2</c:f>
              <c:strCache>
                <c:ptCount val="1"/>
                <c:pt idx="0">
                  <c:v>Germania</c:v>
                </c:pt>
              </c:strCache>
            </c:strRef>
          </c:tx>
          <c:spPr>
            <a:ln w="19050" cap="rnd" cmpd="sng" algn="ctr">
              <a:solidFill>
                <a:srgbClr val="004172"/>
              </a:solidFill>
              <a:prstDash val="solid"/>
              <a:round/>
            </a:ln>
            <a:effectLst/>
          </c:spPr>
          <c:marker>
            <c:symbol val="none"/>
          </c:marker>
          <c:cat>
            <c:multiLvlStrRef>
              <c:f>'figura ipca '!$A$3:$B$93</c:f>
              <c:multiLvlStrCache>
                <c:ptCount val="90"/>
                <c:lvl>
                  <c:pt idx="2">
                    <c:v>mar</c:v>
                  </c:pt>
                  <c:pt idx="5">
                    <c:v>giu</c:v>
                  </c:pt>
                  <c:pt idx="8">
                    <c:v>set</c:v>
                  </c:pt>
                  <c:pt idx="11">
                    <c:v>dic</c:v>
                  </c:pt>
                  <c:pt idx="14">
                    <c:v>mar</c:v>
                  </c:pt>
                  <c:pt idx="17">
                    <c:v>giu</c:v>
                  </c:pt>
                  <c:pt idx="20">
                    <c:v>set</c:v>
                  </c:pt>
                  <c:pt idx="23">
                    <c:v>dic</c:v>
                  </c:pt>
                  <c:pt idx="26">
                    <c:v>mar</c:v>
                  </c:pt>
                  <c:pt idx="29">
                    <c:v>giu</c:v>
                  </c:pt>
                  <c:pt idx="32">
                    <c:v>set</c:v>
                  </c:pt>
                  <c:pt idx="35">
                    <c:v>dic</c:v>
                  </c:pt>
                  <c:pt idx="38">
                    <c:v>mar</c:v>
                  </c:pt>
                  <c:pt idx="41">
                    <c:v>giu</c:v>
                  </c:pt>
                  <c:pt idx="44">
                    <c:v>set</c:v>
                  </c:pt>
                  <c:pt idx="47">
                    <c:v>dic</c:v>
                  </c:pt>
                  <c:pt idx="50">
                    <c:v>mar</c:v>
                  </c:pt>
                  <c:pt idx="53">
                    <c:v>giu</c:v>
                  </c:pt>
                  <c:pt idx="56">
                    <c:v>set</c:v>
                  </c:pt>
                  <c:pt idx="59">
                    <c:v>dic</c:v>
                  </c:pt>
                  <c:pt idx="62">
                    <c:v>mar</c:v>
                  </c:pt>
                  <c:pt idx="65">
                    <c:v>giu</c:v>
                  </c:pt>
                  <c:pt idx="68">
                    <c:v>set</c:v>
                  </c:pt>
                  <c:pt idx="71">
                    <c:v>dic</c:v>
                  </c:pt>
                  <c:pt idx="74">
                    <c:v>mar</c:v>
                  </c:pt>
                  <c:pt idx="77">
                    <c:v>giu</c:v>
                  </c:pt>
                  <c:pt idx="80">
                    <c:v>set</c:v>
                  </c:pt>
                  <c:pt idx="83">
                    <c:v>dic</c:v>
                  </c:pt>
                  <c:pt idx="86">
                    <c:v>mar</c:v>
                  </c:pt>
                  <c:pt idx="89">
                    <c:v>giu</c:v>
                  </c:pt>
                </c:lvl>
                <c:lvl>
                  <c:pt idx="0">
                    <c:v>2018</c:v>
                  </c:pt>
                  <c:pt idx="12">
                    <c:v>2019</c:v>
                  </c:pt>
                  <c:pt idx="24">
                    <c:v>2020</c:v>
                  </c:pt>
                  <c:pt idx="36">
                    <c:v>2021</c:v>
                  </c:pt>
                  <c:pt idx="48">
                    <c:v>2022</c:v>
                  </c:pt>
                  <c:pt idx="60">
                    <c:v>2023</c:v>
                  </c:pt>
                  <c:pt idx="72">
                    <c:v>2024</c:v>
                  </c:pt>
                  <c:pt idx="84">
                    <c:v>2025</c:v>
                  </c:pt>
                </c:lvl>
              </c:multiLvlStrCache>
            </c:multiLvlStrRef>
          </c:cat>
          <c:val>
            <c:numRef>
              <c:f>'figura ipca '!$D$3:$D$93</c:f>
              <c:numCache>
                <c:formatCode>#,##0.##########</c:formatCode>
                <c:ptCount val="91"/>
                <c:pt idx="0">
                  <c:v>106.2</c:v>
                </c:pt>
                <c:pt idx="1">
                  <c:v>106.1</c:v>
                </c:pt>
                <c:pt idx="2">
                  <c:v>106.3</c:v>
                </c:pt>
                <c:pt idx="3">
                  <c:v>106.3</c:v>
                </c:pt>
                <c:pt idx="4">
                  <c:v>106.5</c:v>
                </c:pt>
                <c:pt idx="5" formatCode="#,##0.0">
                  <c:v>106.2</c:v>
                </c:pt>
                <c:pt idx="6">
                  <c:v>105.8</c:v>
                </c:pt>
                <c:pt idx="7">
                  <c:v>105.6</c:v>
                </c:pt>
                <c:pt idx="8">
                  <c:v>106.4</c:v>
                </c:pt>
                <c:pt idx="9">
                  <c:v>106.3</c:v>
                </c:pt>
                <c:pt idx="10">
                  <c:v>106.2</c:v>
                </c:pt>
                <c:pt idx="11">
                  <c:v>106.3</c:v>
                </c:pt>
                <c:pt idx="12">
                  <c:v>106.8</c:v>
                </c:pt>
                <c:pt idx="13">
                  <c:v>107.4</c:v>
                </c:pt>
                <c:pt idx="14">
                  <c:v>106.9</c:v>
                </c:pt>
                <c:pt idx="15" formatCode="#,##0.0">
                  <c:v>106.9</c:v>
                </c:pt>
                <c:pt idx="16" formatCode="General">
                  <c:v>107.3</c:v>
                </c:pt>
                <c:pt idx="17" formatCode="General">
                  <c:v>107.4</c:v>
                </c:pt>
                <c:pt idx="18" formatCode="General">
                  <c:v>107.8</c:v>
                </c:pt>
                <c:pt idx="19" formatCode="General">
                  <c:v>107.9</c:v>
                </c:pt>
                <c:pt idx="20" formatCode="General">
                  <c:v>107.8</c:v>
                </c:pt>
                <c:pt idx="21" formatCode="General">
                  <c:v>107.4</c:v>
                </c:pt>
                <c:pt idx="22" formatCode="General">
                  <c:v>107.9</c:v>
                </c:pt>
                <c:pt idx="23" formatCode="General">
                  <c:v>108.4</c:v>
                </c:pt>
                <c:pt idx="24" formatCode="General">
                  <c:v>109.5</c:v>
                </c:pt>
                <c:pt idx="25" formatCode="General">
                  <c:v>110.9</c:v>
                </c:pt>
                <c:pt idx="26" formatCode="General">
                  <c:v>110.7</c:v>
                </c:pt>
                <c:pt idx="27" formatCode="General">
                  <c:v>111.8</c:v>
                </c:pt>
                <c:pt idx="28" formatCode="General">
                  <c:v>111.9</c:v>
                </c:pt>
                <c:pt idx="29" formatCode="General">
                  <c:v>111.8</c:v>
                </c:pt>
                <c:pt idx="30" formatCode="General">
                  <c:v>108.8</c:v>
                </c:pt>
                <c:pt idx="31" formatCode="General">
                  <c:v>108.6</c:v>
                </c:pt>
                <c:pt idx="32" formatCode="General">
                  <c:v>108.3</c:v>
                </c:pt>
                <c:pt idx="33" formatCode="General">
                  <c:v>108.8</c:v>
                </c:pt>
                <c:pt idx="34" formatCode="General">
                  <c:v>109.2</c:v>
                </c:pt>
                <c:pt idx="35" formatCode="General">
                  <c:v>108.8</c:v>
                </c:pt>
                <c:pt idx="36" formatCode="General">
                  <c:v>111.6</c:v>
                </c:pt>
                <c:pt idx="37" formatCode="General">
                  <c:v>112.4</c:v>
                </c:pt>
                <c:pt idx="38" formatCode="General">
                  <c:v>112.4</c:v>
                </c:pt>
                <c:pt idx="39" formatCode="General">
                  <c:v>113.8</c:v>
                </c:pt>
                <c:pt idx="40" formatCode="General">
                  <c:v>113.4</c:v>
                </c:pt>
                <c:pt idx="41" formatCode="General">
                  <c:v>113.1</c:v>
                </c:pt>
                <c:pt idx="42" formatCode="General">
                  <c:v>113.5</c:v>
                </c:pt>
                <c:pt idx="43" formatCode="General">
                  <c:v>113.4</c:v>
                </c:pt>
                <c:pt idx="44" formatCode="General">
                  <c:v>113.5</c:v>
                </c:pt>
                <c:pt idx="45" formatCode="General">
                  <c:v>113.5</c:v>
                </c:pt>
                <c:pt idx="46" formatCode="General">
                  <c:v>114.1</c:v>
                </c:pt>
                <c:pt idx="47" formatCode="General">
                  <c:v>115.1</c:v>
                </c:pt>
                <c:pt idx="48" formatCode="General">
                  <c:v>116.8</c:v>
                </c:pt>
                <c:pt idx="49" formatCode="General">
                  <c:v>118</c:v>
                </c:pt>
                <c:pt idx="50" formatCode="General">
                  <c:v>119</c:v>
                </c:pt>
                <c:pt idx="51" formatCode="General">
                  <c:v>122.8</c:v>
                </c:pt>
                <c:pt idx="52" formatCode="General">
                  <c:v>125.2</c:v>
                </c:pt>
                <c:pt idx="53" formatCode="General">
                  <c:v>126.5</c:v>
                </c:pt>
                <c:pt idx="54" formatCode="General">
                  <c:v>129.1</c:v>
                </c:pt>
                <c:pt idx="55" formatCode="General">
                  <c:v>131</c:v>
                </c:pt>
                <c:pt idx="56" formatCode="General">
                  <c:v>133.19999999999999</c:v>
                </c:pt>
                <c:pt idx="57" formatCode="General">
                  <c:v>134.9</c:v>
                </c:pt>
                <c:pt idx="58" formatCode="General">
                  <c:v>136.6</c:v>
                </c:pt>
                <c:pt idx="59" formatCode="General">
                  <c:v>137.6</c:v>
                </c:pt>
                <c:pt idx="60" formatCode="General">
                  <c:v>139.69999999999999</c:v>
                </c:pt>
                <c:pt idx="61" formatCode="General">
                  <c:v>143</c:v>
                </c:pt>
                <c:pt idx="62" formatCode="General">
                  <c:v>144.9</c:v>
                </c:pt>
                <c:pt idx="63" formatCode="General">
                  <c:v>144.19999999999999</c:v>
                </c:pt>
                <c:pt idx="64" formatCode="General">
                  <c:v>144</c:v>
                </c:pt>
                <c:pt idx="65" formatCode="General">
                  <c:v>144</c:v>
                </c:pt>
                <c:pt idx="66" formatCode="General">
                  <c:v>143.69999999999999</c:v>
                </c:pt>
                <c:pt idx="67" formatCode="General">
                  <c:v>143.19999999999999</c:v>
                </c:pt>
                <c:pt idx="68" formatCode="General">
                  <c:v>143.9</c:v>
                </c:pt>
                <c:pt idx="69" formatCode="General">
                  <c:v>144</c:v>
                </c:pt>
                <c:pt idx="70" formatCode="General">
                  <c:v>144.9</c:v>
                </c:pt>
                <c:pt idx="71" formatCode="General">
                  <c:v>145</c:v>
                </c:pt>
                <c:pt idx="72" formatCode="General">
                  <c:v>146.30000000000001</c:v>
                </c:pt>
                <c:pt idx="73" formatCode="General">
                  <c:v>146</c:v>
                </c:pt>
                <c:pt idx="74" formatCode="General">
                  <c:v>145.69999999999999</c:v>
                </c:pt>
                <c:pt idx="75" formatCode="General">
                  <c:v>146.5</c:v>
                </c:pt>
                <c:pt idx="76" formatCode="General">
                  <c:v>146.30000000000001</c:v>
                </c:pt>
                <c:pt idx="77" formatCode="General">
                  <c:v>146.69999999999999</c:v>
                </c:pt>
                <c:pt idx="78" formatCode="General">
                  <c:v>146.80000000000001</c:v>
                </c:pt>
                <c:pt idx="79" formatCode="General">
                  <c:v>146.69999999999999</c:v>
                </c:pt>
                <c:pt idx="80" formatCode="General">
                  <c:v>147.4</c:v>
                </c:pt>
                <c:pt idx="81" formatCode="General">
                  <c:v>148.5</c:v>
                </c:pt>
                <c:pt idx="82" formatCode="General">
                  <c:v>148.69999999999999</c:v>
                </c:pt>
                <c:pt idx="83" formatCode="General">
                  <c:v>149</c:v>
                </c:pt>
                <c:pt idx="84" formatCode="General">
                  <c:v>148.5</c:v>
                </c:pt>
                <c:pt idx="85" formatCode="General">
                  <c:v>150.30000000000001</c:v>
                </c:pt>
                <c:pt idx="86" formatCode="General">
                  <c:v>150.9</c:v>
                </c:pt>
                <c:pt idx="87" formatCode="General">
                  <c:v>151.30000000000001</c:v>
                </c:pt>
                <c:pt idx="88" formatCode="General">
                  <c:v>151.1</c:v>
                </c:pt>
                <c:pt idx="89" formatCode="General">
                  <c:v>150.4</c:v>
                </c:pt>
                <c:pt idx="90" formatCode="General">
                  <c:v>150.80000000000001</c:v>
                </c:pt>
              </c:numCache>
            </c:numRef>
          </c:val>
          <c:smooth val="0"/>
          <c:extLst>
            <c:ext xmlns:c16="http://schemas.microsoft.com/office/drawing/2014/chart" uri="{C3380CC4-5D6E-409C-BE32-E72D297353CC}">
              <c16:uniqueId val="{00000000-46F8-4E5F-BCE4-ED544FC15584}"/>
            </c:ext>
          </c:extLst>
        </c:ser>
        <c:ser>
          <c:idx val="1"/>
          <c:order val="1"/>
          <c:tx>
            <c:strRef>
              <c:f>'figura ipca '!$F$2</c:f>
              <c:strCache>
                <c:ptCount val="1"/>
                <c:pt idx="0">
                  <c:v>Francia</c:v>
                </c:pt>
              </c:strCache>
            </c:strRef>
          </c:tx>
          <c:spPr>
            <a:ln w="19050" cap="rnd" cmpd="sng" algn="ctr">
              <a:solidFill>
                <a:srgbClr val="7F7F7F"/>
              </a:solidFill>
              <a:prstDash val="solid"/>
              <a:round/>
            </a:ln>
            <a:effectLst/>
          </c:spPr>
          <c:marker>
            <c:symbol val="none"/>
          </c:marker>
          <c:cat>
            <c:multiLvlStrRef>
              <c:f>'figura ipca '!$A$3:$B$93</c:f>
              <c:multiLvlStrCache>
                <c:ptCount val="90"/>
                <c:lvl>
                  <c:pt idx="2">
                    <c:v>mar</c:v>
                  </c:pt>
                  <c:pt idx="5">
                    <c:v>giu</c:v>
                  </c:pt>
                  <c:pt idx="8">
                    <c:v>set</c:v>
                  </c:pt>
                  <c:pt idx="11">
                    <c:v>dic</c:v>
                  </c:pt>
                  <c:pt idx="14">
                    <c:v>mar</c:v>
                  </c:pt>
                  <c:pt idx="17">
                    <c:v>giu</c:v>
                  </c:pt>
                  <c:pt idx="20">
                    <c:v>set</c:v>
                  </c:pt>
                  <c:pt idx="23">
                    <c:v>dic</c:v>
                  </c:pt>
                  <c:pt idx="26">
                    <c:v>mar</c:v>
                  </c:pt>
                  <c:pt idx="29">
                    <c:v>giu</c:v>
                  </c:pt>
                  <c:pt idx="32">
                    <c:v>set</c:v>
                  </c:pt>
                  <c:pt idx="35">
                    <c:v>dic</c:v>
                  </c:pt>
                  <c:pt idx="38">
                    <c:v>mar</c:v>
                  </c:pt>
                  <c:pt idx="41">
                    <c:v>giu</c:v>
                  </c:pt>
                  <c:pt idx="44">
                    <c:v>set</c:v>
                  </c:pt>
                  <c:pt idx="47">
                    <c:v>dic</c:v>
                  </c:pt>
                  <c:pt idx="50">
                    <c:v>mar</c:v>
                  </c:pt>
                  <c:pt idx="53">
                    <c:v>giu</c:v>
                  </c:pt>
                  <c:pt idx="56">
                    <c:v>set</c:v>
                  </c:pt>
                  <c:pt idx="59">
                    <c:v>dic</c:v>
                  </c:pt>
                  <c:pt idx="62">
                    <c:v>mar</c:v>
                  </c:pt>
                  <c:pt idx="65">
                    <c:v>giu</c:v>
                  </c:pt>
                  <c:pt idx="68">
                    <c:v>set</c:v>
                  </c:pt>
                  <c:pt idx="71">
                    <c:v>dic</c:v>
                  </c:pt>
                  <c:pt idx="74">
                    <c:v>mar</c:v>
                  </c:pt>
                  <c:pt idx="77">
                    <c:v>giu</c:v>
                  </c:pt>
                  <c:pt idx="80">
                    <c:v>set</c:v>
                  </c:pt>
                  <c:pt idx="83">
                    <c:v>dic</c:v>
                  </c:pt>
                  <c:pt idx="86">
                    <c:v>mar</c:v>
                  </c:pt>
                  <c:pt idx="89">
                    <c:v>giu</c:v>
                  </c:pt>
                </c:lvl>
                <c:lvl>
                  <c:pt idx="0">
                    <c:v>2018</c:v>
                  </c:pt>
                  <c:pt idx="12">
                    <c:v>2019</c:v>
                  </c:pt>
                  <c:pt idx="24">
                    <c:v>2020</c:v>
                  </c:pt>
                  <c:pt idx="36">
                    <c:v>2021</c:v>
                  </c:pt>
                  <c:pt idx="48">
                    <c:v>2022</c:v>
                  </c:pt>
                  <c:pt idx="60">
                    <c:v>2023</c:v>
                  </c:pt>
                  <c:pt idx="72">
                    <c:v>2024</c:v>
                  </c:pt>
                  <c:pt idx="84">
                    <c:v>2025</c:v>
                  </c:pt>
                </c:lvl>
              </c:multiLvlStrCache>
            </c:multiLvlStrRef>
          </c:cat>
          <c:val>
            <c:numRef>
              <c:f>'figura ipca '!$F$3:$F$93</c:f>
              <c:numCache>
                <c:formatCode>#,##0.##########</c:formatCode>
                <c:ptCount val="91"/>
                <c:pt idx="0">
                  <c:v>102.51</c:v>
                </c:pt>
                <c:pt idx="1">
                  <c:v>102.36</c:v>
                </c:pt>
                <c:pt idx="2">
                  <c:v>102.76</c:v>
                </c:pt>
                <c:pt idx="3">
                  <c:v>102.81</c:v>
                </c:pt>
                <c:pt idx="4">
                  <c:v>103.81</c:v>
                </c:pt>
                <c:pt idx="5" formatCode="#,##0.0">
                  <c:v>103.61</c:v>
                </c:pt>
                <c:pt idx="6">
                  <c:v>103.72</c:v>
                </c:pt>
                <c:pt idx="7">
                  <c:v>104.01</c:v>
                </c:pt>
                <c:pt idx="8">
                  <c:v>104.65</c:v>
                </c:pt>
                <c:pt idx="9">
                  <c:v>104.46</c:v>
                </c:pt>
                <c:pt idx="10">
                  <c:v>104.2</c:v>
                </c:pt>
                <c:pt idx="11" formatCode="#,##0.0">
                  <c:v>104.85</c:v>
                </c:pt>
                <c:pt idx="12">
                  <c:v>105.44</c:v>
                </c:pt>
                <c:pt idx="13">
                  <c:v>105.52</c:v>
                </c:pt>
                <c:pt idx="14">
                  <c:v>105.23</c:v>
                </c:pt>
                <c:pt idx="15">
                  <c:v>105.29</c:v>
                </c:pt>
                <c:pt idx="16" formatCode="General">
                  <c:v>106.07</c:v>
                </c:pt>
                <c:pt idx="17" formatCode="General">
                  <c:v>106.19</c:v>
                </c:pt>
                <c:pt idx="18" formatCode="General">
                  <c:v>106.81</c:v>
                </c:pt>
                <c:pt idx="19" formatCode="General">
                  <c:v>107.35</c:v>
                </c:pt>
                <c:pt idx="20" formatCode="General">
                  <c:v>106.75</c:v>
                </c:pt>
                <c:pt idx="21" formatCode="General">
                  <c:v>106.22</c:v>
                </c:pt>
                <c:pt idx="22" formatCode="General">
                  <c:v>106.34</c:v>
                </c:pt>
                <c:pt idx="23" formatCode="General">
                  <c:v>107.01</c:v>
                </c:pt>
                <c:pt idx="24" formatCode="General">
                  <c:v>107.47</c:v>
                </c:pt>
                <c:pt idx="25" formatCode="General">
                  <c:v>107.39</c:v>
                </c:pt>
                <c:pt idx="26">
                  <c:v>107.34</c:v>
                </c:pt>
                <c:pt idx="27">
                  <c:v>109.63</c:v>
                </c:pt>
                <c:pt idx="28">
                  <c:v>110.24</c:v>
                </c:pt>
                <c:pt idx="29">
                  <c:v>109.18</c:v>
                </c:pt>
                <c:pt idx="30">
                  <c:v>107.99</c:v>
                </c:pt>
                <c:pt idx="31">
                  <c:v>108.24</c:v>
                </c:pt>
                <c:pt idx="32">
                  <c:v>107.69</c:v>
                </c:pt>
                <c:pt idx="33">
                  <c:v>107.92</c:v>
                </c:pt>
                <c:pt idx="34">
                  <c:v>108.65</c:v>
                </c:pt>
                <c:pt idx="35">
                  <c:v>108.2</c:v>
                </c:pt>
                <c:pt idx="36" formatCode="#,##0">
                  <c:v>108.57</c:v>
                </c:pt>
                <c:pt idx="37">
                  <c:v>108.31</c:v>
                </c:pt>
                <c:pt idx="38" formatCode="#,##0">
                  <c:v>108.38</c:v>
                </c:pt>
                <c:pt idx="39">
                  <c:v>109.04</c:v>
                </c:pt>
                <c:pt idx="40" formatCode="#,##0">
                  <c:v>109.7</c:v>
                </c:pt>
                <c:pt idx="41">
                  <c:v>108.87</c:v>
                </c:pt>
                <c:pt idx="42" formatCode="#,##0">
                  <c:v>108.98</c:v>
                </c:pt>
                <c:pt idx="43">
                  <c:v>109.75</c:v>
                </c:pt>
                <c:pt idx="44" formatCode="#,##0">
                  <c:v>108.86</c:v>
                </c:pt>
                <c:pt idx="45" formatCode="#,##0.0">
                  <c:v>108.65</c:v>
                </c:pt>
                <c:pt idx="46" formatCode="#,##0">
                  <c:v>109.09</c:v>
                </c:pt>
                <c:pt idx="47">
                  <c:v>109.74</c:v>
                </c:pt>
                <c:pt idx="48" formatCode="#,##0">
                  <c:v>110.41</c:v>
                </c:pt>
                <c:pt idx="49">
                  <c:v>110.82</c:v>
                </c:pt>
                <c:pt idx="50" formatCode="#,##0">
                  <c:v>111.87</c:v>
                </c:pt>
                <c:pt idx="51">
                  <c:v>113.61</c:v>
                </c:pt>
                <c:pt idx="52" formatCode="#,##0">
                  <c:v>114.75</c:v>
                </c:pt>
                <c:pt idx="53">
                  <c:v>115.7</c:v>
                </c:pt>
                <c:pt idx="54" formatCode="#,##0">
                  <c:v>116.88</c:v>
                </c:pt>
                <c:pt idx="55">
                  <c:v>118.94</c:v>
                </c:pt>
                <c:pt idx="56" formatCode="#,##0">
                  <c:v>120.41</c:v>
                </c:pt>
                <c:pt idx="57">
                  <c:v>122.63</c:v>
                </c:pt>
                <c:pt idx="58" formatCode="#,##0">
                  <c:v>123.25</c:v>
                </c:pt>
                <c:pt idx="59">
                  <c:v>123.85</c:v>
                </c:pt>
                <c:pt idx="60" formatCode="#,##0">
                  <c:v>126.03</c:v>
                </c:pt>
                <c:pt idx="61">
                  <c:v>128.30000000000001</c:v>
                </c:pt>
                <c:pt idx="62" formatCode="#,##0">
                  <c:v>130.76</c:v>
                </c:pt>
                <c:pt idx="63">
                  <c:v>131.46</c:v>
                </c:pt>
                <c:pt idx="64" formatCode="#,##0">
                  <c:v>131.88</c:v>
                </c:pt>
                <c:pt idx="65">
                  <c:v>132.21</c:v>
                </c:pt>
                <c:pt idx="66" formatCode="#,##0">
                  <c:v>132.27000000000001</c:v>
                </c:pt>
                <c:pt idx="67">
                  <c:v>132.74</c:v>
                </c:pt>
                <c:pt idx="68" formatCode="#,##0">
                  <c:v>132.38</c:v>
                </c:pt>
                <c:pt idx="69">
                  <c:v>132.41999999999999</c:v>
                </c:pt>
                <c:pt idx="70" formatCode="#,##0">
                  <c:v>132.97</c:v>
                </c:pt>
                <c:pt idx="71">
                  <c:v>133.04</c:v>
                </c:pt>
                <c:pt idx="72" formatCode="#,##0">
                  <c:v>133.34</c:v>
                </c:pt>
                <c:pt idx="73">
                  <c:v>132.85</c:v>
                </c:pt>
                <c:pt idx="74" formatCode="#,##0">
                  <c:v>132.87</c:v>
                </c:pt>
                <c:pt idx="75">
                  <c:v>132.99</c:v>
                </c:pt>
                <c:pt idx="76" formatCode="#,##0">
                  <c:v>133.56</c:v>
                </c:pt>
                <c:pt idx="77">
                  <c:v>133.31</c:v>
                </c:pt>
                <c:pt idx="78" formatCode="#,##0">
                  <c:v>132.99</c:v>
                </c:pt>
                <c:pt idx="79">
                  <c:v>133.41999999999999</c:v>
                </c:pt>
                <c:pt idx="80" formatCode="General">
                  <c:v>132.99</c:v>
                </c:pt>
                <c:pt idx="81" formatCode="General">
                  <c:v>133.38999999999999</c:v>
                </c:pt>
                <c:pt idx="82" formatCode="General">
                  <c:v>133.21</c:v>
                </c:pt>
                <c:pt idx="83" formatCode="General">
                  <c:v>133.04</c:v>
                </c:pt>
                <c:pt idx="84" formatCode="General">
                  <c:v>133.46</c:v>
                </c:pt>
                <c:pt idx="85" formatCode="General">
                  <c:v>133.30000000000001</c:v>
                </c:pt>
                <c:pt idx="86" formatCode="General">
                  <c:v>133.72999999999999</c:v>
                </c:pt>
                <c:pt idx="87" formatCode="General">
                  <c:v>134.78</c:v>
                </c:pt>
                <c:pt idx="88" formatCode="General">
                  <c:v>135.46</c:v>
                </c:pt>
                <c:pt idx="89" formatCode="General">
                  <c:v>135.30000000000001</c:v>
                </c:pt>
                <c:pt idx="90" formatCode="General">
                  <c:v>135.35</c:v>
                </c:pt>
              </c:numCache>
            </c:numRef>
          </c:val>
          <c:smooth val="0"/>
          <c:extLst>
            <c:ext xmlns:c16="http://schemas.microsoft.com/office/drawing/2014/chart" uri="{C3380CC4-5D6E-409C-BE32-E72D297353CC}">
              <c16:uniqueId val="{00000001-46F8-4E5F-BCE4-ED544FC15584}"/>
            </c:ext>
          </c:extLst>
        </c:ser>
        <c:ser>
          <c:idx val="2"/>
          <c:order val="2"/>
          <c:tx>
            <c:strRef>
              <c:f>'figura ipca '!$E$2</c:f>
              <c:strCache>
                <c:ptCount val="1"/>
                <c:pt idx="0">
                  <c:v>Spagna</c:v>
                </c:pt>
              </c:strCache>
            </c:strRef>
          </c:tx>
          <c:spPr>
            <a:ln w="19050" cap="rnd" cmpd="sng" algn="ctr">
              <a:solidFill>
                <a:srgbClr val="83CBEB"/>
              </a:solidFill>
              <a:prstDash val="solid"/>
              <a:round/>
            </a:ln>
            <a:effectLst/>
          </c:spPr>
          <c:marker>
            <c:symbol val="none"/>
          </c:marker>
          <c:cat>
            <c:multiLvlStrRef>
              <c:f>'figura ipca '!$A$3:$B$93</c:f>
              <c:multiLvlStrCache>
                <c:ptCount val="90"/>
                <c:lvl>
                  <c:pt idx="2">
                    <c:v>mar</c:v>
                  </c:pt>
                  <c:pt idx="5">
                    <c:v>giu</c:v>
                  </c:pt>
                  <c:pt idx="8">
                    <c:v>set</c:v>
                  </c:pt>
                  <c:pt idx="11">
                    <c:v>dic</c:v>
                  </c:pt>
                  <c:pt idx="14">
                    <c:v>mar</c:v>
                  </c:pt>
                  <c:pt idx="17">
                    <c:v>giu</c:v>
                  </c:pt>
                  <c:pt idx="20">
                    <c:v>set</c:v>
                  </c:pt>
                  <c:pt idx="23">
                    <c:v>dic</c:v>
                  </c:pt>
                  <c:pt idx="26">
                    <c:v>mar</c:v>
                  </c:pt>
                  <c:pt idx="29">
                    <c:v>giu</c:v>
                  </c:pt>
                  <c:pt idx="32">
                    <c:v>set</c:v>
                  </c:pt>
                  <c:pt idx="35">
                    <c:v>dic</c:v>
                  </c:pt>
                  <c:pt idx="38">
                    <c:v>mar</c:v>
                  </c:pt>
                  <c:pt idx="41">
                    <c:v>giu</c:v>
                  </c:pt>
                  <c:pt idx="44">
                    <c:v>set</c:v>
                  </c:pt>
                  <c:pt idx="47">
                    <c:v>dic</c:v>
                  </c:pt>
                  <c:pt idx="50">
                    <c:v>mar</c:v>
                  </c:pt>
                  <c:pt idx="53">
                    <c:v>giu</c:v>
                  </c:pt>
                  <c:pt idx="56">
                    <c:v>set</c:v>
                  </c:pt>
                  <c:pt idx="59">
                    <c:v>dic</c:v>
                  </c:pt>
                  <c:pt idx="62">
                    <c:v>mar</c:v>
                  </c:pt>
                  <c:pt idx="65">
                    <c:v>giu</c:v>
                  </c:pt>
                  <c:pt idx="68">
                    <c:v>set</c:v>
                  </c:pt>
                  <c:pt idx="71">
                    <c:v>dic</c:v>
                  </c:pt>
                  <c:pt idx="74">
                    <c:v>mar</c:v>
                  </c:pt>
                  <c:pt idx="77">
                    <c:v>giu</c:v>
                  </c:pt>
                  <c:pt idx="80">
                    <c:v>set</c:v>
                  </c:pt>
                  <c:pt idx="83">
                    <c:v>dic</c:v>
                  </c:pt>
                  <c:pt idx="86">
                    <c:v>mar</c:v>
                  </c:pt>
                  <c:pt idx="89">
                    <c:v>giu</c:v>
                  </c:pt>
                </c:lvl>
                <c:lvl>
                  <c:pt idx="0">
                    <c:v>2018</c:v>
                  </c:pt>
                  <c:pt idx="12">
                    <c:v>2019</c:v>
                  </c:pt>
                  <c:pt idx="24">
                    <c:v>2020</c:v>
                  </c:pt>
                  <c:pt idx="36">
                    <c:v>2021</c:v>
                  </c:pt>
                  <c:pt idx="48">
                    <c:v>2022</c:v>
                  </c:pt>
                  <c:pt idx="60">
                    <c:v>2023</c:v>
                  </c:pt>
                  <c:pt idx="72">
                    <c:v>2024</c:v>
                  </c:pt>
                  <c:pt idx="84">
                    <c:v>2025</c:v>
                  </c:pt>
                </c:lvl>
              </c:multiLvlStrCache>
            </c:multiLvlStrRef>
          </c:cat>
          <c:val>
            <c:numRef>
              <c:f>'figura ipca '!$E$3:$E$93</c:f>
              <c:numCache>
                <c:formatCode>#,##0.##########</c:formatCode>
                <c:ptCount val="91"/>
                <c:pt idx="0">
                  <c:v>103.71</c:v>
                </c:pt>
                <c:pt idx="1">
                  <c:v>103.54</c:v>
                </c:pt>
                <c:pt idx="2">
                  <c:v>103.63</c:v>
                </c:pt>
                <c:pt idx="3">
                  <c:v>103.75</c:v>
                </c:pt>
                <c:pt idx="4">
                  <c:v>104.47</c:v>
                </c:pt>
                <c:pt idx="5" formatCode="#,##0.0">
                  <c:v>104.95</c:v>
                </c:pt>
                <c:pt idx="6">
                  <c:v>104.21</c:v>
                </c:pt>
                <c:pt idx="7">
                  <c:v>104.25</c:v>
                </c:pt>
                <c:pt idx="8">
                  <c:v>104.25</c:v>
                </c:pt>
                <c:pt idx="9">
                  <c:v>105.52</c:v>
                </c:pt>
                <c:pt idx="10">
                  <c:v>104.96</c:v>
                </c:pt>
                <c:pt idx="11" formatCode="#,##0.0">
                  <c:v>104.79</c:v>
                </c:pt>
                <c:pt idx="12">
                  <c:v>104.7</c:v>
                </c:pt>
                <c:pt idx="13">
                  <c:v>104.98</c:v>
                </c:pt>
                <c:pt idx="14">
                  <c:v>104.61</c:v>
                </c:pt>
                <c:pt idx="15">
                  <c:v>104.58</c:v>
                </c:pt>
                <c:pt idx="16" formatCode="General">
                  <c:v>105.04</c:v>
                </c:pt>
                <c:pt idx="17" formatCode="General">
                  <c:v>105.45</c:v>
                </c:pt>
                <c:pt idx="18" formatCode="General">
                  <c:v>105.17</c:v>
                </c:pt>
                <c:pt idx="19" formatCode="General">
                  <c:v>105.28</c:v>
                </c:pt>
                <c:pt idx="20" formatCode="General">
                  <c:v>105.18</c:v>
                </c:pt>
                <c:pt idx="21" formatCode="General">
                  <c:v>106.75</c:v>
                </c:pt>
                <c:pt idx="22" formatCode="General">
                  <c:v>106.71</c:v>
                </c:pt>
                <c:pt idx="23" formatCode="General">
                  <c:v>106.54</c:v>
                </c:pt>
                <c:pt idx="24" formatCode="General">
                  <c:v>106.82</c:v>
                </c:pt>
                <c:pt idx="25" formatCode="General">
                  <c:v>107.08</c:v>
                </c:pt>
                <c:pt idx="26">
                  <c:v>107.23</c:v>
                </c:pt>
                <c:pt idx="27">
                  <c:v>108.74</c:v>
                </c:pt>
                <c:pt idx="28">
                  <c:v>108.73</c:v>
                </c:pt>
                <c:pt idx="29">
                  <c:v>108.39</c:v>
                </c:pt>
                <c:pt idx="30">
                  <c:v>107.49</c:v>
                </c:pt>
                <c:pt idx="31">
                  <c:v>107.59</c:v>
                </c:pt>
                <c:pt idx="32">
                  <c:v>107.68</c:v>
                </c:pt>
                <c:pt idx="33">
                  <c:v>109.16</c:v>
                </c:pt>
                <c:pt idx="34">
                  <c:v>108.14</c:v>
                </c:pt>
                <c:pt idx="35">
                  <c:v>107.75</c:v>
                </c:pt>
                <c:pt idx="36" formatCode="#,##0">
                  <c:v>108.68</c:v>
                </c:pt>
                <c:pt idx="37">
                  <c:v>108.74</c:v>
                </c:pt>
                <c:pt idx="38" formatCode="#,##0">
                  <c:v>108.78</c:v>
                </c:pt>
                <c:pt idx="39">
                  <c:v>109.1</c:v>
                </c:pt>
                <c:pt idx="40" formatCode="#,##0">
                  <c:v>109.57</c:v>
                </c:pt>
                <c:pt idx="41">
                  <c:v>109.56</c:v>
                </c:pt>
                <c:pt idx="42" formatCode="#,##0">
                  <c:v>109.34</c:v>
                </c:pt>
                <c:pt idx="43">
                  <c:v>109.63</c:v>
                </c:pt>
                <c:pt idx="44" formatCode="#,##0">
                  <c:v>109.57</c:v>
                </c:pt>
                <c:pt idx="45" formatCode="#,##0.0">
                  <c:v>111.01</c:v>
                </c:pt>
                <c:pt idx="46" formatCode="#,##0">
                  <c:v>111.66</c:v>
                </c:pt>
                <c:pt idx="47">
                  <c:v>113.08</c:v>
                </c:pt>
                <c:pt idx="48" formatCode="#,##0">
                  <c:v>113.84</c:v>
                </c:pt>
                <c:pt idx="49">
                  <c:v>114.81</c:v>
                </c:pt>
                <c:pt idx="50" formatCode="#,##0">
                  <c:v>116.19</c:v>
                </c:pt>
                <c:pt idx="51">
                  <c:v>120.14</c:v>
                </c:pt>
                <c:pt idx="52" formatCode="#,##0">
                  <c:v>121.61</c:v>
                </c:pt>
                <c:pt idx="53">
                  <c:v>123.75</c:v>
                </c:pt>
                <c:pt idx="54" formatCode="#,##0">
                  <c:v>124.13</c:v>
                </c:pt>
                <c:pt idx="55">
                  <c:v>124.71</c:v>
                </c:pt>
                <c:pt idx="56" formatCode="#,##0">
                  <c:v>125.3</c:v>
                </c:pt>
                <c:pt idx="57">
                  <c:v>128.15</c:v>
                </c:pt>
                <c:pt idx="58" formatCode="#,##0">
                  <c:v>128.78</c:v>
                </c:pt>
                <c:pt idx="59">
                  <c:v>130.82</c:v>
                </c:pt>
                <c:pt idx="60" formatCode="#,##0">
                  <c:v>131.32</c:v>
                </c:pt>
                <c:pt idx="61">
                  <c:v>133.9</c:v>
                </c:pt>
                <c:pt idx="62" formatCode="#,##0">
                  <c:v>135.33000000000001</c:v>
                </c:pt>
                <c:pt idx="63">
                  <c:v>135.69</c:v>
                </c:pt>
                <c:pt idx="64" formatCode="#,##0">
                  <c:v>136.19999999999999</c:v>
                </c:pt>
                <c:pt idx="65">
                  <c:v>136.54</c:v>
                </c:pt>
                <c:pt idx="66" formatCode="#,##0">
                  <c:v>137.58000000000001</c:v>
                </c:pt>
                <c:pt idx="67">
                  <c:v>137.83000000000001</c:v>
                </c:pt>
                <c:pt idx="68" formatCode="#,##0">
                  <c:v>138.5</c:v>
                </c:pt>
                <c:pt idx="69">
                  <c:v>140.26</c:v>
                </c:pt>
                <c:pt idx="70" formatCode="#,##0">
                  <c:v>140.4</c:v>
                </c:pt>
                <c:pt idx="71">
                  <c:v>140.36000000000001</c:v>
                </c:pt>
                <c:pt idx="72" formatCode="#,##0">
                  <c:v>141.1</c:v>
                </c:pt>
                <c:pt idx="73">
                  <c:v>141.05000000000001</c:v>
                </c:pt>
                <c:pt idx="74" formatCode="#,##0">
                  <c:v>141.13999999999999</c:v>
                </c:pt>
                <c:pt idx="75">
                  <c:v>142.11000000000001</c:v>
                </c:pt>
                <c:pt idx="76" formatCode="#,##0">
                  <c:v>142.16</c:v>
                </c:pt>
                <c:pt idx="77">
                  <c:v>142.28</c:v>
                </c:pt>
                <c:pt idx="78" formatCode="#,##0">
                  <c:v>141.82</c:v>
                </c:pt>
                <c:pt idx="79">
                  <c:v>141.31</c:v>
                </c:pt>
                <c:pt idx="80" formatCode="General">
                  <c:v>140.94999999999999</c:v>
                </c:pt>
                <c:pt idx="81" formatCode="General">
                  <c:v>142.91999999999999</c:v>
                </c:pt>
                <c:pt idx="82" formatCode="General">
                  <c:v>142.79</c:v>
                </c:pt>
                <c:pt idx="83" formatCode="General">
                  <c:v>142.86000000000001</c:v>
                </c:pt>
                <c:pt idx="84" formatCode="General">
                  <c:v>143.66999999999999</c:v>
                </c:pt>
                <c:pt idx="85" formatCode="General">
                  <c:v>144.15</c:v>
                </c:pt>
                <c:pt idx="86" formatCode="General">
                  <c:v>144.56</c:v>
                </c:pt>
                <c:pt idx="87" formatCode="General">
                  <c:v>145.04</c:v>
                </c:pt>
                <c:pt idx="88" formatCode="General">
                  <c:v>145.72</c:v>
                </c:pt>
                <c:pt idx="89" formatCode="General">
                  <c:v>146.22999999999999</c:v>
                </c:pt>
                <c:pt idx="90" formatCode="General">
                  <c:v>145.66</c:v>
                </c:pt>
              </c:numCache>
            </c:numRef>
          </c:val>
          <c:smooth val="0"/>
          <c:extLst>
            <c:ext xmlns:c16="http://schemas.microsoft.com/office/drawing/2014/chart" uri="{C3380CC4-5D6E-409C-BE32-E72D297353CC}">
              <c16:uniqueId val="{00000002-46F8-4E5F-BCE4-ED544FC15584}"/>
            </c:ext>
          </c:extLst>
        </c:ser>
        <c:ser>
          <c:idx val="4"/>
          <c:order val="3"/>
          <c:tx>
            <c:strRef>
              <c:f>'figura ipca '!$G$2</c:f>
              <c:strCache>
                <c:ptCount val="1"/>
                <c:pt idx="0">
                  <c:v>Italia</c:v>
                </c:pt>
              </c:strCache>
            </c:strRef>
          </c:tx>
          <c:spPr>
            <a:ln w="19050" cap="rnd" cmpd="sng" algn="ctr">
              <a:solidFill>
                <a:srgbClr val="997300"/>
              </a:solidFill>
              <a:prstDash val="sysDash"/>
              <a:round/>
            </a:ln>
            <a:effectLst/>
          </c:spPr>
          <c:marker>
            <c:symbol val="none"/>
          </c:marker>
          <c:cat>
            <c:multiLvlStrRef>
              <c:f>'figura ipca '!$A$3:$B$93</c:f>
              <c:multiLvlStrCache>
                <c:ptCount val="90"/>
                <c:lvl>
                  <c:pt idx="2">
                    <c:v>mar</c:v>
                  </c:pt>
                  <c:pt idx="5">
                    <c:v>giu</c:v>
                  </c:pt>
                  <c:pt idx="8">
                    <c:v>set</c:v>
                  </c:pt>
                  <c:pt idx="11">
                    <c:v>dic</c:v>
                  </c:pt>
                  <c:pt idx="14">
                    <c:v>mar</c:v>
                  </c:pt>
                  <c:pt idx="17">
                    <c:v>giu</c:v>
                  </c:pt>
                  <c:pt idx="20">
                    <c:v>set</c:v>
                  </c:pt>
                  <c:pt idx="23">
                    <c:v>dic</c:v>
                  </c:pt>
                  <c:pt idx="26">
                    <c:v>mar</c:v>
                  </c:pt>
                  <c:pt idx="29">
                    <c:v>giu</c:v>
                  </c:pt>
                  <c:pt idx="32">
                    <c:v>set</c:v>
                  </c:pt>
                  <c:pt idx="35">
                    <c:v>dic</c:v>
                  </c:pt>
                  <c:pt idx="38">
                    <c:v>mar</c:v>
                  </c:pt>
                  <c:pt idx="41">
                    <c:v>giu</c:v>
                  </c:pt>
                  <c:pt idx="44">
                    <c:v>set</c:v>
                  </c:pt>
                  <c:pt idx="47">
                    <c:v>dic</c:v>
                  </c:pt>
                  <c:pt idx="50">
                    <c:v>mar</c:v>
                  </c:pt>
                  <c:pt idx="53">
                    <c:v>giu</c:v>
                  </c:pt>
                  <c:pt idx="56">
                    <c:v>set</c:v>
                  </c:pt>
                  <c:pt idx="59">
                    <c:v>dic</c:v>
                  </c:pt>
                  <c:pt idx="62">
                    <c:v>mar</c:v>
                  </c:pt>
                  <c:pt idx="65">
                    <c:v>giu</c:v>
                  </c:pt>
                  <c:pt idx="68">
                    <c:v>set</c:v>
                  </c:pt>
                  <c:pt idx="71">
                    <c:v>dic</c:v>
                  </c:pt>
                  <c:pt idx="74">
                    <c:v>mar</c:v>
                  </c:pt>
                  <c:pt idx="77">
                    <c:v>giu</c:v>
                  </c:pt>
                  <c:pt idx="80">
                    <c:v>set</c:v>
                  </c:pt>
                  <c:pt idx="83">
                    <c:v>dic</c:v>
                  </c:pt>
                  <c:pt idx="86">
                    <c:v>mar</c:v>
                  </c:pt>
                  <c:pt idx="89">
                    <c:v>giu</c:v>
                  </c:pt>
                </c:lvl>
                <c:lvl>
                  <c:pt idx="0">
                    <c:v>2018</c:v>
                  </c:pt>
                  <c:pt idx="12">
                    <c:v>2019</c:v>
                  </c:pt>
                  <c:pt idx="24">
                    <c:v>2020</c:v>
                  </c:pt>
                  <c:pt idx="36">
                    <c:v>2021</c:v>
                  </c:pt>
                  <c:pt idx="48">
                    <c:v>2022</c:v>
                  </c:pt>
                  <c:pt idx="60">
                    <c:v>2023</c:v>
                  </c:pt>
                  <c:pt idx="72">
                    <c:v>2024</c:v>
                  </c:pt>
                  <c:pt idx="84">
                    <c:v>2025</c:v>
                  </c:pt>
                </c:lvl>
              </c:multiLvlStrCache>
            </c:multiLvlStrRef>
          </c:cat>
          <c:val>
            <c:numRef>
              <c:f>'figura ipca '!$G$3:$G$93</c:f>
              <c:numCache>
                <c:formatCode>#,##0.##########</c:formatCode>
                <c:ptCount val="91"/>
                <c:pt idx="0">
                  <c:v>103.9</c:v>
                </c:pt>
                <c:pt idx="1">
                  <c:v>103</c:v>
                </c:pt>
                <c:pt idx="2">
                  <c:v>103.2</c:v>
                </c:pt>
                <c:pt idx="3">
                  <c:v>103.6</c:v>
                </c:pt>
                <c:pt idx="4" formatCode="#,##0.0">
                  <c:v>104.3</c:v>
                </c:pt>
                <c:pt idx="5">
                  <c:v>103.9</c:v>
                </c:pt>
                <c:pt idx="6">
                  <c:v>103.1</c:v>
                </c:pt>
                <c:pt idx="7">
                  <c:v>103.1</c:v>
                </c:pt>
                <c:pt idx="8">
                  <c:v>103</c:v>
                </c:pt>
                <c:pt idx="9">
                  <c:v>102.9</c:v>
                </c:pt>
                <c:pt idx="10">
                  <c:v>103.5</c:v>
                </c:pt>
                <c:pt idx="11">
                  <c:v>103.3</c:v>
                </c:pt>
                <c:pt idx="12">
                  <c:v>104.4</c:v>
                </c:pt>
                <c:pt idx="13">
                  <c:v>104.8</c:v>
                </c:pt>
                <c:pt idx="14">
                  <c:v>104.2</c:v>
                </c:pt>
                <c:pt idx="15" formatCode="#,##0.0">
                  <c:v>103.8</c:v>
                </c:pt>
                <c:pt idx="16" formatCode="General">
                  <c:v>104.7</c:v>
                </c:pt>
                <c:pt idx="17" formatCode="General">
                  <c:v>104.2</c:v>
                </c:pt>
                <c:pt idx="18" formatCode="General">
                  <c:v>104</c:v>
                </c:pt>
                <c:pt idx="19" formatCode="General">
                  <c:v>104.1</c:v>
                </c:pt>
                <c:pt idx="20" formatCode="General">
                  <c:v>103.6</c:v>
                </c:pt>
                <c:pt idx="21" formatCode="General">
                  <c:v>103.7</c:v>
                </c:pt>
                <c:pt idx="22" formatCode="General">
                  <c:v>104.3</c:v>
                </c:pt>
                <c:pt idx="23" formatCode="General">
                  <c:v>104.2</c:v>
                </c:pt>
                <c:pt idx="24" formatCode="General">
                  <c:v>105.2</c:v>
                </c:pt>
                <c:pt idx="25" formatCode="General">
                  <c:v>105.3</c:v>
                </c:pt>
                <c:pt idx="26" formatCode="General">
                  <c:v>105.6</c:v>
                </c:pt>
                <c:pt idx="27" formatCode="General">
                  <c:v>106.9</c:v>
                </c:pt>
                <c:pt idx="28" formatCode="General">
                  <c:v>107.5</c:v>
                </c:pt>
                <c:pt idx="29" formatCode="General">
                  <c:v>106.8</c:v>
                </c:pt>
                <c:pt idx="30" formatCode="General">
                  <c:v>105.4</c:v>
                </c:pt>
                <c:pt idx="31" formatCode="General">
                  <c:v>105.1</c:v>
                </c:pt>
                <c:pt idx="32" formatCode="General">
                  <c:v>104.9</c:v>
                </c:pt>
                <c:pt idx="33" formatCode="General">
                  <c:v>105.2</c:v>
                </c:pt>
                <c:pt idx="34" formatCode="General">
                  <c:v>105.8</c:v>
                </c:pt>
                <c:pt idx="35" formatCode="General">
                  <c:v>105.1</c:v>
                </c:pt>
                <c:pt idx="36" formatCode="General">
                  <c:v>105.8</c:v>
                </c:pt>
                <c:pt idx="37" formatCode="General">
                  <c:v>105.5</c:v>
                </c:pt>
                <c:pt idx="38" formatCode="General">
                  <c:v>105.6</c:v>
                </c:pt>
                <c:pt idx="39" formatCode="General">
                  <c:v>106.3</c:v>
                </c:pt>
                <c:pt idx="40" formatCode="General">
                  <c:v>106.6</c:v>
                </c:pt>
                <c:pt idx="41" formatCode="General">
                  <c:v>106.2</c:v>
                </c:pt>
                <c:pt idx="42" formatCode="General">
                  <c:v>105.6</c:v>
                </c:pt>
                <c:pt idx="43" formatCode="General">
                  <c:v>106</c:v>
                </c:pt>
                <c:pt idx="44" formatCode="General">
                  <c:v>106.1</c:v>
                </c:pt>
                <c:pt idx="45" formatCode="General">
                  <c:v>106.4</c:v>
                </c:pt>
                <c:pt idx="46" formatCode="General">
                  <c:v>107.3</c:v>
                </c:pt>
                <c:pt idx="47" formatCode="General">
                  <c:v>108.1</c:v>
                </c:pt>
                <c:pt idx="48" formatCode="General">
                  <c:v>109.8</c:v>
                </c:pt>
                <c:pt idx="49" formatCode="General">
                  <c:v>110.8</c:v>
                </c:pt>
                <c:pt idx="50" formatCode="General">
                  <c:v>111.8</c:v>
                </c:pt>
                <c:pt idx="51" formatCode="General">
                  <c:v>113.2</c:v>
                </c:pt>
                <c:pt idx="52" formatCode="General">
                  <c:v>114.7</c:v>
                </c:pt>
                <c:pt idx="53" formatCode="General">
                  <c:v>116</c:v>
                </c:pt>
                <c:pt idx="54" formatCode="General">
                  <c:v>116.2</c:v>
                </c:pt>
                <c:pt idx="55" formatCode="General">
                  <c:v>117.3</c:v>
                </c:pt>
                <c:pt idx="56" formatCode="General">
                  <c:v>118.6</c:v>
                </c:pt>
                <c:pt idx="57" formatCode="General">
                  <c:v>120.9</c:v>
                </c:pt>
                <c:pt idx="58" formatCode="General">
                  <c:v>122.1</c:v>
                </c:pt>
                <c:pt idx="59" formatCode="General">
                  <c:v>122.4</c:v>
                </c:pt>
                <c:pt idx="60" formatCode="General">
                  <c:v>123.6</c:v>
                </c:pt>
                <c:pt idx="61" formatCode="General">
                  <c:v>125.6</c:v>
                </c:pt>
                <c:pt idx="62" formatCode="General">
                  <c:v>126.6</c:v>
                </c:pt>
                <c:pt idx="63" formatCode="General">
                  <c:v>127.1</c:v>
                </c:pt>
                <c:pt idx="64" formatCode="General">
                  <c:v>128.4</c:v>
                </c:pt>
                <c:pt idx="65" formatCode="General">
                  <c:v>128.80000000000001</c:v>
                </c:pt>
                <c:pt idx="66" formatCode="General">
                  <c:v>128.9</c:v>
                </c:pt>
                <c:pt idx="67" formatCode="General">
                  <c:v>129.19999999999999</c:v>
                </c:pt>
                <c:pt idx="68" formatCode="General">
                  <c:v>129.1</c:v>
                </c:pt>
                <c:pt idx="69" formatCode="General">
                  <c:v>129</c:v>
                </c:pt>
                <c:pt idx="70" formatCode="General">
                  <c:v>129.5</c:v>
                </c:pt>
                <c:pt idx="71" formatCode="General">
                  <c:v>129.80000000000001</c:v>
                </c:pt>
                <c:pt idx="72" formatCode="General">
                  <c:v>130.9</c:v>
                </c:pt>
                <c:pt idx="73" formatCode="General">
                  <c:v>130.5</c:v>
                </c:pt>
                <c:pt idx="74" formatCode="General">
                  <c:v>130.4</c:v>
                </c:pt>
                <c:pt idx="75" formatCode="General">
                  <c:v>130.5</c:v>
                </c:pt>
                <c:pt idx="76" formatCode="General">
                  <c:v>131.1</c:v>
                </c:pt>
                <c:pt idx="77" formatCode="General">
                  <c:v>130.80000000000001</c:v>
                </c:pt>
                <c:pt idx="78" formatCode="General">
                  <c:v>130.19999999999999</c:v>
                </c:pt>
                <c:pt idx="79" formatCode="General">
                  <c:v>130.4</c:v>
                </c:pt>
                <c:pt idx="80" formatCode="General">
                  <c:v>130.80000000000001</c:v>
                </c:pt>
                <c:pt idx="81" formatCode="General">
                  <c:v>132.30000000000001</c:v>
                </c:pt>
                <c:pt idx="82" formatCode="General">
                  <c:v>133.30000000000001</c:v>
                </c:pt>
                <c:pt idx="83" formatCode="General">
                  <c:v>132.6</c:v>
                </c:pt>
                <c:pt idx="84" formatCode="General">
                  <c:v>133.80000000000001</c:v>
                </c:pt>
                <c:pt idx="85" formatCode="General">
                  <c:v>133.69999999999999</c:v>
                </c:pt>
                <c:pt idx="86" formatCode="General">
                  <c:v>133.80000000000001</c:v>
                </c:pt>
                <c:pt idx="87" formatCode="General">
                  <c:v>134.80000000000001</c:v>
                </c:pt>
                <c:pt idx="88" formatCode="General">
                  <c:v>135.4</c:v>
                </c:pt>
                <c:pt idx="89" formatCode="General">
                  <c:v>135.4</c:v>
                </c:pt>
                <c:pt idx="90" formatCode="General">
                  <c:v>135.5</c:v>
                </c:pt>
              </c:numCache>
            </c:numRef>
          </c:val>
          <c:smooth val="0"/>
          <c:extLst>
            <c:ext xmlns:c16="http://schemas.microsoft.com/office/drawing/2014/chart" uri="{C3380CC4-5D6E-409C-BE32-E72D297353CC}">
              <c16:uniqueId val="{00000003-46F8-4E5F-BCE4-ED544FC15584}"/>
            </c:ext>
          </c:extLst>
        </c:ser>
        <c:ser>
          <c:idx val="3"/>
          <c:order val="4"/>
          <c:tx>
            <c:strRef>
              <c:f>'figura ipca '!$C$2</c:f>
              <c:strCache>
                <c:ptCount val="1"/>
                <c:pt idx="0">
                  <c:v>UE27</c:v>
                </c:pt>
              </c:strCache>
            </c:strRef>
          </c:tx>
          <c:spPr>
            <a:ln w="19050" cap="rnd" cmpd="sng" algn="ctr">
              <a:solidFill>
                <a:srgbClr val="008193"/>
              </a:solidFill>
              <a:prstDash val="dashDot"/>
              <a:round/>
            </a:ln>
            <a:effectLst/>
          </c:spPr>
          <c:marker>
            <c:symbol val="none"/>
          </c:marker>
          <c:cat>
            <c:multiLvlStrRef>
              <c:f>'figura ipca '!$A$3:$B$93</c:f>
              <c:multiLvlStrCache>
                <c:ptCount val="90"/>
                <c:lvl>
                  <c:pt idx="2">
                    <c:v>mar</c:v>
                  </c:pt>
                  <c:pt idx="5">
                    <c:v>giu</c:v>
                  </c:pt>
                  <c:pt idx="8">
                    <c:v>set</c:v>
                  </c:pt>
                  <c:pt idx="11">
                    <c:v>dic</c:v>
                  </c:pt>
                  <c:pt idx="14">
                    <c:v>mar</c:v>
                  </c:pt>
                  <c:pt idx="17">
                    <c:v>giu</c:v>
                  </c:pt>
                  <c:pt idx="20">
                    <c:v>set</c:v>
                  </c:pt>
                  <c:pt idx="23">
                    <c:v>dic</c:v>
                  </c:pt>
                  <c:pt idx="26">
                    <c:v>mar</c:v>
                  </c:pt>
                  <c:pt idx="29">
                    <c:v>giu</c:v>
                  </c:pt>
                  <c:pt idx="32">
                    <c:v>set</c:v>
                  </c:pt>
                  <c:pt idx="35">
                    <c:v>dic</c:v>
                  </c:pt>
                  <c:pt idx="38">
                    <c:v>mar</c:v>
                  </c:pt>
                  <c:pt idx="41">
                    <c:v>giu</c:v>
                  </c:pt>
                  <c:pt idx="44">
                    <c:v>set</c:v>
                  </c:pt>
                  <c:pt idx="47">
                    <c:v>dic</c:v>
                  </c:pt>
                  <c:pt idx="50">
                    <c:v>mar</c:v>
                  </c:pt>
                  <c:pt idx="53">
                    <c:v>giu</c:v>
                  </c:pt>
                  <c:pt idx="56">
                    <c:v>set</c:v>
                  </c:pt>
                  <c:pt idx="59">
                    <c:v>dic</c:v>
                  </c:pt>
                  <c:pt idx="62">
                    <c:v>mar</c:v>
                  </c:pt>
                  <c:pt idx="65">
                    <c:v>giu</c:v>
                  </c:pt>
                  <c:pt idx="68">
                    <c:v>set</c:v>
                  </c:pt>
                  <c:pt idx="71">
                    <c:v>dic</c:v>
                  </c:pt>
                  <c:pt idx="74">
                    <c:v>mar</c:v>
                  </c:pt>
                  <c:pt idx="77">
                    <c:v>giu</c:v>
                  </c:pt>
                  <c:pt idx="80">
                    <c:v>set</c:v>
                  </c:pt>
                  <c:pt idx="83">
                    <c:v>dic</c:v>
                  </c:pt>
                  <c:pt idx="86">
                    <c:v>mar</c:v>
                  </c:pt>
                  <c:pt idx="89">
                    <c:v>giu</c:v>
                  </c:pt>
                </c:lvl>
                <c:lvl>
                  <c:pt idx="0">
                    <c:v>2018</c:v>
                  </c:pt>
                  <c:pt idx="12">
                    <c:v>2019</c:v>
                  </c:pt>
                  <c:pt idx="24">
                    <c:v>2020</c:v>
                  </c:pt>
                  <c:pt idx="36">
                    <c:v>2021</c:v>
                  </c:pt>
                  <c:pt idx="48">
                    <c:v>2022</c:v>
                  </c:pt>
                  <c:pt idx="60">
                    <c:v>2023</c:v>
                  </c:pt>
                  <c:pt idx="72">
                    <c:v>2024</c:v>
                  </c:pt>
                  <c:pt idx="84">
                    <c:v>2025</c:v>
                  </c:pt>
                </c:lvl>
              </c:multiLvlStrCache>
            </c:multiLvlStrRef>
          </c:cat>
          <c:val>
            <c:numRef>
              <c:f>'figura ipca '!$C$3:$C$93</c:f>
              <c:numCache>
                <c:formatCode>#,##0.##########</c:formatCode>
                <c:ptCount val="91"/>
                <c:pt idx="0" formatCode="#,##0.0">
                  <c:v>104.22</c:v>
                </c:pt>
                <c:pt idx="1">
                  <c:v>104.06</c:v>
                </c:pt>
                <c:pt idx="2" formatCode="#,##0.0">
                  <c:v>104.19</c:v>
                </c:pt>
                <c:pt idx="3" formatCode="#,##0.0">
                  <c:v>104.4</c:v>
                </c:pt>
                <c:pt idx="4">
                  <c:v>104.88</c:v>
                </c:pt>
                <c:pt idx="5">
                  <c:v>104.71</c:v>
                </c:pt>
                <c:pt idx="6">
                  <c:v>104.3</c:v>
                </c:pt>
                <c:pt idx="7">
                  <c:v>104.2</c:v>
                </c:pt>
                <c:pt idx="8" formatCode="#,##0.0">
                  <c:v>104.65</c:v>
                </c:pt>
                <c:pt idx="9">
                  <c:v>104.84</c:v>
                </c:pt>
                <c:pt idx="10">
                  <c:v>104.72</c:v>
                </c:pt>
                <c:pt idx="11">
                  <c:v>104.96</c:v>
                </c:pt>
                <c:pt idx="12">
                  <c:v>105.75</c:v>
                </c:pt>
                <c:pt idx="13">
                  <c:v>106.29</c:v>
                </c:pt>
                <c:pt idx="14">
                  <c:v>106.13</c:v>
                </c:pt>
                <c:pt idx="15">
                  <c:v>106.21</c:v>
                </c:pt>
                <c:pt idx="16" formatCode="General">
                  <c:v>106.87</c:v>
                </c:pt>
                <c:pt idx="17" formatCode="General">
                  <c:v>106.87</c:v>
                </c:pt>
                <c:pt idx="18" formatCode="General">
                  <c:v>106.97</c:v>
                </c:pt>
                <c:pt idx="19" formatCode="General">
                  <c:v>107.04</c:v>
                </c:pt>
                <c:pt idx="20" formatCode="General">
                  <c:v>106.73</c:v>
                </c:pt>
                <c:pt idx="21" formatCode="General">
                  <c:v>106.9</c:v>
                </c:pt>
                <c:pt idx="22" formatCode="General">
                  <c:v>107.21</c:v>
                </c:pt>
                <c:pt idx="23" formatCode="General">
                  <c:v>107.57</c:v>
                </c:pt>
                <c:pt idx="24" formatCode="General">
                  <c:v>108.52</c:v>
                </c:pt>
                <c:pt idx="25" formatCode="General">
                  <c:v>109.07</c:v>
                </c:pt>
                <c:pt idx="26" formatCode="General">
                  <c:v>109.44</c:v>
                </c:pt>
                <c:pt idx="27" formatCode="General">
                  <c:v>110.74</c:v>
                </c:pt>
                <c:pt idx="28" formatCode="General">
                  <c:v>111.01</c:v>
                </c:pt>
                <c:pt idx="29" formatCode="General">
                  <c:v>110.6</c:v>
                </c:pt>
                <c:pt idx="30" formatCode="General">
                  <c:v>109.3</c:v>
                </c:pt>
                <c:pt idx="31" formatCode="General">
                  <c:v>108.99</c:v>
                </c:pt>
                <c:pt idx="32" formatCode="General">
                  <c:v>108.66</c:v>
                </c:pt>
                <c:pt idx="33" formatCode="General">
                  <c:v>109.01</c:v>
                </c:pt>
                <c:pt idx="34" formatCode="General">
                  <c:v>109.09</c:v>
                </c:pt>
                <c:pt idx="35" formatCode="General">
                  <c:v>108.67</c:v>
                </c:pt>
                <c:pt idx="36" formatCode="General">
                  <c:v>109.7</c:v>
                </c:pt>
                <c:pt idx="37" formatCode="General">
                  <c:v>110.01</c:v>
                </c:pt>
                <c:pt idx="38" formatCode="General">
                  <c:v>110.15</c:v>
                </c:pt>
                <c:pt idx="39" formatCode="General">
                  <c:v>110.88</c:v>
                </c:pt>
                <c:pt idx="40" formatCode="General">
                  <c:v>111.24</c:v>
                </c:pt>
                <c:pt idx="41" formatCode="General">
                  <c:v>111.03</c:v>
                </c:pt>
                <c:pt idx="42" formatCode="General">
                  <c:v>110.98</c:v>
                </c:pt>
                <c:pt idx="43" formatCode="General">
                  <c:v>111.22</c:v>
                </c:pt>
                <c:pt idx="44" formatCode="General">
                  <c:v>111.17</c:v>
                </c:pt>
                <c:pt idx="45" formatCode="General">
                  <c:v>111.55</c:v>
                </c:pt>
                <c:pt idx="46" formatCode="General">
                  <c:v>112.28</c:v>
                </c:pt>
                <c:pt idx="47" formatCode="General">
                  <c:v>113.3</c:v>
                </c:pt>
                <c:pt idx="48" formatCode="General">
                  <c:v>114.92</c:v>
                </c:pt>
                <c:pt idx="49" formatCode="General">
                  <c:v>116.05</c:v>
                </c:pt>
                <c:pt idx="50" formatCode="General">
                  <c:v>117.54</c:v>
                </c:pt>
                <c:pt idx="51" formatCode="General">
                  <c:v>120.46</c:v>
                </c:pt>
                <c:pt idx="52" formatCode="General">
                  <c:v>122.38</c:v>
                </c:pt>
                <c:pt idx="53" formatCode="General">
                  <c:v>123.88</c:v>
                </c:pt>
                <c:pt idx="54" formatCode="General">
                  <c:v>125.21</c:v>
                </c:pt>
                <c:pt idx="55" formatCode="General">
                  <c:v>126.78</c:v>
                </c:pt>
                <c:pt idx="56" formatCode="General">
                  <c:v>128.29</c:v>
                </c:pt>
                <c:pt idx="57" formatCode="General">
                  <c:v>130.80000000000001</c:v>
                </c:pt>
                <c:pt idx="58" formatCode="General">
                  <c:v>132.33000000000001</c:v>
                </c:pt>
                <c:pt idx="59" formatCode="General">
                  <c:v>133.49</c:v>
                </c:pt>
                <c:pt idx="60" formatCode="General">
                  <c:v>135.6</c:v>
                </c:pt>
                <c:pt idx="61" formatCode="General">
                  <c:v>138.19999999999999</c:v>
                </c:pt>
                <c:pt idx="62" formatCode="General">
                  <c:v>140.1</c:v>
                </c:pt>
                <c:pt idx="63" formatCode="General">
                  <c:v>140.22999999999999</c:v>
                </c:pt>
                <c:pt idx="64" formatCode="General">
                  <c:v>140.78</c:v>
                </c:pt>
                <c:pt idx="65" formatCode="General">
                  <c:v>140.99</c:v>
                </c:pt>
                <c:pt idx="66" formatCode="General">
                  <c:v>140.81</c:v>
                </c:pt>
                <c:pt idx="67" formatCode="General">
                  <c:v>140.32</c:v>
                </c:pt>
                <c:pt idx="68" formatCode="General">
                  <c:v>140.30000000000001</c:v>
                </c:pt>
                <c:pt idx="69" formatCode="General">
                  <c:v>140.72999999999999</c:v>
                </c:pt>
                <c:pt idx="70" formatCode="General">
                  <c:v>141.29</c:v>
                </c:pt>
                <c:pt idx="71" formatCode="General">
                  <c:v>141.32</c:v>
                </c:pt>
                <c:pt idx="72" formatCode="General">
                  <c:v>142.47</c:v>
                </c:pt>
                <c:pt idx="73" formatCode="General">
                  <c:v>142.34</c:v>
                </c:pt>
                <c:pt idx="74" formatCode="General">
                  <c:v>142.26</c:v>
                </c:pt>
                <c:pt idx="75" formatCode="General">
                  <c:v>142.84</c:v>
                </c:pt>
                <c:pt idx="76" formatCode="General">
                  <c:v>143.08000000000001</c:v>
                </c:pt>
                <c:pt idx="77" formatCode="General">
                  <c:v>143.16999999999999</c:v>
                </c:pt>
                <c:pt idx="78" formatCode="General">
                  <c:v>143.02000000000001</c:v>
                </c:pt>
                <c:pt idx="79" formatCode="General">
                  <c:v>143.08000000000001</c:v>
                </c:pt>
                <c:pt idx="80" formatCode="General">
                  <c:v>143.38</c:v>
                </c:pt>
                <c:pt idx="81" formatCode="General">
                  <c:v>144.41</c:v>
                </c:pt>
                <c:pt idx="82" formatCode="General">
                  <c:v>144.82</c:v>
                </c:pt>
                <c:pt idx="83" formatCode="General">
                  <c:v>144.69999999999999</c:v>
                </c:pt>
                <c:pt idx="84" formatCode="General">
                  <c:v>145.82</c:v>
                </c:pt>
                <c:pt idx="85" formatCode="General">
                  <c:v>146.49</c:v>
                </c:pt>
                <c:pt idx="86" formatCode="General">
                  <c:v>147.02000000000001</c:v>
                </c:pt>
                <c:pt idx="87" formatCode="General">
                  <c:v>147.58000000000001</c:v>
                </c:pt>
                <c:pt idx="88" formatCode="General">
                  <c:v>148.22999999999999</c:v>
                </c:pt>
                <c:pt idx="89" formatCode="General">
                  <c:v>148.35</c:v>
                </c:pt>
                <c:pt idx="90" formatCode="General">
                  <c:v>148.59</c:v>
                </c:pt>
              </c:numCache>
            </c:numRef>
          </c:val>
          <c:smooth val="0"/>
          <c:extLst>
            <c:ext xmlns:c16="http://schemas.microsoft.com/office/drawing/2014/chart" uri="{C3380CC4-5D6E-409C-BE32-E72D297353CC}">
              <c16:uniqueId val="{00000004-46F8-4E5F-BCE4-ED544FC15584}"/>
            </c:ext>
          </c:extLst>
        </c:ser>
        <c:dLbls>
          <c:showLegendKey val="0"/>
          <c:showVal val="0"/>
          <c:showCatName val="0"/>
          <c:showSerName val="0"/>
          <c:showPercent val="0"/>
          <c:showBubbleSize val="0"/>
        </c:dLbls>
        <c:smooth val="0"/>
        <c:axId val="1356899279"/>
        <c:axId val="1"/>
      </c:lineChart>
      <c:catAx>
        <c:axId val="1356899279"/>
        <c:scaling>
          <c:orientation val="minMax"/>
        </c:scaling>
        <c:delete val="0"/>
        <c:axPos val="b"/>
        <c:majorGridlines>
          <c:spPr>
            <a:ln w="3175" cap="flat" cmpd="sng" algn="ctr">
              <a:solidFill>
                <a:sysClr val="window" lastClr="FFFFFF">
                  <a:lumMod val="85000"/>
                </a:sysClr>
              </a:solidFill>
              <a:prstDash val="solid"/>
              <a:round/>
            </a:ln>
            <a:effectLst/>
          </c:spPr>
        </c:majorGridlines>
        <c:numFmt formatCode="General" sourceLinked="1"/>
        <c:majorTickMark val="out"/>
        <c:minorTickMark val="none"/>
        <c:tickLblPos val="low"/>
        <c:spPr>
          <a:noFill/>
          <a:ln w="9525" cap="flat" cmpd="sng" algn="ctr">
            <a:solidFill>
              <a:sysClr val="window" lastClr="FFFFFF">
                <a:lumMod val="65000"/>
              </a:sysClr>
            </a:solidFill>
            <a:prstDash val="solid"/>
            <a:round/>
          </a:ln>
          <a:effectLst/>
        </c:spPr>
        <c:txPr>
          <a:bodyPr rot="0" spcFirstLastPara="1" vertOverflow="ellipsis" wrap="square" anchor="ctr" anchorCtr="1"/>
          <a:lstStyle/>
          <a:p>
            <a:pPr>
              <a:defRPr sz="750" b="1" i="0" u="none" strike="noStrike" kern="1200" baseline="0">
                <a:solidFill>
                  <a:schemeClr val="tx1">
                    <a:lumMod val="75000"/>
                    <a:lumOff val="25000"/>
                  </a:schemeClr>
                </a:solidFill>
                <a:latin typeface="Arial Narrow" panose="020B0606020202030204" pitchFamily="34" charset="0"/>
                <a:ea typeface="Times New Roman"/>
                <a:cs typeface="Times New Roman"/>
              </a:defRPr>
            </a:pPr>
            <a:endParaRPr lang="en-US"/>
          </a:p>
        </c:txPr>
        <c:crossAx val="1"/>
        <c:crossesAt val="0"/>
        <c:auto val="1"/>
        <c:lblAlgn val="ctr"/>
        <c:lblOffset val="100"/>
        <c:tickLblSkip val="12"/>
        <c:tickMarkSkip val="12"/>
        <c:noMultiLvlLbl val="1"/>
      </c:catAx>
      <c:valAx>
        <c:axId val="1"/>
        <c:scaling>
          <c:orientation val="minMax"/>
          <c:max val="160"/>
          <c:min val="100"/>
        </c:scaling>
        <c:delete val="0"/>
        <c:axPos val="l"/>
        <c:majorGridlines>
          <c:spPr>
            <a:ln w="3175" cap="flat" cmpd="sng" algn="ctr">
              <a:solidFill>
                <a:sysClr val="window" lastClr="FFFFFF">
                  <a:lumMod val="85000"/>
                </a:sysClr>
              </a:solidFill>
              <a:prstDash val="solid"/>
              <a:round/>
            </a:ln>
            <a:effectLst/>
          </c:spPr>
        </c:majorGridlines>
        <c:numFmt formatCode="0" sourceLinked="0"/>
        <c:majorTickMark val="out"/>
        <c:minorTickMark val="none"/>
        <c:tickLblPos val="nextTo"/>
        <c:spPr>
          <a:noFill/>
          <a:ln w="9525" cap="flat" cmpd="sng" algn="ctr">
            <a:solidFill>
              <a:sysClr val="window" lastClr="FFFFFF">
                <a:lumMod val="65000"/>
              </a:sysClr>
            </a:solidFill>
            <a:prstDash val="solid"/>
            <a:round/>
          </a:ln>
          <a:effectLst/>
        </c:spPr>
        <c:txPr>
          <a:bodyPr rot="0" spcFirstLastPara="1" vertOverflow="ellipsis" wrap="square" anchor="ctr" anchorCtr="1"/>
          <a:lstStyle/>
          <a:p>
            <a:pPr>
              <a:defRPr sz="750" b="0" i="0" u="none" strike="noStrike" kern="1200" baseline="0">
                <a:solidFill>
                  <a:srgbClr val="000000"/>
                </a:solidFill>
                <a:latin typeface="Arial Narrow" panose="020B0606020202030204" pitchFamily="34" charset="0"/>
                <a:ea typeface="Times New Roman"/>
                <a:cs typeface="Times New Roman"/>
              </a:defRPr>
            </a:pPr>
            <a:endParaRPr lang="en-US"/>
          </a:p>
        </c:txPr>
        <c:crossAx val="1356899279"/>
        <c:crosses val="autoZero"/>
        <c:crossBetween val="midCat"/>
        <c:majorUnit val="10"/>
      </c:valAx>
      <c:spPr>
        <a:noFill/>
        <a:ln w="12700">
          <a:noFill/>
          <a:prstDash val="solid"/>
        </a:ln>
        <a:effectLst/>
      </c:spPr>
    </c:plotArea>
    <c:legend>
      <c:legendPos val="t"/>
      <c:layout>
        <c:manualLayout>
          <c:xMode val="edge"/>
          <c:yMode val="edge"/>
          <c:x val="0"/>
          <c:y val="1.2345679012345678E-2"/>
          <c:w val="0.99520639088129115"/>
          <c:h val="0.13081500316662098"/>
        </c:manualLayout>
      </c:layout>
      <c:overlay val="0"/>
      <c:spPr>
        <a:noFill/>
        <a:ln>
          <a:noFill/>
        </a:ln>
        <a:effectLst/>
      </c:spPr>
      <c:txPr>
        <a:bodyPr rot="0" spcFirstLastPara="1" vertOverflow="ellipsis" vert="horz" wrap="square" anchor="ctr" anchorCtr="1"/>
        <a:lstStyle/>
        <a:p>
          <a:pPr>
            <a:defRPr sz="700" b="0" i="0" u="none" strike="noStrike" kern="1200" baseline="0">
              <a:solidFill>
                <a:srgbClr val="000000"/>
              </a:solidFill>
              <a:latin typeface="Arial Narrow" panose="020B0606020202030204" pitchFamily="34" charset="0"/>
              <a:ea typeface="Times New Roman"/>
              <a:cs typeface="Times New Roman"/>
            </a:defRPr>
          </a:pPr>
          <a:endParaRPr lang="en-US"/>
        </a:p>
      </c:txPr>
    </c:legend>
    <c:plotVisOnly val="1"/>
    <c:dispBlanksAs val="gap"/>
    <c:showDLblsOverMax val="0"/>
  </c:chart>
  <c:spPr>
    <a:noFill/>
    <a:ln w="3175" cap="flat" cmpd="sng" algn="ctr">
      <a:noFill/>
      <a:prstDash val="solid"/>
      <a:round/>
    </a:ln>
    <a:effectLst/>
  </c:spPr>
  <c:txPr>
    <a:bodyPr/>
    <a:lstStyle/>
    <a:p>
      <a:pPr>
        <a:defRPr sz="740" b="0" i="0" u="none" strike="noStrike" baseline="0">
          <a:solidFill>
            <a:srgbClr val="000000"/>
          </a:solidFill>
          <a:latin typeface="Arial Narrow" panose="020B0606020202030204" pitchFamily="34" charset="0"/>
          <a:ea typeface="Times New Roman"/>
          <a:cs typeface="Times New Roman"/>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719210035007638E-2"/>
          <c:y val="0.11155172054536994"/>
          <c:w val="0.89470793254196823"/>
          <c:h val="0.76803209801656303"/>
        </c:manualLayout>
      </c:layout>
      <c:barChart>
        <c:barDir val="col"/>
        <c:grouping val="stacked"/>
        <c:varyColors val="0"/>
        <c:ser>
          <c:idx val="0"/>
          <c:order val="0"/>
          <c:tx>
            <c:strRef>
              <c:f>'Figura F1 '!$K$5</c:f>
              <c:strCache>
                <c:ptCount val="1"/>
                <c:pt idx="0">
                  <c:v>1° quinto</c:v>
                </c:pt>
              </c:strCache>
            </c:strRef>
          </c:tx>
          <c:spPr>
            <a:solidFill>
              <a:srgbClr val="00817F"/>
            </a:solidFill>
            <a:ln>
              <a:noFill/>
            </a:ln>
            <a:effectLst/>
          </c:spPr>
          <c:invertIfNegative val="0"/>
          <c:dLbls>
            <c:dLbl>
              <c:idx val="0"/>
              <c:tx>
                <c:rich>
                  <a:bodyPr/>
                  <a:lstStyle/>
                  <a:p>
                    <a:fld id="{2894B005-6ACB-4044-9CB6-46A988F061A8}" type="CELLRANGE">
                      <a:rPr lang="en-US"/>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F9D-4FE6-86CA-9B96F9EAF86A}"/>
                </c:ext>
              </c:extLst>
            </c:dLbl>
            <c:dLbl>
              <c:idx val="1"/>
              <c:tx>
                <c:rich>
                  <a:bodyPr/>
                  <a:lstStyle/>
                  <a:p>
                    <a:fld id="{D266FF55-461C-4A6E-BF53-F32B5785EE50}" type="CELLRANGE">
                      <a:rPr lang="it-IT"/>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F9D-4FE6-86CA-9B96F9EAF86A}"/>
                </c:ext>
              </c:extLst>
            </c:dLbl>
            <c:dLbl>
              <c:idx val="2"/>
              <c:tx>
                <c:rich>
                  <a:bodyPr/>
                  <a:lstStyle/>
                  <a:p>
                    <a:fld id="{E71306F2-4928-4E72-9B7D-D243ECBBA9C9}" type="CELLRANGE">
                      <a:rPr lang="it-IT"/>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F9D-4FE6-86CA-9B96F9EAF86A}"/>
                </c:ext>
              </c:extLst>
            </c:dLbl>
            <c:dLbl>
              <c:idx val="3"/>
              <c:tx>
                <c:rich>
                  <a:bodyPr/>
                  <a:lstStyle/>
                  <a:p>
                    <a:fld id="{0CA5FD6B-2577-4F0F-9FBC-0EF760570A73}" type="CELLRANGE">
                      <a:rPr lang="it-IT"/>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F9D-4FE6-86CA-9B96F9EAF8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F1 '!$L$4:$O$4</c:f>
              <c:numCache>
                <c:formatCode>General</c:formatCode>
                <c:ptCount val="4"/>
                <c:pt idx="0">
                  <c:v>2021</c:v>
                </c:pt>
                <c:pt idx="1">
                  <c:v>2022</c:v>
                </c:pt>
                <c:pt idx="2">
                  <c:v>2023</c:v>
                </c:pt>
                <c:pt idx="3">
                  <c:v>2024</c:v>
                </c:pt>
              </c:numCache>
            </c:numRef>
          </c:cat>
          <c:val>
            <c:numRef>
              <c:f>'Figura F1 '!$L$5:$O$5</c:f>
              <c:numCache>
                <c:formatCode>General</c:formatCode>
                <c:ptCount val="4"/>
                <c:pt idx="0">
                  <c:v>1840463</c:v>
                </c:pt>
                <c:pt idx="1">
                  <c:v>2193704</c:v>
                </c:pt>
                <c:pt idx="2">
                  <c:v>2243313</c:v>
                </c:pt>
                <c:pt idx="3">
                  <c:v>2183670</c:v>
                </c:pt>
              </c:numCache>
            </c:numRef>
          </c:val>
          <c:extLst>
            <c:ext xmlns:c15="http://schemas.microsoft.com/office/drawing/2012/chart" uri="{02D57815-91ED-43cb-92C2-25804820EDAC}">
              <c15:datalabelsRange>
                <c15:f>'Figura F1 '!$C$3:$F$3</c15:f>
                <c15:dlblRangeCache>
                  <c:ptCount val="4"/>
                  <c:pt idx="0">
                    <c:v>74,6</c:v>
                  </c:pt>
                  <c:pt idx="1">
                    <c:v>59,7</c:v>
                  </c:pt>
                  <c:pt idx="2">
                    <c:v>50,1</c:v>
                  </c:pt>
                  <c:pt idx="3">
                    <c:v>78,6</c:v>
                  </c:pt>
                </c15:dlblRangeCache>
              </c15:datalabelsRange>
            </c:ext>
            <c:ext xmlns:c16="http://schemas.microsoft.com/office/drawing/2014/chart" uri="{C3380CC4-5D6E-409C-BE32-E72D297353CC}">
              <c16:uniqueId val="{00000004-BF9D-4FE6-86CA-9B96F9EAF86A}"/>
            </c:ext>
          </c:extLst>
        </c:ser>
        <c:ser>
          <c:idx val="1"/>
          <c:order val="1"/>
          <c:tx>
            <c:strRef>
              <c:f>'Figura F1 '!$K$6</c:f>
              <c:strCache>
                <c:ptCount val="1"/>
                <c:pt idx="0">
                  <c:v>2° quinto</c:v>
                </c:pt>
              </c:strCache>
            </c:strRef>
          </c:tx>
          <c:spPr>
            <a:solidFill>
              <a:srgbClr val="004172"/>
            </a:solidFill>
            <a:ln>
              <a:noFill/>
            </a:ln>
            <a:effectLst/>
          </c:spPr>
          <c:invertIfNegative val="0"/>
          <c:dLbls>
            <c:dLbl>
              <c:idx val="0"/>
              <c:tx>
                <c:rich>
                  <a:bodyPr/>
                  <a:lstStyle/>
                  <a:p>
                    <a:fld id="{45E21B5A-A7E5-4035-B15F-B79E29DC7AEF}" type="CELLRANGE">
                      <a:rPr lang="en-US"/>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F9D-4FE6-86CA-9B96F9EAF86A}"/>
                </c:ext>
              </c:extLst>
            </c:dLbl>
            <c:dLbl>
              <c:idx val="1"/>
              <c:tx>
                <c:rich>
                  <a:bodyPr/>
                  <a:lstStyle/>
                  <a:p>
                    <a:fld id="{E46157F2-36B7-4C89-89C9-ABC4C9EB2549}" type="CELLRANGE">
                      <a:rPr lang="it-IT"/>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F9D-4FE6-86CA-9B96F9EAF86A}"/>
                </c:ext>
              </c:extLst>
            </c:dLbl>
            <c:dLbl>
              <c:idx val="2"/>
              <c:tx>
                <c:rich>
                  <a:bodyPr/>
                  <a:lstStyle/>
                  <a:p>
                    <a:fld id="{713766E7-C46D-4CFF-A7E3-AEED9CEFF48D}" type="CELLRANGE">
                      <a:rPr lang="it-IT"/>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F9D-4FE6-86CA-9B96F9EAF86A}"/>
                </c:ext>
              </c:extLst>
            </c:dLbl>
            <c:dLbl>
              <c:idx val="3"/>
              <c:tx>
                <c:rich>
                  <a:bodyPr/>
                  <a:lstStyle/>
                  <a:p>
                    <a:fld id="{BA2023BF-7459-4D97-88D8-7E1A952CC210}" type="CELLRANGE">
                      <a:rPr lang="it-IT"/>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F9D-4FE6-86CA-9B96F9EAF8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F1 '!$L$4:$O$4</c:f>
              <c:numCache>
                <c:formatCode>General</c:formatCode>
                <c:ptCount val="4"/>
                <c:pt idx="0">
                  <c:v>2021</c:v>
                </c:pt>
                <c:pt idx="1">
                  <c:v>2022</c:v>
                </c:pt>
                <c:pt idx="2">
                  <c:v>2023</c:v>
                </c:pt>
                <c:pt idx="3">
                  <c:v>2024</c:v>
                </c:pt>
              </c:numCache>
            </c:numRef>
          </c:cat>
          <c:val>
            <c:numRef>
              <c:f>'Figura F1 '!$L$6:$O$6</c:f>
              <c:numCache>
                <c:formatCode>General</c:formatCode>
                <c:ptCount val="4"/>
                <c:pt idx="0">
                  <c:v>590393.99999999988</c:v>
                </c:pt>
                <c:pt idx="1">
                  <c:v>1235873.0000000002</c:v>
                </c:pt>
                <c:pt idx="2">
                  <c:v>1712507</c:v>
                </c:pt>
                <c:pt idx="3">
                  <c:v>552116.00000000012</c:v>
                </c:pt>
              </c:numCache>
            </c:numRef>
          </c:val>
          <c:extLst>
            <c:ext xmlns:c15="http://schemas.microsoft.com/office/drawing/2012/chart" uri="{02D57815-91ED-43cb-92C2-25804820EDAC}">
              <c15:datalabelsRange>
                <c15:f>'Figura F1 '!$C$4:$F$4</c15:f>
                <c15:dlblRangeCache>
                  <c:ptCount val="4"/>
                  <c:pt idx="0">
                    <c:v>23,9</c:v>
                  </c:pt>
                  <c:pt idx="1">
                    <c:v>33,6</c:v>
                  </c:pt>
                  <c:pt idx="2">
                    <c:v>38,2</c:v>
                  </c:pt>
                  <c:pt idx="3">
                    <c:v>19,9</c:v>
                  </c:pt>
                </c15:dlblRangeCache>
              </c15:datalabelsRange>
            </c:ext>
            <c:ext xmlns:c16="http://schemas.microsoft.com/office/drawing/2014/chart" uri="{C3380CC4-5D6E-409C-BE32-E72D297353CC}">
              <c16:uniqueId val="{00000009-BF9D-4FE6-86CA-9B96F9EAF86A}"/>
            </c:ext>
          </c:extLst>
        </c:ser>
        <c:ser>
          <c:idx val="2"/>
          <c:order val="2"/>
          <c:tx>
            <c:strRef>
              <c:f>'Figura F1 '!$K$7</c:f>
              <c:strCache>
                <c:ptCount val="1"/>
                <c:pt idx="0">
                  <c:v>3° quinto</c:v>
                </c:pt>
              </c:strCache>
            </c:strRef>
          </c:tx>
          <c:spPr>
            <a:solidFill>
              <a:srgbClr val="D9D9D9"/>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BF9D-4FE6-86CA-9B96F9EAF86A}"/>
                </c:ext>
              </c:extLst>
            </c:dLbl>
            <c:dLbl>
              <c:idx val="1"/>
              <c:tx>
                <c:rich>
                  <a:bodyPr/>
                  <a:lstStyle/>
                  <a:p>
                    <a:fld id="{1286F6A5-DE4F-44DC-BED0-B89FB44AE222}" type="CELLRANGE">
                      <a:rPr lang="en-US"/>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F9D-4FE6-86CA-9B96F9EAF86A}"/>
                </c:ext>
              </c:extLst>
            </c:dLbl>
            <c:dLbl>
              <c:idx val="2"/>
              <c:tx>
                <c:rich>
                  <a:bodyPr/>
                  <a:lstStyle/>
                  <a:p>
                    <a:fld id="{FC840EDD-5FEF-446B-A09D-00F3FF06A890}" type="CELLRANGE">
                      <a:rPr lang="it-IT"/>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F9D-4FE6-86CA-9B96F9EAF86A}"/>
                </c:ext>
              </c:extLst>
            </c:dLbl>
            <c:dLbl>
              <c:idx val="3"/>
              <c:layout>
                <c:manualLayout>
                  <c:x val="0"/>
                  <c:y val="-2.6091583512584567E-2"/>
                </c:manualLayout>
              </c:layout>
              <c:tx>
                <c:rich>
                  <a:bodyPr/>
                  <a:lstStyle/>
                  <a:p>
                    <a:fld id="{9122A832-1CAB-4BC7-95C8-C9E644144111}" type="CELLRANGE">
                      <a:rPr lang="en-US"/>
                      <a:pPr/>
                      <a:t>[INTERVALLOCELLE]</a:t>
                    </a:fld>
                    <a:endParaRPr lang="it-I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F9D-4FE6-86CA-9B96F9EAF8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Narrow" panose="020B0606020202030204" pitchFamily="34" charset="0"/>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F1 '!$L$4:$O$4</c:f>
              <c:numCache>
                <c:formatCode>General</c:formatCode>
                <c:ptCount val="4"/>
                <c:pt idx="0">
                  <c:v>2021</c:v>
                </c:pt>
                <c:pt idx="1">
                  <c:v>2022</c:v>
                </c:pt>
                <c:pt idx="2">
                  <c:v>2023</c:v>
                </c:pt>
                <c:pt idx="3">
                  <c:v>2024</c:v>
                </c:pt>
              </c:numCache>
            </c:numRef>
          </c:cat>
          <c:val>
            <c:numRef>
              <c:f>'Figura F1 '!$L$7:$O$7</c:f>
              <c:numCache>
                <c:formatCode>General</c:formatCode>
                <c:ptCount val="4"/>
                <c:pt idx="1">
                  <c:v>212458</c:v>
                </c:pt>
                <c:pt idx="2">
                  <c:v>498992</c:v>
                </c:pt>
                <c:pt idx="3">
                  <c:v>41899</c:v>
                </c:pt>
              </c:numCache>
            </c:numRef>
          </c:val>
          <c:extLst>
            <c:ext xmlns:c15="http://schemas.microsoft.com/office/drawing/2012/chart" uri="{02D57815-91ED-43cb-92C2-25804820EDAC}">
              <c15:datalabelsRange>
                <c15:f>'Figura F1 '!$C$5:$F$5</c15:f>
                <c15:dlblRangeCache>
                  <c:ptCount val="4"/>
                  <c:pt idx="0">
                    <c:v>-</c:v>
                  </c:pt>
                  <c:pt idx="1">
                    <c:v>5,8</c:v>
                  </c:pt>
                  <c:pt idx="2">
                    <c:v>11,1</c:v>
                  </c:pt>
                  <c:pt idx="3">
                    <c:v>1,5</c:v>
                  </c:pt>
                </c15:dlblRangeCache>
              </c15:datalabelsRange>
            </c:ext>
            <c:ext xmlns:c16="http://schemas.microsoft.com/office/drawing/2014/chart" uri="{C3380CC4-5D6E-409C-BE32-E72D297353CC}">
              <c16:uniqueId val="{0000000E-BF9D-4FE6-86CA-9B96F9EAF86A}"/>
            </c:ext>
          </c:extLst>
        </c:ser>
        <c:dLbls>
          <c:showLegendKey val="0"/>
          <c:showVal val="1"/>
          <c:showCatName val="0"/>
          <c:showSerName val="0"/>
          <c:showPercent val="0"/>
          <c:showBubbleSize val="0"/>
        </c:dLbls>
        <c:gapWidth val="50"/>
        <c:overlap val="100"/>
        <c:axId val="107206255"/>
        <c:axId val="107204175"/>
      </c:barChart>
      <c:catAx>
        <c:axId val="107206255"/>
        <c:scaling>
          <c:orientation val="minMax"/>
        </c:scaling>
        <c:delete val="0"/>
        <c:axPos val="b"/>
        <c:majorGridlines>
          <c:spPr>
            <a:ln w="3175" cap="flat" cmpd="sng" algn="ctr">
              <a:solidFill>
                <a:sysClr val="window" lastClr="FFFFFF">
                  <a:lumMod val="85000"/>
                </a:sysClr>
              </a:solidFill>
              <a:round/>
            </a:ln>
            <a:effectLst/>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spcFirstLastPara="1" vertOverflow="ellipsis" vert="horz" wrap="square" anchor="ctr" anchorCtr="1"/>
          <a:lstStyle/>
          <a:p>
            <a:pPr>
              <a:defRPr sz="800" b="1" i="0" u="none" strike="noStrike" kern="1200" baseline="0">
                <a:solidFill>
                  <a:schemeClr val="tx1">
                    <a:lumMod val="85000"/>
                    <a:lumOff val="15000"/>
                  </a:schemeClr>
                </a:solidFill>
                <a:latin typeface="Arial Narrow" panose="020B0606020202030204" pitchFamily="34" charset="0"/>
                <a:ea typeface="+mn-ea"/>
                <a:cs typeface="+mn-cs"/>
              </a:defRPr>
            </a:pPr>
            <a:endParaRPr lang="en-US"/>
          </a:p>
        </c:txPr>
        <c:crossAx val="107204175"/>
        <c:crosses val="autoZero"/>
        <c:auto val="1"/>
        <c:lblAlgn val="ctr"/>
        <c:lblOffset val="100"/>
        <c:noMultiLvlLbl val="0"/>
      </c:catAx>
      <c:valAx>
        <c:axId val="107204175"/>
        <c:scaling>
          <c:orientation val="minMax"/>
          <c:max val="4500000"/>
        </c:scaling>
        <c:delete val="0"/>
        <c:axPos val="l"/>
        <c:majorGridlines>
          <c:spPr>
            <a:ln w="3175" cap="flat" cmpd="sng" algn="ctr">
              <a:solidFill>
                <a:sysClr val="window" lastClr="FFFFFF">
                  <a:lumMod val="85000"/>
                </a:sysClr>
              </a:solidFill>
              <a:round/>
            </a:ln>
            <a:effectLst/>
          </c:spPr>
        </c:majorGridlines>
        <c:numFmt formatCode="#,##0" sourceLinked="0"/>
        <c:majorTickMark val="out"/>
        <c:minorTickMark val="none"/>
        <c:tickLblPos val="nextTo"/>
        <c:spPr>
          <a:noFill/>
          <a:ln>
            <a:solidFill>
              <a:sysClr val="window" lastClr="FFFFFF">
                <a:lumMod val="65000"/>
              </a:sys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en-US"/>
          </a:p>
        </c:txPr>
        <c:crossAx val="107206255"/>
        <c:crosses val="autoZero"/>
        <c:crossBetween val="between"/>
      </c:valAx>
      <c:spPr>
        <a:noFill/>
        <a:ln>
          <a:noFill/>
        </a:ln>
        <a:effectLst/>
      </c:spPr>
    </c:plotArea>
    <c:legend>
      <c:legendPos val="t"/>
      <c:layout>
        <c:manualLayout>
          <c:xMode val="edge"/>
          <c:yMode val="edge"/>
          <c:x val="0.38335662543064641"/>
          <c:y val="1.1761246692149369E-2"/>
          <c:w val="0.24505360785579386"/>
          <c:h val="8.8029227161071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3175" cap="flat" cmpd="sng" algn="ctr">
      <a:solidFill>
        <a:sysClr val="window" lastClr="FFFFFF">
          <a:lumMod val="85000"/>
        </a:sysClr>
      </a:solidFill>
      <a:round/>
    </a:ln>
    <a:effectLst/>
  </c:spPr>
  <c:txPr>
    <a:bodyPr/>
    <a:lstStyle/>
    <a:p>
      <a:pPr>
        <a:defRPr sz="1200">
          <a:latin typeface="Arial Narrow" panose="020B060602020203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506934353347036E-2"/>
          <c:y val="0.19664063603340379"/>
          <c:w val="0.92692020822362886"/>
          <c:h val="0.68294318252852915"/>
        </c:manualLayout>
      </c:layout>
      <c:lineChart>
        <c:grouping val="standard"/>
        <c:varyColors val="0"/>
        <c:ser>
          <c:idx val="1"/>
          <c:order val="0"/>
          <c:tx>
            <c:strRef>
              <c:f>'Figura F2'!$B$4</c:f>
              <c:strCache>
                <c:ptCount val="1"/>
                <c:pt idx="0">
                  <c:v>pov. en. nel 1° quinto (prima dei sussidi)</c:v>
                </c:pt>
              </c:strCache>
            </c:strRef>
          </c:tx>
          <c:spPr>
            <a:ln w="28575" cap="rnd">
              <a:solidFill>
                <a:srgbClr val="00817F"/>
              </a:solidFill>
              <a:prstDash val="sysDash"/>
              <a:round/>
            </a:ln>
            <a:effectLst/>
          </c:spPr>
          <c:marker>
            <c:symbol val="circle"/>
            <c:size val="5"/>
            <c:spPr>
              <a:solidFill>
                <a:srgbClr val="00817F"/>
              </a:solidFill>
              <a:ln w="9525">
                <a:solidFill>
                  <a:sysClr val="window" lastClr="FFFFFF"/>
                </a:solidFill>
              </a:ln>
              <a:effectLst/>
            </c:spPr>
          </c:marker>
          <c:dLbls>
            <c:dLbl>
              <c:idx val="1"/>
              <c:layout>
                <c:manualLayout>
                  <c:x val="-3.1158186026903529E-2"/>
                  <c:y val="6.70979123787121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22-434B-BA33-F74DAA2057F7}"/>
                </c:ext>
              </c:extLst>
            </c:dLbl>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'Figura F2'!$C$2:$F$2</c:f>
              <c:numCache>
                <c:formatCode>General</c:formatCode>
                <c:ptCount val="4"/>
                <c:pt idx="0">
                  <c:v>2021</c:v>
                </c:pt>
                <c:pt idx="1">
                  <c:v>2022</c:v>
                </c:pt>
                <c:pt idx="2">
                  <c:v>2023</c:v>
                </c:pt>
                <c:pt idx="3">
                  <c:v>2024</c:v>
                </c:pt>
              </c:numCache>
            </c:numRef>
          </c:cat>
          <c:val>
            <c:numRef>
              <c:f>'Figura F2'!$C$4:$F$4</c:f>
              <c:numCache>
                <c:formatCode>General</c:formatCode>
                <c:ptCount val="4"/>
                <c:pt idx="0" formatCode="0.0">
                  <c:v>47.34</c:v>
                </c:pt>
                <c:pt idx="1">
                  <c:v>56.02</c:v>
                </c:pt>
                <c:pt idx="2">
                  <c:v>47.35</c:v>
                </c:pt>
                <c:pt idx="3">
                  <c:v>46.06</c:v>
                </c:pt>
              </c:numCache>
            </c:numRef>
          </c:val>
          <c:smooth val="0"/>
          <c:extLst xmlns:c15="http://schemas.microsoft.com/office/drawing/2012/chart">
            <c:ext xmlns:c16="http://schemas.microsoft.com/office/drawing/2014/chart" uri="{C3380CC4-5D6E-409C-BE32-E72D297353CC}">
              <c16:uniqueId val="{00000000-39EA-4DEA-82AC-BF10EE5D930C}"/>
            </c:ext>
          </c:extLst>
        </c:ser>
        <c:ser>
          <c:idx val="4"/>
          <c:order val="1"/>
          <c:tx>
            <c:strRef>
              <c:f>'Figura F2'!$B$7</c:f>
              <c:strCache>
                <c:ptCount val="1"/>
                <c:pt idx="0">
                  <c:v>pov. en. nel 1° quinto (dopo i sussidi)</c:v>
                </c:pt>
              </c:strCache>
            </c:strRef>
          </c:tx>
          <c:spPr>
            <a:ln w="28575" cap="rnd">
              <a:solidFill>
                <a:srgbClr val="004172"/>
              </a:solidFill>
              <a:prstDash val="sysDash"/>
              <a:round/>
            </a:ln>
            <a:effectLst/>
          </c:spPr>
          <c:marker>
            <c:symbol val="circle"/>
            <c:size val="5"/>
            <c:spPr>
              <a:solidFill>
                <a:srgbClr val="004172"/>
              </a:solidFill>
              <a:ln w="9525">
                <a:solidFill>
                  <a:sysClr val="window" lastClr="FFFFFF"/>
                </a:solidFill>
              </a:ln>
              <a:effectLst/>
            </c:spPr>
          </c:marker>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'Figura F2'!$C$2:$F$2</c:f>
              <c:numCache>
                <c:formatCode>General</c:formatCode>
                <c:ptCount val="4"/>
                <c:pt idx="0">
                  <c:v>2021</c:v>
                </c:pt>
                <c:pt idx="1">
                  <c:v>2022</c:v>
                </c:pt>
                <c:pt idx="2">
                  <c:v>2023</c:v>
                </c:pt>
                <c:pt idx="3">
                  <c:v>2024</c:v>
                </c:pt>
              </c:numCache>
            </c:numRef>
          </c:cat>
          <c:val>
            <c:numRef>
              <c:f>'Figura F2'!$C$7:$F$7</c:f>
              <c:numCache>
                <c:formatCode>General</c:formatCode>
                <c:ptCount val="4"/>
                <c:pt idx="0" formatCode="0.0">
                  <c:v>41.24</c:v>
                </c:pt>
                <c:pt idx="1">
                  <c:v>38.840000000000003</c:v>
                </c:pt>
                <c:pt idx="2">
                  <c:v>37.24</c:v>
                </c:pt>
                <c:pt idx="3">
                  <c:v>38.33</c:v>
                </c:pt>
              </c:numCache>
            </c:numRef>
          </c:val>
          <c:smooth val="0"/>
          <c:extLst xmlns:c15="http://schemas.microsoft.com/office/drawing/2012/chart">
            <c:ext xmlns:c16="http://schemas.microsoft.com/office/drawing/2014/chart" uri="{C3380CC4-5D6E-409C-BE32-E72D297353CC}">
              <c16:uniqueId val="{00000001-39EA-4DEA-82AC-BF10EE5D930C}"/>
            </c:ext>
          </c:extLst>
        </c:ser>
        <c:ser>
          <c:idx val="0"/>
          <c:order val="2"/>
          <c:tx>
            <c:strRef>
              <c:f>'Figura F2'!$B$3</c:f>
              <c:strCache>
                <c:ptCount val="1"/>
                <c:pt idx="0">
                  <c:v>povertà energetica prima dei sussidi</c:v>
                </c:pt>
              </c:strCache>
            </c:strRef>
          </c:tx>
          <c:spPr>
            <a:ln w="28575" cap="rnd">
              <a:solidFill>
                <a:srgbClr val="00817F"/>
              </a:solidFill>
              <a:round/>
            </a:ln>
            <a:effectLst/>
          </c:spPr>
          <c:marker>
            <c:symbol val="circle"/>
            <c:size val="5"/>
            <c:spPr>
              <a:solidFill>
                <a:srgbClr val="00817F"/>
              </a:solidFill>
              <a:ln w="9525">
                <a:solidFill>
                  <a:sysClr val="window" lastClr="FFFFFF"/>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'Figura F2'!$C$2:$F$2</c:f>
              <c:numCache>
                <c:formatCode>General</c:formatCode>
                <c:ptCount val="4"/>
                <c:pt idx="0">
                  <c:v>2021</c:v>
                </c:pt>
                <c:pt idx="1">
                  <c:v>2022</c:v>
                </c:pt>
                <c:pt idx="2">
                  <c:v>2023</c:v>
                </c:pt>
                <c:pt idx="3">
                  <c:v>2024</c:v>
                </c:pt>
              </c:numCache>
            </c:numRef>
          </c:cat>
          <c:val>
            <c:numRef>
              <c:f>'Figura F2'!$C$3:$F$3</c:f>
              <c:numCache>
                <c:formatCode>0.0</c:formatCode>
                <c:ptCount val="4"/>
                <c:pt idx="0">
                  <c:v>11.16</c:v>
                </c:pt>
                <c:pt idx="1">
                  <c:v>13.79</c:v>
                </c:pt>
                <c:pt idx="2">
                  <c:v>11.62</c:v>
                </c:pt>
                <c:pt idx="3">
                  <c:v>10.82</c:v>
                </c:pt>
              </c:numCache>
            </c:numRef>
          </c:val>
          <c:smooth val="0"/>
          <c:extLst>
            <c:ext xmlns:c16="http://schemas.microsoft.com/office/drawing/2014/chart" uri="{C3380CC4-5D6E-409C-BE32-E72D297353CC}">
              <c16:uniqueId val="{00000002-39EA-4DEA-82AC-BF10EE5D930C}"/>
            </c:ext>
          </c:extLst>
        </c:ser>
        <c:ser>
          <c:idx val="3"/>
          <c:order val="4"/>
          <c:tx>
            <c:strRef>
              <c:f>'Figura F2'!$B$6</c:f>
              <c:strCache>
                <c:ptCount val="1"/>
                <c:pt idx="0">
                  <c:v>povertà energetica dopo i sussidi</c:v>
                </c:pt>
              </c:strCache>
            </c:strRef>
          </c:tx>
          <c:spPr>
            <a:ln w="28575" cap="rnd">
              <a:solidFill>
                <a:srgbClr val="004172"/>
              </a:solidFill>
              <a:round/>
            </a:ln>
            <a:effectLst/>
          </c:spPr>
          <c:marker>
            <c:symbol val="circle"/>
            <c:size val="5"/>
            <c:spPr>
              <a:solidFill>
                <a:srgbClr val="004172"/>
              </a:solidFill>
              <a:ln w="9525">
                <a:solidFill>
                  <a:sysClr val="window" lastClr="FFFFFF"/>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'Figura F2'!$C$2:$F$2</c:f>
              <c:numCache>
                <c:formatCode>General</c:formatCode>
                <c:ptCount val="4"/>
                <c:pt idx="0">
                  <c:v>2021</c:v>
                </c:pt>
                <c:pt idx="1">
                  <c:v>2022</c:v>
                </c:pt>
                <c:pt idx="2">
                  <c:v>2023</c:v>
                </c:pt>
                <c:pt idx="3">
                  <c:v>2024</c:v>
                </c:pt>
              </c:numCache>
            </c:numRef>
          </c:cat>
          <c:val>
            <c:numRef>
              <c:f>'Figura F2'!$C$6:$F$6</c:f>
              <c:numCache>
                <c:formatCode>0.0</c:formatCode>
                <c:ptCount val="4"/>
                <c:pt idx="0">
                  <c:v>9.8000000000000007</c:v>
                </c:pt>
                <c:pt idx="1">
                  <c:v>9.51</c:v>
                </c:pt>
                <c:pt idx="2">
                  <c:v>9.18</c:v>
                </c:pt>
                <c:pt idx="3">
                  <c:v>9.24</c:v>
                </c:pt>
              </c:numCache>
            </c:numRef>
          </c:val>
          <c:smooth val="0"/>
          <c:extLst>
            <c:ext xmlns:c16="http://schemas.microsoft.com/office/drawing/2014/chart" uri="{C3380CC4-5D6E-409C-BE32-E72D297353CC}">
              <c16:uniqueId val="{00000003-39EA-4DEA-82AC-BF10EE5D930C}"/>
            </c:ext>
          </c:extLst>
        </c:ser>
        <c:dLbls>
          <c:showLegendKey val="0"/>
          <c:showVal val="0"/>
          <c:showCatName val="0"/>
          <c:showSerName val="0"/>
          <c:showPercent val="0"/>
          <c:showBubbleSize val="0"/>
        </c:dLbls>
        <c:marker val="1"/>
        <c:smooth val="0"/>
        <c:axId val="87653232"/>
        <c:axId val="87654064"/>
        <c:extLst>
          <c:ext xmlns:c15="http://schemas.microsoft.com/office/drawing/2012/chart" uri="{02D57815-91ED-43cb-92C2-25804820EDAC}">
            <c15:filteredLineSeries>
              <c15:ser>
                <c:idx val="2"/>
                <c:order val="3"/>
                <c:tx>
                  <c:strRef>
                    <c:extLst>
                      <c:ext uri="{02D57815-91ED-43cb-92C2-25804820EDAC}">
                        <c15:formulaRef>
                          <c15:sqref>'Figura F2'!$B$5</c15:sqref>
                        </c15:formulaRef>
                      </c:ext>
                    </c:extLst>
                    <c:strCache>
                      <c:ptCount val="1"/>
                      <c:pt idx="0">
                        <c:v>2nd quintile BS</c:v>
                      </c:pt>
                    </c:strCache>
                  </c:strRef>
                </c:tx>
                <c:spPr>
                  <a:ln w="28575" cap="rnd">
                    <a:noFill/>
                    <a:round/>
                  </a:ln>
                  <a:effectLst/>
                </c:spPr>
                <c:marker>
                  <c:symbol val="circle"/>
                  <c:size val="12"/>
                  <c:spPr>
                    <a:solidFill>
                      <a:srgbClr val="009999"/>
                    </a:solidFill>
                    <a:ln w="9525">
                      <a:solidFill>
                        <a:schemeClr val="bg1"/>
                      </a:solidFill>
                    </a:ln>
                    <a:effectLst/>
                  </c:spPr>
                </c:marker>
                <c:cat>
                  <c:numRef>
                    <c:extLst>
                      <c:ext uri="{02D57815-91ED-43cb-92C2-25804820EDAC}">
                        <c15:formulaRef>
                          <c15:sqref>'Figura F2'!$C$2:$F$2</c15:sqref>
                        </c15:formulaRef>
                      </c:ext>
                    </c:extLst>
                    <c:numCache>
                      <c:formatCode>General</c:formatCode>
                      <c:ptCount val="4"/>
                      <c:pt idx="0">
                        <c:v>2021</c:v>
                      </c:pt>
                      <c:pt idx="1">
                        <c:v>2022</c:v>
                      </c:pt>
                      <c:pt idx="2">
                        <c:v>2023</c:v>
                      </c:pt>
                      <c:pt idx="3">
                        <c:v>2024</c:v>
                      </c:pt>
                    </c:numCache>
                  </c:numRef>
                </c:cat>
                <c:val>
                  <c:numRef>
                    <c:extLst>
                      <c:ext uri="{02D57815-91ED-43cb-92C2-25804820EDAC}">
                        <c15:formulaRef>
                          <c15:sqref>'Figura F2'!$C$5:$F$5</c15:sqref>
                        </c15:formulaRef>
                      </c:ext>
                    </c:extLst>
                    <c:numCache>
                      <c:formatCode>General</c:formatCode>
                      <c:ptCount val="4"/>
                    </c:numCache>
                  </c:numRef>
                </c:val>
                <c:smooth val="0"/>
                <c:extLst>
                  <c:ext xmlns:c16="http://schemas.microsoft.com/office/drawing/2014/chart" uri="{C3380CC4-5D6E-409C-BE32-E72D297353CC}">
                    <c16:uniqueId val="{00000004-39EA-4DEA-82AC-BF10EE5D930C}"/>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'Figura F2'!$B$8</c15:sqref>
                        </c15:formulaRef>
                      </c:ext>
                    </c:extLst>
                    <c:strCache>
                      <c:ptCount val="1"/>
                      <c:pt idx="0">
                        <c:v>2nd quintile AS</c:v>
                      </c:pt>
                    </c:strCache>
                  </c:strRef>
                </c:tx>
                <c:spPr>
                  <a:ln w="25400" cap="rnd">
                    <a:noFill/>
                    <a:round/>
                  </a:ln>
                  <a:effectLst/>
                </c:spPr>
                <c:marker>
                  <c:symbol val="circle"/>
                  <c:size val="12"/>
                  <c:spPr>
                    <a:solidFill>
                      <a:srgbClr val="FFC000"/>
                    </a:solidFill>
                    <a:ln w="9525">
                      <a:solidFill>
                        <a:schemeClr val="bg1"/>
                      </a:solidFill>
                    </a:ln>
                    <a:effectLst/>
                  </c:spPr>
                </c:marker>
                <c:cat>
                  <c:numRef>
                    <c:extLst xmlns:c15="http://schemas.microsoft.com/office/drawing/2012/chart">
                      <c:ext xmlns:c15="http://schemas.microsoft.com/office/drawing/2012/chart" uri="{02D57815-91ED-43cb-92C2-25804820EDAC}">
                        <c15:formulaRef>
                          <c15:sqref>'Figura F2'!$C$2:$F$2</c15:sqref>
                        </c15:formulaRef>
                      </c:ext>
                    </c:extLst>
                    <c:numCache>
                      <c:formatCode>General</c:formatCode>
                      <c:ptCount val="4"/>
                      <c:pt idx="0">
                        <c:v>2021</c:v>
                      </c:pt>
                      <c:pt idx="1">
                        <c:v>2022</c:v>
                      </c:pt>
                      <c:pt idx="2">
                        <c:v>2023</c:v>
                      </c:pt>
                      <c:pt idx="3">
                        <c:v>2024</c:v>
                      </c:pt>
                    </c:numCache>
                  </c:numRef>
                </c:cat>
                <c:val>
                  <c:numRef>
                    <c:extLst xmlns:c15="http://schemas.microsoft.com/office/drawing/2012/chart">
                      <c:ext xmlns:c15="http://schemas.microsoft.com/office/drawing/2012/chart" uri="{02D57815-91ED-43cb-92C2-25804820EDAC}">
                        <c15:formulaRef>
                          <c15:sqref>'Figura F2'!$C$8:$F$8</c15:sqref>
                        </c15:formulaRef>
                      </c:ext>
                    </c:extLst>
                    <c:numCache>
                      <c:formatCode>General</c:formatCode>
                      <c:ptCount val="4"/>
                    </c:numCache>
                  </c:numRef>
                </c:val>
                <c:smooth val="0"/>
                <c:extLst xmlns:c15="http://schemas.microsoft.com/office/drawing/2012/chart">
                  <c:ext xmlns:c16="http://schemas.microsoft.com/office/drawing/2014/chart" uri="{C3380CC4-5D6E-409C-BE32-E72D297353CC}">
                    <c16:uniqueId val="{00000005-39EA-4DEA-82AC-BF10EE5D930C}"/>
                  </c:ext>
                </c:extLst>
              </c15:ser>
            </c15:filteredLineSeries>
          </c:ext>
        </c:extLst>
      </c:lineChart>
      <c:catAx>
        <c:axId val="87653232"/>
        <c:scaling>
          <c:orientation val="minMax"/>
        </c:scaling>
        <c:delete val="0"/>
        <c:axPos val="b"/>
        <c:majorGridlines>
          <c:spPr>
            <a:ln w="3175" cap="flat" cmpd="sng" algn="ctr">
              <a:solidFill>
                <a:sysClr val="window" lastClr="FFFFFF">
                  <a:lumMod val="85000"/>
                </a:sysClr>
              </a:solidFill>
              <a:round/>
            </a:ln>
            <a:effectLst/>
          </c:spPr>
        </c:majorGridlines>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spcFirstLastPara="1" vertOverflow="ellipsis" vert="horz" wrap="square" anchor="ctr" anchorCtr="1"/>
          <a:lstStyle/>
          <a:p>
            <a:pPr>
              <a:defRPr sz="800" b="1" i="0" u="none" strike="noStrike" kern="1200" baseline="0">
                <a:solidFill>
                  <a:schemeClr val="tx1">
                    <a:lumMod val="75000"/>
                    <a:lumOff val="25000"/>
                  </a:schemeClr>
                </a:solidFill>
                <a:latin typeface="Arial Narrow" panose="020B0606020202030204" pitchFamily="34" charset="0"/>
                <a:ea typeface="+mn-ea"/>
                <a:cs typeface="Arial" panose="020B0604020202020204" pitchFamily="34" charset="0"/>
              </a:defRPr>
            </a:pPr>
            <a:endParaRPr lang="en-US"/>
          </a:p>
        </c:txPr>
        <c:crossAx val="87654064"/>
        <c:crosses val="autoZero"/>
        <c:auto val="1"/>
        <c:lblAlgn val="ctr"/>
        <c:lblOffset val="100"/>
        <c:noMultiLvlLbl val="0"/>
      </c:catAx>
      <c:valAx>
        <c:axId val="87654064"/>
        <c:scaling>
          <c:orientation val="minMax"/>
          <c:min val="0"/>
        </c:scaling>
        <c:delete val="0"/>
        <c:axPos val="l"/>
        <c:majorGridlines>
          <c:spPr>
            <a:ln w="3175" cap="flat" cmpd="sng" algn="ctr">
              <a:solidFill>
                <a:sysClr val="window" lastClr="FFFFFF">
                  <a:lumMod val="85000"/>
                </a:sysClr>
              </a:solidFill>
              <a:round/>
            </a:ln>
            <a:effectLst/>
          </c:spPr>
        </c:majorGridlines>
        <c:numFmt formatCode="0.0" sourceLinked="0"/>
        <c:majorTickMark val="out"/>
        <c:minorTickMark val="none"/>
        <c:tickLblPos val="nextTo"/>
        <c:spPr>
          <a:noFill/>
          <a:ln>
            <a:solidFill>
              <a:sysClr val="window" lastClr="FFFFFF">
                <a:lumMod val="65000"/>
              </a:sys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en-US"/>
          </a:p>
        </c:txPr>
        <c:crossAx val="87653232"/>
        <c:crosses val="autoZero"/>
        <c:crossBetween val="between"/>
      </c:valAx>
      <c:spPr>
        <a:solidFill>
          <a:sysClr val="window" lastClr="FFFFFF"/>
        </a:solidFill>
        <a:ln>
          <a:noFill/>
        </a:ln>
        <a:effectLst/>
      </c:spPr>
    </c:plotArea>
    <c:legend>
      <c:legendPos val="t"/>
      <c:layout>
        <c:manualLayout>
          <c:xMode val="edge"/>
          <c:yMode val="edge"/>
          <c:x val="1.9611688566385566E-3"/>
          <c:y val="2.5056376847907791E-2"/>
          <c:w val="0.99184462601127599"/>
          <c:h val="0.1124467058756217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ysClr val="window" lastClr="FFFFFF">
          <a:lumMod val="85000"/>
        </a:sysClr>
      </a:solidFill>
      <a:round/>
    </a:ln>
    <a:effectLst/>
  </c:spPr>
  <c:txPr>
    <a:bodyPr/>
    <a:lstStyle/>
    <a:p>
      <a:pPr>
        <a:defRPr sz="800">
          <a:latin typeface="Arial Narrow" panose="020B0606020202030204" pitchFamily="34" charset="0"/>
          <a:cs typeface="Arial" panose="020B060402020202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699602514555654E-2"/>
          <c:y val="0.19393310820341347"/>
          <c:w val="0.9152064709306903"/>
          <c:h val="0.68924054296212089"/>
        </c:manualLayout>
      </c:layout>
      <c:barChart>
        <c:barDir val="col"/>
        <c:grouping val="stacked"/>
        <c:varyColors val="0"/>
        <c:ser>
          <c:idx val="0"/>
          <c:order val="0"/>
          <c:tx>
            <c:strRef>
              <c:f>'Figura F3'!$B$9</c:f>
              <c:strCache>
                <c:ptCount val="1"/>
                <c:pt idx="0">
                  <c:v>Famiglie energeticamente povere che non ricevono i bonus</c:v>
                </c:pt>
              </c:strCache>
            </c:strRef>
          </c:tx>
          <c:spPr>
            <a:solidFill>
              <a:srgbClr val="00817F"/>
            </a:solidFill>
            <a:ln>
              <a:noFill/>
            </a:ln>
            <a:effectLst/>
          </c:spPr>
          <c:invertIfNegative val="0"/>
          <c:dPt>
            <c:idx val="0"/>
            <c:invertIfNegative val="0"/>
            <c:bubble3D val="0"/>
            <c:spPr>
              <a:solidFill>
                <a:srgbClr val="00817F"/>
              </a:solidFill>
              <a:ln>
                <a:noFill/>
              </a:ln>
              <a:effectLst/>
            </c:spPr>
            <c:extLst>
              <c:ext xmlns:c16="http://schemas.microsoft.com/office/drawing/2014/chart" uri="{C3380CC4-5D6E-409C-BE32-E72D297353CC}">
                <c16:uniqueId val="{00000001-2AE8-40A6-A76E-6730EE938377}"/>
              </c:ext>
            </c:extLst>
          </c:dPt>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'Figura F3'!$C$8:$F$8</c:f>
              <c:numCache>
                <c:formatCode>General</c:formatCode>
                <c:ptCount val="4"/>
                <c:pt idx="0">
                  <c:v>2021</c:v>
                </c:pt>
                <c:pt idx="1">
                  <c:v>2022</c:v>
                </c:pt>
                <c:pt idx="2">
                  <c:v>2023</c:v>
                </c:pt>
                <c:pt idx="3">
                  <c:v>2024</c:v>
                </c:pt>
              </c:numCache>
            </c:numRef>
          </c:cat>
          <c:val>
            <c:numRef>
              <c:f>'Figura F3'!$C$14:$F$14</c:f>
              <c:numCache>
                <c:formatCode>0.0</c:formatCode>
                <c:ptCount val="4"/>
                <c:pt idx="0">
                  <c:v>62.231474066448619</c:v>
                </c:pt>
                <c:pt idx="1">
                  <c:v>39.079846927095083</c:v>
                </c:pt>
                <c:pt idx="2">
                  <c:v>42.48913649903178</c:v>
                </c:pt>
                <c:pt idx="3">
                  <c:v>52.552209440703713</c:v>
                </c:pt>
              </c:numCache>
            </c:numRef>
          </c:val>
          <c:extLst>
            <c:ext xmlns:c16="http://schemas.microsoft.com/office/drawing/2014/chart" uri="{C3380CC4-5D6E-409C-BE32-E72D297353CC}">
              <c16:uniqueId val="{00000002-2AE8-40A6-A76E-6730EE938377}"/>
            </c:ext>
          </c:extLst>
        </c:ser>
        <c:ser>
          <c:idx val="1"/>
          <c:order val="1"/>
          <c:tx>
            <c:strRef>
              <c:f>'Figura F3'!$B$10</c:f>
              <c:strCache>
                <c:ptCount val="1"/>
                <c:pt idx="0">
                  <c:v>Famiglie che rimangono energeticamente povere dopo aver ricevuto i bonus</c:v>
                </c:pt>
              </c:strCache>
            </c:strRef>
          </c:tx>
          <c:spPr>
            <a:solidFill>
              <a:srgbClr val="004172"/>
            </a:solidFill>
            <a:ln>
              <a:noFill/>
            </a:ln>
            <a:effectLst/>
          </c:spPr>
          <c:invertIfNegative val="0"/>
          <c:dPt>
            <c:idx val="0"/>
            <c:invertIfNegative val="0"/>
            <c:bubble3D val="0"/>
            <c:spPr>
              <a:solidFill>
                <a:srgbClr val="004172"/>
              </a:solidFill>
              <a:ln>
                <a:noFill/>
              </a:ln>
              <a:effectLst/>
            </c:spPr>
            <c:extLst>
              <c:ext xmlns:c16="http://schemas.microsoft.com/office/drawing/2014/chart" uri="{C3380CC4-5D6E-409C-BE32-E72D297353CC}">
                <c16:uniqueId val="{00000004-2AE8-40A6-A76E-6730EE938377}"/>
              </c:ext>
            </c:extLst>
          </c:dPt>
          <c:dPt>
            <c:idx val="1"/>
            <c:invertIfNegative val="0"/>
            <c:bubble3D val="0"/>
            <c:spPr>
              <a:solidFill>
                <a:srgbClr val="004172"/>
              </a:solidFill>
              <a:ln>
                <a:noFill/>
              </a:ln>
              <a:effectLst/>
            </c:spPr>
            <c:extLst>
              <c:ext xmlns:c16="http://schemas.microsoft.com/office/drawing/2014/chart" uri="{C3380CC4-5D6E-409C-BE32-E72D297353CC}">
                <c16:uniqueId val="{00000006-2AE8-40A6-A76E-6730EE938377}"/>
              </c:ext>
            </c:extLst>
          </c:dPt>
          <c:dPt>
            <c:idx val="2"/>
            <c:invertIfNegative val="0"/>
            <c:bubble3D val="0"/>
            <c:spPr>
              <a:solidFill>
                <a:srgbClr val="004172"/>
              </a:solidFill>
              <a:ln>
                <a:noFill/>
              </a:ln>
              <a:effectLst/>
            </c:spPr>
            <c:extLst>
              <c:ext xmlns:c16="http://schemas.microsoft.com/office/drawing/2014/chart" uri="{C3380CC4-5D6E-409C-BE32-E72D297353CC}">
                <c16:uniqueId val="{00000008-2AE8-40A6-A76E-6730EE938377}"/>
              </c:ext>
            </c:extLst>
          </c:dPt>
          <c:dPt>
            <c:idx val="3"/>
            <c:invertIfNegative val="0"/>
            <c:bubble3D val="0"/>
            <c:spPr>
              <a:solidFill>
                <a:srgbClr val="004172"/>
              </a:solidFill>
              <a:ln>
                <a:noFill/>
              </a:ln>
              <a:effectLst/>
            </c:spPr>
            <c:extLst>
              <c:ext xmlns:c16="http://schemas.microsoft.com/office/drawing/2014/chart" uri="{C3380CC4-5D6E-409C-BE32-E72D297353CC}">
                <c16:uniqueId val="{0000000A-2AE8-40A6-A76E-6730EE938377}"/>
              </c:ext>
            </c:extLst>
          </c:dPt>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'Figura F3'!$C$8:$F$8</c:f>
              <c:numCache>
                <c:formatCode>General</c:formatCode>
                <c:ptCount val="4"/>
                <c:pt idx="0">
                  <c:v>2021</c:v>
                </c:pt>
                <c:pt idx="1">
                  <c:v>2022</c:v>
                </c:pt>
                <c:pt idx="2">
                  <c:v>2023</c:v>
                </c:pt>
                <c:pt idx="3">
                  <c:v>2024</c:v>
                </c:pt>
              </c:numCache>
            </c:numRef>
          </c:cat>
          <c:val>
            <c:numRef>
              <c:f>'Figura F3'!$C$15:$F$15</c:f>
              <c:numCache>
                <c:formatCode>0.0</c:formatCode>
                <c:ptCount val="4"/>
                <c:pt idx="0">
                  <c:v>24.297102134599591</c:v>
                </c:pt>
                <c:pt idx="1">
                  <c:v>22.459151412978539</c:v>
                </c:pt>
                <c:pt idx="2">
                  <c:v>30.894112184426504</c:v>
                </c:pt>
                <c:pt idx="3">
                  <c:v>30.280015745411191</c:v>
                </c:pt>
              </c:numCache>
            </c:numRef>
          </c:val>
          <c:extLst>
            <c:ext xmlns:c16="http://schemas.microsoft.com/office/drawing/2014/chart" uri="{C3380CC4-5D6E-409C-BE32-E72D297353CC}">
              <c16:uniqueId val="{0000000B-2AE8-40A6-A76E-6730EE938377}"/>
            </c:ext>
          </c:extLst>
        </c:ser>
        <c:ser>
          <c:idx val="2"/>
          <c:order val="2"/>
          <c:tx>
            <c:strRef>
              <c:f>'Figura F3'!$B$11</c:f>
              <c:strCache>
                <c:ptCount val="1"/>
                <c:pt idx="0">
                  <c:v>Famiglie uscite dalla povertà energetica grazie ai bonus</c:v>
                </c:pt>
              </c:strCache>
            </c:strRef>
          </c:tx>
          <c:spPr>
            <a:solidFill>
              <a:sysClr val="window" lastClr="FFFFFF">
                <a:lumMod val="75000"/>
              </a:sysClr>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'Figura F3'!$C$8:$F$8</c:f>
              <c:numCache>
                <c:formatCode>General</c:formatCode>
                <c:ptCount val="4"/>
                <c:pt idx="0">
                  <c:v>2021</c:v>
                </c:pt>
                <c:pt idx="1">
                  <c:v>2022</c:v>
                </c:pt>
                <c:pt idx="2">
                  <c:v>2023</c:v>
                </c:pt>
                <c:pt idx="3">
                  <c:v>2024</c:v>
                </c:pt>
              </c:numCache>
            </c:numRef>
          </c:cat>
          <c:val>
            <c:numRef>
              <c:f>'Figura F3'!$C$16:$F$16</c:f>
              <c:numCache>
                <c:formatCode>0.0</c:formatCode>
                <c:ptCount val="4"/>
                <c:pt idx="0">
                  <c:v>13.471423798951784</c:v>
                </c:pt>
                <c:pt idx="1">
                  <c:v>38.461001659926374</c:v>
                </c:pt>
                <c:pt idx="2">
                  <c:v>26.616751316541716</c:v>
                </c:pt>
                <c:pt idx="3">
                  <c:v>17.167774813885089</c:v>
                </c:pt>
              </c:numCache>
            </c:numRef>
          </c:val>
          <c:extLst>
            <c:ext xmlns:c16="http://schemas.microsoft.com/office/drawing/2014/chart" uri="{C3380CC4-5D6E-409C-BE32-E72D297353CC}">
              <c16:uniqueId val="{0000000C-2AE8-40A6-A76E-6730EE938377}"/>
            </c:ext>
          </c:extLst>
        </c:ser>
        <c:dLbls>
          <c:showLegendKey val="0"/>
          <c:showVal val="0"/>
          <c:showCatName val="0"/>
          <c:showSerName val="0"/>
          <c:showPercent val="0"/>
          <c:showBubbleSize val="0"/>
        </c:dLbls>
        <c:gapWidth val="60"/>
        <c:overlap val="100"/>
        <c:axId val="2125668575"/>
        <c:axId val="2125678975"/>
      </c:barChart>
      <c:catAx>
        <c:axId val="2125668575"/>
        <c:scaling>
          <c:orientation val="minMax"/>
        </c:scaling>
        <c:delete val="0"/>
        <c:axPos val="b"/>
        <c:majorGridlines>
          <c:spPr>
            <a:ln w="3175" cap="flat" cmpd="sng" algn="ctr">
              <a:solidFill>
                <a:sysClr val="window" lastClr="FFFFFF">
                  <a:lumMod val="85000"/>
                </a:sysClr>
              </a:solidFill>
              <a:round/>
            </a:ln>
            <a:effectLst/>
          </c:spPr>
        </c:majorGridlines>
        <c:numFmt formatCode="General" sourceLinked="1"/>
        <c:majorTickMark val="out"/>
        <c:minorTickMark val="none"/>
        <c:tickLblPos val="nextTo"/>
        <c:spPr>
          <a:noFill/>
          <a:ln w="9525" cap="flat" cmpd="sng" algn="ctr">
            <a:solidFill>
              <a:sysClr val="window" lastClr="FFFFFF">
                <a:lumMod val="75000"/>
              </a:sysClr>
            </a:solidFill>
            <a:round/>
          </a:ln>
          <a:effectLst/>
        </c:spPr>
        <c:txPr>
          <a:bodyPr rot="-60000000" spcFirstLastPara="1" vertOverflow="ellipsis" vert="horz" wrap="square" anchor="ctr" anchorCtr="1"/>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crossAx val="2125678975"/>
        <c:crosses val="autoZero"/>
        <c:auto val="1"/>
        <c:lblAlgn val="ctr"/>
        <c:lblOffset val="100"/>
        <c:noMultiLvlLbl val="0"/>
      </c:catAx>
      <c:valAx>
        <c:axId val="2125678975"/>
        <c:scaling>
          <c:orientation val="minMax"/>
          <c:max val="100"/>
        </c:scaling>
        <c:delete val="0"/>
        <c:axPos val="l"/>
        <c:majorGridlines>
          <c:spPr>
            <a:ln w="3175" cap="flat" cmpd="sng" algn="ctr">
              <a:solidFill>
                <a:sysClr val="window" lastClr="FFFFFF">
                  <a:lumMod val="85000"/>
                </a:sysClr>
              </a:solidFill>
              <a:round/>
            </a:ln>
            <a:effectLst/>
          </c:spPr>
        </c:majorGridlines>
        <c:numFmt formatCode="0.0" sourceLinked="1"/>
        <c:majorTickMark val="out"/>
        <c:minorTickMark val="none"/>
        <c:tickLblPos val="nextTo"/>
        <c:spPr>
          <a:noFill/>
          <a:ln>
            <a:solidFill>
              <a:sysClr val="window" lastClr="FFFFFF">
                <a:lumMod val="65000"/>
              </a:sys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en-US"/>
          </a:p>
        </c:txPr>
        <c:crossAx val="2125668575"/>
        <c:crosses val="autoZero"/>
        <c:crossBetween val="between"/>
      </c:valAx>
      <c:spPr>
        <a:noFill/>
        <a:ln>
          <a:noFill/>
        </a:ln>
        <a:effectLst/>
      </c:spPr>
    </c:plotArea>
    <c:legend>
      <c:legendPos val="t"/>
      <c:layout>
        <c:manualLayout>
          <c:xMode val="edge"/>
          <c:yMode val="edge"/>
          <c:x val="4.2359703075946654E-3"/>
          <c:y val="1.5806111696522657E-2"/>
          <c:w val="0.99348907381870477"/>
          <c:h val="0.1391365133625946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3175" cap="flat" cmpd="sng" algn="ctr">
      <a:solidFill>
        <a:sysClr val="window" lastClr="FFFFFF">
          <a:lumMod val="85000"/>
        </a:sysClr>
      </a:solidFill>
      <a:round/>
    </a:ln>
    <a:effectLst/>
  </c:spPr>
  <c:txPr>
    <a:bodyPr/>
    <a:lstStyle/>
    <a:p>
      <a:pPr>
        <a:defRPr sz="800">
          <a:latin typeface="Arial Narrow" panose="020B060602020203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0.07656</cdr:x>
      <cdr:y>0.5488</cdr:y>
    </cdr:from>
    <cdr:to>
      <cdr:x>0.92182</cdr:x>
      <cdr:y>0.55293</cdr:y>
    </cdr:to>
    <cdr:cxnSp macro="">
      <cdr:nvCxnSpPr>
        <cdr:cNvPr id="2" name="Connettore diritto 1">
          <a:extLst xmlns:a="http://schemas.openxmlformats.org/drawingml/2006/main">
            <a:ext uri="{FF2B5EF4-FFF2-40B4-BE49-F238E27FC236}">
              <a16:creationId xmlns:a16="http://schemas.microsoft.com/office/drawing/2014/main" id="{00000000-0008-0000-0000-00001C000000}"/>
            </a:ext>
          </a:extLst>
        </cdr:cNvPr>
        <cdr:cNvCxnSpPr/>
      </cdr:nvCxnSpPr>
      <cdr:spPr>
        <a:xfrm xmlns:a="http://schemas.openxmlformats.org/drawingml/2006/main" flipH="1">
          <a:off x="239439" y="1169816"/>
          <a:ext cx="2643517" cy="8803"/>
        </a:xfrm>
        <a:prstGeom xmlns:a="http://schemas.openxmlformats.org/drawingml/2006/main" prst="line">
          <a:avLst/>
        </a:prstGeom>
        <a:ln xmlns:a="http://schemas.openxmlformats.org/drawingml/2006/main" w="9525">
          <a:solidFill>
            <a:schemeClr val="tx1">
              <a:lumMod val="75000"/>
              <a:lumOff val="25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0053F9E131147B9CEAC54314E0F9D" ma:contentTypeVersion="9" ma:contentTypeDescription="Create a new document." ma:contentTypeScope="" ma:versionID="75dd34c2236a69c168df1b617271d25a">
  <xsd:schema xmlns:xsd="http://www.w3.org/2001/XMLSchema" xmlns:xs="http://www.w3.org/2001/XMLSchema" xmlns:p="http://schemas.microsoft.com/office/2006/metadata/properties" xmlns:ns3="21ec187e-ae73-48b1-af9f-48398156d65c" targetNamespace="http://schemas.microsoft.com/office/2006/metadata/properties" ma:root="true" ma:fieldsID="b1735ee321d32caa21a0e1d9edae42d9" ns3:_="">
    <xsd:import namespace="21ec187e-ae73-48b1-af9f-48398156d6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c187e-ae73-48b1-af9f-48398156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E9DF7-DCF3-4C49-B134-7BEE8F0E4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c187e-ae73-48b1-af9f-48398156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2BB28-C6A3-4387-9A20-16EFFA9806B6}">
  <ds:schemaRefs>
    <ds:schemaRef ds:uri="http://schemas.openxmlformats.org/officeDocument/2006/bibliography"/>
  </ds:schemaRefs>
</ds:datastoreItem>
</file>

<file path=customXml/itemProps3.xml><?xml version="1.0" encoding="utf-8"?>
<ds:datastoreItem xmlns:ds="http://schemas.openxmlformats.org/officeDocument/2006/customXml" ds:itemID="{0603334E-E935-4AE6-8F2B-B2CF4D6875D0}">
  <ds:schemaRefs>
    <ds:schemaRef ds:uri="http://schemas.microsoft.com/sharepoint/v3/contenttype/forms"/>
  </ds:schemaRefs>
</ds:datastoreItem>
</file>

<file path=customXml/itemProps4.xml><?xml version="1.0" encoding="utf-8"?>
<ds:datastoreItem xmlns:ds="http://schemas.openxmlformats.org/officeDocument/2006/customXml" ds:itemID="{137A82FE-6802-4046-956C-A023313EB9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6052</Words>
  <Characters>34499</Characters>
  <Application>Microsoft Office Word</Application>
  <DocSecurity>0</DocSecurity>
  <Lines>287</Lines>
  <Paragraphs>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Lidia Fagiolo</cp:lastModifiedBy>
  <cp:revision>3</cp:revision>
  <cp:lastPrinted>2025-03-12T11:22:00Z</cp:lastPrinted>
  <dcterms:created xsi:type="dcterms:W3CDTF">2025-09-10T05:32:00Z</dcterms:created>
  <dcterms:modified xsi:type="dcterms:W3CDTF">2025-09-10T08:14:00Z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0x01010050B0053F9E131147B9CEAC54314E0F9D</vt:lpwstr>
  </property>
</Properties>
</file>