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1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006D5" w14:textId="7CCC8313" w:rsidR="008D1EFC" w:rsidRDefault="00E771B2" w:rsidP="00A457DF">
      <w:pPr>
        <w:tabs>
          <w:tab w:val="left" w:pos="2160"/>
        </w:tabs>
        <w:rPr>
          <w:noProof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FB87D" wp14:editId="2F86FCA0">
                <wp:simplePos x="0" y="0"/>
                <wp:positionH relativeFrom="column">
                  <wp:posOffset>4887595</wp:posOffset>
                </wp:positionH>
                <wp:positionV relativeFrom="paragraph">
                  <wp:posOffset>-415925</wp:posOffset>
                </wp:positionV>
                <wp:extent cx="1460090" cy="238125"/>
                <wp:effectExtent l="0" t="0" r="0" b="9525"/>
                <wp:wrapNone/>
                <wp:docPr id="37222467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009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7797" w14:textId="00DDCD36" w:rsidR="00CF5E25" w:rsidRPr="004D3215" w:rsidRDefault="00CF5E25" w:rsidP="004C1120">
                            <w:pPr>
                              <w:jc w:val="right"/>
                              <w:rPr>
                                <w:rFonts w:ascii="Arial" w:hAnsi="Arial" w:cs="Arial"/>
                                <w:color w:val="0A1D30" w:themeColor="text2" w:themeShade="B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A1D30" w:themeColor="text2" w:themeShade="BF"/>
                              </w:rPr>
                              <w:t xml:space="preserve">12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A1D30" w:themeColor="text2" w:themeShade="BF"/>
                              </w:rPr>
                              <w:t>Novembre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A1D30" w:themeColor="text2" w:themeShade="BF"/>
                              </w:rPr>
                              <w:t xml:space="preserve"> 2025</w:t>
                            </w:r>
                          </w:p>
                          <w:p w14:paraId="1A51DEAF" w14:textId="77777777" w:rsidR="00CF5E25" w:rsidRPr="004D3215" w:rsidRDefault="00CF5E25" w:rsidP="004C1120">
                            <w:pPr>
                              <w:jc w:val="right"/>
                              <w:rPr>
                                <w:color w:val="0A1D30" w:themeColor="tex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FB87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84.85pt;margin-top:-32.75pt;width:114.9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" filled="f" stroked="f">
                <v:textbox inset="0,0,0,0">
                  <w:txbxContent>
                    <w:p w14:paraId="7B2D7797" w14:textId="00DDCD36" w:rsidR="00CF5E25" w:rsidRPr="004D3215" w:rsidRDefault="00CF5E25" w:rsidP="004C1120">
                      <w:pPr>
                        <w:jc w:val="right"/>
                        <w:rPr>
                          <w:rFonts w:ascii="Arial" w:hAnsi="Arial" w:cs="Arial"/>
                          <w:color w:val="0A1D30" w:themeColor="text2" w:themeShade="BF"/>
                        </w:rPr>
                      </w:pPr>
                      <w:r>
                        <w:rPr>
                          <w:rFonts w:ascii="Arial" w:hAnsi="Arial" w:cs="Arial"/>
                          <w:color w:val="0A1D30" w:themeColor="text2" w:themeShade="BF"/>
                        </w:rPr>
                        <w:t>12 Novembre 2025</w:t>
                      </w:r>
                    </w:p>
                    <w:p w14:paraId="1A51DEAF" w14:textId="77777777" w:rsidR="00CF5E25" w:rsidRPr="004D3215" w:rsidRDefault="00CF5E25" w:rsidP="004C1120">
                      <w:pPr>
                        <w:jc w:val="right"/>
                        <w:rPr>
                          <w:color w:val="0A1D30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1120" w:rsidRPr="00853D0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57E36FD" wp14:editId="4140CF1B">
            <wp:simplePos x="0" y="0"/>
            <wp:positionH relativeFrom="column">
              <wp:posOffset>-1737302</wp:posOffset>
            </wp:positionH>
            <wp:positionV relativeFrom="paragraph">
              <wp:posOffset>-483870</wp:posOffset>
            </wp:positionV>
            <wp:extent cx="6156960" cy="1154430"/>
            <wp:effectExtent l="0" t="0" r="2540" b="1270"/>
            <wp:wrapNone/>
            <wp:docPr id="2077633434" name="Immagine 1" descr="Immagine che contiene testo, Carattere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33434" name="Immagine 1" descr="Immagine che contiene testo, Carattere, schermata, Elementi grafici&#10;&#10;Descrizione generata automaticamente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EA9">
        <w:tab/>
      </w:r>
    </w:p>
    <w:p w14:paraId="2F9318F4" w14:textId="0B635550" w:rsidR="00902EA9" w:rsidRPr="00902EA9" w:rsidRDefault="00902EA9" w:rsidP="00A457DF"/>
    <w:p w14:paraId="2BD9A7CF" w14:textId="3AC3B0B7" w:rsidR="00902EA9" w:rsidRPr="00902EA9" w:rsidRDefault="00902EA9" w:rsidP="00A457DF"/>
    <w:p w14:paraId="4E69BE56" w14:textId="4FB0FA00" w:rsidR="00712072" w:rsidRPr="00BF168C" w:rsidRDefault="00712072" w:rsidP="004C1663">
      <w:pPr>
        <w:pStyle w:val="StilePALLINO"/>
        <w:numPr>
          <w:ilvl w:val="0"/>
          <w:numId w:val="0"/>
        </w:numPr>
        <w:shd w:val="clear" w:color="auto" w:fill="FFFFFF"/>
        <w:suppressAutoHyphens/>
        <w:spacing w:after="100" w:afterAutospacing="1" w:line="240" w:lineRule="auto"/>
        <w:ind w:right="-6"/>
        <w:jc w:val="both"/>
        <w:rPr>
          <w:rFonts w:ascii="Arial" w:hAnsi="Arial" w:cs="Arial"/>
          <w:color w:val="383838"/>
          <w:shd w:val="clear" w:color="auto" w:fill="FFFFFF"/>
        </w:rPr>
      </w:pPr>
    </w:p>
    <w:p w14:paraId="4104AC25" w14:textId="3CB32BD1" w:rsidR="0026145F" w:rsidRPr="00BA73EC" w:rsidRDefault="002510CE" w:rsidP="00CF5E25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hAnsi="Arial" w:cs="Arial"/>
          <w:color w:val="383838"/>
          <w:shd w:val="clear" w:color="auto" w:fill="FFFFFF"/>
        </w:rPr>
      </w:pPr>
      <w:r w:rsidRPr="0026145F">
        <w:rPr>
          <w:rFonts w:ascii="Arial" w:hAnsi="Arial" w:cs="Arial"/>
          <w:color w:val="383838"/>
          <w:shd w:val="clear" w:color="auto" w:fill="FFFFFF"/>
        </w:rPr>
        <w:t xml:space="preserve">L’economia globale è in </w:t>
      </w:r>
      <w:r w:rsidR="005054A2" w:rsidRPr="0026145F">
        <w:rPr>
          <w:rFonts w:ascii="Arial" w:hAnsi="Arial" w:cs="Arial"/>
          <w:color w:val="383838"/>
          <w:shd w:val="clear" w:color="auto" w:fill="FFFFFF"/>
        </w:rPr>
        <w:t xml:space="preserve">moderato </w:t>
      </w:r>
      <w:r w:rsidRPr="00391FDE">
        <w:rPr>
          <w:rFonts w:ascii="Arial" w:hAnsi="Arial" w:cs="Arial"/>
          <w:color w:val="000000"/>
          <w:lang w:eastAsia="it-IT"/>
        </w:rPr>
        <w:t>rallentamento</w:t>
      </w:r>
      <w:r w:rsidR="00534D35">
        <w:rPr>
          <w:rFonts w:ascii="Arial" w:hAnsi="Arial" w:cs="Arial"/>
          <w:color w:val="000000"/>
          <w:lang w:eastAsia="it-IT"/>
        </w:rPr>
        <w:t xml:space="preserve"> e</w:t>
      </w:r>
      <w:r w:rsidR="00391FDE">
        <w:rPr>
          <w:rFonts w:ascii="Arial" w:hAnsi="Arial" w:cs="Arial"/>
          <w:color w:val="000000"/>
          <w:lang w:eastAsia="it-IT"/>
        </w:rPr>
        <w:t xml:space="preserve"> il commercio internazionale </w:t>
      </w:r>
      <w:r w:rsidR="00534D35">
        <w:rPr>
          <w:rFonts w:ascii="Arial" w:hAnsi="Arial" w:cs="Arial"/>
          <w:color w:val="000000"/>
          <w:lang w:eastAsia="it-IT"/>
        </w:rPr>
        <w:t>mostra</w:t>
      </w:r>
      <w:r w:rsidR="00391FDE">
        <w:rPr>
          <w:rFonts w:ascii="Arial" w:hAnsi="Arial" w:cs="Arial"/>
          <w:color w:val="000000"/>
          <w:lang w:eastAsia="it-IT"/>
        </w:rPr>
        <w:t xml:space="preserve"> un andamento v</w:t>
      </w:r>
      <w:r w:rsidR="00AF27C0">
        <w:rPr>
          <w:rFonts w:ascii="Arial" w:hAnsi="Arial" w:cs="Arial"/>
          <w:color w:val="000000"/>
          <w:lang w:eastAsia="it-IT"/>
        </w:rPr>
        <w:t>olatile</w:t>
      </w:r>
      <w:r w:rsidR="00534D35">
        <w:rPr>
          <w:rFonts w:ascii="Arial" w:hAnsi="Arial" w:cs="Arial"/>
          <w:color w:val="000000"/>
          <w:lang w:eastAsia="it-IT"/>
        </w:rPr>
        <w:t xml:space="preserve"> </w:t>
      </w:r>
      <w:r w:rsidR="0026145F">
        <w:rPr>
          <w:rFonts w:ascii="Arial" w:hAnsi="Arial" w:cs="Arial"/>
          <w:color w:val="000000"/>
          <w:lang w:eastAsia="it-IT"/>
        </w:rPr>
        <w:t xml:space="preserve">anche </w:t>
      </w:r>
      <w:r w:rsidR="003124A2">
        <w:rPr>
          <w:rFonts w:ascii="Arial" w:hAnsi="Arial" w:cs="Arial"/>
          <w:color w:val="000000"/>
          <w:lang w:eastAsia="it-IT"/>
        </w:rPr>
        <w:t>per il persistere di un elevato grado di instabilità d</w:t>
      </w:r>
      <w:r w:rsidR="003A07ED">
        <w:rPr>
          <w:rFonts w:ascii="Arial" w:hAnsi="Arial" w:cs="Arial"/>
          <w:color w:val="000000"/>
          <w:lang w:eastAsia="it-IT"/>
        </w:rPr>
        <w:t>elle politiche commerciali.</w:t>
      </w:r>
    </w:p>
    <w:p w14:paraId="62F702E2" w14:textId="60BDF218" w:rsidR="00A83049" w:rsidRPr="0026145F" w:rsidRDefault="002E4AFF" w:rsidP="00CF5E25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hAnsi="Arial" w:cs="Arial"/>
          <w:color w:val="383838"/>
          <w:shd w:val="clear" w:color="auto" w:fill="FFFFFF"/>
        </w:rPr>
      </w:pPr>
      <w:r w:rsidRPr="0026145F">
        <w:rPr>
          <w:rFonts w:ascii="Arial" w:hAnsi="Arial" w:cs="Arial"/>
          <w:color w:val="383838"/>
          <w:shd w:val="clear" w:color="auto" w:fill="FFFFFF"/>
        </w:rPr>
        <w:t>N</w:t>
      </w:r>
      <w:r w:rsidR="002510CE" w:rsidRPr="0026145F">
        <w:rPr>
          <w:rFonts w:ascii="Arial" w:hAnsi="Arial" w:cs="Arial"/>
          <w:color w:val="383838"/>
          <w:shd w:val="clear" w:color="auto" w:fill="FFFFFF"/>
        </w:rPr>
        <w:t>el terzo trimestre</w:t>
      </w:r>
      <w:r w:rsidR="00391FDE">
        <w:rPr>
          <w:rFonts w:ascii="Arial" w:hAnsi="Arial" w:cs="Arial"/>
          <w:color w:val="383838"/>
          <w:shd w:val="clear" w:color="auto" w:fill="FFFFFF"/>
        </w:rPr>
        <w:t>,</w:t>
      </w:r>
      <w:r w:rsidR="002510CE" w:rsidRPr="0026145F">
        <w:rPr>
          <w:rFonts w:ascii="Arial" w:hAnsi="Arial" w:cs="Arial"/>
          <w:color w:val="383838"/>
          <w:shd w:val="clear" w:color="auto" w:fill="FFFFFF"/>
        </w:rPr>
        <w:t xml:space="preserve"> </w:t>
      </w:r>
      <w:r w:rsidRPr="0026145F">
        <w:rPr>
          <w:rFonts w:ascii="Arial" w:hAnsi="Arial" w:cs="Arial"/>
          <w:color w:val="383838"/>
          <w:shd w:val="clear" w:color="auto" w:fill="FFFFFF"/>
        </w:rPr>
        <w:t xml:space="preserve">la dinamica </w:t>
      </w:r>
      <w:r w:rsidR="003124A2">
        <w:rPr>
          <w:rFonts w:ascii="Arial" w:hAnsi="Arial" w:cs="Arial"/>
          <w:color w:val="383838"/>
          <w:shd w:val="clear" w:color="auto" w:fill="FFFFFF"/>
        </w:rPr>
        <w:t xml:space="preserve">congiunturale </w:t>
      </w:r>
      <w:r w:rsidRPr="0026145F">
        <w:rPr>
          <w:rFonts w:ascii="Arial" w:hAnsi="Arial" w:cs="Arial"/>
          <w:color w:val="383838"/>
          <w:shd w:val="clear" w:color="auto" w:fill="FFFFFF"/>
        </w:rPr>
        <w:t>del Pil ha segnato una modesta</w:t>
      </w:r>
      <w:r w:rsidR="002510CE" w:rsidRPr="0026145F">
        <w:rPr>
          <w:rFonts w:ascii="Arial" w:hAnsi="Arial" w:cs="Arial"/>
          <w:color w:val="383838"/>
          <w:shd w:val="clear" w:color="auto" w:fill="FFFFFF"/>
        </w:rPr>
        <w:t xml:space="preserve"> accelerazione </w:t>
      </w:r>
      <w:r w:rsidR="005054A2" w:rsidRPr="0026145F">
        <w:rPr>
          <w:rFonts w:ascii="Arial" w:hAnsi="Arial" w:cs="Arial"/>
          <w:color w:val="383838"/>
          <w:shd w:val="clear" w:color="auto" w:fill="FFFFFF"/>
        </w:rPr>
        <w:t>in</w:t>
      </w:r>
      <w:r w:rsidR="00F23E62" w:rsidRPr="0026145F">
        <w:rPr>
          <w:rFonts w:ascii="Arial" w:hAnsi="Arial" w:cs="Arial"/>
          <w:color w:val="383838"/>
          <w:shd w:val="clear" w:color="auto" w:fill="FFFFFF"/>
        </w:rPr>
        <w:t xml:space="preserve"> Cina e nell’area euro</w:t>
      </w:r>
      <w:r w:rsidR="002510CE" w:rsidRPr="0026145F">
        <w:rPr>
          <w:rFonts w:ascii="Arial" w:hAnsi="Arial" w:cs="Arial"/>
          <w:color w:val="383838"/>
          <w:shd w:val="clear" w:color="auto" w:fill="FFFFFF"/>
        </w:rPr>
        <w:t>.</w:t>
      </w:r>
      <w:r w:rsidR="005054A2" w:rsidRPr="0026145F">
        <w:rPr>
          <w:rFonts w:ascii="Arial" w:hAnsi="Arial" w:cs="Arial"/>
          <w:color w:val="383838"/>
          <w:shd w:val="clear" w:color="auto" w:fill="FFFFFF"/>
        </w:rPr>
        <w:t xml:space="preserve"> </w:t>
      </w:r>
      <w:r w:rsidR="00691941">
        <w:rPr>
          <w:rFonts w:ascii="Arial" w:hAnsi="Arial" w:cs="Arial"/>
          <w:color w:val="383838"/>
          <w:shd w:val="clear" w:color="auto" w:fill="FFFFFF"/>
        </w:rPr>
        <w:t>Negli Stati Uniti l</w:t>
      </w:r>
      <w:r w:rsidR="00F23E62">
        <w:rPr>
          <w:rFonts w:ascii="Arial" w:hAnsi="Arial" w:cs="Arial"/>
          <w:color w:val="383838"/>
          <w:shd w:val="clear" w:color="auto" w:fill="FFFFFF"/>
        </w:rPr>
        <w:t>e</w:t>
      </w:r>
      <w:r w:rsidR="002604EA" w:rsidRPr="0026145F">
        <w:rPr>
          <w:rFonts w:ascii="Arial" w:hAnsi="Arial" w:cs="Arial"/>
          <w:color w:val="383838"/>
          <w:shd w:val="clear" w:color="auto" w:fill="FFFFFF"/>
        </w:rPr>
        <w:t xml:space="preserve"> attese di una moderazione </w:t>
      </w:r>
      <w:r w:rsidRPr="0026145F">
        <w:rPr>
          <w:rFonts w:ascii="Arial" w:hAnsi="Arial" w:cs="Arial"/>
          <w:color w:val="383838"/>
          <w:shd w:val="clear" w:color="auto" w:fill="FFFFFF"/>
        </w:rPr>
        <w:t xml:space="preserve">del ritmo di crescita </w:t>
      </w:r>
      <w:r w:rsidR="002604EA" w:rsidRPr="0026145F">
        <w:rPr>
          <w:rFonts w:ascii="Arial" w:hAnsi="Arial" w:cs="Arial"/>
          <w:color w:val="383838"/>
          <w:shd w:val="clear" w:color="auto" w:fill="FFFFFF"/>
        </w:rPr>
        <w:t>dell’attività economica e d</w:t>
      </w:r>
      <w:r w:rsidR="00CE3C32">
        <w:rPr>
          <w:rFonts w:ascii="Arial" w:hAnsi="Arial" w:cs="Arial"/>
          <w:color w:val="383838"/>
          <w:shd w:val="clear" w:color="auto" w:fill="FFFFFF"/>
        </w:rPr>
        <w:t>ell’inflazione hanno favorito il</w:t>
      </w:r>
      <w:r w:rsidR="002604EA" w:rsidRPr="0026145F">
        <w:rPr>
          <w:rFonts w:ascii="Arial" w:hAnsi="Arial" w:cs="Arial"/>
          <w:color w:val="383838"/>
          <w:shd w:val="clear" w:color="auto" w:fill="FFFFFF"/>
        </w:rPr>
        <w:t xml:space="preserve"> taglio dei tassi </w:t>
      </w:r>
      <w:r w:rsidR="005054A2" w:rsidRPr="0026145F">
        <w:rPr>
          <w:rFonts w:ascii="Arial" w:hAnsi="Arial" w:cs="Arial"/>
          <w:color w:val="383838"/>
          <w:shd w:val="clear" w:color="auto" w:fill="FFFFFF"/>
        </w:rPr>
        <w:t xml:space="preserve">di interesse </w:t>
      </w:r>
      <w:r w:rsidR="002604EA" w:rsidRPr="0026145F">
        <w:rPr>
          <w:rFonts w:ascii="Arial" w:hAnsi="Arial" w:cs="Arial"/>
          <w:color w:val="383838"/>
          <w:shd w:val="clear" w:color="auto" w:fill="FFFFFF"/>
        </w:rPr>
        <w:t>a ottobre.</w:t>
      </w:r>
      <w:r w:rsidR="002510CE" w:rsidRPr="0026145F">
        <w:rPr>
          <w:rFonts w:ascii="Arial" w:hAnsi="Arial" w:cs="Arial"/>
          <w:color w:val="383838"/>
          <w:shd w:val="clear" w:color="auto" w:fill="FFFFFF"/>
        </w:rPr>
        <w:t xml:space="preserve"> </w:t>
      </w:r>
    </w:p>
    <w:p w14:paraId="7C63BC6F" w14:textId="5CCDD06F" w:rsidR="00254823" w:rsidRPr="00254823" w:rsidRDefault="005054A2" w:rsidP="000E1235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Theme="minorHAnsi" w:eastAsiaTheme="minorHAnsi" w:hAnsiTheme="minorHAnsi" w:cstheme="minorBidi"/>
        </w:rPr>
      </w:pPr>
      <w:r>
        <w:rPr>
          <w:rFonts w:ascii="Arial" w:hAnsi="Arial" w:cs="Arial"/>
          <w:color w:val="383838"/>
          <w:shd w:val="clear" w:color="auto" w:fill="FFFFFF"/>
        </w:rPr>
        <w:t>I</w:t>
      </w:r>
      <w:r w:rsidR="0071174A">
        <w:rPr>
          <w:rFonts w:ascii="Arial" w:eastAsia="Aptos" w:hAnsi="Arial" w:cs="Arial"/>
        </w:rPr>
        <w:t>l Pil</w:t>
      </w:r>
      <w:r w:rsidR="00254823" w:rsidRPr="00254823">
        <w:rPr>
          <w:rFonts w:ascii="Arial" w:eastAsia="Aptos" w:hAnsi="Arial" w:cs="Arial"/>
        </w:rPr>
        <w:t xml:space="preserve"> italiano, secondo la stima preliminare</w:t>
      </w:r>
      <w:r w:rsidR="002E4AFF">
        <w:rPr>
          <w:rFonts w:ascii="Arial" w:eastAsia="Aptos" w:hAnsi="Arial" w:cs="Arial"/>
        </w:rPr>
        <w:t>,</w:t>
      </w:r>
      <w:r w:rsidR="00254823" w:rsidRPr="00254823">
        <w:rPr>
          <w:rFonts w:ascii="Arial" w:eastAsia="Aptos" w:hAnsi="Arial" w:cs="Arial"/>
        </w:rPr>
        <w:t xml:space="preserve"> è rimasto stazionario </w:t>
      </w:r>
      <w:r w:rsidR="00224DAE">
        <w:rPr>
          <w:rFonts w:ascii="Arial" w:eastAsia="Aptos" w:hAnsi="Arial" w:cs="Arial"/>
        </w:rPr>
        <w:t>nel terzo trimestre</w:t>
      </w:r>
      <w:r w:rsidR="009608BB">
        <w:rPr>
          <w:rFonts w:ascii="Arial" w:eastAsia="Aptos" w:hAnsi="Arial" w:cs="Arial"/>
        </w:rPr>
        <w:t xml:space="preserve"> </w:t>
      </w:r>
      <w:r w:rsidR="00254823" w:rsidRPr="00254823">
        <w:rPr>
          <w:rFonts w:ascii="Arial" w:eastAsia="Aptos" w:hAnsi="Arial" w:cs="Arial"/>
        </w:rPr>
        <w:t xml:space="preserve">rispetto </w:t>
      </w:r>
      <w:r w:rsidR="00254823">
        <w:rPr>
          <w:rFonts w:ascii="Arial" w:eastAsia="Aptos" w:hAnsi="Arial" w:cs="Arial"/>
        </w:rPr>
        <w:t>ai tre mesi precedenti</w:t>
      </w:r>
      <w:r w:rsidR="00254823" w:rsidRPr="00254823">
        <w:rPr>
          <w:rFonts w:ascii="Arial" w:eastAsia="Aptos" w:hAnsi="Arial" w:cs="Arial"/>
        </w:rPr>
        <w:t>, registrando un risultato</w:t>
      </w:r>
      <w:r w:rsidR="00391FDE">
        <w:rPr>
          <w:rFonts w:ascii="Arial" w:eastAsia="Aptos" w:hAnsi="Arial" w:cs="Arial"/>
        </w:rPr>
        <w:t xml:space="preserve"> </w:t>
      </w:r>
      <w:r w:rsidR="00534D35">
        <w:rPr>
          <w:rFonts w:ascii="Arial" w:eastAsia="Aptos" w:hAnsi="Arial" w:cs="Arial"/>
        </w:rPr>
        <w:t>analogo</w:t>
      </w:r>
      <w:r w:rsidR="00E02DA6">
        <w:rPr>
          <w:rFonts w:ascii="Arial" w:eastAsia="Aptos" w:hAnsi="Arial" w:cs="Arial"/>
        </w:rPr>
        <w:t xml:space="preserve"> a quello tedesco ma</w:t>
      </w:r>
      <w:r w:rsidR="00254823" w:rsidRPr="00254823">
        <w:rPr>
          <w:rFonts w:ascii="Arial" w:eastAsia="Aptos" w:hAnsi="Arial" w:cs="Arial"/>
        </w:rPr>
        <w:t xml:space="preserve"> inferiore a quello </w:t>
      </w:r>
      <w:r w:rsidR="00254823">
        <w:rPr>
          <w:rFonts w:ascii="Arial" w:eastAsia="Aptos" w:hAnsi="Arial" w:cs="Arial"/>
        </w:rPr>
        <w:t>della media dell’area euro</w:t>
      </w:r>
      <w:r w:rsidR="00391FDE">
        <w:rPr>
          <w:rFonts w:ascii="Arial" w:eastAsia="Aptos" w:hAnsi="Arial" w:cs="Arial"/>
        </w:rPr>
        <w:t>, della Francia e della Spagna.</w:t>
      </w:r>
      <w:r w:rsidR="00254823" w:rsidRPr="00254823">
        <w:rPr>
          <w:rFonts w:ascii="Arial" w:eastAsia="Aptos" w:hAnsi="Arial" w:cs="Arial"/>
        </w:rPr>
        <w:t xml:space="preserve"> </w:t>
      </w:r>
    </w:p>
    <w:p w14:paraId="78303FE5" w14:textId="2FF36E54" w:rsidR="00263602" w:rsidRPr="00263602" w:rsidRDefault="003F09C1" w:rsidP="00263602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L</w:t>
      </w:r>
      <w:r w:rsidR="00263602" w:rsidRPr="00263602">
        <w:rPr>
          <w:rFonts w:ascii="Arial" w:eastAsia="Aptos" w:hAnsi="Arial" w:cs="Arial"/>
        </w:rPr>
        <w:t xml:space="preserve">a </w:t>
      </w:r>
      <w:r w:rsidR="005054A2">
        <w:rPr>
          <w:rFonts w:ascii="Arial" w:eastAsia="Aptos" w:hAnsi="Arial" w:cs="Arial"/>
        </w:rPr>
        <w:t xml:space="preserve">dinamica </w:t>
      </w:r>
      <w:r w:rsidR="0056688C">
        <w:rPr>
          <w:rFonts w:ascii="Arial" w:eastAsia="Aptos" w:hAnsi="Arial" w:cs="Arial"/>
        </w:rPr>
        <w:t xml:space="preserve">congiunturale </w:t>
      </w:r>
      <w:r w:rsidR="005054A2">
        <w:rPr>
          <w:rFonts w:ascii="Arial" w:eastAsia="Aptos" w:hAnsi="Arial" w:cs="Arial"/>
        </w:rPr>
        <w:t>delle</w:t>
      </w:r>
      <w:r w:rsidR="00263602" w:rsidRPr="00263602">
        <w:rPr>
          <w:rFonts w:ascii="Arial" w:eastAsia="Aptos" w:hAnsi="Arial" w:cs="Arial"/>
        </w:rPr>
        <w:t xml:space="preserve"> esportazioni nei mesi</w:t>
      </w:r>
      <w:r w:rsidR="005054A2">
        <w:rPr>
          <w:rFonts w:ascii="Arial" w:eastAsia="Aptos" w:hAnsi="Arial" w:cs="Arial"/>
        </w:rPr>
        <w:t xml:space="preserve"> estivi</w:t>
      </w:r>
      <w:r>
        <w:rPr>
          <w:rFonts w:ascii="Arial" w:eastAsia="Aptos" w:hAnsi="Arial" w:cs="Arial"/>
        </w:rPr>
        <w:t xml:space="preserve">, nonostante </w:t>
      </w:r>
      <w:r w:rsidR="00391FDE">
        <w:rPr>
          <w:rFonts w:ascii="Arial" w:eastAsia="Aptos" w:hAnsi="Arial" w:cs="Arial"/>
        </w:rPr>
        <w:t>una</w:t>
      </w:r>
      <w:r>
        <w:rPr>
          <w:rFonts w:ascii="Arial" w:eastAsia="Aptos" w:hAnsi="Arial" w:cs="Arial"/>
        </w:rPr>
        <w:t xml:space="preserve"> contrazione </w:t>
      </w:r>
      <w:r w:rsidR="00391FDE">
        <w:rPr>
          <w:rFonts w:ascii="Arial" w:eastAsia="Aptos" w:hAnsi="Arial" w:cs="Arial"/>
        </w:rPr>
        <w:t>ad</w:t>
      </w:r>
      <w:r>
        <w:rPr>
          <w:rFonts w:ascii="Arial" w:eastAsia="Aptos" w:hAnsi="Arial" w:cs="Arial"/>
        </w:rPr>
        <w:t xml:space="preserve"> agosto,</w:t>
      </w:r>
      <w:r w:rsidR="00263602" w:rsidRPr="00263602">
        <w:rPr>
          <w:rFonts w:ascii="Arial" w:eastAsia="Aptos" w:hAnsi="Arial" w:cs="Arial"/>
        </w:rPr>
        <w:t xml:space="preserve"> è risultata nel complesso positiva (+1,2% </w:t>
      </w:r>
      <w:r w:rsidR="00224DAE">
        <w:rPr>
          <w:rFonts w:ascii="Arial" w:eastAsia="Aptos" w:hAnsi="Arial" w:cs="Arial"/>
        </w:rPr>
        <w:t xml:space="preserve">a giugno-agosto </w:t>
      </w:r>
      <w:r w:rsidR="00263602" w:rsidRPr="00263602">
        <w:rPr>
          <w:rFonts w:ascii="Arial" w:eastAsia="Aptos" w:hAnsi="Arial" w:cs="Arial"/>
        </w:rPr>
        <w:t xml:space="preserve">rispetto ai tre mesi precedenti), mentre le importazioni </w:t>
      </w:r>
      <w:r w:rsidR="00534D35">
        <w:rPr>
          <w:rFonts w:ascii="Arial" w:eastAsia="Aptos" w:hAnsi="Arial" w:cs="Arial"/>
        </w:rPr>
        <w:t xml:space="preserve">nello stesso </w:t>
      </w:r>
      <w:r w:rsidR="00391FDE">
        <w:rPr>
          <w:rFonts w:ascii="Arial" w:eastAsia="Aptos" w:hAnsi="Arial" w:cs="Arial"/>
        </w:rPr>
        <w:t xml:space="preserve">periodo </w:t>
      </w:r>
      <w:r w:rsidR="00263602" w:rsidRPr="00263602">
        <w:rPr>
          <w:rFonts w:ascii="Arial" w:eastAsia="Aptos" w:hAnsi="Arial" w:cs="Arial"/>
        </w:rPr>
        <w:t xml:space="preserve">hanno evidenziato un </w:t>
      </w:r>
      <w:r w:rsidR="0056688C">
        <w:rPr>
          <w:rFonts w:ascii="Arial" w:eastAsia="Aptos" w:hAnsi="Arial" w:cs="Arial"/>
        </w:rPr>
        <w:t xml:space="preserve">lieve </w:t>
      </w:r>
      <w:r w:rsidR="00263602" w:rsidRPr="00263602">
        <w:rPr>
          <w:rFonts w:ascii="Arial" w:eastAsia="Aptos" w:hAnsi="Arial" w:cs="Arial"/>
        </w:rPr>
        <w:t>calo (-0,3%).</w:t>
      </w:r>
    </w:p>
    <w:p w14:paraId="6E9B0D27" w14:textId="34DC5CE9" w:rsidR="000441A1" w:rsidRPr="006F6E7D" w:rsidRDefault="000441A1" w:rsidP="000441A1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eastAsia="Aptos" w:hAnsi="Arial" w:cs="Arial"/>
        </w:rPr>
      </w:pPr>
      <w:r w:rsidRPr="000441A1">
        <w:rPr>
          <w:rFonts w:ascii="Arial" w:eastAsia="Aptos" w:hAnsi="Arial" w:cs="Arial"/>
        </w:rPr>
        <w:t xml:space="preserve">L’indice destagionalizzato della produzione </w:t>
      </w:r>
      <w:r w:rsidR="00D41443">
        <w:rPr>
          <w:rFonts w:ascii="Arial" w:eastAsia="Aptos" w:hAnsi="Arial" w:cs="Arial"/>
        </w:rPr>
        <w:t xml:space="preserve">industriale </w:t>
      </w:r>
      <w:r w:rsidRPr="000441A1">
        <w:rPr>
          <w:rFonts w:ascii="Arial" w:eastAsia="Aptos" w:hAnsi="Arial" w:cs="Arial"/>
        </w:rPr>
        <w:t xml:space="preserve">a settembre è aumentato del 2,8% rispetto ad agosto, compensando </w:t>
      </w:r>
      <w:r w:rsidR="00391FDE">
        <w:rPr>
          <w:rFonts w:ascii="Arial" w:eastAsia="Aptos" w:hAnsi="Arial" w:cs="Arial"/>
        </w:rPr>
        <w:t>la forte flessione</w:t>
      </w:r>
      <w:r w:rsidRPr="000441A1">
        <w:rPr>
          <w:rFonts w:ascii="Arial" w:eastAsia="Aptos" w:hAnsi="Arial" w:cs="Arial"/>
        </w:rPr>
        <w:t xml:space="preserve"> </w:t>
      </w:r>
      <w:r w:rsidR="00391FDE">
        <w:rPr>
          <w:rFonts w:ascii="Arial" w:eastAsia="Aptos" w:hAnsi="Arial" w:cs="Arial"/>
        </w:rPr>
        <w:t>del</w:t>
      </w:r>
      <w:r w:rsidR="00391FDE" w:rsidRPr="000441A1">
        <w:rPr>
          <w:rFonts w:ascii="Arial" w:eastAsia="Aptos" w:hAnsi="Arial" w:cs="Arial"/>
        </w:rPr>
        <w:t xml:space="preserve"> </w:t>
      </w:r>
      <w:r w:rsidRPr="000441A1">
        <w:rPr>
          <w:rFonts w:ascii="Arial" w:eastAsia="Aptos" w:hAnsi="Arial" w:cs="Arial"/>
        </w:rPr>
        <w:t>mese prece</w:t>
      </w:r>
      <w:r>
        <w:rPr>
          <w:rFonts w:ascii="Arial" w:eastAsia="Aptos" w:hAnsi="Arial" w:cs="Arial"/>
        </w:rPr>
        <w:t>dente (-2,7%)</w:t>
      </w:r>
      <w:r w:rsidR="00391FDE">
        <w:rPr>
          <w:rFonts w:ascii="Arial" w:eastAsia="Aptos" w:hAnsi="Arial" w:cs="Arial"/>
        </w:rPr>
        <w:t>.</w:t>
      </w:r>
      <w:r w:rsidR="00534D35">
        <w:rPr>
          <w:rFonts w:ascii="Arial" w:eastAsia="Aptos" w:hAnsi="Arial" w:cs="Arial"/>
        </w:rPr>
        <w:t xml:space="preserve"> </w:t>
      </w:r>
      <w:r w:rsidR="00391FDE">
        <w:rPr>
          <w:rFonts w:ascii="Arial" w:eastAsia="Aptos" w:hAnsi="Arial" w:cs="Arial"/>
        </w:rPr>
        <w:t>Nella media del</w:t>
      </w:r>
      <w:r w:rsidR="003F09C1">
        <w:rPr>
          <w:rFonts w:ascii="Arial" w:eastAsia="Aptos" w:hAnsi="Arial" w:cs="Arial"/>
        </w:rPr>
        <w:t xml:space="preserve"> </w:t>
      </w:r>
      <w:r w:rsidRPr="000441A1">
        <w:rPr>
          <w:rFonts w:ascii="Arial" w:eastAsia="Aptos" w:hAnsi="Arial" w:cs="Arial"/>
        </w:rPr>
        <w:t>terzo trimestre</w:t>
      </w:r>
      <w:r w:rsidR="00391FDE">
        <w:rPr>
          <w:rFonts w:ascii="Arial" w:eastAsia="Aptos" w:hAnsi="Arial" w:cs="Arial"/>
        </w:rPr>
        <w:t>, tuttavia, l’indice mostra una diminuzione</w:t>
      </w:r>
      <w:r w:rsidRPr="000441A1">
        <w:rPr>
          <w:rFonts w:ascii="Arial" w:eastAsia="Aptos" w:hAnsi="Arial" w:cs="Arial"/>
        </w:rPr>
        <w:t xml:space="preserve"> </w:t>
      </w:r>
      <w:r w:rsidR="003F09C1">
        <w:rPr>
          <w:rFonts w:ascii="Arial" w:eastAsia="Aptos" w:hAnsi="Arial" w:cs="Arial"/>
        </w:rPr>
        <w:t xml:space="preserve">su base </w:t>
      </w:r>
      <w:r>
        <w:rPr>
          <w:rFonts w:ascii="Arial" w:eastAsia="Aptos" w:hAnsi="Arial" w:cs="Arial"/>
        </w:rPr>
        <w:t>congiuntural</w:t>
      </w:r>
      <w:r w:rsidR="003F09C1">
        <w:rPr>
          <w:rFonts w:ascii="Arial" w:eastAsia="Aptos" w:hAnsi="Arial" w:cs="Arial"/>
        </w:rPr>
        <w:t>e</w:t>
      </w:r>
      <w:r>
        <w:rPr>
          <w:rFonts w:ascii="Arial" w:eastAsia="Aptos" w:hAnsi="Arial" w:cs="Arial"/>
        </w:rPr>
        <w:t xml:space="preserve"> </w:t>
      </w:r>
      <w:r w:rsidR="003F09C1">
        <w:rPr>
          <w:rFonts w:ascii="Arial" w:eastAsia="Aptos" w:hAnsi="Arial" w:cs="Arial"/>
        </w:rPr>
        <w:t>(-</w:t>
      </w:r>
      <w:r w:rsidRPr="000441A1">
        <w:rPr>
          <w:rFonts w:ascii="Arial" w:eastAsia="Aptos" w:hAnsi="Arial" w:cs="Arial"/>
        </w:rPr>
        <w:t>0,5%</w:t>
      </w:r>
      <w:r w:rsidR="003F09C1">
        <w:rPr>
          <w:rFonts w:ascii="Arial" w:eastAsia="Aptos" w:hAnsi="Arial" w:cs="Arial"/>
        </w:rPr>
        <w:t>)</w:t>
      </w:r>
      <w:r>
        <w:rPr>
          <w:rFonts w:ascii="Arial" w:eastAsia="Aptos" w:hAnsi="Arial" w:cs="Arial"/>
        </w:rPr>
        <w:t>.</w:t>
      </w:r>
    </w:p>
    <w:p w14:paraId="2B5BAE8F" w14:textId="60546B6E" w:rsidR="006F6E7D" w:rsidRPr="00B12B8A" w:rsidRDefault="00A302F9" w:rsidP="009D34F5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eastAsia="Aptos" w:hAnsi="Arial" w:cs="Arial"/>
        </w:rPr>
      </w:pPr>
      <w:r w:rsidRPr="00A302F9">
        <w:rPr>
          <w:rFonts w:ascii="Arial" w:eastAsia="Aptos" w:hAnsi="Arial" w:cs="Arial"/>
        </w:rPr>
        <w:t xml:space="preserve">Aumenta l’occupazione </w:t>
      </w:r>
      <w:r>
        <w:rPr>
          <w:rFonts w:ascii="Arial" w:eastAsia="Aptos" w:hAnsi="Arial" w:cs="Arial"/>
        </w:rPr>
        <w:t>a</w:t>
      </w:r>
      <w:r w:rsidRPr="00927731">
        <w:rPr>
          <w:rFonts w:ascii="Arial" w:eastAsia="Aptos" w:hAnsi="Arial" w:cs="Arial"/>
        </w:rPr>
        <w:t xml:space="preserve"> settembre</w:t>
      </w:r>
      <w:r w:rsidR="00087E3F">
        <w:rPr>
          <w:rFonts w:ascii="Arial" w:eastAsia="Aptos" w:hAnsi="Arial" w:cs="Arial"/>
        </w:rPr>
        <w:t>. L</w:t>
      </w:r>
      <w:r w:rsidR="006F6E7D" w:rsidRPr="00A302F9">
        <w:rPr>
          <w:rFonts w:ascii="Arial" w:eastAsia="Aptos" w:hAnsi="Arial" w:cs="Arial"/>
        </w:rPr>
        <w:t>a crescita coinvolge le sole donne e tutte le classi d’età ad eccezione de</w:t>
      </w:r>
      <w:r w:rsidR="00C915E4">
        <w:rPr>
          <w:rFonts w:ascii="Arial" w:eastAsia="Aptos" w:hAnsi="Arial" w:cs="Arial"/>
        </w:rPr>
        <w:t>i</w:t>
      </w:r>
      <w:r w:rsidR="006F6E7D" w:rsidRPr="00A302F9">
        <w:rPr>
          <w:rFonts w:ascii="Arial" w:eastAsia="Aptos" w:hAnsi="Arial" w:cs="Arial"/>
        </w:rPr>
        <w:t xml:space="preserve"> 35-49enni. Per posizione professionale </w:t>
      </w:r>
      <w:r w:rsidR="008C1FE7">
        <w:rPr>
          <w:rFonts w:ascii="Arial" w:eastAsia="Aptos" w:hAnsi="Arial" w:cs="Arial"/>
        </w:rPr>
        <w:t>gli occupati</w:t>
      </w:r>
      <w:r w:rsidR="00534D35">
        <w:rPr>
          <w:rFonts w:ascii="Arial" w:eastAsia="Aptos" w:hAnsi="Arial" w:cs="Arial"/>
        </w:rPr>
        <w:t xml:space="preserve"> </w:t>
      </w:r>
      <w:r w:rsidR="008C1FE7">
        <w:rPr>
          <w:rFonts w:ascii="Arial" w:eastAsia="Aptos" w:hAnsi="Arial" w:cs="Arial"/>
        </w:rPr>
        <w:t>sono</w:t>
      </w:r>
      <w:r w:rsidR="006F6E7D" w:rsidRPr="00A302F9">
        <w:rPr>
          <w:rFonts w:ascii="Arial" w:eastAsia="Aptos" w:hAnsi="Arial" w:cs="Arial"/>
        </w:rPr>
        <w:t xml:space="preserve"> sal</w:t>
      </w:r>
      <w:r w:rsidR="008C1FE7">
        <w:rPr>
          <w:rFonts w:ascii="Arial" w:eastAsia="Aptos" w:hAnsi="Arial" w:cs="Arial"/>
        </w:rPr>
        <w:t>iti</w:t>
      </w:r>
      <w:r w:rsidR="006F6E7D" w:rsidRPr="00A302F9">
        <w:rPr>
          <w:rFonts w:ascii="Arial" w:eastAsia="Aptos" w:hAnsi="Arial" w:cs="Arial"/>
        </w:rPr>
        <w:t xml:space="preserve"> tra i dipendenti permanenti, </w:t>
      </w:r>
      <w:r w:rsidR="008C1FE7">
        <w:rPr>
          <w:rFonts w:ascii="Arial" w:eastAsia="Aptos" w:hAnsi="Arial" w:cs="Arial"/>
        </w:rPr>
        <w:t>diminuiti</w:t>
      </w:r>
      <w:r w:rsidR="008C1FE7" w:rsidRPr="00A302F9">
        <w:rPr>
          <w:rFonts w:ascii="Arial" w:eastAsia="Aptos" w:hAnsi="Arial" w:cs="Arial"/>
        </w:rPr>
        <w:t xml:space="preserve"> </w:t>
      </w:r>
      <w:r w:rsidR="006F6E7D" w:rsidRPr="00A302F9">
        <w:rPr>
          <w:rFonts w:ascii="Arial" w:eastAsia="Aptos" w:hAnsi="Arial" w:cs="Arial"/>
        </w:rPr>
        <w:t xml:space="preserve">tra quelli a termine e </w:t>
      </w:r>
      <w:r w:rsidR="00224DAE">
        <w:rPr>
          <w:rFonts w:ascii="Arial" w:eastAsia="Aptos" w:hAnsi="Arial" w:cs="Arial"/>
        </w:rPr>
        <w:t xml:space="preserve">sono risultati </w:t>
      </w:r>
      <w:r w:rsidR="006F6E7D" w:rsidRPr="00A302F9">
        <w:rPr>
          <w:rFonts w:ascii="Arial" w:eastAsia="Aptos" w:hAnsi="Arial" w:cs="Arial"/>
        </w:rPr>
        <w:t>sostanzialmente stabil</w:t>
      </w:r>
      <w:r w:rsidR="008C1FE7">
        <w:rPr>
          <w:rFonts w:ascii="Arial" w:eastAsia="Aptos" w:hAnsi="Arial" w:cs="Arial"/>
        </w:rPr>
        <w:t>i</w:t>
      </w:r>
      <w:r w:rsidR="006F6E7D" w:rsidRPr="00A302F9">
        <w:rPr>
          <w:rFonts w:ascii="Arial" w:eastAsia="Aptos" w:hAnsi="Arial" w:cs="Arial"/>
        </w:rPr>
        <w:t xml:space="preserve"> tra gli autonomi</w:t>
      </w:r>
      <w:r w:rsidR="00B12B8A" w:rsidRPr="00A302F9">
        <w:rPr>
          <w:rFonts w:ascii="Arial" w:eastAsia="Aptos" w:hAnsi="Arial" w:cs="Arial"/>
        </w:rPr>
        <w:t>.</w:t>
      </w:r>
      <w:r w:rsidR="00B12B8A">
        <w:rPr>
          <w:rFonts w:ascii="Arial" w:eastAsia="Aptos" w:hAnsi="Arial" w:cs="Arial"/>
        </w:rPr>
        <w:t xml:space="preserve"> </w:t>
      </w:r>
    </w:p>
    <w:p w14:paraId="113A5B38" w14:textId="29747C8B" w:rsidR="007E199F" w:rsidRPr="00E63776" w:rsidRDefault="00E63776" w:rsidP="009D34F5">
      <w:pPr>
        <w:pStyle w:val="StilePALLINO"/>
        <w:numPr>
          <w:ilvl w:val="0"/>
          <w:numId w:val="2"/>
        </w:numPr>
        <w:shd w:val="clear" w:color="auto" w:fill="FFFFFF"/>
        <w:suppressAutoHyphens/>
        <w:spacing w:after="100" w:afterAutospacing="1" w:line="240" w:lineRule="auto"/>
        <w:ind w:left="284" w:right="-6" w:hanging="284"/>
        <w:jc w:val="both"/>
        <w:rPr>
          <w:rFonts w:ascii="Arial" w:eastAsia="Aptos" w:hAnsi="Arial" w:cs="Arial"/>
        </w:rPr>
      </w:pPr>
      <w:r w:rsidRPr="003A56B2">
        <w:rPr>
          <w:rFonts w:ascii="Arial" w:hAnsi="Arial" w:cs="Arial"/>
        </w:rPr>
        <w:t>A ottobre</w:t>
      </w:r>
      <w:r w:rsidR="008C1FE7">
        <w:rPr>
          <w:rFonts w:ascii="Arial" w:hAnsi="Arial" w:cs="Arial"/>
        </w:rPr>
        <w:t>,</w:t>
      </w:r>
      <w:r w:rsidRPr="003A56B2">
        <w:rPr>
          <w:rFonts w:ascii="Arial" w:hAnsi="Arial" w:cs="Arial"/>
        </w:rPr>
        <w:t xml:space="preserve"> l’indice armonizzato dei prezzi al consumo (IPCA) evidenzia, in base alle stime preliminari, un </w:t>
      </w:r>
      <w:r w:rsidR="00615A41">
        <w:rPr>
          <w:rFonts w:ascii="Arial" w:hAnsi="Arial" w:cs="Arial"/>
        </w:rPr>
        <w:t xml:space="preserve">aumento </w:t>
      </w:r>
      <w:r w:rsidRPr="003A56B2">
        <w:rPr>
          <w:rFonts w:ascii="Arial" w:hAnsi="Arial" w:cs="Arial"/>
        </w:rPr>
        <w:t>tendenzial</w:t>
      </w:r>
      <w:r w:rsidR="00615A41">
        <w:rPr>
          <w:rFonts w:ascii="Arial" w:hAnsi="Arial" w:cs="Arial"/>
        </w:rPr>
        <w:t>e</w:t>
      </w:r>
      <w:r w:rsidRPr="003A56B2">
        <w:rPr>
          <w:rFonts w:ascii="Arial" w:hAnsi="Arial" w:cs="Arial"/>
        </w:rPr>
        <w:t xml:space="preserve"> </w:t>
      </w:r>
      <w:r w:rsidR="003F09C1">
        <w:rPr>
          <w:rFonts w:ascii="Arial" w:hAnsi="Arial" w:cs="Arial"/>
        </w:rPr>
        <w:t>(+1</w:t>
      </w:r>
      <w:r w:rsidRPr="003A56B2">
        <w:rPr>
          <w:rFonts w:ascii="Arial" w:hAnsi="Arial" w:cs="Arial"/>
        </w:rPr>
        <w:t>,3%)</w:t>
      </w:r>
      <w:r w:rsidR="00C2787C">
        <w:rPr>
          <w:rFonts w:ascii="Arial" w:hAnsi="Arial" w:cs="Arial"/>
        </w:rPr>
        <w:t xml:space="preserve">, </w:t>
      </w:r>
      <w:r w:rsidRPr="003A56B2">
        <w:rPr>
          <w:rFonts w:ascii="Arial" w:hAnsi="Arial" w:cs="Arial"/>
        </w:rPr>
        <w:t>inferiore alla media dell’area euro (+2,1%)</w:t>
      </w:r>
      <w:r w:rsidR="00615A41">
        <w:rPr>
          <w:rFonts w:ascii="Arial" w:hAnsi="Arial" w:cs="Arial"/>
        </w:rPr>
        <w:t xml:space="preserve"> e in deciso rallentamento rispetto ai mesi precedenti</w:t>
      </w:r>
      <w:r w:rsidRPr="003A56B2">
        <w:rPr>
          <w:rFonts w:ascii="Arial" w:hAnsi="Arial" w:cs="Arial"/>
        </w:rPr>
        <w:t xml:space="preserve">. </w:t>
      </w:r>
    </w:p>
    <w:p w14:paraId="41F603F8" w14:textId="7717C982" w:rsidR="00DA6C52" w:rsidRDefault="007F3895" w:rsidP="00BA73EC">
      <w:pPr>
        <w:suppressAutoHyphens/>
        <w:spacing w:after="80"/>
        <w:jc w:val="both"/>
        <w:rPr>
          <w:color w:val="00817F"/>
          <w:sz w:val="12"/>
          <w:szCs w:val="12"/>
        </w:rPr>
      </w:pPr>
      <w:r w:rsidRPr="00695309">
        <w:rPr>
          <w:rFonts w:ascii="Arial" w:hAnsi="Arial" w:cs="Arial"/>
          <w:b/>
          <w:i/>
          <w:color w:val="004172"/>
          <w:sz w:val="23"/>
          <w:szCs w:val="23"/>
        </w:rPr>
        <w:t>Focus</w:t>
      </w:r>
      <w:r w:rsidRPr="00695309">
        <w:rPr>
          <w:rFonts w:ascii="Arial" w:hAnsi="Arial" w:cs="Arial"/>
          <w:i/>
          <w:color w:val="004172"/>
          <w:sz w:val="23"/>
          <w:szCs w:val="23"/>
        </w:rPr>
        <w:t>:</w:t>
      </w:r>
      <w:r w:rsidRPr="00695309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="00A302F9">
        <w:rPr>
          <w:rFonts w:ascii="Arial" w:hAnsi="Arial" w:cs="Arial"/>
          <w:iCs/>
          <w:color w:val="104875"/>
          <w:sz w:val="20"/>
          <w:szCs w:val="20"/>
        </w:rPr>
        <w:t>da ottobre 2021 a ottobre 2025</w:t>
      </w:r>
      <w:r w:rsidR="00A302F9" w:rsidRPr="00370AC5">
        <w:rPr>
          <w:rFonts w:ascii="Arial" w:hAnsi="Arial" w:cs="Arial"/>
          <w:iCs/>
          <w:color w:val="104875"/>
          <w:sz w:val="20"/>
          <w:szCs w:val="20"/>
        </w:rPr>
        <w:t xml:space="preserve"> i</w:t>
      </w:r>
      <w:r w:rsidR="00087E3F">
        <w:rPr>
          <w:rFonts w:ascii="Arial" w:hAnsi="Arial" w:cs="Arial"/>
          <w:iCs/>
          <w:color w:val="104875"/>
          <w:sz w:val="20"/>
          <w:szCs w:val="20"/>
        </w:rPr>
        <w:t xml:space="preserve"> prezzi dei</w:t>
      </w:r>
      <w:r w:rsidR="00A302F9" w:rsidRPr="00370AC5">
        <w:rPr>
          <w:rFonts w:ascii="Arial" w:hAnsi="Arial" w:cs="Arial"/>
          <w:iCs/>
          <w:color w:val="104875"/>
          <w:sz w:val="20"/>
          <w:szCs w:val="20"/>
        </w:rPr>
        <w:t xml:space="preserve"> beni alimentari 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in Italia </w:t>
      </w:r>
      <w:r w:rsidR="00224DAE">
        <w:rPr>
          <w:rFonts w:ascii="Arial" w:hAnsi="Arial" w:cs="Arial"/>
          <w:iCs/>
          <w:color w:val="104875"/>
          <w:sz w:val="20"/>
          <w:szCs w:val="20"/>
        </w:rPr>
        <w:t xml:space="preserve">sono </w:t>
      </w:r>
      <w:r w:rsidR="00903790">
        <w:rPr>
          <w:rFonts w:ascii="Arial" w:hAnsi="Arial" w:cs="Arial"/>
          <w:iCs/>
          <w:color w:val="104875"/>
          <w:sz w:val="20"/>
          <w:szCs w:val="20"/>
        </w:rPr>
        <w:t>aumentati</w:t>
      </w:r>
      <w:r w:rsidR="009665B2" w:rsidRPr="00903790">
        <w:rPr>
          <w:rFonts w:ascii="Arial" w:hAnsi="Arial" w:cs="Arial"/>
          <w:iCs/>
          <w:color w:val="104875"/>
          <w:sz w:val="20"/>
          <w:szCs w:val="20"/>
        </w:rPr>
        <w:t xml:space="preserve"> del 24,9%, un incremento superiore di quasi 8 punti percentuali rispetto a quanto evidenziato nello stesso periodo dall’indice generale dei prezzi al consumo</w:t>
      </w:r>
      <w:r w:rsidR="00691941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="00903790">
        <w:rPr>
          <w:rFonts w:ascii="Arial" w:hAnsi="Arial" w:cs="Arial"/>
          <w:iCs/>
          <w:color w:val="104875"/>
          <w:sz w:val="20"/>
          <w:szCs w:val="20"/>
        </w:rPr>
        <w:t>(</w:t>
      </w:r>
      <w:r w:rsidR="00615317">
        <w:rPr>
          <w:rFonts w:ascii="Arial" w:hAnsi="Arial" w:cs="Arial"/>
          <w:iCs/>
          <w:color w:val="104875"/>
          <w:sz w:val="20"/>
          <w:szCs w:val="20"/>
        </w:rPr>
        <w:t>+</w:t>
      </w:r>
      <w:r w:rsidR="00903790">
        <w:rPr>
          <w:rFonts w:ascii="Arial" w:hAnsi="Arial" w:cs="Arial"/>
          <w:iCs/>
          <w:color w:val="104875"/>
          <w:sz w:val="20"/>
          <w:szCs w:val="20"/>
        </w:rPr>
        <w:t>17,3%)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. </w:t>
      </w:r>
      <w:r w:rsidR="003F09C1">
        <w:rPr>
          <w:rFonts w:ascii="Arial" w:hAnsi="Arial" w:cs="Arial"/>
          <w:iCs/>
          <w:color w:val="104875"/>
          <w:sz w:val="20"/>
          <w:szCs w:val="20"/>
        </w:rPr>
        <w:t>Alla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 forte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 xml:space="preserve"> crescita 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negli anni 2022-2023 </w:t>
      </w:r>
      <w:r w:rsidR="003F09C1">
        <w:rPr>
          <w:rFonts w:ascii="Arial" w:hAnsi="Arial" w:cs="Arial"/>
          <w:iCs/>
          <w:color w:val="104875"/>
          <w:sz w:val="20"/>
          <w:szCs w:val="20"/>
        </w:rPr>
        <w:t xml:space="preserve">ha contribuito </w:t>
      </w:r>
      <w:r w:rsidR="007609B8">
        <w:rPr>
          <w:rFonts w:ascii="Arial" w:hAnsi="Arial" w:cs="Arial"/>
          <w:iCs/>
          <w:color w:val="104875"/>
          <w:sz w:val="20"/>
          <w:szCs w:val="20"/>
        </w:rPr>
        <w:t>l</w:t>
      </w:r>
      <w:r w:rsidR="00087E3F">
        <w:rPr>
          <w:rFonts w:ascii="Arial" w:hAnsi="Arial" w:cs="Arial"/>
          <w:iCs/>
          <w:color w:val="104875"/>
          <w:sz w:val="20"/>
          <w:szCs w:val="20"/>
        </w:rPr>
        <w:t>o shock sui listini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 dell’energia</w:t>
      </w:r>
      <w:r w:rsidR="007609B8">
        <w:rPr>
          <w:rFonts w:ascii="Arial" w:hAnsi="Arial" w:cs="Arial"/>
          <w:iCs/>
          <w:color w:val="104875"/>
          <w:sz w:val="20"/>
          <w:szCs w:val="20"/>
        </w:rPr>
        <w:t>, che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 ha colpito in m</w:t>
      </w:r>
      <w:r w:rsidR="0026145F">
        <w:rPr>
          <w:rFonts w:ascii="Arial" w:hAnsi="Arial" w:cs="Arial"/>
          <w:iCs/>
          <w:color w:val="104875"/>
          <w:sz w:val="20"/>
          <w:szCs w:val="20"/>
        </w:rPr>
        <w:t xml:space="preserve">isura </w:t>
      </w:r>
      <w:r w:rsidR="005B08CC">
        <w:rPr>
          <w:rFonts w:ascii="Arial" w:hAnsi="Arial" w:cs="Arial"/>
          <w:iCs/>
          <w:color w:val="104875"/>
          <w:sz w:val="20"/>
          <w:szCs w:val="20"/>
        </w:rPr>
        <w:t xml:space="preserve">rilevante 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>il settore degli alimentari non lavorati,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 sia in modo diretto, dato il rilevante peso degli 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>input energeti</w:t>
      </w:r>
      <w:r w:rsidR="00A302F9" w:rsidRPr="00DF2FA0">
        <w:rPr>
          <w:rFonts w:ascii="Arial" w:hAnsi="Arial" w:cs="Arial"/>
          <w:iCs/>
          <w:color w:val="104875"/>
          <w:sz w:val="20"/>
          <w:szCs w:val="20"/>
        </w:rPr>
        <w:t>ci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, sia in modo indiretto, alimentando 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>l'incremento del prezzo di</w:t>
      </w:r>
      <w:r w:rsidR="00A302F9">
        <w:rPr>
          <w:rFonts w:ascii="Arial" w:hAnsi="Arial" w:cs="Arial"/>
          <w:iCs/>
          <w:color w:val="104875"/>
          <w:sz w:val="20"/>
          <w:szCs w:val="20"/>
        </w:rPr>
        <w:t xml:space="preserve"> importanti prodotti 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>intermedi</w:t>
      </w:r>
      <w:r w:rsidR="00A302F9">
        <w:rPr>
          <w:rFonts w:ascii="Arial" w:hAnsi="Arial" w:cs="Arial"/>
          <w:iCs/>
          <w:color w:val="104875"/>
          <w:sz w:val="20"/>
          <w:szCs w:val="20"/>
        </w:rPr>
        <w:t>,</w:t>
      </w:r>
      <w:r w:rsidR="00A302F9" w:rsidRPr="00AA25CB">
        <w:rPr>
          <w:rFonts w:ascii="Arial" w:hAnsi="Arial" w:cs="Arial"/>
          <w:iCs/>
          <w:color w:val="104875"/>
          <w:sz w:val="20"/>
          <w:szCs w:val="20"/>
        </w:rPr>
        <w:t xml:space="preserve"> come i fertilizzanti.</w:t>
      </w:r>
      <w:r w:rsidR="006A1D0D" w:rsidRPr="006A1D0D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="006A1D0D">
        <w:rPr>
          <w:rFonts w:ascii="Arial" w:hAnsi="Arial" w:cs="Arial"/>
          <w:iCs/>
          <w:color w:val="104875"/>
          <w:sz w:val="20"/>
          <w:szCs w:val="20"/>
        </w:rPr>
        <w:t>Negli ultimi due anni, la dinamica di crescita</w:t>
      </w:r>
      <w:r w:rsidR="003F09C1">
        <w:rPr>
          <w:rFonts w:ascii="Arial" w:hAnsi="Arial" w:cs="Arial"/>
          <w:iCs/>
          <w:color w:val="104875"/>
          <w:sz w:val="20"/>
          <w:szCs w:val="20"/>
        </w:rPr>
        <w:t xml:space="preserve"> è stata</w:t>
      </w:r>
      <w:r w:rsidR="006A1D0D">
        <w:rPr>
          <w:rFonts w:ascii="Arial" w:hAnsi="Arial" w:cs="Arial"/>
          <w:iCs/>
          <w:color w:val="104875"/>
          <w:sz w:val="20"/>
          <w:szCs w:val="20"/>
        </w:rPr>
        <w:t xml:space="preserve"> più contenuta</w:t>
      </w:r>
      <w:r w:rsidR="00CA7FD6">
        <w:rPr>
          <w:rFonts w:ascii="Arial" w:hAnsi="Arial" w:cs="Arial"/>
          <w:iCs/>
          <w:color w:val="104875"/>
          <w:sz w:val="20"/>
          <w:szCs w:val="20"/>
        </w:rPr>
        <w:t xml:space="preserve"> e</w:t>
      </w:r>
      <w:r w:rsidR="00087E3F">
        <w:rPr>
          <w:rFonts w:ascii="Arial" w:hAnsi="Arial" w:cs="Arial"/>
          <w:iCs/>
          <w:color w:val="104875"/>
          <w:sz w:val="20"/>
          <w:szCs w:val="20"/>
        </w:rPr>
        <w:t>,</w:t>
      </w:r>
      <w:r w:rsidR="00CA7FD6">
        <w:rPr>
          <w:rFonts w:ascii="Arial" w:hAnsi="Arial" w:cs="Arial"/>
          <w:iCs/>
          <w:color w:val="104875"/>
          <w:sz w:val="20"/>
          <w:szCs w:val="20"/>
        </w:rPr>
        <w:t xml:space="preserve"> in parte</w:t>
      </w:r>
      <w:r w:rsidR="00087E3F">
        <w:rPr>
          <w:rFonts w:ascii="Arial" w:hAnsi="Arial" w:cs="Arial"/>
          <w:iCs/>
          <w:color w:val="104875"/>
          <w:sz w:val="20"/>
          <w:szCs w:val="20"/>
        </w:rPr>
        <w:t>,</w:t>
      </w:r>
      <w:r w:rsidR="00CA7FD6">
        <w:rPr>
          <w:rFonts w:ascii="Arial" w:hAnsi="Arial" w:cs="Arial"/>
          <w:iCs/>
          <w:color w:val="104875"/>
          <w:sz w:val="20"/>
          <w:szCs w:val="20"/>
        </w:rPr>
        <w:t xml:space="preserve"> sostenuta</w:t>
      </w:r>
      <w:r w:rsidR="006A1D0D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="00CA7FD6">
        <w:rPr>
          <w:rFonts w:ascii="Arial" w:hAnsi="Arial" w:cs="Arial"/>
          <w:iCs/>
          <w:color w:val="104875"/>
          <w:sz w:val="20"/>
          <w:szCs w:val="20"/>
        </w:rPr>
        <w:t>da</w:t>
      </w:r>
      <w:r w:rsidR="006A1D0D">
        <w:rPr>
          <w:rFonts w:ascii="Arial" w:hAnsi="Arial" w:cs="Arial"/>
          <w:iCs/>
          <w:color w:val="104875"/>
          <w:sz w:val="20"/>
          <w:szCs w:val="20"/>
        </w:rPr>
        <w:t xml:space="preserve">l </w:t>
      </w:r>
      <w:r w:rsidR="006A1D0D" w:rsidRPr="00AA25CB">
        <w:rPr>
          <w:rFonts w:ascii="Arial" w:hAnsi="Arial" w:cs="Arial"/>
          <w:iCs/>
          <w:color w:val="104875"/>
          <w:sz w:val="20"/>
          <w:szCs w:val="20"/>
        </w:rPr>
        <w:t xml:space="preserve">recupero </w:t>
      </w:r>
      <w:r w:rsidR="006A1D0D">
        <w:rPr>
          <w:rFonts w:ascii="Arial" w:hAnsi="Arial" w:cs="Arial"/>
          <w:iCs/>
          <w:color w:val="104875"/>
          <w:sz w:val="20"/>
          <w:szCs w:val="20"/>
        </w:rPr>
        <w:t>dei margini di profitto delle imprese del settore agricolo</w:t>
      </w:r>
      <w:r w:rsidR="00CA7FD6">
        <w:rPr>
          <w:color w:val="00817F"/>
          <w:sz w:val="12"/>
          <w:szCs w:val="12"/>
        </w:rPr>
        <w:t>.</w:t>
      </w:r>
    </w:p>
    <w:p w14:paraId="75804C89" w14:textId="77777777" w:rsidR="003A07ED" w:rsidRPr="00A16FFC" w:rsidRDefault="003A07ED" w:rsidP="00BA73EC">
      <w:pPr>
        <w:suppressAutoHyphens/>
        <w:spacing w:after="80"/>
        <w:jc w:val="both"/>
        <w:rPr>
          <w:color w:val="00817F"/>
          <w:sz w:val="12"/>
          <w:szCs w:val="12"/>
        </w:rPr>
      </w:pPr>
    </w:p>
    <w:p w14:paraId="2F68D087" w14:textId="77C092AF" w:rsidR="00D720AB" w:rsidRPr="00210891" w:rsidRDefault="00D720AB" w:rsidP="00DA6C52">
      <w:pPr>
        <w:pStyle w:val="051tabella-figuratitolo"/>
        <w:spacing w:before="0" w:after="120"/>
        <w:ind w:right="-6"/>
        <w:rPr>
          <w:color w:val="404040" w:themeColor="text1" w:themeTint="BF"/>
          <w:sz w:val="24"/>
          <w:szCs w:val="24"/>
        </w:rPr>
      </w:pPr>
      <w:r w:rsidRPr="00ED1655">
        <w:rPr>
          <w:color w:val="00817F"/>
          <w:sz w:val="22"/>
          <w:szCs w:val="22"/>
        </w:rPr>
        <w:t>TABELLA 1.</w:t>
      </w:r>
      <w:r w:rsidRPr="00ED1655">
        <w:rPr>
          <w:color w:val="00817F"/>
          <w:sz w:val="24"/>
          <w:szCs w:val="24"/>
        </w:rPr>
        <w:t xml:space="preserve"> </w:t>
      </w:r>
      <w:r w:rsidRPr="00ED1655">
        <w:rPr>
          <w:color w:val="595959" w:themeColor="text1" w:themeTint="A6"/>
          <w:sz w:val="22"/>
          <w:szCs w:val="22"/>
        </w:rPr>
        <w:t xml:space="preserve">PRINCIPALI INDICATORI CONGIUNTURALI </w:t>
      </w:r>
      <w:r>
        <w:rPr>
          <w:color w:val="595959" w:themeColor="text1" w:themeTint="A6"/>
          <w:sz w:val="22"/>
          <w:szCs w:val="22"/>
        </w:rPr>
        <w:t>PER L’</w:t>
      </w:r>
      <w:r w:rsidRPr="00ED1655">
        <w:rPr>
          <w:color w:val="595959" w:themeColor="text1" w:themeTint="A6"/>
          <w:sz w:val="22"/>
          <w:szCs w:val="22"/>
        </w:rPr>
        <w:t>ITALIA E</w:t>
      </w:r>
      <w:r>
        <w:rPr>
          <w:color w:val="595959" w:themeColor="text1" w:themeTint="A6"/>
          <w:sz w:val="22"/>
          <w:szCs w:val="22"/>
        </w:rPr>
        <w:t xml:space="preserve"> L’</w:t>
      </w:r>
      <w:r w:rsidRPr="00ED1655">
        <w:rPr>
          <w:color w:val="595959" w:themeColor="text1" w:themeTint="A6"/>
          <w:sz w:val="22"/>
          <w:szCs w:val="22"/>
        </w:rPr>
        <w:t xml:space="preserve">AREA EURO. </w:t>
      </w:r>
      <w:r w:rsidRPr="00210891">
        <w:rPr>
          <w:b w:val="0"/>
          <w:color w:val="404040" w:themeColor="text1" w:themeTint="BF"/>
          <w:sz w:val="20"/>
        </w:rPr>
        <w:t>Variazioni congiunturali</w:t>
      </w:r>
      <w:r w:rsidR="00182D51" w:rsidRPr="00210891">
        <w:rPr>
          <w:b w:val="0"/>
          <w:color w:val="404040" w:themeColor="text1" w:themeTint="BF"/>
          <w:sz w:val="20"/>
        </w:rPr>
        <w:t xml:space="preserve"> %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2"/>
        <w:gridCol w:w="1556"/>
        <w:gridCol w:w="1556"/>
        <w:gridCol w:w="1558"/>
        <w:gridCol w:w="1556"/>
        <w:gridCol w:w="1550"/>
      </w:tblGrid>
      <w:tr w:rsidR="00D720AB" w:rsidRPr="00B76B47" w14:paraId="48261453" w14:textId="77777777" w:rsidTr="008B207D">
        <w:trPr>
          <w:cantSplit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noWrap/>
            <w:vAlign w:val="center"/>
          </w:tcPr>
          <w:p w14:paraId="6314A8DA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0"/>
                <w:lang w:eastAsia="it-IT"/>
              </w:rPr>
              <w:t>INDICATORI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noWrap/>
            <w:vAlign w:val="center"/>
          </w:tcPr>
          <w:p w14:paraId="2A9EA86C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noWrap/>
            <w:vAlign w:val="center"/>
          </w:tcPr>
          <w:p w14:paraId="23B004B6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t>AREA EURO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noWrap/>
            <w:vAlign w:val="center"/>
          </w:tcPr>
          <w:p w14:paraId="32B18CEA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vAlign w:val="center"/>
          </w:tcPr>
          <w:p w14:paraId="6077BBD5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t xml:space="preserve">ITALIA </w:t>
            </w: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br/>
              <w:t>PERIODO PRECEDENTE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00817F"/>
            <w:vAlign w:val="center"/>
          </w:tcPr>
          <w:p w14:paraId="6C6DB783" w14:textId="77777777" w:rsidR="00D720AB" w:rsidRPr="009F6728" w:rsidRDefault="00D720AB" w:rsidP="00A457DF">
            <w:pPr>
              <w:spacing w:before="40"/>
              <w:ind w:right="-6"/>
              <w:jc w:val="center"/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</w:pPr>
            <w:r w:rsidRPr="009F6728">
              <w:rPr>
                <w:rFonts w:ascii="Arial Narrow" w:hAnsi="Arial Narrow" w:cs="Times New Roman"/>
                <w:b/>
                <w:color w:val="FFFFFF" w:themeColor="background1"/>
                <w:spacing w:val="2"/>
                <w:sz w:val="20"/>
                <w:szCs w:val="20"/>
                <w:lang w:eastAsia="it-IT"/>
              </w:rPr>
              <w:t>AREA EURO PERIODO PRECEDENTE</w:t>
            </w:r>
          </w:p>
        </w:tc>
      </w:tr>
      <w:tr w:rsidR="00327FF4" w:rsidRPr="00B53FD8" w14:paraId="51F5E9AA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7E6982E" w14:textId="450E1985" w:rsidR="00327FF4" w:rsidRPr="00633AA6" w:rsidRDefault="00327FF4" w:rsidP="00327FF4">
            <w:pPr>
              <w:spacing w:before="40"/>
              <w:ind w:right="-6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proofErr w:type="spellStart"/>
            <w:r w:rsidRPr="003D087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Pil</w:t>
            </w:r>
            <w:proofErr w:type="spellEnd"/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6469095B" w14:textId="68D78DD1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0,0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D096" w14:textId="30D47A88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0,2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D86CCE0" w14:textId="3DFC8B95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942797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T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3 2025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376EAB08" w14:textId="7CC94C40" w:rsidR="00327FF4" w:rsidRPr="00735780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val="en-GB" w:eastAsia="en-GB"/>
              </w:rPr>
              <w:t>-0,1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BA41CE9" w14:textId="1481A1F2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en-GB"/>
              </w:rPr>
              <w:t>0,1</w:t>
            </w:r>
          </w:p>
        </w:tc>
      </w:tr>
      <w:tr w:rsidR="00B92090" w:rsidRPr="00B53FD8" w14:paraId="63C0B393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212027C" w14:textId="2BBFF250" w:rsidR="00B92090" w:rsidRPr="00633AA6" w:rsidRDefault="00B92090" w:rsidP="00B92090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proofErr w:type="spellStart"/>
            <w:r w:rsidRPr="0082385E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Pr</w:t>
            </w:r>
            <w:r w:rsidRPr="00B9209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oduzione</w:t>
            </w:r>
            <w:proofErr w:type="spellEnd"/>
            <w:r w:rsidRPr="00B9209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B9209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industriale</w:t>
            </w:r>
            <w:proofErr w:type="spellEnd"/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67F6462E" w14:textId="68EB347A" w:rsidR="00B92090" w:rsidRPr="00D7134B" w:rsidRDefault="00B92090" w:rsidP="00B92090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2,8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EF4B91" w14:textId="670DDE19" w:rsidR="00B92090" w:rsidRPr="003840BC" w:rsidRDefault="00B92090" w:rsidP="00B92090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-1,2 (ago)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032F95B" w14:textId="331D0C8A" w:rsidR="00B92090" w:rsidRPr="003840BC" w:rsidRDefault="00B92090" w:rsidP="00B92090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Set.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0E94DF52" w14:textId="7C76E59E" w:rsidR="00B92090" w:rsidRPr="006000DA" w:rsidRDefault="00B92090" w:rsidP="00B92090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-2,7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047F64E" w14:textId="435079F9" w:rsidR="00B92090" w:rsidRPr="003840BC" w:rsidRDefault="00B92090" w:rsidP="00B92090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0,5</w:t>
            </w:r>
          </w:p>
        </w:tc>
      </w:tr>
      <w:tr w:rsidR="00327FF4" w:rsidRPr="00B53FD8" w14:paraId="36CCC56B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B5F2CE" w14:textId="08ECCA81" w:rsidR="00327FF4" w:rsidRPr="00633AA6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proofErr w:type="spellStart"/>
            <w:r w:rsidRPr="00BA760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Produzione</w:t>
            </w:r>
            <w:proofErr w:type="spellEnd"/>
            <w:r w:rsidRPr="00BA760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BA760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nelle</w:t>
            </w:r>
            <w:proofErr w:type="spellEnd"/>
            <w:r w:rsidRPr="00BA760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BA7600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costruzioni</w:t>
            </w:r>
            <w:proofErr w:type="spellEnd"/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930C059" w14:textId="392E16F9" w:rsidR="00327FF4" w:rsidRPr="00D7134B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-1,6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E561" w14:textId="447EF755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-0,1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A1FAC48" w14:textId="330EF53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Ago.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7C210B50" w14:textId="44BDB105" w:rsidR="00327FF4" w:rsidRPr="006000DA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ABBEF01" w14:textId="06D6F34D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0,5</w:t>
            </w:r>
          </w:p>
        </w:tc>
      </w:tr>
      <w:tr w:rsidR="00327FF4" w:rsidRPr="00B53FD8" w14:paraId="08A642D3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5B5B" w14:textId="283D77D5" w:rsidR="00327FF4" w:rsidRPr="00327FF4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327FF4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Vendite</w:t>
            </w:r>
            <w:proofErr w:type="spellEnd"/>
            <w:r w:rsidRPr="00327FF4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 xml:space="preserve"> al </w:t>
            </w:r>
            <w:proofErr w:type="spellStart"/>
            <w:r w:rsidRPr="00327FF4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dettaglio</w:t>
            </w:r>
            <w:proofErr w:type="spellEnd"/>
            <w:r w:rsidRPr="00327FF4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 xml:space="preserve"> (volume)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69C3A8D1" w14:textId="55E35384" w:rsidR="00327FF4" w:rsidRPr="00D7134B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 w:rsidRPr="00CD5031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564F" w14:textId="0D07CE6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-0,1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636BDC41" w14:textId="6A5107F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Set.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3BED955C" w14:textId="7F40965A" w:rsidR="00327FF4" w:rsidRPr="006000DA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 w:rsidRPr="00CD5031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-0,3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487CBE8" w14:textId="6BD5028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-0,1</w:t>
            </w:r>
          </w:p>
        </w:tc>
      </w:tr>
      <w:tr w:rsidR="00327FF4" w:rsidRPr="00B53FD8" w14:paraId="0F95F8AE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5E4D53" w14:textId="61CB34FB" w:rsidR="00327FF4" w:rsidRPr="00327FF4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 w:rsidRPr="00327FF4"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Prezzi alla produzione dell’industria – mercato interno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5C95D97" w14:textId="6545190F" w:rsidR="00327FF4" w:rsidRPr="001D3C47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0,2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84E30" w14:textId="26DF3EC6" w:rsidR="00327FF4" w:rsidRPr="001D3C47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 w:rsidRPr="00E867EF"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-0.1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47C433B" w14:textId="35398BC9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Set.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4E2C0653" w14:textId="5CF46A40" w:rsidR="00327FF4" w:rsidRPr="006000DA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-0,7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9FB7A78" w14:textId="279D108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 w:rsidRPr="00E867EF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-0.4</w:t>
            </w:r>
          </w:p>
        </w:tc>
      </w:tr>
      <w:tr w:rsidR="00327FF4" w:rsidRPr="00B53FD8" w14:paraId="7FB72A7E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1EFB3" w14:textId="68A45606" w:rsidR="00327FF4" w:rsidRPr="00633AA6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EA28FB"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Prezzi al consumo (IPCA)*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9055A41" w14:textId="5FF586EB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1,3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3A3F" w14:textId="38A1F44B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2,1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91B3311" w14:textId="36E30B2F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Ott.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1382E526" w14:textId="6AC8F3F6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1,8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9DB1B5" w14:textId="608FA590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2,2</w:t>
            </w:r>
          </w:p>
        </w:tc>
      </w:tr>
      <w:tr w:rsidR="00327FF4" w:rsidRPr="00B53FD8" w14:paraId="49783E82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0E61764" w14:textId="02AAD969" w:rsidR="00327FF4" w:rsidRPr="00633AA6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7A0BA3"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Tasso di disoccupazione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1C154C" w14:textId="1781CF75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6,1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9C066" w14:textId="2D04CC7D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6,3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3A07074F" w14:textId="13928392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Set.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3AB03E16" w14:textId="0FBDDC16" w:rsidR="00327FF4" w:rsidRPr="006000DA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6,0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64AAA69" w14:textId="7E17C2CE" w:rsidR="00327FF4" w:rsidRPr="00F82A4F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n-GB"/>
              </w:rPr>
              <w:t>6,3</w:t>
            </w:r>
          </w:p>
        </w:tc>
      </w:tr>
      <w:tr w:rsidR="00327FF4" w:rsidRPr="00B53FD8" w14:paraId="2D247F39" w14:textId="77777777" w:rsidTr="00CF5E25">
        <w:trPr>
          <w:cantSplit/>
          <w:trHeight w:val="332"/>
        </w:trPr>
        <w:tc>
          <w:tcPr>
            <w:tcW w:w="1187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502DC31" w14:textId="3287F6A6" w:rsidR="00327FF4" w:rsidRPr="00633AA6" w:rsidRDefault="00327FF4" w:rsidP="00327FF4">
            <w:pPr>
              <w:spacing w:before="40"/>
              <w:ind w:right="-6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val="en-GB" w:eastAsia="en-GB"/>
              </w:rPr>
            </w:pPr>
            <w:r w:rsidRPr="004E6D93"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Economic Sentiment Indicator**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9C60AE8" w14:textId="392E028A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1,4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4E95" w14:textId="4B4B9BE5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1,2</w:t>
            </w:r>
          </w:p>
        </w:tc>
        <w:tc>
          <w:tcPr>
            <w:tcW w:w="764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6DC7DF9" w14:textId="37DE0C61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Ott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. 2025</w:t>
            </w:r>
          </w:p>
        </w:tc>
        <w:tc>
          <w:tcPr>
            <w:tcW w:w="763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14:paraId="63D99D1C" w14:textId="44C34B46" w:rsidR="00327FF4" w:rsidRPr="006000DA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76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E6D2B57" w14:textId="0C3BCF34" w:rsidR="00327FF4" w:rsidRPr="003840BC" w:rsidRDefault="00327FF4" w:rsidP="00327FF4">
            <w:pPr>
              <w:spacing w:before="40"/>
              <w:ind w:right="-6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en-GB" w:eastAsia="en-GB"/>
              </w:rPr>
              <w:t>0,2</w:t>
            </w:r>
          </w:p>
        </w:tc>
      </w:tr>
    </w:tbl>
    <w:p w14:paraId="5B80225F" w14:textId="5DF4AFFA" w:rsidR="00787FD4" w:rsidRPr="006145AE" w:rsidRDefault="00D720AB" w:rsidP="00A457DF">
      <w:pPr>
        <w:pStyle w:val="054tabella-figuranote"/>
        <w:spacing w:before="60" w:after="0"/>
        <w:ind w:left="0" w:right="-6" w:firstLine="0"/>
        <w:rPr>
          <w:color w:val="000000" w:themeColor="text1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75915" wp14:editId="0BF15F43">
                <wp:simplePos x="0" y="0"/>
                <wp:positionH relativeFrom="margin">
                  <wp:posOffset>4189730</wp:posOffset>
                </wp:positionH>
                <wp:positionV relativeFrom="paragraph">
                  <wp:posOffset>6325</wp:posOffset>
                </wp:positionV>
                <wp:extent cx="2281381" cy="175491"/>
                <wp:effectExtent l="0" t="0" r="5080" b="0"/>
                <wp:wrapNone/>
                <wp:docPr id="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81381" cy="175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ADE01" w14:textId="77777777" w:rsidR="00CF5E25" w:rsidRPr="00ED1655" w:rsidRDefault="00CF5E25" w:rsidP="00D720AB">
                            <w:pPr>
                              <w:pStyle w:val="054tabella-figuranote"/>
                              <w:spacing w:before="60" w:after="0"/>
                              <w:ind w:left="0" w:firstLine="0"/>
                              <w:jc w:val="right"/>
                              <w:rPr>
                                <w:rFonts w:ascii="Arial" w:hAnsi="Arial"/>
                                <w:i/>
                                <w:color w:val="000000" w:themeColor="text1"/>
                              </w:rPr>
                            </w:pPr>
                            <w:r w:rsidRPr="00ED1655">
                              <w:rPr>
                                <w:rFonts w:ascii="Arial" w:hAnsi="Arial"/>
                                <w:i/>
                                <w:color w:val="000000" w:themeColor="text1"/>
                              </w:rPr>
                              <w:t>Fonte: Eurostat, Commissione europea, Istat</w:t>
                            </w:r>
                          </w:p>
                          <w:p w14:paraId="01337DAC" w14:textId="77777777" w:rsidR="00CF5E25" w:rsidRDefault="00CF5E25" w:rsidP="00D720A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5915" id="_x0000_s1027" type="#_x0000_t202" style="position:absolute;left:0;text-align:left;margin-left:329.9pt;margin-top:.5pt;width:179.65pt;height:13.8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" filled="f" stroked="f">
                <v:textbox inset="0,0,0,0">
                  <w:txbxContent>
                    <w:p w14:paraId="064ADE01" w14:textId="77777777" w:rsidR="00CF5E25" w:rsidRPr="00ED1655" w:rsidRDefault="00CF5E25" w:rsidP="00D720AB">
                      <w:pPr>
                        <w:pStyle w:val="054tabella-figuranote"/>
                        <w:spacing w:before="60" w:after="0"/>
                        <w:ind w:left="0" w:firstLine="0"/>
                        <w:jc w:val="right"/>
                        <w:rPr>
                          <w:rFonts w:ascii="Arial" w:hAnsi="Arial"/>
                          <w:i/>
                          <w:color w:val="000000" w:themeColor="text1"/>
                        </w:rPr>
                      </w:pPr>
                      <w:r w:rsidRPr="00ED1655">
                        <w:rPr>
                          <w:rFonts w:ascii="Arial" w:hAnsi="Arial"/>
                          <w:i/>
                          <w:color w:val="000000" w:themeColor="text1"/>
                        </w:rPr>
                        <w:t>Fonte: Eurostat, Commissione europea, Istat</w:t>
                      </w:r>
                    </w:p>
                    <w:p w14:paraId="01337DAC" w14:textId="77777777" w:rsidR="00CF5E25" w:rsidRDefault="00CF5E25" w:rsidP="00D720AB"/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</w:rPr>
        <w:t xml:space="preserve">* </w:t>
      </w:r>
      <w:r w:rsidRPr="00ED1655">
        <w:rPr>
          <w:rFonts w:ascii="Arial" w:hAnsi="Arial"/>
          <w:color w:val="000000" w:themeColor="text1"/>
        </w:rPr>
        <w:t xml:space="preserve">Variazioni tendenziali   ** Differenze </w:t>
      </w:r>
      <w:r>
        <w:rPr>
          <w:rFonts w:ascii="Arial" w:hAnsi="Arial"/>
          <w:color w:val="000000" w:themeColor="text1"/>
        </w:rPr>
        <w:t xml:space="preserve">assolute rispetto al </w:t>
      </w:r>
      <w:r w:rsidRPr="00ED1655">
        <w:rPr>
          <w:rFonts w:ascii="Arial" w:hAnsi="Arial"/>
          <w:color w:val="000000" w:themeColor="text1"/>
        </w:rPr>
        <w:t>mese precedente</w:t>
      </w:r>
      <w:r w:rsidR="00787FD4">
        <w:rPr>
          <w:smallCaps/>
          <w:sz w:val="24"/>
          <w:szCs w:val="24"/>
        </w:rPr>
        <w:br w:type="page"/>
      </w:r>
    </w:p>
    <w:p w14:paraId="06D28BCC" w14:textId="3B683B3C" w:rsidR="004C1120" w:rsidRPr="00292DDA" w:rsidRDefault="00F30F0E" w:rsidP="00A457DF">
      <w:pPr>
        <w:pStyle w:val="012titoloparagrafo"/>
        <w:pBdr>
          <w:top w:val="single" w:sz="8" w:space="1" w:color="068080"/>
          <w:bottom w:val="single" w:sz="8" w:space="1" w:color="068080"/>
        </w:pBdr>
        <w:shd w:val="clear" w:color="auto" w:fill="068080"/>
        <w:spacing w:before="0" w:after="0"/>
        <w:ind w:right="-6"/>
        <w:rPr>
          <w:b w:val="0"/>
          <w:bCs/>
          <w:smallCaps/>
          <w:color w:val="FFFFFF" w:themeColor="background1"/>
          <w:sz w:val="24"/>
          <w:szCs w:val="24"/>
        </w:rPr>
      </w:pPr>
      <w:r>
        <w:rPr>
          <w:b w:val="0"/>
          <w:bCs/>
          <w:smallCaps/>
          <w:color w:val="FFFFFF" w:themeColor="background1"/>
          <w:sz w:val="24"/>
          <w:szCs w:val="24"/>
        </w:rPr>
        <w:lastRenderedPageBreak/>
        <w:t xml:space="preserve"> </w:t>
      </w:r>
      <w:r w:rsidR="004C1120" w:rsidRPr="00292DDA">
        <w:rPr>
          <w:b w:val="0"/>
          <w:bCs/>
          <w:smallCaps/>
          <w:color w:val="FFFFFF" w:themeColor="background1"/>
          <w:sz w:val="24"/>
          <w:szCs w:val="24"/>
        </w:rPr>
        <w:t>IL QUADRO INTERNAZIONAL</w:t>
      </w:r>
      <w:r w:rsidR="004C1120">
        <w:rPr>
          <w:b w:val="0"/>
          <w:bCs/>
          <w:smallCaps/>
          <w:color w:val="FFFFFF" w:themeColor="background1"/>
          <w:sz w:val="24"/>
          <w:szCs w:val="24"/>
        </w:rPr>
        <w:t>E</w:t>
      </w:r>
    </w:p>
    <w:p w14:paraId="5FA36C49" w14:textId="73A6B51A" w:rsidR="002B4D36" w:rsidRPr="002B4D36" w:rsidRDefault="002B4D36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L</w:t>
      </w:r>
      <w:r w:rsidRPr="002B4D36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'economia globale resta caratterizzata da forte incertezza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nonostante una possibile risoluzione dei conflitti in Medio oriente e la </w:t>
      </w:r>
      <w:r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mitigazione (grazie a</w:t>
      </w:r>
      <w:r w:rsidR="00FB37EA"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</w:t>
      </w:r>
      <w:r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accordi e riassetti strategici</w:t>
      </w:r>
      <w:r w:rsidR="00FB37EA"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negli scambi con l’estero</w:t>
      </w:r>
      <w:r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) degli effetti</w:t>
      </w:r>
      <w:r w:rsidR="006E2CD6"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negativi </w:t>
      </w:r>
      <w:r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dovuti all'aumento </w:t>
      </w:r>
      <w:r w:rsidR="00FB37EA"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generalizzato </w:t>
      </w:r>
      <w:r w:rsidRPr="003A07E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delle tariffe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sul commercio internazionale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. I fattori che hanno sostenuto l'attività economica nella prima metà dell’anno (i.e. gli anticipi di acquisti </w:t>
      </w:r>
      <w:r w:rsidR="00FB37E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e vendite 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delle imprese in vista dell’introduzione dei dazi) si stanno esaurendo.</w:t>
      </w:r>
      <w:r w:rsidR="00F479A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 base alle previsioni più recenti del Fondo Monetario Int</w:t>
      </w:r>
      <w:r w:rsidR="006E2CD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ernazionale, la crescita del Pil mondiale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è prevista in moderato rallentamento, (+3,3% nel 2024, +3,2% nel 2025 e +3,1% nel 2026). </w:t>
      </w:r>
    </w:p>
    <w:p w14:paraId="1B7E28AE" w14:textId="5B3AC62B" w:rsidR="002B4D36" w:rsidRPr="002B4D36" w:rsidRDefault="00F479A7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La d</w:t>
      </w:r>
      <w:r w:rsidR="002B4D36" w:rsidRPr="002B4D36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omanda internazionale </w:t>
      </w:r>
      <w:r w:rsidR="00C4088A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è volatile</w:t>
      </w:r>
      <w:r w:rsid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anche a causa delle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continue modifiche delle aliquote e delle categorie merceologiche oggetto dell’applicazione dei dazi. Secondo i dati del Central Plan Bureau, gli scambi internazionali di merci in volume sono diminuiti</w:t>
      </w:r>
      <w:r w:rsidR="00FB37E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E34B35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 termini congiunturali</w:t>
      </w:r>
      <w:r w:rsidR="00FB37E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E34B35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dello 0,4% ad agosto (+1,5% a luglio</w:t>
      </w:r>
      <w:r w:rsidR="00333812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Figura 1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). In evidenza</w:t>
      </w:r>
      <w:r w:rsidR="00D4144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, 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nello stesso mese,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la flessione </w:t>
      </w:r>
      <w:r w:rsidR="00D4144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in termini congiunturali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delle importazioni negli Stati Uniti (-7,2%, da +6,7% di luglio) 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dove si nota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anche una riduzione delle esp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ortazioni (-1,5%). In calo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le importazioni in Giappone (-1,4%)</w:t>
      </w:r>
      <w:r w:rsidR="00A5691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mentre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393D5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paesi asiatici emergenti e la Cina hanno registrato aumenti </w:t>
      </w:r>
      <w:r w:rsidR="00393D5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dell’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import (+2,4% e +1,3% rispettivamente).</w:t>
      </w:r>
    </w:p>
    <w:p w14:paraId="51EB4DDD" w14:textId="77D3AAD3" w:rsidR="002B4D36" w:rsidRPr="002B4D36" w:rsidRDefault="005B007B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5B007B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Prospettive sfavorevoli per gli scambi mondiali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La componente dell’</w:t>
      </w:r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indice composito globale dei manager degli acquisti (PMI, </w:t>
      </w:r>
      <w:proofErr w:type="spellStart"/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Purchasing</w:t>
      </w:r>
      <w:proofErr w:type="spellEnd"/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Manager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’ Index) per i nuovi ordini di </w:t>
      </w:r>
      <w:r w:rsidR="006E2CD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esportazione (</w:t>
      </w:r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che anticipa la dinami</w:t>
      </w:r>
      <w:r w:rsidR="006E2CD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ca della domanda internazionale)</w:t>
      </w:r>
      <w:r w:rsidR="002B4D36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ha segnato </w:t>
      </w:r>
      <w:r w:rsidR="00B53D5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</w:t>
      </w:r>
      <w:r w:rsidR="00B53D55"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ottobre </w:t>
      </w:r>
      <w:r w:rsidR="00B53D5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il settimo </w:t>
      </w:r>
      <w:r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calo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consecutivo</w:t>
      </w:r>
      <w:r w:rsidR="006E2CD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restando sotto la soglia di espansione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I nuovi ordini</w:t>
      </w:r>
      <w:r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si sono contratti sia nel settore manifatturiero</w:t>
      </w:r>
      <w:r w:rsidR="00B53D5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sia</w:t>
      </w:r>
      <w:r w:rsidRPr="005B007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 quello dei servizi.</w:t>
      </w:r>
    </w:p>
    <w:p w14:paraId="78532D65" w14:textId="0EDA2273" w:rsidR="002B4D36" w:rsidRPr="00BE3933" w:rsidRDefault="006E2CD6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Diminuisce ult</w:t>
      </w:r>
      <w:r w:rsidR="0018007C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e</w:t>
      </w: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riormente</w:t>
      </w:r>
      <w:r w:rsidR="002B4D36" w:rsidRPr="002B4D36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il prezzo del petrolio</w:t>
      </w:r>
      <w:r w:rsid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.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La debolezza della domanda internazionale e gli aumenti di produzione annunciati dai paesi </w:t>
      </w:r>
      <w:proofErr w:type="spellStart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Opec</w:t>
      </w:r>
      <w:proofErr w:type="spellEnd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+ hanno continuato a spingere al ri</w:t>
      </w:r>
      <w:r w:rsidR="00F479A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basso le quotazioni del greggio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 In ottobre, il prezzo del Brent ha segnato una discesa del 4,8% rispetto alla media del mese precedente (64,7 dollari a bar</w:t>
      </w:r>
      <w:r w:rsidR="00F479A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ile, dai 68 dollari).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F479A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 leggero </w:t>
      </w:r>
      <w:r w:rsidR="00F479A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rialzo, invece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il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gas naturale (+1,6%; il valore dell’indice è passato da 96,7 di settembre a 98,3 in ottobre), che mostra livelli ancora in linea con quelli medi del </w:t>
      </w:r>
      <w:r w:rsidR="002B4D36" w:rsidRPr="00A5691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terzo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trimestre</w:t>
      </w:r>
      <w:r w:rsidR="00D4144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(98,4)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14:paraId="2A017680" w14:textId="6C7FCF5E" w:rsidR="002B4D36" w:rsidRPr="002B4D36" w:rsidRDefault="00F479A7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F479A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L</w:t>
      </w:r>
      <w:r w:rsidR="002B4D36" w:rsidRPr="00F479A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’euro ha interrotto la fase di apprezzamento nei confronti del</w:t>
      </w:r>
      <w:r w:rsidR="002B4D36" w:rsidRPr="00BE3933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dollaro</w:t>
      </w:r>
      <w:r w:rsidR="00BE393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 atto da inizio anno. A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ottobre</w:t>
      </w:r>
      <w:r w:rsidR="0018007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la quotazione media della valuta europea ha seg</w:t>
      </w:r>
      <w:r w:rsidR="00F7725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nato un 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marginale </w:t>
      </w:r>
      <w:r w:rsidR="00F7725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deprezzamento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rispetto a settembre</w:t>
      </w:r>
      <w:r w:rsid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(1,16 dollari per euro, contro 1,17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dollari del mese precedente), una tendenza che si è accentuata </w:t>
      </w:r>
      <w:r w:rsidR="00BC004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nei dati giornalieri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tra fine mese e inizio novembre, grazie alla diminuita probabilità di un ulteriore taglio dei tassi di interesse da parte della Federal </w:t>
      </w:r>
      <w:proofErr w:type="spellStart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Reserve</w:t>
      </w:r>
      <w:proofErr w:type="spellEnd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 dicembre.</w:t>
      </w:r>
    </w:p>
    <w:p w14:paraId="3C07D2CF" w14:textId="5CB13713" w:rsidR="002B4D36" w:rsidRPr="002B4D36" w:rsidRDefault="002D5B5E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M</w:t>
      </w:r>
      <w:r w:rsidR="00B53D55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odesta</w:t>
      </w:r>
      <w:r w:rsidR="0071174A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accelerazione del Pil</w:t>
      </w: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in Cina e nell’area euro</w:t>
      </w:r>
      <w:r w:rsidR="002B4D36" w:rsidRPr="002B4D36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.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E34B3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Nel terzo trimestre</w:t>
      </w:r>
      <w:r w:rsidR="0018007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E34B3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</w:t>
      </w:r>
      <w:r w:rsidR="0071174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 crescita del Pil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 Cina è stata </w:t>
      </w:r>
      <w:r w:rsidR="00B53D5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pari a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</w:t>
      </w:r>
      <w:r w:rsidR="00E34B3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l’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1,1% su base congiunturale (+1,0% nel secondo trimestre). I dati relativi a settembre evidenziano un recupero della produzione industriale, ma anche una persistente stagnazione degli investimenti e delle vendite al dettaglio. Ulteriori misure di supporto a famiglie e imprese saranno necessarie per evitare un rallentamento della domanda interna e mantenere la crescita </w:t>
      </w:r>
      <w:r w:rsidR="00BC004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annua</w:t>
      </w:r>
      <w:r w:rsidR="00FE7401">
        <w:rPr>
          <w:rFonts w:ascii="Arial" w:eastAsia="Times New Roman" w:hAnsi="Arial"/>
          <w:color w:val="000000"/>
          <w:sz w:val="22"/>
          <w:szCs w:val="22"/>
          <w:lang w:eastAsia="it-IT"/>
        </w:rPr>
        <w:t xml:space="preserve">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vicino agli obiettivi del Governo del 5,0%.</w:t>
      </w:r>
    </w:p>
    <w:p w14:paraId="132F1B54" w14:textId="0ECDA106" w:rsidR="002B4D36" w:rsidRPr="002B4D36" w:rsidRDefault="002B4D36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Negli Stati Uniti, lo </w:t>
      </w:r>
      <w:proofErr w:type="spellStart"/>
      <w:r w:rsidRPr="00C915E4">
        <w:rPr>
          <w:rFonts w:ascii="Arial" w:eastAsia="Times New Roman" w:hAnsi="Arial" w:cs="Arial"/>
          <w:i/>
          <w:color w:val="000000"/>
          <w:sz w:val="22"/>
          <w:szCs w:val="22"/>
          <w:lang w:eastAsia="it-IT"/>
        </w:rPr>
        <w:t>shutdown</w:t>
      </w:r>
      <w:proofErr w:type="spellEnd"/>
      <w:r w:rsidR="00FE7401">
        <w:rPr>
          <w:rStyle w:val="Rimandonotaapidipagina"/>
          <w:rFonts w:ascii="Arial" w:eastAsia="Times New Roman" w:hAnsi="Arial"/>
          <w:color w:val="000000"/>
          <w:sz w:val="22"/>
          <w:szCs w:val="22"/>
          <w:lang w:eastAsia="it-IT"/>
        </w:rPr>
        <w:footnoteReference w:id="1"/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A7726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di parte delle attività governative, in atto da ottobre, </w:t>
      </w:r>
      <w:r w:rsidR="00E02DA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ha determinato l’interruzione della pubblicazione d</w:t>
      </w:r>
      <w:r w:rsidR="00A7726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 alcuni dati economici tra cui il Pil del terzo trimestre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. </w:t>
      </w:r>
      <w:r w:rsidR="008C1FE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</w:t>
      </w:r>
      <w:r w:rsidR="00A464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lla luce</w:t>
      </w:r>
      <w:r w:rsidR="008C1FE7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681E9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</w:t>
      </w:r>
      <w:r w:rsidR="00A464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ella dinamica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</w:t>
      </w:r>
      <w:r w:rsidR="00A464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ell’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inflazione al consumo di settembre (</w:t>
      </w:r>
      <w:r w:rsidR="00B53D55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+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3,0%) inferior</w:t>
      </w:r>
      <w:r w:rsidR="00A464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alle attese, la Federal </w:t>
      </w:r>
      <w:proofErr w:type="spellStart"/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Reserve</w:t>
      </w:r>
      <w:proofErr w:type="spellEnd"/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ha deciso un taglio dei tassi di 25 punti base, portando il riferimento sui Fed Fund a 3,75-4%.</w:t>
      </w:r>
    </w:p>
    <w:p w14:paraId="5A66D5A2" w14:textId="6CEF83D3" w:rsidR="004902CF" w:rsidRPr="002B4D36" w:rsidRDefault="002B4D36" w:rsidP="004902CF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Nel terzo trimestre, secondo la stima preliminare, il Pil dell’area euro è aumentato dello 0,2% in termini congiunturali (+0,1% nel periodo precedente). Nel dettaglio nazionale, la crescita in Germania e Italia è stata nulla mentre in Francia e Spagna </w:t>
      </w:r>
      <w:r w:rsidR="002D5B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si è registrata un’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espansione</w:t>
      </w:r>
      <w:r w:rsidR="000163FB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rispettivamente dello 0,5% e dello 0,6%.</w:t>
      </w:r>
      <w:r w:rsidR="004902C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</w:t>
      </w:r>
      <w:r w:rsidR="004902CF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dazi e l’apprezzamento del cambio hanno deteriorato la posizione competitiva del comparto industriale</w:t>
      </w:r>
      <w:r w:rsidR="004902C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europeo</w:t>
      </w:r>
      <w:r w:rsidR="004F4E6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;</w:t>
      </w:r>
      <w:r w:rsidR="004902CF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A4645E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d</w:t>
      </w:r>
      <w:r w:rsidR="004902CF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’altro canto, i ribassi nelle quotazioni delle materie prime energetiche hanno </w:t>
      </w:r>
      <w:r w:rsidR="00F563DC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favorito</w:t>
      </w:r>
      <w:r w:rsidR="00087E3F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il calo dell’inflazione</w:t>
      </w:r>
      <w:r w:rsidR="00681E9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e dei costi per le imprese</w:t>
      </w:r>
      <w:r w:rsidR="004902CF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</w:p>
    <w:p w14:paraId="7DD983B0" w14:textId="61684129" w:rsidR="002B4D36" w:rsidRPr="002B4D36" w:rsidRDefault="00333812" w:rsidP="002B4D36">
      <w:pPr>
        <w:autoSpaceDE w:val="0"/>
        <w:autoSpaceDN w:val="0"/>
        <w:adjustRightInd w:val="0"/>
        <w:spacing w:before="60" w:after="120"/>
        <w:jc w:val="both"/>
        <w:rPr>
          <w:rFonts w:ascii="Arial" w:eastAsia="Times New Roman" w:hAnsi="Arial" w:cs="Arial"/>
          <w:color w:val="000000"/>
          <w:sz w:val="22"/>
          <w:szCs w:val="22"/>
          <w:lang w:eastAsia="it-IT"/>
        </w:rPr>
      </w:pPr>
      <w:r w:rsidRPr="00333812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lastRenderedPageBreak/>
        <w:t>Prospettive di moderata crescita</w:t>
      </w:r>
      <w:r w:rsidR="00C77744" w:rsidRPr="00C77744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</w:t>
      </w:r>
      <w:r w:rsidR="00C77744" w:rsidRPr="00333812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per l’economia euro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.</w:t>
      </w:r>
      <w:r w:rsidR="00CE23A4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L’</w:t>
      </w:r>
      <w:proofErr w:type="spellStart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</w:t>
      </w:r>
      <w:r w:rsidR="00126DCD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conomic</w:t>
      </w:r>
      <w:proofErr w:type="spellEnd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proofErr w:type="spellStart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Sentiment</w:t>
      </w:r>
      <w:proofErr w:type="spellEnd"/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Indicator (ESI) della Commissione europea è aumentato </w:t>
      </w:r>
      <w:r w:rsidR="004F4E6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a</w:t>
      </w:r>
      <w:r w:rsidR="00B53D55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ottobre </w:t>
      </w:r>
      <w:r w:rsidR="004F4E6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(+1,2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punti</w:t>
      </w:r>
      <w:r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 Figura 2)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4F4E6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nell’area euro</w:t>
      </w:r>
      <w:r w:rsidR="00C63743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4F4E60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grazie a un miglioramento della fiducia in quasi tutti i settori — industria, commercio al dettaglio, edilizia </w:t>
      </w:r>
      <w:r w:rsidR="00B53D55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— 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e tra i consumatori. L’indice è rimasto sostanzialmente stabile nei servizi. A livello nazionale</w:t>
      </w:r>
      <w:r w:rsidR="00AC026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,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l'ESI è migliorato in modo significativo in Francia (+2,5</w:t>
      </w:r>
      <w:r w:rsidR="00AC026A">
        <w:rPr>
          <w:rFonts w:ascii="Arial" w:eastAsia="Times New Roman" w:hAnsi="Arial" w:cs="Arial"/>
          <w:color w:val="000000"/>
          <w:sz w:val="22"/>
          <w:szCs w:val="22"/>
          <w:lang w:eastAsia="it-IT"/>
        </w:rPr>
        <w:t xml:space="preserve"> punti</w:t>
      </w:r>
      <w:r w:rsidR="002B4D36" w:rsidRPr="002B4D36">
        <w:rPr>
          <w:rFonts w:ascii="Arial" w:eastAsia="Times New Roman" w:hAnsi="Arial" w:cs="Arial"/>
          <w:color w:val="000000"/>
          <w:sz w:val="22"/>
          <w:szCs w:val="22"/>
          <w:lang w:eastAsia="it-IT"/>
        </w:rPr>
        <w:t>), Italia (+1,4) e Germania (+1,0), mentre è diminuito in Spagna (-0,9).</w:t>
      </w:r>
    </w:p>
    <w:p w14:paraId="11873937" w14:textId="77777777" w:rsidR="00336A54" w:rsidRDefault="00336A54" w:rsidP="00336A5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3C7795" w14:paraId="748D9238" w14:textId="77777777" w:rsidTr="00FC4517">
        <w:tc>
          <w:tcPr>
            <w:tcW w:w="5100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tcMar>
              <w:left w:w="0" w:type="dxa"/>
              <w:right w:w="0" w:type="dxa"/>
            </w:tcMar>
          </w:tcPr>
          <w:p w14:paraId="705E0DD3" w14:textId="38F6399B" w:rsidR="003C7795" w:rsidRPr="00044203" w:rsidRDefault="003C7795" w:rsidP="00C82FC0">
            <w:pPr>
              <w:pStyle w:val="052tabella-figurasottotitolo"/>
              <w:tabs>
                <w:tab w:val="clear" w:pos="567"/>
              </w:tabs>
              <w:spacing w:before="120" w:after="120"/>
              <w:ind w:right="138"/>
              <w:rPr>
                <w:b/>
                <w:color w:val="595959" w:themeColor="text1" w:themeTint="A6"/>
                <w:sz w:val="20"/>
              </w:rPr>
            </w:pPr>
            <w:r w:rsidRPr="002B5F32">
              <w:rPr>
                <w:b/>
                <w:color w:val="00817F"/>
                <w:sz w:val="20"/>
              </w:rPr>
              <w:t>FIGURA 1.</w:t>
            </w:r>
            <w:r w:rsidRPr="002B5F32">
              <w:rPr>
                <w:b/>
                <w:sz w:val="20"/>
              </w:rPr>
              <w:t xml:space="preserve"> </w:t>
            </w:r>
            <w:r w:rsidRPr="00FE51D1">
              <w:rPr>
                <w:b/>
                <w:noProof w:val="0"/>
                <w:color w:val="595959" w:themeColor="text1" w:themeTint="A6"/>
                <w:spacing w:val="-3"/>
                <w:sz w:val="20"/>
              </w:rPr>
              <w:t>COMMERCIO MONDIALE DI MERCI IN</w:t>
            </w:r>
            <w:r w:rsidRPr="002B5F32">
              <w:rPr>
                <w:b/>
                <w:noProof w:val="0"/>
                <w:color w:val="595959" w:themeColor="text1" w:themeTint="A6"/>
                <w:spacing w:val="-3"/>
                <w:sz w:val="20"/>
              </w:rPr>
              <w:t xml:space="preserve"> VOLUME </w:t>
            </w:r>
            <w:r w:rsidR="00F30F0E" w:rsidRPr="002B5F32">
              <w:rPr>
                <w:b/>
                <w:noProof w:val="0"/>
                <w:color w:val="595959" w:themeColor="text1" w:themeTint="A6"/>
                <w:spacing w:val="-3"/>
                <w:sz w:val="20"/>
              </w:rPr>
              <w:br/>
            </w:r>
            <w:r w:rsidRPr="002B5F32">
              <w:rPr>
                <w:b/>
                <w:noProof w:val="0"/>
                <w:color w:val="595959" w:themeColor="text1" w:themeTint="A6"/>
                <w:spacing w:val="-3"/>
                <w:sz w:val="20"/>
              </w:rPr>
              <w:t>E</w:t>
            </w:r>
            <w:r w:rsidR="00EF40C2" w:rsidRPr="00EF40C2">
              <w:rPr>
                <w:b/>
                <w:noProof w:val="0"/>
                <w:color w:val="595959" w:themeColor="text1" w:themeTint="A6"/>
                <w:spacing w:val="-3"/>
                <w:sz w:val="20"/>
              </w:rPr>
              <w:t xml:space="preserve"> PRODUZIONE INDUSTRIALE A LIVELLO MONDIALE.</w:t>
            </w:r>
            <w:r w:rsidR="00044203">
              <w:rPr>
                <w:b/>
                <w:color w:val="595959" w:themeColor="text1" w:themeTint="A6"/>
                <w:sz w:val="20"/>
              </w:rPr>
              <w:t xml:space="preserve">    </w:t>
            </w:r>
            <w:r w:rsidR="00793F8B">
              <w:rPr>
                <w:b/>
                <w:color w:val="595959" w:themeColor="text1" w:themeTint="A6"/>
                <w:sz w:val="20"/>
              </w:rPr>
              <w:t xml:space="preserve">    </w:t>
            </w:r>
            <w:r w:rsidR="00044203">
              <w:rPr>
                <w:b/>
                <w:color w:val="595959" w:themeColor="text1" w:themeTint="A6"/>
                <w:sz w:val="20"/>
              </w:rPr>
              <w:t xml:space="preserve">  </w:t>
            </w:r>
            <w:r w:rsidR="00982DB7" w:rsidRPr="00714889">
              <w:rPr>
                <w:color w:val="auto"/>
                <w:sz w:val="19"/>
                <w:szCs w:val="19"/>
              </w:rPr>
              <w:t>Indice</w:t>
            </w:r>
            <w:r w:rsidR="00CA47E2" w:rsidRPr="00714889">
              <w:rPr>
                <w:color w:val="auto"/>
                <w:sz w:val="19"/>
                <w:szCs w:val="19"/>
              </w:rPr>
              <w:t xml:space="preserve"> 2021</w:t>
            </w:r>
            <w:r w:rsidRPr="00714889">
              <w:rPr>
                <w:color w:val="auto"/>
                <w:sz w:val="19"/>
                <w:szCs w:val="19"/>
              </w:rPr>
              <w:t>=100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tcMar>
              <w:left w:w="0" w:type="dxa"/>
              <w:right w:w="0" w:type="dxa"/>
            </w:tcMar>
          </w:tcPr>
          <w:p w14:paraId="63454C50" w14:textId="396C00C3" w:rsidR="00AF3CAA" w:rsidRPr="00E60345" w:rsidRDefault="00B21424" w:rsidP="00462087">
            <w:pPr>
              <w:pStyle w:val="051tabella-figuratitolo"/>
              <w:spacing w:before="120" w:after="120"/>
              <w:ind w:right="-8"/>
              <w:jc w:val="left"/>
              <w:rPr>
                <w:b w:val="0"/>
                <w:color w:val="595959" w:themeColor="text1" w:themeTint="A6"/>
                <w:sz w:val="20"/>
              </w:rPr>
            </w:pPr>
            <w:r w:rsidRPr="0081425E">
              <w:rPr>
                <w:color w:val="00817F"/>
                <w:sz w:val="20"/>
              </w:rPr>
              <w:t>FIGURA 2</w:t>
            </w:r>
            <w:r w:rsidRPr="00A13550">
              <w:rPr>
                <w:color w:val="595959" w:themeColor="text1" w:themeTint="A6"/>
                <w:sz w:val="20"/>
              </w:rPr>
              <w:t xml:space="preserve">. </w:t>
            </w:r>
            <w:r w:rsidR="00F67159" w:rsidRPr="00F67159">
              <w:rPr>
                <w:color w:val="595959" w:themeColor="text1" w:themeTint="A6"/>
                <w:sz w:val="20"/>
              </w:rPr>
              <w:t>ECONOMIC SENTIMENT INDICATOR (ESI).</w:t>
            </w:r>
            <w:r w:rsidR="00F30F0E" w:rsidRPr="00A13550">
              <w:rPr>
                <w:color w:val="595959" w:themeColor="text1" w:themeTint="A6"/>
                <w:sz w:val="20"/>
              </w:rPr>
              <w:br/>
            </w:r>
            <w:r w:rsidR="00F67159" w:rsidRPr="00F67159">
              <w:rPr>
                <w:b w:val="0"/>
                <w:color w:val="auto"/>
                <w:sz w:val="19"/>
                <w:szCs w:val="19"/>
              </w:rPr>
              <w:t>Valori destagionalizzati.</w:t>
            </w:r>
          </w:p>
        </w:tc>
      </w:tr>
      <w:tr w:rsidR="003C7795" w14:paraId="09B4E6F2" w14:textId="77777777" w:rsidTr="00E04DE9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51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62F6387" w14:textId="082CB4B8" w:rsidR="003C7795" w:rsidRPr="00E623BE" w:rsidRDefault="00E04DE9" w:rsidP="008969EE">
            <w:pPr>
              <w:pStyle w:val="016testobulletprimapagina"/>
              <w:spacing w:before="120" w:after="120" w:line="240" w:lineRule="auto"/>
              <w:ind w:left="0" w:right="-6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361DA7B3" wp14:editId="5A84ACE3">
                  <wp:extent cx="3149600" cy="1997710"/>
                  <wp:effectExtent l="0" t="0" r="0" b="2540"/>
                  <wp:docPr id="4" name="Gra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1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30A358C" w14:textId="735CEFF3" w:rsidR="003C7795" w:rsidRDefault="00F67159" w:rsidP="008969EE">
            <w:pPr>
              <w:pStyle w:val="016testobulletprimapagina"/>
              <w:spacing w:before="120" w:after="120" w:line="240" w:lineRule="auto"/>
              <w:ind w:left="0" w:right="-8"/>
            </w:pPr>
            <w:r>
              <w:rPr>
                <w:noProof/>
              </w:rPr>
              <w:drawing>
                <wp:inline distT="0" distB="0" distL="0" distR="0" wp14:anchorId="4F6E208A" wp14:editId="78D56E81">
                  <wp:extent cx="3150235" cy="2100580"/>
                  <wp:effectExtent l="0" t="0" r="0" b="0"/>
                  <wp:docPr id="9" name="Gra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C0C9665" w14:textId="06D0BE81" w:rsidR="003C7795" w:rsidRPr="00210891" w:rsidRDefault="003C7795" w:rsidP="00C915E4">
      <w:pPr>
        <w:spacing w:before="60"/>
        <w:ind w:right="-6"/>
        <w:rPr>
          <w:rFonts w:ascii="Arial" w:hAnsi="Arial" w:cs="Arial"/>
          <w:sz w:val="15"/>
          <w:szCs w:val="15"/>
        </w:rPr>
      </w:pPr>
      <w:r w:rsidRPr="00210891">
        <w:rPr>
          <w:rFonts w:ascii="Arial" w:hAnsi="Arial" w:cs="Arial"/>
          <w:sz w:val="15"/>
          <w:szCs w:val="15"/>
        </w:rPr>
        <w:t>Fonte: CPB</w:t>
      </w:r>
      <w:r w:rsidR="00FE51D1">
        <w:rPr>
          <w:rFonts w:ascii="Arial" w:hAnsi="Arial" w:cs="Arial"/>
          <w:sz w:val="15"/>
          <w:szCs w:val="15"/>
        </w:rPr>
        <w:tab/>
      </w:r>
      <w:r w:rsidR="00580B40" w:rsidRPr="00210891">
        <w:rPr>
          <w:rFonts w:ascii="Arial" w:hAnsi="Arial" w:cs="Arial"/>
          <w:sz w:val="15"/>
          <w:szCs w:val="15"/>
        </w:rPr>
        <w:t xml:space="preserve">   </w:t>
      </w:r>
      <w:r w:rsidRPr="00210891">
        <w:rPr>
          <w:rFonts w:ascii="Arial" w:hAnsi="Arial" w:cs="Arial"/>
          <w:sz w:val="15"/>
          <w:szCs w:val="15"/>
        </w:rPr>
        <w:tab/>
      </w:r>
      <w:r w:rsidR="00E65BDC" w:rsidRPr="00210891">
        <w:rPr>
          <w:rFonts w:ascii="Arial" w:hAnsi="Arial" w:cs="Arial"/>
          <w:sz w:val="15"/>
          <w:szCs w:val="15"/>
        </w:rPr>
        <w:tab/>
      </w:r>
      <w:r w:rsidR="00E65BDC" w:rsidRPr="00210891">
        <w:rPr>
          <w:rFonts w:ascii="Arial" w:hAnsi="Arial" w:cs="Arial"/>
          <w:sz w:val="15"/>
          <w:szCs w:val="15"/>
        </w:rPr>
        <w:tab/>
      </w:r>
      <w:r w:rsidR="00E65BDC" w:rsidRPr="00210891">
        <w:rPr>
          <w:rFonts w:ascii="Arial" w:hAnsi="Arial" w:cs="Arial"/>
          <w:sz w:val="15"/>
          <w:szCs w:val="15"/>
        </w:rPr>
        <w:tab/>
        <w:t xml:space="preserve">                    </w:t>
      </w:r>
      <w:r w:rsidR="00F67159" w:rsidRPr="00F67159">
        <w:rPr>
          <w:rFonts w:ascii="Arial" w:hAnsi="Arial" w:cs="Arial"/>
          <w:sz w:val="15"/>
          <w:szCs w:val="15"/>
        </w:rPr>
        <w:t>Fonte: Commissione europea, DG ECFIN</w:t>
      </w:r>
    </w:p>
    <w:p w14:paraId="2D1F637D" w14:textId="77777777" w:rsidR="003D4853" w:rsidRDefault="003D4853" w:rsidP="00FE51D1">
      <w:pPr>
        <w:autoSpaceDE w:val="0"/>
        <w:autoSpaceDN w:val="0"/>
        <w:adjustRightInd w:val="0"/>
        <w:spacing w:before="60" w:after="120"/>
        <w:ind w:right="6"/>
        <w:jc w:val="both"/>
        <w:rPr>
          <w:rFonts w:ascii="Arial" w:hAnsi="Arial" w:cs="Arial"/>
          <w:sz w:val="22"/>
          <w:szCs w:val="22"/>
        </w:rPr>
      </w:pPr>
    </w:p>
    <w:p w14:paraId="2E123FD3" w14:textId="726E15C3" w:rsidR="00663E93" w:rsidRPr="00292DDA" w:rsidRDefault="00663E93" w:rsidP="00A457DF">
      <w:pPr>
        <w:pStyle w:val="012titoloparagrafo"/>
        <w:pBdr>
          <w:top w:val="single" w:sz="8" w:space="1" w:color="068080"/>
          <w:bottom w:val="single" w:sz="8" w:space="1" w:color="068080"/>
        </w:pBdr>
        <w:shd w:val="clear" w:color="auto" w:fill="068080"/>
        <w:spacing w:before="0" w:after="0"/>
        <w:ind w:right="-6"/>
        <w:rPr>
          <w:b w:val="0"/>
          <w:bCs/>
          <w:smallCaps/>
          <w:color w:val="FFFFFF" w:themeColor="background1"/>
          <w:sz w:val="24"/>
          <w:szCs w:val="24"/>
        </w:rPr>
      </w:pPr>
      <w:r w:rsidRPr="00292DDA">
        <w:rPr>
          <w:b w:val="0"/>
          <w:bCs/>
          <w:smallCaps/>
          <w:color w:val="FFFFFF" w:themeColor="background1"/>
          <w:sz w:val="24"/>
          <w:szCs w:val="24"/>
        </w:rPr>
        <w:t>LA CONGIUNTURA ITALIANA</w:t>
      </w:r>
    </w:p>
    <w:p w14:paraId="4995E229" w14:textId="4F03B22D" w:rsidR="007F3A7A" w:rsidRPr="00041CE7" w:rsidRDefault="007F3A7A" w:rsidP="00DB121E">
      <w:pPr>
        <w:shd w:val="clear" w:color="auto" w:fill="FFFFFF"/>
        <w:spacing w:before="60" w:after="120"/>
        <w:jc w:val="both"/>
        <w:rPr>
          <w:rFonts w:ascii="Arial" w:eastAsia="Aptos" w:hAnsi="Arial" w:cs="Arial"/>
          <w:sz w:val="22"/>
          <w:szCs w:val="22"/>
        </w:rPr>
      </w:pPr>
      <w:r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Pil </w:t>
      </w: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stazionario</w:t>
      </w:r>
      <w:r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nel </w:t>
      </w:r>
      <w:r w:rsidR="00C61CE5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terzo</w:t>
      </w:r>
      <w:r w:rsidR="00C61CE5"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</w:t>
      </w:r>
      <w:r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trimestre. </w:t>
      </w:r>
      <w:r w:rsidR="00C61CE5">
        <w:rPr>
          <w:rFonts w:ascii="Arial" w:eastAsia="Aptos" w:hAnsi="Arial" w:cs="Arial"/>
          <w:sz w:val="22"/>
          <w:szCs w:val="22"/>
        </w:rPr>
        <w:t>S</w:t>
      </w:r>
      <w:r w:rsidR="00C61CE5" w:rsidRPr="00041CE7">
        <w:rPr>
          <w:rFonts w:ascii="Arial" w:eastAsia="Aptos" w:hAnsi="Arial" w:cs="Arial"/>
          <w:sz w:val="22"/>
          <w:szCs w:val="22"/>
        </w:rPr>
        <w:t>econdo la stima preliminare</w:t>
      </w:r>
      <w:r w:rsidR="00C61CE5">
        <w:rPr>
          <w:rFonts w:ascii="Arial" w:eastAsia="Aptos" w:hAnsi="Arial" w:cs="Arial"/>
          <w:sz w:val="22"/>
          <w:szCs w:val="22"/>
        </w:rPr>
        <w:t>,</w:t>
      </w:r>
      <w:r w:rsidR="00C61CE5" w:rsidRPr="00041CE7">
        <w:rPr>
          <w:rFonts w:ascii="Arial" w:eastAsia="Aptos" w:hAnsi="Arial" w:cs="Arial"/>
          <w:sz w:val="22"/>
          <w:szCs w:val="22"/>
        </w:rPr>
        <w:t xml:space="preserve"> </w:t>
      </w:r>
      <w:r w:rsidR="00C61CE5">
        <w:rPr>
          <w:rFonts w:ascii="Arial" w:eastAsia="Aptos" w:hAnsi="Arial" w:cs="Arial"/>
          <w:sz w:val="22"/>
          <w:szCs w:val="22"/>
        </w:rPr>
        <w:t>n</w:t>
      </w:r>
      <w:r w:rsidRPr="00041CE7">
        <w:rPr>
          <w:rFonts w:ascii="Arial" w:eastAsia="Aptos" w:hAnsi="Arial" w:cs="Arial"/>
          <w:sz w:val="22"/>
          <w:szCs w:val="22"/>
        </w:rPr>
        <w:t xml:space="preserve">el terzo trimestre il </w:t>
      </w:r>
      <w:hyperlink r:id="rId14" w:history="1">
        <w:r w:rsidRPr="00527E7D">
          <w:rPr>
            <w:rStyle w:val="Collegamentoipertestuale"/>
            <w:rFonts w:ascii="Arial" w:eastAsia="Aptos" w:hAnsi="Arial" w:cs="Arial"/>
            <w:sz w:val="22"/>
            <w:szCs w:val="22"/>
          </w:rPr>
          <w:t>P</w:t>
        </w:r>
        <w:r w:rsidR="00AE66DA">
          <w:rPr>
            <w:rStyle w:val="Collegamentoipertestuale"/>
            <w:rFonts w:ascii="Arial" w:eastAsia="Aptos" w:hAnsi="Arial" w:cs="Arial"/>
            <w:sz w:val="22"/>
            <w:szCs w:val="22"/>
          </w:rPr>
          <w:t>il</w:t>
        </w:r>
        <w:r w:rsidRPr="00527E7D">
          <w:rPr>
            <w:rStyle w:val="Collegamentoipertestuale"/>
            <w:rFonts w:ascii="Arial" w:eastAsia="Aptos" w:hAnsi="Arial" w:cs="Arial"/>
            <w:sz w:val="22"/>
            <w:szCs w:val="22"/>
          </w:rPr>
          <w:t xml:space="preserve"> italiano</w:t>
        </w:r>
      </w:hyperlink>
      <w:r w:rsidR="00681E96">
        <w:rPr>
          <w:rStyle w:val="Collegamentoipertestuale"/>
          <w:rFonts w:ascii="Arial" w:eastAsia="Aptos" w:hAnsi="Arial" w:cs="Arial"/>
          <w:sz w:val="22"/>
          <w:szCs w:val="22"/>
        </w:rPr>
        <w:t xml:space="preserve"> </w:t>
      </w:r>
      <w:r w:rsidRPr="00041CE7">
        <w:rPr>
          <w:rFonts w:ascii="Arial" w:eastAsia="Aptos" w:hAnsi="Arial" w:cs="Arial"/>
          <w:sz w:val="22"/>
          <w:szCs w:val="22"/>
        </w:rPr>
        <w:t xml:space="preserve">è rimasto </w:t>
      </w:r>
      <w:r w:rsidR="0018007C">
        <w:rPr>
          <w:rFonts w:ascii="Arial" w:eastAsia="Aptos" w:hAnsi="Arial" w:cs="Arial"/>
          <w:sz w:val="22"/>
          <w:szCs w:val="22"/>
        </w:rPr>
        <w:t>invariato</w:t>
      </w:r>
      <w:r w:rsidR="0018007C" w:rsidRPr="00041CE7">
        <w:rPr>
          <w:rFonts w:ascii="Arial" w:eastAsia="Aptos" w:hAnsi="Arial" w:cs="Arial"/>
          <w:sz w:val="22"/>
          <w:szCs w:val="22"/>
        </w:rPr>
        <w:t xml:space="preserve"> </w:t>
      </w:r>
      <w:r w:rsidRPr="00041CE7">
        <w:rPr>
          <w:rFonts w:ascii="Arial" w:eastAsia="Aptos" w:hAnsi="Arial" w:cs="Arial"/>
          <w:sz w:val="22"/>
          <w:szCs w:val="22"/>
        </w:rPr>
        <w:t xml:space="preserve">rispetto </w:t>
      </w:r>
      <w:r w:rsidR="002C6AD6">
        <w:rPr>
          <w:rFonts w:ascii="Arial" w:eastAsia="Aptos" w:hAnsi="Arial" w:cs="Arial"/>
          <w:sz w:val="22"/>
          <w:szCs w:val="22"/>
        </w:rPr>
        <w:t>ai tre mesi precedenti</w:t>
      </w:r>
      <w:r w:rsidR="00AC026A">
        <w:rPr>
          <w:rFonts w:ascii="Arial" w:eastAsia="Aptos" w:hAnsi="Arial" w:cs="Arial"/>
          <w:sz w:val="22"/>
          <w:szCs w:val="22"/>
        </w:rPr>
        <w:t>. Il risultato è stato</w:t>
      </w:r>
      <w:r w:rsidRPr="00041CE7">
        <w:rPr>
          <w:rFonts w:ascii="Arial" w:eastAsia="Aptos" w:hAnsi="Arial" w:cs="Arial"/>
          <w:sz w:val="22"/>
          <w:szCs w:val="22"/>
        </w:rPr>
        <w:t xml:space="preserve"> inferiore</w:t>
      </w:r>
      <w:r>
        <w:rPr>
          <w:rFonts w:ascii="Arial" w:eastAsia="Aptos" w:hAnsi="Arial" w:cs="Arial"/>
          <w:sz w:val="22"/>
          <w:szCs w:val="22"/>
        </w:rPr>
        <w:t xml:space="preserve"> a quello di Francia e Spagna e analogo a quello della Germania (Figura 3)</w:t>
      </w:r>
      <w:r w:rsidRPr="00041CE7">
        <w:rPr>
          <w:rFonts w:ascii="Arial" w:eastAsia="Aptos" w:hAnsi="Arial" w:cs="Arial"/>
          <w:sz w:val="22"/>
          <w:szCs w:val="22"/>
        </w:rPr>
        <w:t xml:space="preserve">. La domanda nazionale (al lordo delle </w:t>
      </w:r>
      <w:r w:rsidR="002C6AD6">
        <w:rPr>
          <w:rFonts w:ascii="Arial" w:eastAsia="Aptos" w:hAnsi="Arial" w:cs="Arial"/>
          <w:sz w:val="22"/>
          <w:szCs w:val="22"/>
        </w:rPr>
        <w:t>scorte) ha fornito un apporto</w:t>
      </w:r>
      <w:r w:rsidRPr="00041CE7">
        <w:rPr>
          <w:rFonts w:ascii="Arial" w:eastAsia="Aptos" w:hAnsi="Arial" w:cs="Arial"/>
          <w:sz w:val="22"/>
          <w:szCs w:val="22"/>
        </w:rPr>
        <w:t xml:space="preserve"> negativo, mentre la componente estera netta ha contribuito positivamente. L</w:t>
      </w:r>
      <w:r w:rsidR="0018007C">
        <w:rPr>
          <w:rFonts w:ascii="Arial" w:eastAsia="Aptos" w:hAnsi="Arial" w:cs="Arial"/>
          <w:sz w:val="22"/>
          <w:szCs w:val="22"/>
        </w:rPr>
        <w:t>’incremento</w:t>
      </w:r>
      <w:r w:rsidRPr="00041CE7">
        <w:rPr>
          <w:rFonts w:ascii="Arial" w:eastAsia="Aptos" w:hAnsi="Arial" w:cs="Arial"/>
          <w:sz w:val="22"/>
          <w:szCs w:val="22"/>
        </w:rPr>
        <w:t xml:space="preserve"> congiunturale </w:t>
      </w:r>
      <w:r w:rsidR="00681E96">
        <w:rPr>
          <w:rFonts w:ascii="Arial" w:eastAsia="Aptos" w:hAnsi="Arial" w:cs="Arial"/>
          <w:sz w:val="22"/>
          <w:szCs w:val="22"/>
        </w:rPr>
        <w:t>null</w:t>
      </w:r>
      <w:r w:rsidR="0018007C">
        <w:rPr>
          <w:rFonts w:ascii="Arial" w:eastAsia="Aptos" w:hAnsi="Arial" w:cs="Arial"/>
          <w:sz w:val="22"/>
          <w:szCs w:val="22"/>
        </w:rPr>
        <w:t>o</w:t>
      </w:r>
      <w:r w:rsidR="00681E96">
        <w:rPr>
          <w:rFonts w:ascii="Arial" w:eastAsia="Aptos" w:hAnsi="Arial" w:cs="Arial"/>
          <w:sz w:val="22"/>
          <w:szCs w:val="22"/>
        </w:rPr>
        <w:t xml:space="preserve"> </w:t>
      </w:r>
      <w:r w:rsidRPr="00041CE7">
        <w:rPr>
          <w:rFonts w:ascii="Arial" w:eastAsia="Aptos" w:hAnsi="Arial" w:cs="Arial"/>
          <w:sz w:val="22"/>
          <w:szCs w:val="22"/>
        </w:rPr>
        <w:t>è stat</w:t>
      </w:r>
      <w:r w:rsidR="0018007C">
        <w:rPr>
          <w:rFonts w:ascii="Arial" w:eastAsia="Aptos" w:hAnsi="Arial" w:cs="Arial"/>
          <w:sz w:val="22"/>
          <w:szCs w:val="22"/>
        </w:rPr>
        <w:t>o</w:t>
      </w:r>
      <w:r w:rsidRPr="00041CE7">
        <w:rPr>
          <w:rFonts w:ascii="Arial" w:eastAsia="Aptos" w:hAnsi="Arial" w:cs="Arial"/>
          <w:sz w:val="22"/>
          <w:szCs w:val="22"/>
        </w:rPr>
        <w:t xml:space="preserve"> il risultato di </w:t>
      </w:r>
      <w:r w:rsidR="00681E96">
        <w:rPr>
          <w:rFonts w:ascii="Arial" w:eastAsia="Aptos" w:hAnsi="Arial" w:cs="Arial"/>
          <w:sz w:val="22"/>
          <w:szCs w:val="22"/>
        </w:rPr>
        <w:t xml:space="preserve">un aumento in agricoltura, </w:t>
      </w:r>
      <w:r w:rsidRPr="00041CE7">
        <w:rPr>
          <w:rFonts w:ascii="Arial" w:eastAsia="Aptos" w:hAnsi="Arial" w:cs="Arial"/>
          <w:sz w:val="22"/>
          <w:szCs w:val="22"/>
        </w:rPr>
        <w:t>una contrazione dell’industria e di una stazionarietà nei servizi. La variazione acquisita per il 2025 è pari a +0,5%.</w:t>
      </w:r>
    </w:p>
    <w:p w14:paraId="465861A2" w14:textId="5BD73F1D" w:rsidR="000441A1" w:rsidRDefault="00E34B35" w:rsidP="00903790">
      <w:pPr>
        <w:shd w:val="clear" w:color="auto" w:fill="FFFFFF"/>
        <w:spacing w:before="60" w:after="120"/>
        <w:rPr>
          <w:rFonts w:ascii="Arial" w:eastAsia="Aptos" w:hAnsi="Arial" w:cs="Arial"/>
          <w:sz w:val="22"/>
          <w:szCs w:val="22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P</w:t>
      </w:r>
      <w:r w:rsidR="000441A1" w:rsidRPr="000441A1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roduzione industriale</w:t>
      </w: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</w:t>
      </w:r>
      <w:r w:rsidR="00C4088A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in ripresa a settembre:</w:t>
      </w:r>
      <w:r w:rsidR="000441A1">
        <w:rPr>
          <w:rFonts w:ascii="Arial" w:eastAsia="Aptos" w:hAnsi="Arial" w:cs="Arial"/>
          <w:sz w:val="22"/>
          <w:szCs w:val="22"/>
        </w:rPr>
        <w:t xml:space="preserve"> </w:t>
      </w:r>
      <w:r w:rsidR="00C4088A">
        <w:rPr>
          <w:rFonts w:ascii="Arial" w:eastAsia="Aptos" w:hAnsi="Arial" w:cs="Arial"/>
          <w:sz w:val="22"/>
          <w:szCs w:val="22"/>
        </w:rPr>
        <w:t>l</w:t>
      </w:r>
      <w:r w:rsidR="000441A1" w:rsidRPr="000441A1">
        <w:rPr>
          <w:rFonts w:ascii="Arial" w:eastAsia="Aptos" w:hAnsi="Arial" w:cs="Arial"/>
          <w:sz w:val="22"/>
          <w:szCs w:val="22"/>
        </w:rPr>
        <w:t>’</w:t>
      </w:r>
      <w:hyperlink r:id="rId15" w:history="1">
        <w:r w:rsidR="009D351F" w:rsidRPr="00527E7D">
          <w:rPr>
            <w:rStyle w:val="Collegamentoipertestuale"/>
            <w:rFonts w:ascii="Arial" w:eastAsia="Aptos" w:hAnsi="Arial" w:cs="Arial"/>
            <w:sz w:val="22"/>
            <w:szCs w:val="22"/>
          </w:rPr>
          <w:t xml:space="preserve">indice destagionalizzato della produzione </w:t>
        </w:r>
        <w:r w:rsidR="009D351F">
          <w:rPr>
            <w:rStyle w:val="Collegamentoipertestuale"/>
            <w:rFonts w:ascii="Arial" w:eastAsia="Aptos" w:hAnsi="Arial" w:cs="Arial"/>
            <w:sz w:val="22"/>
            <w:szCs w:val="22"/>
          </w:rPr>
          <w:t>industriale</w:t>
        </w:r>
      </w:hyperlink>
      <w:r w:rsidR="009D351F" w:rsidRPr="000441A1">
        <w:rPr>
          <w:rFonts w:ascii="Arial" w:eastAsia="Aptos" w:hAnsi="Arial" w:cs="Arial"/>
          <w:sz w:val="22"/>
          <w:szCs w:val="22"/>
        </w:rPr>
        <w:t xml:space="preserve"> </w:t>
      </w:r>
      <w:r w:rsidR="000441A1" w:rsidRPr="000441A1">
        <w:rPr>
          <w:rFonts w:ascii="Arial" w:eastAsia="Aptos" w:hAnsi="Arial" w:cs="Arial"/>
          <w:sz w:val="22"/>
          <w:szCs w:val="22"/>
        </w:rPr>
        <w:t>è aumentato del 2,8% rispetto ad agosto, compensando il forte calo registrato nel mese prece</w:t>
      </w:r>
      <w:r w:rsidR="000441A1">
        <w:rPr>
          <w:rFonts w:ascii="Arial" w:eastAsia="Aptos" w:hAnsi="Arial" w:cs="Arial"/>
          <w:sz w:val="22"/>
          <w:szCs w:val="22"/>
        </w:rPr>
        <w:t xml:space="preserve">dente </w:t>
      </w:r>
      <w:r w:rsidR="00B42880">
        <w:rPr>
          <w:rFonts w:ascii="Arial" w:eastAsia="Aptos" w:hAnsi="Arial" w:cs="Arial"/>
          <w:sz w:val="22"/>
          <w:szCs w:val="22"/>
        </w:rPr>
        <w:br/>
      </w:r>
      <w:r w:rsidR="000441A1">
        <w:rPr>
          <w:rFonts w:ascii="Arial" w:eastAsia="Aptos" w:hAnsi="Arial" w:cs="Arial"/>
          <w:sz w:val="22"/>
          <w:szCs w:val="22"/>
        </w:rPr>
        <w:t xml:space="preserve">(-2,7%). </w:t>
      </w:r>
      <w:r w:rsidR="007A7E31">
        <w:rPr>
          <w:rFonts w:ascii="Arial" w:eastAsia="Aptos" w:hAnsi="Arial" w:cs="Arial"/>
          <w:sz w:val="22"/>
          <w:szCs w:val="22"/>
        </w:rPr>
        <w:t>N</w:t>
      </w:r>
      <w:r w:rsidR="000441A1" w:rsidRPr="000441A1">
        <w:rPr>
          <w:rFonts w:ascii="Arial" w:eastAsia="Aptos" w:hAnsi="Arial" w:cs="Arial"/>
          <w:sz w:val="22"/>
          <w:szCs w:val="22"/>
        </w:rPr>
        <w:t>el terzo trimestre</w:t>
      </w:r>
      <w:r w:rsidR="007A7E31">
        <w:rPr>
          <w:rFonts w:ascii="Arial" w:eastAsia="Aptos" w:hAnsi="Arial" w:cs="Arial"/>
          <w:sz w:val="22"/>
          <w:szCs w:val="22"/>
        </w:rPr>
        <w:t>, tuttavia,</w:t>
      </w:r>
      <w:r w:rsidR="000441A1" w:rsidRPr="000441A1">
        <w:rPr>
          <w:rFonts w:ascii="Arial" w:eastAsia="Aptos" w:hAnsi="Arial" w:cs="Arial"/>
          <w:sz w:val="22"/>
          <w:szCs w:val="22"/>
        </w:rPr>
        <w:t xml:space="preserve"> la produzione ha segnato una diminuzione dello 0,5% rispetto ai tre mesi precedenti</w:t>
      </w:r>
      <w:r w:rsidR="002A1EE8">
        <w:rPr>
          <w:rFonts w:ascii="Arial" w:eastAsia="Aptos" w:hAnsi="Arial" w:cs="Arial"/>
          <w:sz w:val="22"/>
          <w:szCs w:val="22"/>
        </w:rPr>
        <w:t>.</w:t>
      </w:r>
      <w:r w:rsidR="004268EB">
        <w:rPr>
          <w:rFonts w:ascii="Arial" w:eastAsia="Aptos" w:hAnsi="Arial" w:cs="Arial"/>
          <w:sz w:val="22"/>
          <w:szCs w:val="22"/>
        </w:rPr>
        <w:t xml:space="preserve"> </w:t>
      </w:r>
      <w:r w:rsidR="002A1EE8">
        <w:rPr>
          <w:rFonts w:ascii="Arial" w:eastAsia="Aptos" w:hAnsi="Arial" w:cs="Arial"/>
          <w:sz w:val="22"/>
          <w:szCs w:val="22"/>
        </w:rPr>
        <w:t>A</w:t>
      </w:r>
      <w:r w:rsidR="004268EB">
        <w:rPr>
          <w:rFonts w:ascii="Arial" w:eastAsia="Aptos" w:hAnsi="Arial" w:cs="Arial"/>
          <w:sz w:val="22"/>
          <w:szCs w:val="22"/>
        </w:rPr>
        <w:t xml:space="preserve"> questo risultato ha contribuito il forte calo </w:t>
      </w:r>
      <w:r w:rsidR="004268EB" w:rsidRPr="000441A1">
        <w:rPr>
          <w:rFonts w:ascii="Arial" w:eastAsia="Aptos" w:hAnsi="Arial" w:cs="Arial"/>
          <w:sz w:val="22"/>
          <w:szCs w:val="22"/>
        </w:rPr>
        <w:t xml:space="preserve">(-6,2% </w:t>
      </w:r>
      <w:r w:rsidR="004268EB">
        <w:rPr>
          <w:rFonts w:ascii="Arial" w:eastAsia="Aptos" w:hAnsi="Arial" w:cs="Arial"/>
          <w:sz w:val="22"/>
          <w:szCs w:val="22"/>
        </w:rPr>
        <w:t>su base congiunturale) del</w:t>
      </w:r>
      <w:r w:rsidR="004268EB" w:rsidRPr="000441A1">
        <w:rPr>
          <w:rFonts w:ascii="Arial" w:eastAsia="Aptos" w:hAnsi="Arial" w:cs="Arial"/>
          <w:sz w:val="22"/>
          <w:szCs w:val="22"/>
        </w:rPr>
        <w:t xml:space="preserve"> settore energetico, </w:t>
      </w:r>
      <w:r w:rsidR="004268EB">
        <w:rPr>
          <w:rFonts w:ascii="Arial" w:eastAsia="Aptos" w:hAnsi="Arial" w:cs="Arial"/>
          <w:sz w:val="22"/>
          <w:szCs w:val="22"/>
        </w:rPr>
        <w:t>non bilanciato dal</w:t>
      </w:r>
      <w:r w:rsidR="009608BB">
        <w:rPr>
          <w:rFonts w:ascii="Arial" w:eastAsia="Aptos" w:hAnsi="Arial" w:cs="Arial"/>
          <w:sz w:val="22"/>
          <w:szCs w:val="22"/>
        </w:rPr>
        <w:t xml:space="preserve">la positiva performance </w:t>
      </w:r>
      <w:r w:rsidR="009608BB" w:rsidRPr="000441A1">
        <w:rPr>
          <w:rFonts w:ascii="Arial" w:eastAsia="Aptos" w:hAnsi="Arial" w:cs="Arial"/>
          <w:sz w:val="22"/>
          <w:szCs w:val="22"/>
        </w:rPr>
        <w:t>nella produzione di beni intermedi e beni strumentali</w:t>
      </w:r>
      <w:r w:rsidR="002A1EE8">
        <w:rPr>
          <w:rFonts w:ascii="Arial" w:eastAsia="Aptos" w:hAnsi="Arial" w:cs="Arial"/>
          <w:sz w:val="22"/>
          <w:szCs w:val="22"/>
        </w:rPr>
        <w:t xml:space="preserve"> </w:t>
      </w:r>
      <w:r w:rsidR="002A1EE8" w:rsidRPr="000441A1">
        <w:rPr>
          <w:rFonts w:ascii="Arial" w:eastAsia="Aptos" w:hAnsi="Arial" w:cs="Arial"/>
          <w:sz w:val="22"/>
          <w:szCs w:val="22"/>
        </w:rPr>
        <w:t>(+0,</w:t>
      </w:r>
      <w:r w:rsidR="004906E1">
        <w:rPr>
          <w:rFonts w:ascii="Arial" w:eastAsia="Aptos" w:hAnsi="Arial" w:cs="Arial"/>
          <w:sz w:val="22"/>
          <w:szCs w:val="22"/>
        </w:rPr>
        <w:t>1</w:t>
      </w:r>
      <w:r w:rsidR="002A1EE8" w:rsidRPr="000441A1">
        <w:rPr>
          <w:rFonts w:ascii="Arial" w:eastAsia="Aptos" w:hAnsi="Arial" w:cs="Arial"/>
          <w:sz w:val="22"/>
          <w:szCs w:val="22"/>
        </w:rPr>
        <w:t>% e +0,</w:t>
      </w:r>
      <w:r w:rsidR="004906E1">
        <w:rPr>
          <w:rFonts w:ascii="Arial" w:eastAsia="Aptos" w:hAnsi="Arial" w:cs="Arial"/>
          <w:sz w:val="22"/>
          <w:szCs w:val="22"/>
        </w:rPr>
        <w:t>5</w:t>
      </w:r>
      <w:r w:rsidR="002A1EE8" w:rsidRPr="000441A1">
        <w:rPr>
          <w:rFonts w:ascii="Arial" w:eastAsia="Aptos" w:hAnsi="Arial" w:cs="Arial"/>
          <w:sz w:val="22"/>
          <w:szCs w:val="22"/>
        </w:rPr>
        <w:t>%</w:t>
      </w:r>
      <w:r w:rsidR="002A1EE8">
        <w:rPr>
          <w:rFonts w:ascii="Arial" w:eastAsia="Aptos" w:hAnsi="Arial" w:cs="Arial"/>
          <w:sz w:val="22"/>
          <w:szCs w:val="22"/>
        </w:rPr>
        <w:t xml:space="preserve"> rispettivamente</w:t>
      </w:r>
      <w:r w:rsidR="002A1EE8" w:rsidRPr="000441A1">
        <w:rPr>
          <w:rFonts w:ascii="Arial" w:eastAsia="Aptos" w:hAnsi="Arial" w:cs="Arial"/>
          <w:sz w:val="22"/>
          <w:szCs w:val="22"/>
        </w:rPr>
        <w:t>)</w:t>
      </w:r>
      <w:r w:rsidR="000441A1" w:rsidRPr="000441A1">
        <w:rPr>
          <w:rFonts w:ascii="Arial" w:eastAsia="Aptos" w:hAnsi="Arial" w:cs="Arial"/>
          <w:sz w:val="22"/>
          <w:szCs w:val="22"/>
        </w:rPr>
        <w:t xml:space="preserve">. Nello stesso </w:t>
      </w:r>
      <w:r w:rsidR="000441A1">
        <w:rPr>
          <w:rFonts w:ascii="Arial" w:eastAsia="Aptos" w:hAnsi="Arial" w:cs="Arial"/>
          <w:sz w:val="22"/>
          <w:szCs w:val="22"/>
        </w:rPr>
        <w:t>periodo</w:t>
      </w:r>
      <w:r w:rsidR="000441A1" w:rsidRPr="000441A1">
        <w:rPr>
          <w:rFonts w:ascii="Arial" w:eastAsia="Aptos" w:hAnsi="Arial" w:cs="Arial"/>
          <w:sz w:val="22"/>
          <w:szCs w:val="22"/>
        </w:rPr>
        <w:t xml:space="preserve">, </w:t>
      </w:r>
      <w:r w:rsidR="00F95F7F">
        <w:rPr>
          <w:rFonts w:ascii="Arial" w:eastAsia="Aptos" w:hAnsi="Arial" w:cs="Arial"/>
          <w:sz w:val="22"/>
          <w:szCs w:val="22"/>
        </w:rPr>
        <w:t xml:space="preserve">è </w:t>
      </w:r>
      <w:r w:rsidR="0018007C">
        <w:rPr>
          <w:rFonts w:ascii="Arial" w:eastAsia="Aptos" w:hAnsi="Arial" w:cs="Arial"/>
          <w:sz w:val="22"/>
          <w:szCs w:val="22"/>
        </w:rPr>
        <w:t>aumentata</w:t>
      </w:r>
      <w:r w:rsidR="003276FB">
        <w:rPr>
          <w:rFonts w:ascii="Arial" w:eastAsia="Aptos" w:hAnsi="Arial" w:cs="Arial"/>
          <w:sz w:val="22"/>
          <w:szCs w:val="22"/>
        </w:rPr>
        <w:t xml:space="preserve"> anche </w:t>
      </w:r>
      <w:r w:rsidR="000441A1" w:rsidRPr="000441A1">
        <w:rPr>
          <w:rFonts w:ascii="Arial" w:eastAsia="Aptos" w:hAnsi="Arial" w:cs="Arial"/>
          <w:sz w:val="22"/>
          <w:szCs w:val="22"/>
        </w:rPr>
        <w:t>la produzione di beni di consumo (+0,8%).</w:t>
      </w:r>
    </w:p>
    <w:p w14:paraId="68A02180" w14:textId="5AC7C683" w:rsidR="00EB46D1" w:rsidRDefault="007F3A7A" w:rsidP="00DB121E">
      <w:pPr>
        <w:shd w:val="clear" w:color="auto" w:fill="FFFFFF"/>
        <w:spacing w:before="60" w:after="120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Il settore delle costruzioni in </w:t>
      </w:r>
      <w:r w:rsidR="004D7F8F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calo</w:t>
      </w:r>
      <w:r w:rsidR="00B42880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…</w:t>
      </w:r>
      <w:r w:rsidR="007966DA">
        <w:rPr>
          <w:rFonts w:ascii="Arial" w:eastAsia="Aptos" w:hAnsi="Arial" w:cs="Arial"/>
          <w:sz w:val="22"/>
          <w:szCs w:val="22"/>
        </w:rPr>
        <w:t xml:space="preserve"> L</w:t>
      </w:r>
      <w:r w:rsidRPr="00041CE7">
        <w:rPr>
          <w:rFonts w:ascii="Arial" w:eastAsia="Aptos" w:hAnsi="Arial" w:cs="Arial"/>
          <w:sz w:val="22"/>
          <w:szCs w:val="22"/>
        </w:rPr>
        <w:t>’</w:t>
      </w:r>
      <w:hyperlink r:id="rId16" w:history="1">
        <w:r w:rsidRPr="00527E7D">
          <w:rPr>
            <w:rStyle w:val="Collegamentoipertestuale"/>
            <w:rFonts w:ascii="Arial" w:eastAsia="Aptos" w:hAnsi="Arial" w:cs="Arial"/>
            <w:sz w:val="22"/>
            <w:szCs w:val="22"/>
          </w:rPr>
          <w:t>indice destagionalizzato della produzione nelle costruzioni</w:t>
        </w:r>
      </w:hyperlink>
      <w:r w:rsidRPr="00041CE7">
        <w:rPr>
          <w:rFonts w:ascii="Arial" w:eastAsia="Aptos" w:hAnsi="Arial" w:cs="Arial"/>
          <w:sz w:val="22"/>
          <w:szCs w:val="22"/>
        </w:rPr>
        <w:t xml:space="preserve"> è diminuito </w:t>
      </w:r>
      <w:r w:rsidR="00FC4D82">
        <w:rPr>
          <w:rFonts w:ascii="Arial" w:eastAsia="Aptos" w:hAnsi="Arial" w:cs="Arial"/>
          <w:sz w:val="22"/>
          <w:szCs w:val="22"/>
        </w:rPr>
        <w:t>ad</w:t>
      </w:r>
      <w:r w:rsidR="00AC6E40">
        <w:rPr>
          <w:rFonts w:ascii="Arial" w:eastAsia="Aptos" w:hAnsi="Arial" w:cs="Arial"/>
          <w:sz w:val="22"/>
          <w:szCs w:val="22"/>
        </w:rPr>
        <w:t xml:space="preserve"> agosto </w:t>
      </w:r>
      <w:r w:rsidRPr="00041CE7">
        <w:rPr>
          <w:rFonts w:ascii="Arial" w:eastAsia="Aptos" w:hAnsi="Arial" w:cs="Arial"/>
          <w:sz w:val="22"/>
          <w:szCs w:val="22"/>
        </w:rPr>
        <w:t>dell’1,6% in termini congiunturali, raggiungendo i livelli più bassi dallo scorso marzo. Tuttavia, su b</w:t>
      </w:r>
      <w:r w:rsidR="007966DA">
        <w:rPr>
          <w:rFonts w:ascii="Arial" w:eastAsia="Aptos" w:hAnsi="Arial" w:cs="Arial"/>
          <w:sz w:val="22"/>
          <w:szCs w:val="22"/>
        </w:rPr>
        <w:t>ase trimestrale mobile, la variazione</w:t>
      </w:r>
      <w:r w:rsidRPr="00041CE7">
        <w:rPr>
          <w:rFonts w:ascii="Arial" w:eastAsia="Aptos" w:hAnsi="Arial" w:cs="Arial"/>
          <w:sz w:val="22"/>
          <w:szCs w:val="22"/>
        </w:rPr>
        <w:t xml:space="preserve"> risulta ancora po</w:t>
      </w:r>
      <w:r w:rsidR="007966DA">
        <w:rPr>
          <w:rFonts w:ascii="Arial" w:eastAsia="Aptos" w:hAnsi="Arial" w:cs="Arial"/>
          <w:sz w:val="22"/>
          <w:szCs w:val="22"/>
        </w:rPr>
        <w:t>sitiva</w:t>
      </w:r>
      <w:r w:rsidRPr="00041CE7">
        <w:rPr>
          <w:rFonts w:ascii="Arial" w:eastAsia="Aptos" w:hAnsi="Arial" w:cs="Arial"/>
          <w:sz w:val="22"/>
          <w:szCs w:val="22"/>
        </w:rPr>
        <w:t xml:space="preserve"> (+0,4% nel periodo giugno-agosto rispetto al trimestre precedente) e, nella media dei primi otto mesi del 2025, l’indice corretto per gli effetti di calendario è aumentato del 4,7%</w:t>
      </w:r>
      <w:r w:rsidR="00F95F7F">
        <w:rPr>
          <w:rFonts w:ascii="Arial" w:eastAsia="Aptos" w:hAnsi="Arial" w:cs="Arial"/>
          <w:sz w:val="22"/>
          <w:szCs w:val="22"/>
        </w:rPr>
        <w:t xml:space="preserve"> in termini tendenziali</w:t>
      </w:r>
      <w:r w:rsidRPr="00041CE7">
        <w:rPr>
          <w:rFonts w:ascii="Arial" w:eastAsia="Aptos" w:hAnsi="Arial" w:cs="Arial"/>
          <w:sz w:val="22"/>
          <w:szCs w:val="22"/>
        </w:rPr>
        <w:t>.</w:t>
      </w:r>
      <w:r>
        <w:rPr>
          <w:rFonts w:ascii="Arial" w:eastAsia="Aptos" w:hAnsi="Arial" w:cs="Arial"/>
          <w:sz w:val="22"/>
          <w:szCs w:val="22"/>
        </w:rPr>
        <w:t xml:space="preserve"> </w:t>
      </w:r>
    </w:p>
    <w:p w14:paraId="4F34B701" w14:textId="6B9D2269" w:rsidR="007F3A7A" w:rsidRPr="00041CE7" w:rsidRDefault="007F3A7A" w:rsidP="00DB121E">
      <w:pPr>
        <w:shd w:val="clear" w:color="auto" w:fill="FFFFFF"/>
        <w:spacing w:before="60" w:after="120"/>
        <w:jc w:val="both"/>
        <w:rPr>
          <w:rFonts w:ascii="Arial" w:eastAsia="Aptos" w:hAnsi="Arial" w:cs="Arial"/>
          <w:sz w:val="22"/>
          <w:szCs w:val="22"/>
        </w:rPr>
      </w:pPr>
      <w:r w:rsidRPr="00041CE7">
        <w:rPr>
          <w:rFonts w:ascii="Arial" w:eastAsia="Aptos" w:hAnsi="Arial" w:cs="Arial"/>
          <w:sz w:val="22"/>
          <w:szCs w:val="22"/>
        </w:rPr>
        <w:t xml:space="preserve">La fase di rallentamento ha interessato sia il settore residenziale sia quello non residenziale. Sulla base dei risultati dei </w:t>
      </w:r>
      <w:hyperlink r:id="rId17" w:history="1">
        <w:r w:rsidRPr="006B7512">
          <w:rPr>
            <w:rStyle w:val="Collegamentoipertestuale"/>
            <w:rFonts w:ascii="Arial" w:eastAsia="Aptos" w:hAnsi="Arial" w:cs="Arial"/>
            <w:sz w:val="22"/>
            <w:szCs w:val="22"/>
          </w:rPr>
          <w:t>permessi di costruire</w:t>
        </w:r>
      </w:hyperlink>
      <w:r w:rsidRPr="00041CE7">
        <w:rPr>
          <w:rFonts w:ascii="Arial" w:eastAsia="Aptos" w:hAnsi="Arial" w:cs="Arial"/>
          <w:sz w:val="22"/>
          <w:szCs w:val="22"/>
        </w:rPr>
        <w:t xml:space="preserve"> relativi al secondo trimestre dell’anno, il comparto residenziale ha registrato, in termini congiunturali, un </w:t>
      </w:r>
      <w:r w:rsidR="002915FF">
        <w:rPr>
          <w:rFonts w:ascii="Arial" w:eastAsia="Aptos" w:hAnsi="Arial" w:cs="Arial"/>
          <w:sz w:val="22"/>
          <w:szCs w:val="22"/>
        </w:rPr>
        <w:t>incremento</w:t>
      </w:r>
      <w:r w:rsidRPr="00041CE7">
        <w:rPr>
          <w:rFonts w:ascii="Arial" w:eastAsia="Aptos" w:hAnsi="Arial" w:cs="Arial"/>
          <w:sz w:val="22"/>
          <w:szCs w:val="22"/>
        </w:rPr>
        <w:t xml:space="preserve"> del numero di abitazioni (+1,5%) e della superficie utile (+2,1%), che segue tuttavia il forte calo de</w:t>
      </w:r>
      <w:r w:rsidR="00FC4D82">
        <w:rPr>
          <w:rFonts w:ascii="Arial" w:eastAsia="Aptos" w:hAnsi="Arial" w:cs="Arial"/>
          <w:sz w:val="22"/>
          <w:szCs w:val="22"/>
        </w:rPr>
        <w:t>i tre mesi</w:t>
      </w:r>
      <w:r w:rsidRPr="00041CE7">
        <w:rPr>
          <w:rFonts w:ascii="Arial" w:eastAsia="Aptos" w:hAnsi="Arial" w:cs="Arial"/>
          <w:sz w:val="22"/>
          <w:szCs w:val="22"/>
        </w:rPr>
        <w:t xml:space="preserve"> precedent</w:t>
      </w:r>
      <w:r w:rsidR="00FC4D82">
        <w:rPr>
          <w:rFonts w:ascii="Arial" w:eastAsia="Aptos" w:hAnsi="Arial" w:cs="Arial"/>
          <w:sz w:val="22"/>
          <w:szCs w:val="22"/>
        </w:rPr>
        <w:t>i</w:t>
      </w:r>
      <w:r w:rsidRPr="00041CE7">
        <w:rPr>
          <w:rFonts w:ascii="Arial" w:eastAsia="Aptos" w:hAnsi="Arial" w:cs="Arial"/>
          <w:sz w:val="22"/>
          <w:szCs w:val="22"/>
        </w:rPr>
        <w:t>. La crescita del settore non residenziale è risultata più robusta (+13,6%), dopo un primo trimestre negativo (-10,6%).</w:t>
      </w:r>
      <w:r>
        <w:rPr>
          <w:rFonts w:ascii="Arial" w:eastAsia="Aptos" w:hAnsi="Arial" w:cs="Arial"/>
          <w:sz w:val="22"/>
          <w:szCs w:val="22"/>
        </w:rPr>
        <w:t xml:space="preserve"> </w:t>
      </w:r>
      <w:r w:rsidRPr="00041CE7">
        <w:rPr>
          <w:rFonts w:ascii="Arial" w:eastAsia="Aptos" w:hAnsi="Arial" w:cs="Arial"/>
          <w:sz w:val="22"/>
          <w:szCs w:val="22"/>
        </w:rPr>
        <w:t xml:space="preserve">Per il comparto residenziale, nei primi sei mesi del 2025, in base ai dati grezzi, il numero di abitazioni e la superficie utile abitabile sono </w:t>
      </w:r>
      <w:r w:rsidRPr="00041CE7">
        <w:rPr>
          <w:rFonts w:ascii="Arial" w:eastAsia="Aptos" w:hAnsi="Arial" w:cs="Arial"/>
          <w:sz w:val="22"/>
          <w:szCs w:val="22"/>
        </w:rPr>
        <w:lastRenderedPageBreak/>
        <w:t>diminuiti rispettivamente del 12,4% e del 6,9%. La superficie dei fabbricati non residenziali</w:t>
      </w:r>
      <w:r w:rsidR="0053050F">
        <w:rPr>
          <w:rFonts w:ascii="Arial" w:eastAsia="Aptos" w:hAnsi="Arial" w:cs="Arial"/>
          <w:sz w:val="22"/>
          <w:szCs w:val="22"/>
        </w:rPr>
        <w:t>,</w:t>
      </w:r>
      <w:r w:rsidR="0053050F" w:rsidRPr="0053050F">
        <w:rPr>
          <w:rFonts w:ascii="Arial" w:eastAsia="Aptos" w:hAnsi="Arial" w:cs="Arial"/>
          <w:sz w:val="22"/>
          <w:szCs w:val="22"/>
        </w:rPr>
        <w:t xml:space="preserve"> </w:t>
      </w:r>
      <w:r w:rsidR="0053050F" w:rsidRPr="00041CE7">
        <w:rPr>
          <w:rFonts w:ascii="Arial" w:eastAsia="Aptos" w:hAnsi="Arial" w:cs="Arial"/>
          <w:sz w:val="22"/>
          <w:szCs w:val="22"/>
        </w:rPr>
        <w:t>nello stesso periodo</w:t>
      </w:r>
      <w:r w:rsidR="0053050F">
        <w:rPr>
          <w:rFonts w:ascii="Arial" w:eastAsia="Aptos" w:hAnsi="Arial" w:cs="Arial"/>
          <w:sz w:val="22"/>
          <w:szCs w:val="22"/>
        </w:rPr>
        <w:t>,</w:t>
      </w:r>
      <w:r w:rsidR="0053050F" w:rsidRPr="00041CE7" w:rsidDel="0053050F">
        <w:rPr>
          <w:rFonts w:ascii="Arial" w:eastAsia="Aptos" w:hAnsi="Arial" w:cs="Arial"/>
          <w:sz w:val="22"/>
          <w:szCs w:val="22"/>
        </w:rPr>
        <w:t xml:space="preserve"> </w:t>
      </w:r>
      <w:r w:rsidRPr="00041CE7">
        <w:rPr>
          <w:rFonts w:ascii="Arial" w:eastAsia="Aptos" w:hAnsi="Arial" w:cs="Arial"/>
          <w:sz w:val="22"/>
          <w:szCs w:val="22"/>
        </w:rPr>
        <w:t>ha registrato un calo leggermente inferiore (-6,5%).</w:t>
      </w:r>
    </w:p>
    <w:p w14:paraId="345D755C" w14:textId="063DFF0C" w:rsidR="007F3A7A" w:rsidRPr="00041CE7" w:rsidRDefault="00AC6E40" w:rsidP="00DB121E">
      <w:pPr>
        <w:shd w:val="clear" w:color="auto" w:fill="FFFFFF"/>
        <w:spacing w:before="60" w:after="120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…così come </w:t>
      </w:r>
      <w:r w:rsidR="004D7F8F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quello dei</w:t>
      </w:r>
      <w:r w:rsidR="007F3A7A"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 servizi</w:t>
      </w:r>
      <w:r w:rsidR="00107452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. </w:t>
      </w:r>
      <w:r w:rsidR="00C60EA0">
        <w:rPr>
          <w:rFonts w:ascii="Arial" w:eastAsia="Aptos" w:hAnsi="Arial" w:cs="Arial"/>
          <w:sz w:val="22"/>
          <w:szCs w:val="22"/>
        </w:rPr>
        <w:t xml:space="preserve"> </w:t>
      </w:r>
      <w:r w:rsidR="00107452">
        <w:rPr>
          <w:rFonts w:ascii="Arial" w:eastAsia="Aptos" w:hAnsi="Arial" w:cs="Arial"/>
          <w:sz w:val="22"/>
          <w:szCs w:val="22"/>
        </w:rPr>
        <w:t>L’</w:t>
      </w:r>
      <w:hyperlink r:id="rId18" w:history="1">
        <w:r w:rsidR="00AD117F">
          <w:rPr>
            <w:rStyle w:val="Collegamentoipertestuale"/>
            <w:rFonts w:ascii="Arial" w:eastAsia="Aptos" w:hAnsi="Arial" w:cs="Arial"/>
            <w:sz w:val="22"/>
            <w:szCs w:val="22"/>
          </w:rPr>
          <w:t>indice del fatturato in</w:t>
        </w:r>
        <w:r w:rsidR="007F3A7A" w:rsidRPr="00E87F6B">
          <w:rPr>
            <w:rStyle w:val="Collegamentoipertestuale"/>
            <w:rFonts w:ascii="Arial" w:eastAsia="Aptos" w:hAnsi="Arial" w:cs="Arial"/>
            <w:sz w:val="22"/>
            <w:szCs w:val="22"/>
          </w:rPr>
          <w:t xml:space="preserve"> volume</w:t>
        </w:r>
      </w:hyperlink>
      <w:r w:rsidR="00107452">
        <w:rPr>
          <w:rStyle w:val="Collegamentoipertestuale"/>
          <w:rFonts w:ascii="Arial" w:eastAsia="Aptos" w:hAnsi="Arial" w:cs="Arial"/>
          <w:sz w:val="22"/>
          <w:szCs w:val="22"/>
        </w:rPr>
        <w:t xml:space="preserve"> dei servizi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 </w:t>
      </w:r>
      <w:r w:rsidR="00107452">
        <w:rPr>
          <w:rFonts w:ascii="Arial" w:eastAsia="Aptos" w:hAnsi="Arial" w:cs="Arial"/>
          <w:sz w:val="22"/>
          <w:szCs w:val="22"/>
        </w:rPr>
        <w:t xml:space="preserve">ha registrato un calo in agosto </w:t>
      </w:r>
      <w:r w:rsidR="007F3A7A" w:rsidRPr="00041CE7">
        <w:rPr>
          <w:rFonts w:ascii="Arial" w:eastAsia="Aptos" w:hAnsi="Arial" w:cs="Arial"/>
          <w:sz w:val="22"/>
          <w:szCs w:val="22"/>
        </w:rPr>
        <w:t>(-0,8% rispetto al mese precedente), pi</w:t>
      </w:r>
      <w:r w:rsidR="00AD117F">
        <w:rPr>
          <w:rFonts w:ascii="Arial" w:eastAsia="Aptos" w:hAnsi="Arial" w:cs="Arial"/>
          <w:sz w:val="22"/>
          <w:szCs w:val="22"/>
        </w:rPr>
        <w:t xml:space="preserve">ù marcato rispetto a quello di </w:t>
      </w:r>
      <w:r w:rsidR="002915FF">
        <w:rPr>
          <w:rFonts w:ascii="Arial" w:eastAsia="Aptos" w:hAnsi="Arial" w:cs="Arial"/>
          <w:sz w:val="22"/>
          <w:szCs w:val="22"/>
        </w:rPr>
        <w:t>luglio</w:t>
      </w:r>
      <w:r w:rsidR="00AD117F">
        <w:rPr>
          <w:rFonts w:ascii="Arial" w:eastAsia="Aptos" w:hAnsi="Arial" w:cs="Arial"/>
          <w:sz w:val="22"/>
          <w:szCs w:val="22"/>
        </w:rPr>
        <w:t xml:space="preserve"> </w:t>
      </w:r>
      <w:r w:rsidR="007F3A7A" w:rsidRPr="00041CE7">
        <w:rPr>
          <w:rFonts w:ascii="Arial" w:eastAsia="Aptos" w:hAnsi="Arial" w:cs="Arial"/>
          <w:sz w:val="22"/>
          <w:szCs w:val="22"/>
        </w:rPr>
        <w:t>(-0,2%). Il rallentamento è stato consistente nel commercio all’ingrosso (-2,1%) e più contenuto negli altri servizi (-0,5%). I servizi di alloggio e ristorazione e quelli di informazione e comunicazione hanno invece segnato un aumento su base mensile (rispettivamente +0,1% e +0,3%).</w:t>
      </w:r>
      <w:r w:rsidR="007F3A7A">
        <w:rPr>
          <w:rFonts w:ascii="Arial" w:eastAsia="Aptos" w:hAnsi="Arial" w:cs="Arial"/>
          <w:sz w:val="22"/>
          <w:szCs w:val="22"/>
        </w:rPr>
        <w:t xml:space="preserve"> 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Nella media del trimestre giugno-agosto, l’indice destagionalizzato per il totale dei servizi è </w:t>
      </w:r>
      <w:r w:rsidR="000E0537">
        <w:rPr>
          <w:rFonts w:ascii="Arial" w:eastAsia="Aptos" w:hAnsi="Arial" w:cs="Arial"/>
          <w:sz w:val="22"/>
          <w:szCs w:val="22"/>
        </w:rPr>
        <w:t>risultato in lieve calo (-0,1</w:t>
      </w:r>
      <w:r w:rsidR="007F3A7A" w:rsidRPr="00041CE7">
        <w:rPr>
          <w:rFonts w:ascii="Arial" w:eastAsia="Aptos" w:hAnsi="Arial" w:cs="Arial"/>
          <w:sz w:val="22"/>
          <w:szCs w:val="22"/>
        </w:rPr>
        <w:t>%).</w:t>
      </w:r>
    </w:p>
    <w:p w14:paraId="006C15A7" w14:textId="6F4EED67" w:rsidR="007F3A7A" w:rsidRDefault="00AC6E40" w:rsidP="00DB121E">
      <w:pPr>
        <w:shd w:val="clear" w:color="auto" w:fill="FFFFFF"/>
        <w:spacing w:before="60" w:after="120"/>
        <w:jc w:val="both"/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Si rafforza la f</w:t>
      </w:r>
      <w:r w:rsidR="007F3A7A" w:rsidRPr="00041CE7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iducia delle imprese </w:t>
      </w:r>
      <w:r>
        <w:rPr>
          <w:rFonts w:ascii="Arial" w:eastAsia="Aptos" w:hAnsi="Arial" w:cs="Arial"/>
          <w:sz w:val="22"/>
          <w:szCs w:val="22"/>
        </w:rPr>
        <w:t>in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 ottobre</w:t>
      </w:r>
      <w:r>
        <w:rPr>
          <w:rFonts w:ascii="Arial" w:eastAsia="Aptos" w:hAnsi="Arial" w:cs="Arial"/>
          <w:sz w:val="22"/>
          <w:szCs w:val="22"/>
        </w:rPr>
        <w:t>,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 </w:t>
      </w:r>
      <w:r w:rsidR="00C60EA0">
        <w:rPr>
          <w:rFonts w:ascii="Arial" w:eastAsia="Aptos" w:hAnsi="Arial" w:cs="Arial"/>
          <w:sz w:val="22"/>
          <w:szCs w:val="22"/>
        </w:rPr>
        <w:t>con un aumento diffuso a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 tutti i settori economici, a eccezione di quello dei servizi. La crescita è stata</w:t>
      </w:r>
      <w:r w:rsidR="00C60EA0">
        <w:rPr>
          <w:rFonts w:ascii="Arial" w:eastAsia="Aptos" w:hAnsi="Arial" w:cs="Arial"/>
          <w:sz w:val="22"/>
          <w:szCs w:val="22"/>
        </w:rPr>
        <w:t xml:space="preserve"> trainata da</w:t>
      </w:r>
      <w:r w:rsidR="007F3A7A" w:rsidRPr="00041CE7">
        <w:rPr>
          <w:rFonts w:ascii="Arial" w:eastAsia="Aptos" w:hAnsi="Arial" w:cs="Arial"/>
          <w:sz w:val="22"/>
          <w:szCs w:val="22"/>
        </w:rPr>
        <w:t xml:space="preserve"> tutte le componenti nella manifattura, nelle costruzioni e nel commercio al dettaglio. Nei servizi di mercato, invece, al peggioramento dei </w:t>
      </w:r>
      <w:hyperlink r:id="rId19" w:history="1">
        <w:r w:rsidR="007F3A7A" w:rsidRPr="00D54DC1">
          <w:rPr>
            <w:rStyle w:val="Collegamentoipertestuale"/>
            <w:rFonts w:ascii="Arial" w:eastAsia="Aptos" w:hAnsi="Arial" w:cs="Arial"/>
            <w:sz w:val="22"/>
            <w:szCs w:val="22"/>
          </w:rPr>
          <w:t>giudizi sugli ordini</w:t>
        </w:r>
      </w:hyperlink>
      <w:r w:rsidR="007F3A7A" w:rsidRPr="00041CE7">
        <w:rPr>
          <w:rFonts w:ascii="Arial" w:eastAsia="Aptos" w:hAnsi="Arial" w:cs="Arial"/>
          <w:sz w:val="22"/>
          <w:szCs w:val="22"/>
        </w:rPr>
        <w:t xml:space="preserve"> e sull’andamento degli affari si è contrapposto un aumento delle attese sugli ordinativi.</w:t>
      </w:r>
    </w:p>
    <w:p w14:paraId="1E4071ED" w14:textId="77777777" w:rsidR="005E7629" w:rsidRPr="005568A9" w:rsidRDefault="005E7629" w:rsidP="00DB121E">
      <w:pPr>
        <w:shd w:val="clear" w:color="auto" w:fill="FFFFFF"/>
        <w:spacing w:before="60" w:after="120"/>
        <w:jc w:val="both"/>
        <w:rPr>
          <w:sz w:val="22"/>
          <w:szCs w:val="22"/>
        </w:rPr>
      </w:pP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663E93" w14:paraId="15AF9FB7" w14:textId="77777777" w:rsidTr="00A104B8">
        <w:tc>
          <w:tcPr>
            <w:tcW w:w="5100" w:type="dxa"/>
            <w:tcBorders>
              <w:bottom w:val="single" w:sz="2" w:space="0" w:color="D9D9D9" w:themeColor="background1" w:themeShade="D9"/>
            </w:tcBorders>
            <w:tcMar>
              <w:left w:w="0" w:type="dxa"/>
              <w:right w:w="0" w:type="dxa"/>
            </w:tcMar>
          </w:tcPr>
          <w:p w14:paraId="1B6B2AA8" w14:textId="5A02453E" w:rsidR="00BD0FA1" w:rsidRPr="00813002" w:rsidRDefault="00663E93" w:rsidP="00265BBD">
            <w:pPr>
              <w:pStyle w:val="052tabella-figurasottotitolo"/>
              <w:spacing w:before="60" w:after="120"/>
              <w:ind w:right="142"/>
              <w:rPr>
                <w:b/>
                <w:color w:val="595959" w:themeColor="text1" w:themeTint="A6"/>
                <w:sz w:val="20"/>
              </w:rPr>
            </w:pPr>
            <w:r w:rsidRPr="00813002">
              <w:rPr>
                <w:b/>
                <w:color w:val="00817F"/>
                <w:sz w:val="20"/>
              </w:rPr>
              <w:t>FIGURA 3.</w:t>
            </w:r>
            <w:r w:rsidRPr="00813002">
              <w:rPr>
                <w:b/>
                <w:sz w:val="20"/>
              </w:rPr>
              <w:t xml:space="preserve"> </w:t>
            </w:r>
            <w:r w:rsidR="00F40035" w:rsidRPr="00F40035">
              <w:rPr>
                <w:b/>
                <w:color w:val="595959" w:themeColor="text1" w:themeTint="A6"/>
                <w:sz w:val="20"/>
              </w:rPr>
              <w:t>DINAMICA DEL PIL NEI PRINCIPALI PAESI EUROPEI</w:t>
            </w:r>
            <w:r w:rsidR="00362A7C" w:rsidRPr="00362A7C">
              <w:rPr>
                <w:b/>
                <w:color w:val="595959" w:themeColor="text1" w:themeTint="A6"/>
                <w:sz w:val="20"/>
              </w:rPr>
              <w:t>.</w:t>
            </w:r>
            <w:r w:rsidR="0036409C" w:rsidRPr="00813002">
              <w:rPr>
                <w:b/>
                <w:color w:val="595959" w:themeColor="text1" w:themeTint="A6"/>
                <w:sz w:val="20"/>
              </w:rPr>
              <w:t xml:space="preserve">                                                                         </w:t>
            </w:r>
            <w:r w:rsidR="0003382E" w:rsidRPr="00813002">
              <w:rPr>
                <w:b/>
                <w:color w:val="595959" w:themeColor="text1" w:themeTint="A6"/>
                <w:sz w:val="20"/>
              </w:rPr>
              <w:t xml:space="preserve">      </w:t>
            </w:r>
            <w:r w:rsidR="00362A7C" w:rsidRPr="00714889">
              <w:rPr>
                <w:color w:val="auto"/>
                <w:sz w:val="19"/>
                <w:szCs w:val="19"/>
              </w:rPr>
              <w:t xml:space="preserve">Variazioni </w:t>
            </w:r>
            <w:r w:rsidR="00F40035">
              <w:rPr>
                <w:color w:val="auto"/>
                <w:sz w:val="19"/>
                <w:szCs w:val="19"/>
              </w:rPr>
              <w:t xml:space="preserve">percentuali </w:t>
            </w:r>
            <w:r w:rsidR="00362A7C" w:rsidRPr="00714889">
              <w:rPr>
                <w:color w:val="auto"/>
                <w:sz w:val="19"/>
                <w:szCs w:val="19"/>
              </w:rPr>
              <w:t>congiunturali</w:t>
            </w:r>
          </w:p>
        </w:tc>
        <w:tc>
          <w:tcPr>
            <w:tcW w:w="5101" w:type="dxa"/>
            <w:tcBorders>
              <w:bottom w:val="single" w:sz="2" w:space="0" w:color="D9D9D9" w:themeColor="background1" w:themeShade="D9"/>
            </w:tcBorders>
            <w:tcMar>
              <w:left w:w="0" w:type="dxa"/>
              <w:right w:w="0" w:type="dxa"/>
            </w:tcMar>
          </w:tcPr>
          <w:p w14:paraId="79503935" w14:textId="4CCE6366" w:rsidR="00663E93" w:rsidRPr="00813002" w:rsidRDefault="008D65E3">
            <w:pPr>
              <w:pStyle w:val="052tabella-figurasottotitolo"/>
              <w:spacing w:before="60" w:after="120"/>
              <w:ind w:right="142"/>
              <w:rPr>
                <w:b/>
                <w:color w:val="595959" w:themeColor="text1" w:themeTint="A6"/>
                <w:sz w:val="20"/>
              </w:rPr>
            </w:pPr>
            <w:r w:rsidRPr="00813002">
              <w:rPr>
                <w:b/>
                <w:color w:val="00817F"/>
                <w:sz w:val="20"/>
              </w:rPr>
              <w:t>FIGURA 4</w:t>
            </w:r>
            <w:r w:rsidR="00FA6BDA" w:rsidRPr="00813002">
              <w:rPr>
                <w:b/>
                <w:color w:val="00817F"/>
                <w:sz w:val="20"/>
              </w:rPr>
              <w:t>.</w:t>
            </w:r>
            <w:r w:rsidR="00644FA7" w:rsidRPr="00813002">
              <w:rPr>
                <w:b/>
                <w:color w:val="595959" w:themeColor="text1" w:themeTint="A6"/>
                <w:sz w:val="20"/>
              </w:rPr>
              <w:t xml:space="preserve"> </w:t>
            </w:r>
            <w:r w:rsidR="0012234F" w:rsidRPr="0012234F">
              <w:rPr>
                <w:b/>
                <w:color w:val="595959" w:themeColor="text1" w:themeTint="A6"/>
                <w:sz w:val="20"/>
              </w:rPr>
              <w:t xml:space="preserve">ESPORTAZIONI PER ATTIVITÀ </w:t>
            </w:r>
            <w:r w:rsidR="00FB6783">
              <w:rPr>
                <w:b/>
                <w:color w:val="595959" w:themeColor="text1" w:themeTint="A6"/>
                <w:sz w:val="20"/>
              </w:rPr>
              <w:t xml:space="preserve">ECONOMICA- </w:t>
            </w:r>
            <w:r w:rsidR="0012234F" w:rsidRPr="0012234F">
              <w:rPr>
                <w:b/>
                <w:color w:val="595959" w:themeColor="text1" w:themeTint="A6"/>
                <w:sz w:val="20"/>
              </w:rPr>
              <w:t xml:space="preserve">MANIFATTURIERA. </w:t>
            </w:r>
            <w:r w:rsidR="00CF1DE0">
              <w:rPr>
                <w:b/>
                <w:color w:val="595959" w:themeColor="text1" w:themeTint="A6"/>
                <w:sz w:val="20"/>
              </w:rPr>
              <w:t xml:space="preserve"> </w:t>
            </w:r>
            <w:r w:rsidR="00F40035">
              <w:rPr>
                <w:b/>
                <w:color w:val="595959" w:themeColor="text1" w:themeTint="A6"/>
                <w:sz w:val="20"/>
              </w:rPr>
              <w:t xml:space="preserve">                                                                </w:t>
            </w:r>
            <w:r w:rsidR="0012234F" w:rsidRPr="0012234F">
              <w:rPr>
                <w:bCs/>
                <w:color w:val="595959" w:themeColor="text1" w:themeTint="A6"/>
                <w:sz w:val="20"/>
              </w:rPr>
              <w:t>Gennaio- agosto 2025.</w:t>
            </w:r>
            <w:r w:rsidR="0012234F">
              <w:rPr>
                <w:b/>
                <w:color w:val="595959" w:themeColor="text1" w:themeTint="A6"/>
                <w:sz w:val="20"/>
              </w:rPr>
              <w:t xml:space="preserve"> </w:t>
            </w:r>
            <w:r w:rsidR="003B419C" w:rsidRPr="00714889">
              <w:rPr>
                <w:color w:val="auto"/>
                <w:sz w:val="19"/>
                <w:szCs w:val="19"/>
              </w:rPr>
              <w:t>Variazioni percentuali tendenziali</w:t>
            </w:r>
          </w:p>
        </w:tc>
      </w:tr>
      <w:tr w:rsidR="00663E93" w14:paraId="70881B86" w14:textId="77777777" w:rsidTr="006F2700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51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0D8EF3E5" w14:textId="78CE561A" w:rsidR="00663E93" w:rsidRPr="00E623BE" w:rsidRDefault="00DE55A7" w:rsidP="00505110">
            <w:pPr>
              <w:pStyle w:val="016testobulletprimapagina"/>
              <w:spacing w:before="60" w:after="120" w:line="240" w:lineRule="auto"/>
              <w:ind w:left="0" w:right="-8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1ECA230D" wp14:editId="2EFA46D9">
                  <wp:extent cx="3149600" cy="1980565"/>
                  <wp:effectExtent l="0" t="0" r="0" b="635"/>
                  <wp:docPr id="5" name="Gra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5D7B757-3DD7-49F4-858E-E08172BD93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1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402F4573" w14:textId="70BC039E" w:rsidR="00663E93" w:rsidRDefault="006F2700" w:rsidP="00505110">
            <w:pPr>
              <w:pStyle w:val="016testobulletprimapagina"/>
              <w:spacing w:before="60" w:after="120" w:line="240" w:lineRule="auto"/>
              <w:ind w:left="0" w:right="-8"/>
            </w:pPr>
            <w:r>
              <w:rPr>
                <w:noProof/>
              </w:rPr>
              <w:drawing>
                <wp:inline distT="0" distB="0" distL="0" distR="0" wp14:anchorId="77E3B4F0" wp14:editId="2FF54EC3">
                  <wp:extent cx="3135600" cy="2131200"/>
                  <wp:effectExtent l="0" t="0" r="0" b="0"/>
                  <wp:docPr id="10" name="Gra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FC0C9E-B309-40E3-BB29-0633FC91CE8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14:paraId="3094E036" w14:textId="786EF308" w:rsidR="00663E93" w:rsidRDefault="002121A0" w:rsidP="00505110">
      <w:pPr>
        <w:spacing w:before="60" w:after="120"/>
        <w:ind w:right="-8"/>
        <w:rPr>
          <w:rFonts w:ascii="Arial" w:hAnsi="Arial" w:cs="Arial"/>
          <w:sz w:val="15"/>
          <w:szCs w:val="15"/>
        </w:rPr>
      </w:pPr>
      <w:r w:rsidRPr="00307AB9">
        <w:rPr>
          <w:rFonts w:ascii="Arial" w:hAnsi="Arial" w:cs="Arial"/>
          <w:sz w:val="15"/>
          <w:szCs w:val="15"/>
        </w:rPr>
        <w:t xml:space="preserve">Fonte: </w:t>
      </w:r>
      <w:r w:rsidR="00F40035">
        <w:rPr>
          <w:rFonts w:ascii="Arial" w:hAnsi="Arial" w:cs="Arial"/>
          <w:sz w:val="15"/>
          <w:szCs w:val="15"/>
        </w:rPr>
        <w:t>Euro</w:t>
      </w:r>
      <w:r w:rsidRPr="00307AB9">
        <w:rPr>
          <w:rFonts w:ascii="Arial" w:hAnsi="Arial" w:cs="Arial"/>
          <w:sz w:val="15"/>
          <w:szCs w:val="15"/>
        </w:rPr>
        <w:t>stat</w:t>
      </w:r>
      <w:r w:rsidR="002F4C36">
        <w:rPr>
          <w:rFonts w:ascii="Arial" w:hAnsi="Arial" w:cs="Arial"/>
          <w:sz w:val="15"/>
          <w:szCs w:val="15"/>
        </w:rPr>
        <w:t xml:space="preserve"> e Istat</w:t>
      </w:r>
      <w:r w:rsidR="0063063B" w:rsidRPr="00307AB9">
        <w:rPr>
          <w:rFonts w:ascii="Arial" w:hAnsi="Arial" w:cs="Arial"/>
          <w:sz w:val="15"/>
          <w:szCs w:val="15"/>
        </w:rPr>
        <w:tab/>
      </w:r>
      <w:r w:rsidRPr="00307AB9">
        <w:rPr>
          <w:rFonts w:ascii="Arial" w:hAnsi="Arial" w:cs="Arial"/>
          <w:sz w:val="15"/>
          <w:szCs w:val="15"/>
        </w:rPr>
        <w:tab/>
      </w:r>
      <w:r w:rsidR="00A5609A" w:rsidRPr="00307AB9">
        <w:rPr>
          <w:rFonts w:ascii="Arial" w:hAnsi="Arial" w:cs="Arial"/>
          <w:sz w:val="15"/>
          <w:szCs w:val="15"/>
        </w:rPr>
        <w:tab/>
      </w:r>
      <w:r w:rsidR="00A5609A" w:rsidRPr="00307AB9">
        <w:rPr>
          <w:rFonts w:ascii="Arial" w:hAnsi="Arial" w:cs="Arial"/>
          <w:sz w:val="15"/>
          <w:szCs w:val="15"/>
        </w:rPr>
        <w:tab/>
      </w:r>
      <w:r w:rsidR="00A5609A" w:rsidRPr="00307AB9">
        <w:rPr>
          <w:rFonts w:ascii="Arial" w:hAnsi="Arial" w:cs="Arial"/>
          <w:sz w:val="15"/>
          <w:szCs w:val="15"/>
        </w:rPr>
        <w:tab/>
      </w:r>
      <w:r w:rsidR="00663E93" w:rsidRPr="00307AB9">
        <w:rPr>
          <w:rFonts w:ascii="Arial" w:hAnsi="Arial" w:cs="Arial"/>
          <w:sz w:val="15"/>
          <w:szCs w:val="15"/>
        </w:rPr>
        <w:t xml:space="preserve">   Fonte: Istat</w:t>
      </w:r>
    </w:p>
    <w:p w14:paraId="7FB8C790" w14:textId="6AD933F7" w:rsidR="0012234F" w:rsidRPr="00635AD0" w:rsidRDefault="0012234F" w:rsidP="0012234F">
      <w:pPr>
        <w:ind w:left="5103" w:right="-6"/>
        <w:jc w:val="both"/>
        <w:rPr>
          <w:rFonts w:ascii="Arial" w:hAnsi="Arial" w:cs="Arial"/>
          <w:i/>
          <w:sz w:val="12"/>
          <w:szCs w:val="12"/>
        </w:rPr>
      </w:pPr>
      <w:r w:rsidRPr="00210891">
        <w:rPr>
          <w:rFonts w:ascii="Arial" w:hAnsi="Arial" w:cs="Arial"/>
          <w:sz w:val="15"/>
          <w:szCs w:val="15"/>
        </w:rPr>
        <w:t>*</w:t>
      </w:r>
      <w:r w:rsidRPr="0012234F">
        <w:rPr>
          <w:rFonts w:ascii="Arial" w:hAnsi="Arial" w:cs="Arial"/>
          <w:sz w:val="12"/>
          <w:szCs w:val="12"/>
        </w:rPr>
        <w:t xml:space="preserve"> CA = Alimentari, bevande e tabacco. CB = Tessile, abbigliamento e pelli. CC = Legno e prodotti in legno; carta e stampa. CD = Coke e </w:t>
      </w:r>
      <w:proofErr w:type="spellStart"/>
      <w:r w:rsidRPr="0012234F">
        <w:rPr>
          <w:rFonts w:ascii="Arial" w:hAnsi="Arial" w:cs="Arial"/>
          <w:sz w:val="12"/>
          <w:szCs w:val="12"/>
        </w:rPr>
        <w:t>prod</w:t>
      </w:r>
      <w:proofErr w:type="spellEnd"/>
      <w:r w:rsidRPr="0012234F">
        <w:rPr>
          <w:rFonts w:ascii="Arial" w:hAnsi="Arial" w:cs="Arial"/>
          <w:sz w:val="12"/>
          <w:szCs w:val="12"/>
        </w:rPr>
        <w:t xml:space="preserve">. petroliferi raffinati. CE = Sostanze e prodotti chimici. CF = Articoli farmaceutici. CG = Articoli in gomma e materie plastiche. CH = Metalli di base e </w:t>
      </w:r>
      <w:proofErr w:type="spellStart"/>
      <w:r w:rsidRPr="0012234F">
        <w:rPr>
          <w:rFonts w:ascii="Arial" w:hAnsi="Arial" w:cs="Arial"/>
          <w:sz w:val="12"/>
          <w:szCs w:val="12"/>
        </w:rPr>
        <w:t>prod</w:t>
      </w:r>
      <w:proofErr w:type="spellEnd"/>
      <w:r w:rsidRPr="0012234F">
        <w:rPr>
          <w:rFonts w:ascii="Arial" w:hAnsi="Arial" w:cs="Arial"/>
          <w:sz w:val="12"/>
          <w:szCs w:val="12"/>
        </w:rPr>
        <w:t xml:space="preserve">. in metallo. CI = Computer, </w:t>
      </w:r>
      <w:proofErr w:type="spellStart"/>
      <w:r w:rsidRPr="0012234F">
        <w:rPr>
          <w:rFonts w:ascii="Arial" w:hAnsi="Arial" w:cs="Arial"/>
          <w:sz w:val="12"/>
          <w:szCs w:val="12"/>
        </w:rPr>
        <w:t>app</w:t>
      </w:r>
      <w:proofErr w:type="spellEnd"/>
      <w:r w:rsidRPr="0012234F">
        <w:rPr>
          <w:rFonts w:ascii="Arial" w:hAnsi="Arial" w:cs="Arial"/>
          <w:sz w:val="12"/>
          <w:szCs w:val="12"/>
        </w:rPr>
        <w:t xml:space="preserve">. elettronici e ottici. CJ = Apparecchi elettrici. CK = Macchine ed apparecchi </w:t>
      </w:r>
      <w:proofErr w:type="spellStart"/>
      <w:r w:rsidRPr="0012234F">
        <w:rPr>
          <w:rFonts w:ascii="Arial" w:hAnsi="Arial" w:cs="Arial"/>
          <w:sz w:val="12"/>
          <w:szCs w:val="12"/>
        </w:rPr>
        <w:t>n.c.a</w:t>
      </w:r>
      <w:proofErr w:type="spellEnd"/>
      <w:r w:rsidRPr="0012234F">
        <w:rPr>
          <w:rFonts w:ascii="Arial" w:hAnsi="Arial" w:cs="Arial"/>
          <w:sz w:val="12"/>
          <w:szCs w:val="12"/>
        </w:rPr>
        <w:t>. CL = Mezzi di trasporto. CM = Altre attività manifatturier</w:t>
      </w:r>
      <w:r w:rsidR="00484E48">
        <w:rPr>
          <w:rFonts w:ascii="Arial" w:hAnsi="Arial" w:cs="Arial"/>
          <w:sz w:val="12"/>
          <w:szCs w:val="12"/>
        </w:rPr>
        <w:t>e.</w:t>
      </w:r>
    </w:p>
    <w:p w14:paraId="1EC78FFA" w14:textId="77777777" w:rsidR="00B116CA" w:rsidRDefault="00B116CA" w:rsidP="00FF3C3C">
      <w:pPr>
        <w:shd w:val="clear" w:color="auto" w:fill="FFFFFF"/>
        <w:spacing w:before="60" w:after="120"/>
        <w:ind w:right="-6"/>
        <w:jc w:val="both"/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</w:pPr>
    </w:p>
    <w:p w14:paraId="643A1F4F" w14:textId="18D26EDE" w:rsidR="00FF3C3C" w:rsidRDefault="00107452" w:rsidP="00FF3C3C">
      <w:pPr>
        <w:shd w:val="clear" w:color="auto" w:fill="FFFFFF"/>
        <w:spacing w:before="60" w:after="120"/>
        <w:ind w:right="-6"/>
        <w:jc w:val="both"/>
        <w:rPr>
          <w:rFonts w:ascii="Arial" w:eastAsia="Times New Roman" w:hAnsi="Arial" w:cs="Arial"/>
          <w:iCs/>
          <w:noProof/>
          <w:sz w:val="22"/>
          <w:szCs w:val="22"/>
          <w:lang w:eastAsia="it-IT"/>
        </w:rPr>
      </w:pP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Ancora p</w:t>
      </w:r>
      <w:r w:rsidR="00FF3C3C" w:rsidRPr="00B116CA"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>ositivo l’andamento degli scambi con l’estero</w:t>
      </w:r>
      <w:r>
        <w:rPr>
          <w:rFonts w:ascii="Arial" w:eastAsia="Times New Roman" w:hAnsi="Arial" w:cs="Arial"/>
          <w:b/>
          <w:iCs/>
          <w:noProof/>
          <w:color w:val="008080"/>
          <w:sz w:val="22"/>
          <w:szCs w:val="22"/>
          <w:lang w:eastAsia="it-IT"/>
        </w:rPr>
        <w:t xml:space="preserve">. </w:t>
      </w:r>
      <w:r w:rsidRPr="001F7A07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Nonostante l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a riduzione delle vendite </w:t>
      </w:r>
      <w:r w:rsidR="00FB6783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all’estero 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registrata </w:t>
      </w:r>
      <w:r w:rsidR="00B116CA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ad agosto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,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la </w:t>
      </w:r>
      <w:r w:rsidR="00A226D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crescita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delle </w:t>
      </w:r>
      <w:hyperlink r:id="rId22" w:history="1">
        <w:r w:rsidR="00FF3C3C" w:rsidRPr="001959AC">
          <w:rPr>
            <w:rStyle w:val="Collegamentoipertestuale"/>
            <w:rFonts w:ascii="Arial" w:eastAsia="Times New Roman" w:hAnsi="Arial" w:cs="Arial"/>
            <w:iCs/>
            <w:noProof/>
            <w:sz w:val="22"/>
            <w:szCs w:val="22"/>
            <w:lang w:eastAsia="it-IT"/>
          </w:rPr>
          <w:t>esportazioni</w:t>
        </w:r>
      </w:hyperlink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nei mesi estivi (periodo giugno- agosto) è </w:t>
      </w:r>
      <w:r w:rsidR="00A226D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stata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nel complesso positiva (+1,2% la variazione rispetto ai tre mesi precedenti), in partic</w:t>
      </w:r>
      <w:r w:rsidR="00B116CA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olare sui mercati europei (+2,3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%,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+0,1% quella sui mercati extra Ue). Gli acquisti</w:t>
      </w:r>
      <w:r w:rsidR="00F95F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viceversa</w:t>
      </w:r>
      <w:r w:rsidR="00F95F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hanno evidenziato una ma</w:t>
      </w:r>
      <w:r w:rsid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ggiore debolezza (-0,3%,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sintesi di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una</w:t>
      </w:r>
      <w:r w:rsidR="00AD11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variazione nulla sui mercati Ue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e 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di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un calo</w:t>
      </w:r>
      <w:r w:rsidR="00AD11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dello 0,7% sui mercati extra Ue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). Le prime informazioni disponibili relative agli </w:t>
      </w:r>
      <w:hyperlink r:id="rId23" w:history="1">
        <w:r w:rsidR="00FF3C3C" w:rsidRPr="001959AC">
          <w:rPr>
            <w:rStyle w:val="Collegamentoipertestuale"/>
            <w:rFonts w:ascii="Arial" w:eastAsia="Times New Roman" w:hAnsi="Arial" w:cs="Arial"/>
            <w:iCs/>
            <w:noProof/>
            <w:sz w:val="22"/>
            <w:szCs w:val="22"/>
            <w:lang w:eastAsia="it-IT"/>
          </w:rPr>
          <w:t>scambi extra Ue</w:t>
        </w:r>
      </w:hyperlink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B116CA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a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settembre, se</w:t>
      </w:r>
      <w:r w:rsid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gnalano</w:t>
      </w:r>
      <w:r w:rsidR="00B116CA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un aumento sia dell’export sia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dell’import.</w:t>
      </w:r>
    </w:p>
    <w:p w14:paraId="5A7C52C2" w14:textId="04F029C3" w:rsidR="00FF3C3C" w:rsidRDefault="00107452" w:rsidP="00FF3C3C">
      <w:pPr>
        <w:shd w:val="clear" w:color="auto" w:fill="FFFFFF"/>
        <w:spacing w:before="60" w:after="120"/>
        <w:ind w:right="-6"/>
        <w:jc w:val="both"/>
        <w:rPr>
          <w:rFonts w:ascii="Arial" w:eastAsia="Times New Roman" w:hAnsi="Arial" w:cs="Arial"/>
          <w:iCs/>
          <w:noProof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Ne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i </w:t>
      </w:r>
      <w:r w:rsidR="00FF3C3C" w:rsidRPr="00344A0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primi otto mesi del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2025, </w:t>
      </w:r>
      <w:r w:rsidR="00FF3C3C" w:rsidRPr="00344A0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la dinamica degli scambi è risultata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nel complesso</w:t>
      </w:r>
      <w:r w:rsidR="00FF3C3C" w:rsidRPr="00344A0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positiva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per entrambi i flussi: l</w:t>
      </w:r>
      <w:r w:rsidR="00FF3C3C" w:rsidRPr="00344A0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e esportazioni di beni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in valore</w:t>
      </w:r>
      <w:r w:rsidR="00FF3C3C" w:rsidRPr="00344A0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sono aumentate </w:t>
      </w:r>
      <w:r w:rsidR="00F95F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in termini tendenziali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tra gennaio e agosto del 2,6%, le importazioni del 4,1%</w:t>
      </w:r>
      <w:r w:rsidR="00E16A9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</w:t>
      </w:r>
      <w:r w:rsidR="00FA508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con flussi particolarmente sostenuti in entrata da alcuni </w:t>
      </w:r>
      <w:r w:rsidR="00FA508F" w:rsidRP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paesi ( </w:t>
      </w:r>
      <w:r w:rsidR="00843F20" w:rsidRP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l</w:t>
      </w:r>
      <w:r w:rsidR="00FA508F" w:rsidRP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e</w:t>
      </w:r>
      <w:r w:rsidR="00FA508F">
        <w:rPr>
          <w:rFonts w:ascii="Arial" w:hAnsi="Arial" w:cs="Arial"/>
          <w:color w:val="000000"/>
          <w:sz w:val="20"/>
          <w:szCs w:val="20"/>
          <w:shd w:val="clear" w:color="auto" w:fill="FDFDFC"/>
        </w:rPr>
        <w:t xml:space="preserve"> </w:t>
      </w:r>
      <w:r w:rsidR="00FA508F" w:rsidRP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importazioni dal</w:t>
      </w:r>
      <w:r w:rsidR="00CE23A4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la Cina sono aumentate del 24,5</w:t>
      </w:r>
      <w:r w:rsidR="00FA508F" w:rsidRPr="00A5691B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% in termini tendenziali nel periodo gennaio-agosto)</w:t>
      </w:r>
      <w:r w:rsidR="00433391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.</w:t>
      </w:r>
    </w:p>
    <w:p w14:paraId="02B90EA3" w14:textId="763CB899" w:rsidR="00FF3C3C" w:rsidRDefault="00CE23A4" w:rsidP="00FF3C3C">
      <w:pPr>
        <w:shd w:val="clear" w:color="auto" w:fill="FFFFFF"/>
        <w:spacing w:before="60" w:after="120"/>
        <w:ind w:right="-6"/>
        <w:jc w:val="both"/>
        <w:rPr>
          <w:rFonts w:ascii="Arial" w:eastAsia="Times New Roman" w:hAnsi="Arial" w:cs="Arial"/>
          <w:iCs/>
          <w:noProof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L’incremento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delle vendite all’estero di prodotti italiani è stato, tuttavia, limitato ad alcuni settori: sono 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consistentemente </w:t>
      </w:r>
      <w:r w:rsidR="00E16A9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cresciute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 in particolare, le vendite di prodotti farmaceutici (+34,8%) e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 in misura contenuta,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quelle di prodotti alimentari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,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bevande e tabacco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, oltre che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di metalli e prodotti in metallo (+4,8%)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; positiva anche la performance de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i mezzi di trasporto (+3.4%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)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nonostante il deciso calo degli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lastRenderedPageBreak/>
        <w:t xml:space="preserve">autoveicoli </w:t>
      </w:r>
      <w:r w:rsidR="0010745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(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-9,3%)</w:t>
      </w:r>
      <w:r w:rsidR="00263602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(Figura 4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). </w:t>
      </w:r>
      <w:r w:rsidR="003B1FE9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Le esportazioni di prodotti farmaceutici, comparto in cui è forte la presenza di multinazionali, sono risultate particolarmente </w:t>
      </w:r>
      <w:r w:rsidR="00AD11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in crescita </w:t>
      </w:r>
      <w:r w:rsidR="003B1FE9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sia sui mercati Ue sia quelli extra Ue (+34,7 e +34,8% rispettivamente%). </w:t>
      </w:r>
      <w:r w:rsidR="00EC11C0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Si sono invece ridotte, nel periodo considerato,</w:t>
      </w:r>
      <w:r w:rsidR="00EC11C0" w:rsidDel="00A226D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EC11C0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le </w:t>
      </w:r>
      <w:r w:rsidR="00E16A95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vendite</w:t>
      </w:r>
      <w:r w:rsidR="00EC11C0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del coke e degli altri prodotti petroliferi raffinati (-15,6%), computer e gli apparecchi elettronici (-5,1%) e quelle di alcuni comparti rilevanti del Made in Italy, quali il tessile abbigliamento e le calzature (-3,8%), le altre industrie manifatturiere (-5,9%) e i macchinari (-1,9%).</w:t>
      </w:r>
      <w:r w:rsidR="00F95F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</w:p>
    <w:p w14:paraId="10732622" w14:textId="7F9E934D" w:rsidR="00FF3C3C" w:rsidRDefault="003B1FE9" w:rsidP="00FF3C3C">
      <w:pPr>
        <w:shd w:val="clear" w:color="auto" w:fill="FFFFFF"/>
        <w:spacing w:before="60" w:after="120"/>
        <w:ind w:right="-6"/>
        <w:jc w:val="both"/>
        <w:rPr>
          <w:rFonts w:ascii="Arial" w:eastAsia="Times New Roman" w:hAnsi="Arial" w:cs="Arial"/>
          <w:iCs/>
          <w:noProof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Sotto il profilo geografico,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l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’andamento dell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e esportazioni dirette negli Stati Uniti,</w:t>
      </w:r>
      <w:r w:rsidR="00FF3C3C" w:rsidRPr="0070170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principale merca</w:t>
      </w:r>
      <w:r w:rsidR="00384F31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t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o di destinazione al di fuori dell’Ue d</w:t>
      </w:r>
      <w:r w:rsidR="00F95F7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e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i prodotti italiani, </w:t>
      </w:r>
      <w:r w:rsidR="003A4D3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da inizio anno è stato fortemente influenzato dai fenomeni di anticipazione (frontloading) in vista </w:t>
      </w:r>
      <w:r w:rsidR="003A4D3D" w:rsidRPr="00BA73E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della applicazione dei dazi, a fronte peraltro di continui cambiamenti delle decisioni sul loro livello che hanno alimentato l’incertezza per diversi mesi. Anche includendo la contrazione di agosto,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l’andamento </w:t>
      </w:r>
      <w:r w:rsidR="003A4D3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complessivo dell’export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3A4D3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rimane </w:t>
      </w:r>
      <w:r w:rsidR="00974B4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vivace (+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6,9% nei </w:t>
      </w:r>
      <w:r w:rsidR="00BB6FF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primi otto mesi del 2025</w:t>
      </w:r>
      <w:r w:rsidR="00974B4D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+30% l’import)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. L’aumento delle vendite ha interessato i prodotti tradizionali del tessile, abbigliamento</w:t>
      </w:r>
      <w:r w:rsidR="00BB6FF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e calzature,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gli apparecchi elettrici e i prodotti in gomma. 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In evidenza i flussi di prodotti farmaceutici (</w:t>
      </w:r>
      <w:r w:rsidR="00344DD9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+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63,2%)</w:t>
      </w:r>
      <w:r w:rsidR="00344DD9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: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</w:t>
      </w:r>
      <w:r w:rsidR="00344DD9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gli Stati Uniti assorbono</w:t>
      </w:r>
      <w:r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 il 43,9% delle vendite dirette al di fuori dell’Unione e il 22,9% delle esportazioni complessive del comparto.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Dal lato dell’import, </w:t>
      </w:r>
      <w:r w:rsidR="00BB6FFF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 xml:space="preserve">sono invece risultati </w:t>
      </w:r>
      <w:r w:rsidR="00FF3C3C">
        <w:rPr>
          <w:rFonts w:ascii="Arial" w:eastAsia="Times New Roman" w:hAnsi="Arial" w:cs="Arial"/>
          <w:iCs/>
          <w:noProof/>
          <w:sz w:val="22"/>
          <w:szCs w:val="22"/>
          <w:lang w:eastAsia="it-IT"/>
        </w:rPr>
        <w:t>particolarmente rilevanti gli acquisti di prodotti farmaceutici (+79,2%).</w:t>
      </w:r>
    </w:p>
    <w:p w14:paraId="2BD96F36" w14:textId="1F4E292A" w:rsidR="009C1FE6" w:rsidRPr="00927731" w:rsidRDefault="000451F7" w:rsidP="001F2064">
      <w:pPr>
        <w:shd w:val="clear" w:color="auto" w:fill="FFFFFF"/>
        <w:spacing w:before="60" w:after="120"/>
        <w:ind w:right="-6"/>
        <w:jc w:val="both"/>
        <w:rPr>
          <w:rFonts w:ascii="Arial" w:eastAsia="Aptos" w:hAnsi="Arial" w:cs="Arial"/>
          <w:sz w:val="22"/>
          <w:szCs w:val="22"/>
        </w:rPr>
      </w:pPr>
      <w:r w:rsidRPr="004F26F0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Continua a crescere l’occupazione</w:t>
      </w:r>
      <w:r w:rsidR="002A1119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:</w:t>
      </w:r>
      <w:r w:rsidR="009C1FE6" w:rsidRPr="009C1FE6">
        <w:rPr>
          <w:rFonts w:ascii="Arial" w:hAnsi="Arial"/>
          <w:spacing w:val="-3"/>
          <w:sz w:val="20"/>
        </w:rPr>
        <w:t xml:space="preserve"> </w:t>
      </w:r>
      <w:r w:rsidR="002A1119">
        <w:rPr>
          <w:rFonts w:ascii="Arial" w:hAnsi="Arial"/>
          <w:spacing w:val="-3"/>
          <w:sz w:val="20"/>
        </w:rPr>
        <w:t>i</w:t>
      </w:r>
      <w:r w:rsidR="009C1FE6" w:rsidRPr="00927731">
        <w:rPr>
          <w:rFonts w:ascii="Arial" w:eastAsia="Aptos" w:hAnsi="Arial" w:cs="Arial"/>
          <w:sz w:val="22"/>
          <w:szCs w:val="22"/>
        </w:rPr>
        <w:t>l numero</w:t>
      </w:r>
      <w:r w:rsidR="006E544D">
        <w:rPr>
          <w:rFonts w:ascii="Arial" w:eastAsia="Aptos" w:hAnsi="Arial" w:cs="Arial"/>
          <w:sz w:val="22"/>
          <w:szCs w:val="22"/>
        </w:rPr>
        <w:t xml:space="preserve"> di </w:t>
      </w:r>
      <w:hyperlink r:id="rId24" w:history="1">
        <w:r w:rsidR="006E544D" w:rsidRPr="001959AC">
          <w:rPr>
            <w:rStyle w:val="Collegamentoipertestuale"/>
            <w:rFonts w:ascii="Arial" w:eastAsia="Aptos" w:hAnsi="Arial" w:cs="Arial"/>
            <w:sz w:val="22"/>
            <w:szCs w:val="22"/>
          </w:rPr>
          <w:t>occupati</w:t>
        </w:r>
      </w:hyperlink>
      <w:r w:rsidR="009C1FE6" w:rsidRPr="00927731">
        <w:rPr>
          <w:rFonts w:ascii="Arial" w:eastAsia="Aptos" w:hAnsi="Arial" w:cs="Arial"/>
          <w:sz w:val="22"/>
          <w:szCs w:val="22"/>
        </w:rPr>
        <w:t xml:space="preserve"> </w:t>
      </w:r>
      <w:r w:rsidR="006E544D">
        <w:rPr>
          <w:rFonts w:ascii="Arial" w:eastAsia="Aptos" w:hAnsi="Arial" w:cs="Arial"/>
          <w:sz w:val="22"/>
          <w:szCs w:val="22"/>
        </w:rPr>
        <w:t>raggiunge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</w:t>
      </w:r>
      <w:r w:rsidR="002A1119">
        <w:rPr>
          <w:rFonts w:ascii="Arial" w:eastAsia="Aptos" w:hAnsi="Arial" w:cs="Arial"/>
          <w:sz w:val="22"/>
          <w:szCs w:val="22"/>
        </w:rPr>
        <w:t>a</w:t>
      </w:r>
      <w:r w:rsidR="002A1119" w:rsidRPr="00927731">
        <w:rPr>
          <w:rFonts w:ascii="Arial" w:eastAsia="Aptos" w:hAnsi="Arial" w:cs="Arial"/>
          <w:sz w:val="22"/>
          <w:szCs w:val="22"/>
        </w:rPr>
        <w:t xml:space="preserve"> settembre </w:t>
      </w:r>
      <w:r w:rsidR="009C1FE6" w:rsidRPr="00927731">
        <w:rPr>
          <w:rFonts w:ascii="Arial" w:eastAsia="Aptos" w:hAnsi="Arial" w:cs="Arial"/>
          <w:sz w:val="22"/>
          <w:szCs w:val="22"/>
        </w:rPr>
        <w:t>24 milioni 221mila  unità</w:t>
      </w:r>
      <w:r w:rsidR="006E544D">
        <w:rPr>
          <w:rFonts w:ascii="Arial" w:eastAsia="Aptos" w:hAnsi="Arial" w:cs="Arial"/>
          <w:sz w:val="22"/>
          <w:szCs w:val="22"/>
        </w:rPr>
        <w:t>.</w:t>
      </w:r>
      <w:r w:rsidR="00B31083">
        <w:rPr>
          <w:rFonts w:ascii="Arial" w:eastAsia="Aptos" w:hAnsi="Arial" w:cs="Arial"/>
          <w:sz w:val="22"/>
          <w:szCs w:val="22"/>
        </w:rPr>
        <w:t xml:space="preserve"> </w:t>
      </w:r>
      <w:r w:rsidR="00AD117F">
        <w:rPr>
          <w:rFonts w:ascii="Arial" w:eastAsia="Aptos" w:hAnsi="Arial" w:cs="Arial"/>
          <w:sz w:val="22"/>
          <w:szCs w:val="22"/>
        </w:rPr>
        <w:t>La crescita coinvolge</w:t>
      </w:r>
      <w:r w:rsidR="006173BC">
        <w:rPr>
          <w:rFonts w:ascii="Arial" w:eastAsia="Aptos" w:hAnsi="Arial" w:cs="Arial"/>
          <w:sz w:val="22"/>
          <w:szCs w:val="22"/>
        </w:rPr>
        <w:t xml:space="preserve"> </w:t>
      </w:r>
      <w:r w:rsidR="009C1FE6" w:rsidRPr="00927731">
        <w:rPr>
          <w:rFonts w:ascii="Arial" w:eastAsia="Aptos" w:hAnsi="Arial" w:cs="Arial"/>
          <w:sz w:val="22"/>
          <w:szCs w:val="22"/>
        </w:rPr>
        <w:t>le sole donne e tutte le classi d’età ad eccezione dei 35-49enni; per posizione professionale l’occupazione aumenta tra i dipendenti permanenti, cala tra quelli a termine e risulta sostanzialmente stabile tra gli autonomi. Il tasso di occupazione sale al 62,7%.</w:t>
      </w:r>
      <w:r w:rsidR="00927731">
        <w:rPr>
          <w:rFonts w:ascii="Arial" w:eastAsia="Aptos" w:hAnsi="Arial" w:cs="Arial"/>
          <w:sz w:val="22"/>
          <w:szCs w:val="22"/>
        </w:rPr>
        <w:t xml:space="preserve"> 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Rispetto al mese precedente </w:t>
      </w:r>
      <w:r w:rsidR="00156CF7">
        <w:rPr>
          <w:rFonts w:ascii="Arial" w:eastAsia="Aptos" w:hAnsi="Arial" w:cs="Arial"/>
          <w:sz w:val="22"/>
          <w:szCs w:val="22"/>
        </w:rPr>
        <w:t>si segnala un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aumento </w:t>
      </w:r>
      <w:r w:rsidR="00156CF7">
        <w:rPr>
          <w:rFonts w:ascii="Arial" w:eastAsia="Aptos" w:hAnsi="Arial" w:cs="Arial"/>
          <w:sz w:val="22"/>
          <w:szCs w:val="22"/>
        </w:rPr>
        <w:t>del</w:t>
      </w:r>
      <w:r w:rsidR="009C1FE6" w:rsidRPr="00927731">
        <w:rPr>
          <w:rFonts w:ascii="Arial" w:eastAsia="Aptos" w:hAnsi="Arial" w:cs="Arial"/>
          <w:sz w:val="22"/>
          <w:szCs w:val="22"/>
        </w:rPr>
        <w:t>la disoccupazione</w:t>
      </w:r>
      <w:r w:rsidR="002A1119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per effetto di una crescita che coinvolge i soli uomin</w:t>
      </w:r>
      <w:r w:rsidR="0093592A">
        <w:rPr>
          <w:rFonts w:ascii="Arial" w:eastAsia="Aptos" w:hAnsi="Arial" w:cs="Arial"/>
          <w:sz w:val="22"/>
          <w:szCs w:val="22"/>
        </w:rPr>
        <w:t xml:space="preserve">i e gli individui di tutte le </w:t>
      </w:r>
      <w:r w:rsidR="006E544D">
        <w:rPr>
          <w:rFonts w:ascii="Arial" w:eastAsia="Aptos" w:hAnsi="Arial" w:cs="Arial"/>
          <w:sz w:val="22"/>
          <w:szCs w:val="22"/>
        </w:rPr>
        <w:t>età tranne i 35-49enni</w:t>
      </w:r>
      <w:r w:rsidR="0003410B">
        <w:rPr>
          <w:rFonts w:ascii="Arial" w:eastAsia="Aptos" w:hAnsi="Arial" w:cs="Arial"/>
          <w:sz w:val="22"/>
          <w:szCs w:val="22"/>
        </w:rPr>
        <w:t>.</w:t>
      </w:r>
      <w:r w:rsidR="006E544D">
        <w:rPr>
          <w:rFonts w:ascii="Arial" w:eastAsia="Aptos" w:hAnsi="Arial" w:cs="Arial"/>
          <w:sz w:val="22"/>
          <w:szCs w:val="22"/>
        </w:rPr>
        <w:t xml:space="preserve"> N</w:t>
      </w:r>
      <w:r w:rsidR="009C1FE6" w:rsidRPr="00927731">
        <w:rPr>
          <w:rFonts w:ascii="Arial" w:eastAsia="Aptos" w:hAnsi="Arial" w:cs="Arial"/>
          <w:sz w:val="22"/>
          <w:szCs w:val="22"/>
        </w:rPr>
        <w:t>el confronto mensile</w:t>
      </w:r>
      <w:r w:rsidR="00E33C76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il tasso di disoccupazione totale, che nell’ area </w:t>
      </w:r>
      <w:r w:rsidR="00E33C76">
        <w:rPr>
          <w:rFonts w:ascii="Arial" w:eastAsia="Aptos" w:hAnsi="Arial" w:cs="Arial"/>
          <w:sz w:val="22"/>
          <w:szCs w:val="22"/>
        </w:rPr>
        <w:t xml:space="preserve">euro 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è invariato al 6,3%, risulta </w:t>
      </w:r>
      <w:r w:rsidR="000F54D8">
        <w:rPr>
          <w:rFonts w:ascii="Arial" w:eastAsia="Aptos" w:hAnsi="Arial" w:cs="Arial"/>
          <w:sz w:val="22"/>
          <w:szCs w:val="22"/>
        </w:rPr>
        <w:t>in leggera crescita</w:t>
      </w:r>
      <w:r w:rsidR="000F54D8" w:rsidRPr="00927731">
        <w:rPr>
          <w:rFonts w:ascii="Arial" w:eastAsia="Aptos" w:hAnsi="Arial" w:cs="Arial"/>
          <w:sz w:val="22"/>
          <w:szCs w:val="22"/>
        </w:rPr>
        <w:t xml:space="preserve"> </w:t>
      </w:r>
      <w:r w:rsidR="000F54D8">
        <w:rPr>
          <w:rFonts w:ascii="Arial" w:eastAsia="Aptos" w:hAnsi="Arial" w:cs="Arial"/>
          <w:sz w:val="22"/>
          <w:szCs w:val="22"/>
        </w:rPr>
        <w:t>(</w:t>
      </w:r>
      <w:r w:rsidR="009C1FE6" w:rsidRPr="00927731">
        <w:rPr>
          <w:rFonts w:ascii="Arial" w:eastAsia="Aptos" w:hAnsi="Arial" w:cs="Arial"/>
          <w:sz w:val="22"/>
          <w:szCs w:val="22"/>
        </w:rPr>
        <w:t>al 6,1%</w:t>
      </w:r>
      <w:r w:rsidR="000F54D8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+0,1 punti), </w:t>
      </w:r>
      <w:r w:rsidR="000F54D8">
        <w:rPr>
          <w:rFonts w:ascii="Arial" w:eastAsia="Aptos" w:hAnsi="Arial" w:cs="Arial"/>
          <w:sz w:val="22"/>
          <w:szCs w:val="22"/>
        </w:rPr>
        <w:t xml:space="preserve">così come 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quello giovanile </w:t>
      </w:r>
      <w:r w:rsidR="000F54D8">
        <w:rPr>
          <w:rFonts w:ascii="Arial" w:eastAsia="Aptos" w:hAnsi="Arial" w:cs="Arial"/>
          <w:sz w:val="22"/>
          <w:szCs w:val="22"/>
        </w:rPr>
        <w:t>(</w:t>
      </w:r>
      <w:r w:rsidR="009C1FE6" w:rsidRPr="00927731">
        <w:rPr>
          <w:rFonts w:ascii="Arial" w:eastAsia="Aptos" w:hAnsi="Arial" w:cs="Arial"/>
          <w:sz w:val="22"/>
          <w:szCs w:val="22"/>
        </w:rPr>
        <w:t>al 20,6%</w:t>
      </w:r>
      <w:r w:rsidR="000F54D8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</w:t>
      </w:r>
      <w:r w:rsidR="0003410B">
        <w:rPr>
          <w:rFonts w:ascii="Arial" w:eastAsia="Aptos" w:hAnsi="Arial" w:cs="Arial"/>
          <w:sz w:val="22"/>
          <w:szCs w:val="22"/>
        </w:rPr>
        <w:t>+</w:t>
      </w:r>
      <w:r w:rsidR="009C1FE6" w:rsidRPr="00927731">
        <w:rPr>
          <w:rFonts w:ascii="Arial" w:eastAsia="Aptos" w:hAnsi="Arial" w:cs="Arial"/>
          <w:sz w:val="22"/>
          <w:szCs w:val="22"/>
        </w:rPr>
        <w:t>0,9 punti).</w:t>
      </w:r>
      <w:r w:rsidR="00D767E6">
        <w:rPr>
          <w:rFonts w:ascii="Arial" w:eastAsia="Aptos" w:hAnsi="Arial" w:cs="Arial"/>
          <w:sz w:val="22"/>
          <w:szCs w:val="22"/>
        </w:rPr>
        <w:t xml:space="preserve"> </w:t>
      </w:r>
      <w:r w:rsidR="009C1FE6" w:rsidRPr="00927731">
        <w:rPr>
          <w:rFonts w:ascii="Arial" w:eastAsia="Aptos" w:hAnsi="Arial" w:cs="Arial"/>
          <w:sz w:val="22"/>
          <w:szCs w:val="22"/>
        </w:rPr>
        <w:t>Rispetto ad agosto, infine, è in calo al 33,1% (-0,3 punti) il tasso d’inattività.</w:t>
      </w:r>
    </w:p>
    <w:p w14:paraId="501A517B" w14:textId="278AEB1E" w:rsidR="009C1FE6" w:rsidRPr="00927731" w:rsidRDefault="00F754B4" w:rsidP="001F2064">
      <w:pPr>
        <w:shd w:val="clear" w:color="auto" w:fill="FFFFFF"/>
        <w:spacing w:before="60" w:after="120"/>
        <w:ind w:right="-6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Su base trimestrale, nel periodo luglio-settembre</w:t>
      </w:r>
      <w:r w:rsidR="006E544D">
        <w:rPr>
          <w:rFonts w:ascii="Arial" w:eastAsia="Aptos" w:hAnsi="Arial" w:cs="Arial"/>
          <w:sz w:val="22"/>
          <w:szCs w:val="22"/>
        </w:rPr>
        <w:t xml:space="preserve"> si registra un incremento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</w:t>
      </w:r>
      <w:r w:rsidR="003448E5">
        <w:rPr>
          <w:rFonts w:ascii="Arial" w:eastAsia="Aptos" w:hAnsi="Arial" w:cs="Arial"/>
          <w:sz w:val="22"/>
          <w:szCs w:val="22"/>
        </w:rPr>
        <w:t xml:space="preserve">congiunturale </w:t>
      </w:r>
      <w:r w:rsidR="009C1FE6" w:rsidRPr="00927731">
        <w:rPr>
          <w:rFonts w:ascii="Arial" w:eastAsia="Aptos" w:hAnsi="Arial" w:cs="Arial"/>
          <w:sz w:val="22"/>
          <w:szCs w:val="22"/>
        </w:rPr>
        <w:t>del livello di occupazione pari allo 0,1%</w:t>
      </w:r>
      <w:r>
        <w:rPr>
          <w:rFonts w:ascii="Arial" w:eastAsia="Aptos" w:hAnsi="Arial" w:cs="Arial"/>
          <w:sz w:val="22"/>
          <w:szCs w:val="22"/>
        </w:rPr>
        <w:t xml:space="preserve"> </w:t>
      </w:r>
      <w:r w:rsidR="00E33C76">
        <w:rPr>
          <w:rFonts w:ascii="Arial" w:eastAsia="Aptos" w:hAnsi="Arial" w:cs="Arial"/>
          <w:sz w:val="22"/>
          <w:szCs w:val="22"/>
        </w:rPr>
        <w:t>(</w:t>
      </w:r>
      <w:r w:rsidR="009C1FE6" w:rsidRPr="00927731">
        <w:rPr>
          <w:rFonts w:ascii="Arial" w:eastAsia="Aptos" w:hAnsi="Arial" w:cs="Arial"/>
          <w:sz w:val="22"/>
          <w:szCs w:val="22"/>
        </w:rPr>
        <w:t>per un totale di 31mila occupati</w:t>
      </w:r>
      <w:r w:rsidR="00E33C76">
        <w:rPr>
          <w:rFonts w:ascii="Arial" w:eastAsia="Aptos" w:hAnsi="Arial" w:cs="Arial"/>
          <w:sz w:val="22"/>
          <w:szCs w:val="22"/>
        </w:rPr>
        <w:t>)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che interessa i maschi e le femmine, i dipendenti permanenti, gli autonomi e chi ha almeno 50 anni d’età.</w:t>
      </w:r>
      <w:r w:rsidR="00DB17ED">
        <w:rPr>
          <w:rFonts w:ascii="Arial" w:eastAsia="Aptos" w:hAnsi="Arial" w:cs="Arial"/>
          <w:sz w:val="22"/>
          <w:szCs w:val="22"/>
        </w:rPr>
        <w:t xml:space="preserve"> </w:t>
      </w:r>
      <w:r w:rsidR="009C1FE6" w:rsidRPr="00927731">
        <w:rPr>
          <w:rFonts w:ascii="Arial" w:eastAsia="Aptos" w:hAnsi="Arial" w:cs="Arial"/>
          <w:sz w:val="22"/>
          <w:szCs w:val="22"/>
        </w:rPr>
        <w:t>La crescita dell’occupazione si associa al calo delle persone in cerca di lavoro (-4,5%, pari a -73mila unità) e all’aumento degli inattivi (+0,3% pari a +36 mila unità).</w:t>
      </w:r>
    </w:p>
    <w:p w14:paraId="1CB4C197" w14:textId="29D3BD06" w:rsidR="009C1FE6" w:rsidRPr="00927731" w:rsidRDefault="00CE23A4" w:rsidP="001F2064">
      <w:pPr>
        <w:shd w:val="clear" w:color="auto" w:fill="FFFFFF"/>
        <w:spacing w:before="60" w:after="120"/>
        <w:ind w:right="-6"/>
        <w:jc w:val="both"/>
        <w:rPr>
          <w:rFonts w:ascii="Arial" w:eastAsia="Aptos" w:hAnsi="Arial" w:cs="Arial"/>
          <w:sz w:val="22"/>
          <w:szCs w:val="22"/>
        </w:rPr>
      </w:pPr>
      <w:r>
        <w:rPr>
          <w:rFonts w:ascii="Arial" w:eastAsia="Aptos" w:hAnsi="Arial" w:cs="Arial"/>
          <w:sz w:val="22"/>
          <w:szCs w:val="22"/>
        </w:rPr>
        <w:t>In termini tendenziali</w:t>
      </w:r>
      <w:r w:rsidR="002A1119">
        <w:rPr>
          <w:rFonts w:ascii="Arial" w:eastAsia="Aptos" w:hAnsi="Arial" w:cs="Arial"/>
          <w:sz w:val="22"/>
          <w:szCs w:val="22"/>
        </w:rPr>
        <w:t>, a settembre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gli occupati sono 176mila in più (+0,7%)</w:t>
      </w:r>
      <w:r w:rsidR="00105B12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con il tasso di occupazione in crescita di 0,3 punti </w:t>
      </w:r>
      <w:r w:rsidR="006E544D">
        <w:rPr>
          <w:rFonts w:ascii="Arial" w:eastAsia="Aptos" w:hAnsi="Arial" w:cs="Arial"/>
          <w:sz w:val="22"/>
          <w:szCs w:val="22"/>
        </w:rPr>
        <w:t>(Figura 5)</w:t>
      </w:r>
      <w:r w:rsidR="006E544D" w:rsidRPr="00927731">
        <w:rPr>
          <w:rFonts w:ascii="Arial" w:eastAsia="Aptos" w:hAnsi="Arial" w:cs="Arial"/>
          <w:sz w:val="22"/>
          <w:szCs w:val="22"/>
        </w:rPr>
        <w:t>.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Risulta positivo anche il saldo tendenziale del numero di disoccupati che in un anno è cresciuto di 16mila unità</w:t>
      </w:r>
      <w:r w:rsidR="002A1119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pari all’1,0%. </w:t>
      </w:r>
      <w:r w:rsidR="00E33C76">
        <w:rPr>
          <w:rFonts w:ascii="Arial" w:eastAsia="Aptos" w:hAnsi="Arial" w:cs="Arial"/>
          <w:sz w:val="22"/>
          <w:szCs w:val="22"/>
        </w:rPr>
        <w:t>Rispetto al</w:t>
      </w:r>
      <w:r w:rsidR="009C1FE6" w:rsidRPr="00927731">
        <w:rPr>
          <w:rFonts w:ascii="Arial" w:eastAsia="Aptos" w:hAnsi="Arial" w:cs="Arial"/>
          <w:sz w:val="22"/>
          <w:szCs w:val="22"/>
        </w:rPr>
        <w:t>l’anno precedente</w:t>
      </w:r>
      <w:r w:rsidR="0086537A">
        <w:rPr>
          <w:rFonts w:ascii="Arial" w:eastAsia="Aptos" w:hAnsi="Arial" w:cs="Arial"/>
          <w:sz w:val="22"/>
          <w:szCs w:val="22"/>
        </w:rPr>
        <w:t>,</w:t>
      </w:r>
      <w:r w:rsidR="009C1FE6" w:rsidRPr="00927731">
        <w:rPr>
          <w:rFonts w:ascii="Arial" w:eastAsia="Aptos" w:hAnsi="Arial" w:cs="Arial"/>
          <w:sz w:val="22"/>
          <w:szCs w:val="22"/>
        </w:rPr>
        <w:t xml:space="preserve"> il tasso di disoccupazione è stabile nel complesso e in crescita di 1,7 punti tra i giovani. Diminuisce sull’anno anche il numero di inattivi (-1,3% pari a -167mila unità) e il tasso di inattività (-0,3 punti).</w:t>
      </w:r>
    </w:p>
    <w:p w14:paraId="3B85FA32" w14:textId="2A9DF883" w:rsidR="00927731" w:rsidRPr="00927731" w:rsidRDefault="003448E5" w:rsidP="001F2064">
      <w:pPr>
        <w:spacing w:before="60" w:after="120"/>
        <w:jc w:val="both"/>
        <w:rPr>
          <w:rFonts w:ascii="Arial" w:hAnsi="Arial" w:cs="Arial"/>
          <w:color w:val="383838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C</w:t>
      </w:r>
      <w:r w:rsidR="00927731"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 xml:space="preserve">onsumi finali </w:t>
      </w:r>
      <w:r w:rsidR="00763A3E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 xml:space="preserve">e reddito disponibile delle famiglie </w:t>
      </w:r>
      <w:r w:rsidR="00927731"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in crescita</w:t>
      </w:r>
      <w:r w:rsidR="006173BC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 xml:space="preserve"> nel secondo trimestre</w:t>
      </w:r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>: i consumi</w:t>
      </w:r>
      <w:r w:rsid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9C0F53">
        <w:rPr>
          <w:rFonts w:ascii="Arial" w:hAnsi="Arial" w:cs="Arial"/>
          <w:color w:val="383838"/>
          <w:sz w:val="22"/>
          <w:szCs w:val="22"/>
          <w:shd w:val="clear" w:color="auto" w:fill="FFFFFF"/>
        </w:rPr>
        <w:t>aumentano</w:t>
      </w:r>
      <w:r w:rsidR="009C0F53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dello 0,5% 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>rispetto a</w:t>
      </w:r>
      <w:r w:rsidR="00E33C76">
        <w:rPr>
          <w:rFonts w:ascii="Arial" w:hAnsi="Arial" w:cs="Arial"/>
          <w:color w:val="383838"/>
          <w:sz w:val="22"/>
          <w:szCs w:val="22"/>
          <w:shd w:val="clear" w:color="auto" w:fill="FFFFFF"/>
        </w:rPr>
        <w:t>l periodo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>precedente</w:t>
      </w:r>
      <w:r w:rsidR="006173BC">
        <w:rPr>
          <w:rFonts w:ascii="Arial" w:hAnsi="Arial" w:cs="Arial"/>
          <w:color w:val="383838"/>
          <w:sz w:val="22"/>
          <w:szCs w:val="22"/>
          <w:shd w:val="clear" w:color="auto" w:fill="FFFFFF"/>
        </w:rPr>
        <w:t>,</w:t>
      </w:r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il </w:t>
      </w:r>
      <w:hyperlink r:id="rId25" w:history="1">
        <w:r w:rsidR="00927731" w:rsidRPr="000B07F6">
          <w:rPr>
            <w:rStyle w:val="Collegamentoipertestuale"/>
            <w:rFonts w:ascii="Arial" w:hAnsi="Arial" w:cs="Arial"/>
            <w:sz w:val="22"/>
            <w:szCs w:val="22"/>
            <w:shd w:val="clear" w:color="auto" w:fill="FFFFFF"/>
          </w:rPr>
          <w:t>reddito dispon</w:t>
        </w:r>
        <w:r w:rsidR="00763A3E" w:rsidRPr="000B07F6">
          <w:rPr>
            <w:rStyle w:val="Collegamentoipertestuale"/>
            <w:rFonts w:ascii="Arial" w:hAnsi="Arial" w:cs="Arial"/>
            <w:sz w:val="22"/>
            <w:szCs w:val="22"/>
            <w:shd w:val="clear" w:color="auto" w:fill="FFFFFF"/>
          </w:rPr>
          <w:t>ibile</w:t>
        </w:r>
      </w:hyperlink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delle famiglie dello 0,8%. L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>a propensione al risparmio de</w:t>
      </w:r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>lle famiglie è stimata al 9,5% (+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0,3 punti percentuali 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>rispetto al primo trimestre</w:t>
      </w:r>
      <w:r w:rsidR="00763A3E">
        <w:rPr>
          <w:rFonts w:ascii="Arial" w:hAnsi="Arial" w:cs="Arial"/>
          <w:color w:val="383838"/>
          <w:sz w:val="22"/>
          <w:szCs w:val="22"/>
          <w:shd w:val="clear" w:color="auto" w:fill="FFFFFF"/>
        </w:rPr>
        <w:t>)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>. Infine,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tra aprile e giugno</w:t>
      </w:r>
      <w:r w:rsidR="00E33C76">
        <w:rPr>
          <w:rFonts w:ascii="Arial" w:hAnsi="Arial" w:cs="Arial"/>
          <w:color w:val="383838"/>
          <w:sz w:val="22"/>
          <w:szCs w:val="22"/>
          <w:shd w:val="clear" w:color="auto" w:fill="FFFFFF"/>
        </w:rPr>
        <w:t>,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in media</w:t>
      </w:r>
      <w:r w:rsidR="00E33C76">
        <w:rPr>
          <w:rFonts w:ascii="Arial" w:hAnsi="Arial" w:cs="Arial"/>
          <w:color w:val="383838"/>
          <w:sz w:val="22"/>
          <w:szCs w:val="22"/>
          <w:shd w:val="clear" w:color="auto" w:fill="FFFFFF"/>
        </w:rPr>
        <w:t>,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il potere d’acquisto delle famiglie è cresciuto dello 0,3% (</w:t>
      </w:r>
      <w:r w:rsidR="00E33C76">
        <w:rPr>
          <w:rFonts w:ascii="Arial" w:hAnsi="Arial" w:cs="Arial"/>
          <w:color w:val="383838"/>
          <w:sz w:val="22"/>
          <w:szCs w:val="22"/>
          <w:shd w:val="clear" w:color="auto" w:fill="FFFFFF"/>
        </w:rPr>
        <w:t>+</w:t>
      </w:r>
      <w:r w:rsidR="00927731"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0,5% l’aumento dei prezzi misurati dal deflatore implicito dei consumi finali delle famiglie). </w:t>
      </w:r>
    </w:p>
    <w:p w14:paraId="7FF0FD2E" w14:textId="4967ADC6" w:rsidR="008C71F7" w:rsidRPr="00181647" w:rsidRDefault="00927731" w:rsidP="001F2064">
      <w:pPr>
        <w:autoSpaceDE w:val="0"/>
        <w:autoSpaceDN w:val="0"/>
        <w:adjustRightInd w:val="0"/>
        <w:spacing w:before="60" w:after="120" w:line="245" w:lineRule="auto"/>
        <w:jc w:val="both"/>
      </w:pPr>
      <w:r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Migliora la fiducia dei consumatori a ottobre</w:t>
      </w:r>
      <w:r w:rsidR="008C71F7">
        <w:t xml:space="preserve"> </w:t>
      </w:r>
      <w:r w:rsidR="008C71F7" w:rsidRP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per il secondo mese consecutivo, sostenuta </w:t>
      </w:r>
      <w:hyperlink r:id="rId26" w:history="1">
        <w:r w:rsidR="00763A3E" w:rsidRPr="00D54DC1">
          <w:rPr>
            <w:rStyle w:val="Collegamentoipertestuale"/>
            <w:rFonts w:ascii="Arial" w:hAnsi="Arial" w:cs="Arial"/>
            <w:sz w:val="22"/>
            <w:szCs w:val="22"/>
            <w:shd w:val="clear" w:color="auto" w:fill="FFFFFF"/>
          </w:rPr>
          <w:t>dalle</w:t>
        </w:r>
        <w:r w:rsidR="008C71F7" w:rsidRPr="00D54DC1">
          <w:rPr>
            <w:rStyle w:val="Collegamentoipertestuale"/>
            <w:rFonts w:ascii="Arial" w:hAnsi="Arial" w:cs="Arial"/>
            <w:sz w:val="22"/>
            <w:szCs w:val="22"/>
            <w:shd w:val="clear" w:color="auto" w:fill="FFFFFF"/>
          </w:rPr>
          <w:t xml:space="preserve"> attese sia sulla situazione economica</w:t>
        </w:r>
      </w:hyperlink>
      <w:r w:rsidR="008C71F7" w:rsidRP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(il valore dell’indice relativo al clima economico passa da 98,8 di settembre a 99,3</w:t>
      </w:r>
      <w:r w:rsid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a</w:t>
      </w:r>
      <w:r w:rsidR="008C71F7" w:rsidRP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ottobre) sia su quella personale (da 96 a 97), con un evidente rafforzamento delle prospettive future</w:t>
      </w:r>
      <w:r w:rsidR="00EC7C84">
        <w:rPr>
          <w:rFonts w:ascii="Arial" w:hAnsi="Arial" w:cs="Arial"/>
          <w:color w:val="383838"/>
          <w:sz w:val="22"/>
          <w:szCs w:val="22"/>
          <w:shd w:val="clear" w:color="auto" w:fill="FFFFFF"/>
        </w:rPr>
        <w:t>:</w:t>
      </w:r>
      <w:r w:rsidR="0054221B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8C71F7" w:rsidRPr="008C71F7">
        <w:rPr>
          <w:rFonts w:ascii="Arial" w:hAnsi="Arial" w:cs="Arial"/>
          <w:color w:val="383838"/>
          <w:sz w:val="22"/>
          <w:szCs w:val="22"/>
          <w:shd w:val="clear" w:color="auto" w:fill="FFFFFF"/>
        </w:rPr>
        <w:t>l’indice relativo al clima futuro passa da 92,6 a 94,1, grazie a valutazioni più favorevoli sulla possibilità/opportunità di risparmiare e di acquistare beni durevoli.</w:t>
      </w:r>
    </w:p>
    <w:p w14:paraId="2339DF48" w14:textId="29826D15" w:rsidR="00927731" w:rsidRPr="00927731" w:rsidRDefault="00927731" w:rsidP="001F2064">
      <w:pPr>
        <w:pStyle w:val="NormaleWeb"/>
        <w:shd w:val="clear" w:color="auto" w:fill="FFFFFF"/>
        <w:spacing w:before="60" w:beforeAutospacing="0" w:after="120" w:afterAutospacing="0"/>
        <w:jc w:val="both"/>
        <w:rPr>
          <w:rFonts w:ascii="Arial" w:hAnsi="Arial" w:cs="Arial"/>
          <w:color w:val="383838"/>
          <w:sz w:val="22"/>
          <w:szCs w:val="22"/>
        </w:rPr>
      </w:pPr>
      <w:r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Diminuiscono le vendite al dettaglio</w:t>
      </w:r>
      <w:r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="008C71F7">
        <w:rPr>
          <w:rFonts w:ascii="Arial" w:hAnsi="Arial" w:cs="Arial"/>
          <w:color w:val="383838"/>
          <w:sz w:val="22"/>
          <w:szCs w:val="22"/>
        </w:rPr>
        <w:t>a settembre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rispetto al mese precedente</w:t>
      </w:r>
      <w:r w:rsidR="006173BC">
        <w:rPr>
          <w:rFonts w:ascii="Arial" w:hAnsi="Arial" w:cs="Arial"/>
          <w:color w:val="383838"/>
          <w:sz w:val="22"/>
          <w:szCs w:val="22"/>
        </w:rPr>
        <w:t>,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sia in valore sia in volume (-0,5% per entrambi). La flessione riguarda tanto i beni alimentari (-0,4% in valore e -0,5% in volume), quanto quelli non alimentari (-0,5% in valore e -0,6% in volume). In </w:t>
      </w:r>
      <w:r w:rsidR="00EC7C84">
        <w:rPr>
          <w:rFonts w:ascii="Arial" w:hAnsi="Arial" w:cs="Arial"/>
          <w:color w:val="383838"/>
          <w:sz w:val="22"/>
          <w:szCs w:val="22"/>
        </w:rPr>
        <w:t>media</w:t>
      </w:r>
      <w:r w:rsidR="00B31083">
        <w:rPr>
          <w:rFonts w:ascii="Arial" w:hAnsi="Arial" w:cs="Arial"/>
          <w:color w:val="383838"/>
          <w:sz w:val="22"/>
          <w:szCs w:val="22"/>
        </w:rPr>
        <w:t>, nel terzo trimestre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, le </w:t>
      </w:r>
      <w:hyperlink r:id="rId27" w:history="1">
        <w:r w:rsidRPr="001959AC">
          <w:rPr>
            <w:rStyle w:val="Collegamentoipertestuale"/>
            <w:rFonts w:ascii="Arial" w:hAnsi="Arial" w:cs="Arial"/>
            <w:sz w:val="22"/>
            <w:szCs w:val="22"/>
          </w:rPr>
          <w:t>vendite al dettaglio</w:t>
        </w:r>
      </w:hyperlink>
      <w:r w:rsidRPr="00927731">
        <w:rPr>
          <w:rFonts w:ascii="Arial" w:hAnsi="Arial" w:cs="Arial"/>
          <w:color w:val="383838"/>
          <w:sz w:val="22"/>
          <w:szCs w:val="22"/>
        </w:rPr>
        <w:t xml:space="preserve"> sono in lieve aumento in valore (+0,1%</w:t>
      </w:r>
      <w:r w:rsidR="00BC3E56" w:rsidRPr="00BC3E56">
        <w:rPr>
          <w:rFonts w:ascii="Arial" w:hAnsi="Arial" w:cs="Arial"/>
          <w:color w:val="383838"/>
          <w:sz w:val="22"/>
          <w:szCs w:val="22"/>
        </w:rPr>
        <w:t xml:space="preserve"> </w:t>
      </w:r>
      <w:r w:rsidR="00BC3E56">
        <w:rPr>
          <w:rFonts w:ascii="Arial" w:hAnsi="Arial" w:cs="Arial"/>
          <w:color w:val="383838"/>
          <w:sz w:val="22"/>
          <w:szCs w:val="22"/>
        </w:rPr>
        <w:t>su base congiunturale)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e </w:t>
      </w:r>
      <w:r w:rsidR="00EC7C84">
        <w:rPr>
          <w:rFonts w:ascii="Arial" w:hAnsi="Arial" w:cs="Arial"/>
          <w:color w:val="383838"/>
          <w:sz w:val="22"/>
          <w:szCs w:val="22"/>
        </w:rPr>
        <w:t>in calo</w:t>
      </w:r>
      <w:r w:rsidR="00EC7C84" w:rsidRPr="00927731">
        <w:rPr>
          <w:rFonts w:ascii="Arial" w:hAnsi="Arial" w:cs="Arial"/>
          <w:color w:val="383838"/>
          <w:sz w:val="22"/>
          <w:szCs w:val="22"/>
        </w:rPr>
        <w:t xml:space="preserve"> 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in volume </w:t>
      </w:r>
      <w:r w:rsidR="00B42880">
        <w:rPr>
          <w:rFonts w:ascii="Arial" w:hAnsi="Arial" w:cs="Arial"/>
          <w:color w:val="383838"/>
          <w:sz w:val="22"/>
          <w:szCs w:val="22"/>
        </w:rPr>
        <w:br/>
      </w:r>
      <w:r w:rsidRPr="00927731">
        <w:rPr>
          <w:rFonts w:ascii="Arial" w:hAnsi="Arial" w:cs="Arial"/>
          <w:color w:val="383838"/>
          <w:sz w:val="22"/>
          <w:szCs w:val="22"/>
        </w:rPr>
        <w:t>(-0,4%). Variazioni di segno analogo si rilevano sia per le vendite dei beni alimentari (+0,1% in valore e</w:t>
      </w:r>
      <w:r w:rsidR="00B42880">
        <w:rPr>
          <w:rFonts w:ascii="Arial" w:hAnsi="Arial" w:cs="Arial"/>
          <w:color w:val="383838"/>
          <w:sz w:val="22"/>
          <w:szCs w:val="22"/>
        </w:rPr>
        <w:br/>
      </w:r>
      <w:r w:rsidRPr="00927731">
        <w:rPr>
          <w:rFonts w:ascii="Arial" w:hAnsi="Arial" w:cs="Arial"/>
          <w:color w:val="383838"/>
          <w:sz w:val="22"/>
          <w:szCs w:val="22"/>
        </w:rPr>
        <w:t>-0,9% in volume) sia per quelle dei beni non alimentari (+0,1% in valore e -0,1% in volume).</w:t>
      </w:r>
    </w:p>
    <w:p w14:paraId="7E37899F" w14:textId="6A4F0108" w:rsidR="00927731" w:rsidRPr="00927731" w:rsidRDefault="00CF5E25" w:rsidP="001F2064">
      <w:pPr>
        <w:spacing w:before="60"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lastRenderedPageBreak/>
        <w:t>Si rafforzano</w:t>
      </w:r>
      <w:r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 xml:space="preserve"> </w:t>
      </w:r>
      <w:r w:rsidR="00BC3E56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 xml:space="preserve">a ottobre </w:t>
      </w:r>
      <w:r w:rsidR="00927731"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le attese sull’occupazione</w:t>
      </w:r>
      <w:r w:rsidR="00927731" w:rsidRPr="00927731">
        <w:rPr>
          <w:rFonts w:ascii="Arial" w:hAnsi="Arial" w:cs="Arial"/>
          <w:iCs/>
          <w:sz w:val="22"/>
          <w:szCs w:val="22"/>
        </w:rPr>
        <w:t xml:space="preserve"> delle imprese del settore delle Costruzioni e del Commercio al dettaglio ri</w:t>
      </w:r>
      <w:r w:rsidR="00DB17ED">
        <w:rPr>
          <w:rFonts w:ascii="Arial" w:hAnsi="Arial" w:cs="Arial"/>
          <w:iCs/>
          <w:sz w:val="22"/>
          <w:szCs w:val="22"/>
        </w:rPr>
        <w:t>spetto al mese precedente</w:t>
      </w:r>
      <w:r w:rsidR="006173BC">
        <w:rPr>
          <w:rFonts w:ascii="Arial" w:hAnsi="Arial" w:cs="Arial"/>
          <w:iCs/>
          <w:sz w:val="22"/>
          <w:szCs w:val="22"/>
        </w:rPr>
        <w:t>,</w:t>
      </w:r>
      <w:r w:rsidR="00DB17ED">
        <w:rPr>
          <w:rFonts w:ascii="Arial" w:hAnsi="Arial" w:cs="Arial"/>
          <w:iCs/>
          <w:sz w:val="22"/>
          <w:szCs w:val="22"/>
        </w:rPr>
        <w:t xml:space="preserve"> mentre peggiorano lievemente nel Manifatturiero e nei</w:t>
      </w:r>
      <w:r w:rsidR="00927731" w:rsidRPr="00927731">
        <w:rPr>
          <w:rFonts w:ascii="Arial" w:hAnsi="Arial" w:cs="Arial"/>
          <w:iCs/>
          <w:sz w:val="22"/>
          <w:szCs w:val="22"/>
        </w:rPr>
        <w:t xml:space="preserve"> Servizi di mercato. </w:t>
      </w:r>
    </w:p>
    <w:p w14:paraId="3D3FC919" w14:textId="0A736ADF" w:rsidR="00927731" w:rsidRPr="00927731" w:rsidRDefault="00927731" w:rsidP="001F2064">
      <w:pPr>
        <w:pStyle w:val="NormaleWeb"/>
        <w:shd w:val="clear" w:color="auto" w:fill="FFFFFF"/>
        <w:spacing w:before="60" w:beforeAutospacing="0" w:after="120" w:afterAutospacing="0"/>
        <w:jc w:val="both"/>
        <w:rPr>
          <w:rFonts w:ascii="Arial" w:hAnsi="Arial" w:cs="Arial"/>
          <w:color w:val="383838"/>
          <w:sz w:val="22"/>
          <w:szCs w:val="22"/>
        </w:rPr>
      </w:pPr>
      <w:r w:rsidRPr="00927731">
        <w:rPr>
          <w:rFonts w:ascii="Arial" w:hAnsi="Arial" w:cs="Arial"/>
          <w:b/>
          <w:iCs/>
          <w:noProof/>
          <w:color w:val="008080"/>
          <w:spacing w:val="2"/>
          <w:sz w:val="22"/>
          <w:szCs w:val="22"/>
        </w:rPr>
        <w:t>Rimane invariato l’indice delle retribuzioni contrattuali orarie</w:t>
      </w:r>
      <w:r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a </w:t>
      </w:r>
      <w:r w:rsidRPr="00927731">
        <w:rPr>
          <w:rFonts w:ascii="Arial" w:hAnsi="Arial" w:cs="Arial"/>
          <w:color w:val="383838"/>
          <w:sz w:val="22"/>
          <w:szCs w:val="22"/>
        </w:rPr>
        <w:t>settembre</w:t>
      </w:r>
      <w:r w:rsidRPr="00927731">
        <w:rPr>
          <w:rFonts w:ascii="Arial" w:hAnsi="Arial" w:cs="Arial"/>
          <w:color w:val="383838"/>
          <w:sz w:val="22"/>
          <w:szCs w:val="22"/>
          <w:shd w:val="clear" w:color="auto" w:fill="FFFFFF"/>
        </w:rPr>
        <w:t xml:space="preserve"> </w:t>
      </w:r>
      <w:r w:rsidRPr="00927731">
        <w:rPr>
          <w:rFonts w:ascii="Arial" w:hAnsi="Arial" w:cs="Arial"/>
          <w:color w:val="383838"/>
          <w:sz w:val="22"/>
          <w:szCs w:val="22"/>
        </w:rPr>
        <w:t>rispetto a</w:t>
      </w:r>
      <w:r w:rsidR="0029081F">
        <w:rPr>
          <w:rFonts w:ascii="Arial" w:hAnsi="Arial" w:cs="Arial"/>
          <w:color w:val="383838"/>
          <w:sz w:val="22"/>
          <w:szCs w:val="22"/>
        </w:rPr>
        <w:t>d</w:t>
      </w:r>
      <w:r w:rsidR="00C566C8">
        <w:rPr>
          <w:rFonts w:ascii="Arial" w:hAnsi="Arial" w:cs="Arial"/>
          <w:color w:val="383838"/>
          <w:sz w:val="22"/>
          <w:szCs w:val="22"/>
        </w:rPr>
        <w:t xml:space="preserve"> agosto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, mentre aumenta del 2,6% </w:t>
      </w:r>
      <w:r w:rsidR="00CF5E25">
        <w:rPr>
          <w:rFonts w:ascii="Arial" w:hAnsi="Arial" w:cs="Arial"/>
          <w:color w:val="383838"/>
          <w:sz w:val="22"/>
          <w:szCs w:val="22"/>
        </w:rPr>
        <w:t>su base tendenziale, con un incremento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più significativo per i lavoratori della pubblica amministrazione (</w:t>
      </w:r>
      <w:r w:rsidR="00DB17ED">
        <w:rPr>
          <w:rFonts w:ascii="Arial" w:hAnsi="Arial" w:cs="Arial"/>
          <w:color w:val="383838"/>
          <w:sz w:val="22"/>
          <w:szCs w:val="22"/>
        </w:rPr>
        <w:t>+</w:t>
      </w:r>
      <w:r w:rsidRPr="00927731">
        <w:rPr>
          <w:rFonts w:ascii="Arial" w:hAnsi="Arial" w:cs="Arial"/>
          <w:color w:val="383838"/>
          <w:sz w:val="22"/>
          <w:szCs w:val="22"/>
        </w:rPr>
        <w:t>3,3%), rispetto a quello dei dipendenti dell’industria (</w:t>
      </w:r>
      <w:r w:rsidR="00DB17ED">
        <w:rPr>
          <w:rFonts w:ascii="Arial" w:hAnsi="Arial" w:cs="Arial"/>
          <w:color w:val="383838"/>
          <w:sz w:val="22"/>
          <w:szCs w:val="22"/>
        </w:rPr>
        <w:t>+</w:t>
      </w:r>
      <w:r w:rsidRPr="00927731">
        <w:rPr>
          <w:rFonts w:ascii="Arial" w:hAnsi="Arial" w:cs="Arial"/>
          <w:color w:val="383838"/>
          <w:sz w:val="22"/>
          <w:szCs w:val="22"/>
        </w:rPr>
        <w:t>2,3%) e dei servizi privati (</w:t>
      </w:r>
      <w:r w:rsidR="00DB17ED">
        <w:rPr>
          <w:rFonts w:ascii="Arial" w:hAnsi="Arial" w:cs="Arial"/>
          <w:color w:val="383838"/>
          <w:sz w:val="22"/>
          <w:szCs w:val="22"/>
        </w:rPr>
        <w:t>+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2,4%). </w:t>
      </w:r>
    </w:p>
    <w:p w14:paraId="5312A6D6" w14:textId="17D3D274" w:rsidR="00927731" w:rsidRDefault="00927731" w:rsidP="001F2064">
      <w:pPr>
        <w:pStyle w:val="NormaleWeb"/>
        <w:shd w:val="clear" w:color="auto" w:fill="FFFFFF"/>
        <w:spacing w:before="60" w:beforeAutospacing="0" w:after="120" w:afterAutospacing="0"/>
        <w:jc w:val="both"/>
        <w:rPr>
          <w:rFonts w:ascii="Arial" w:hAnsi="Arial" w:cs="Arial"/>
          <w:color w:val="383838"/>
          <w:sz w:val="22"/>
          <w:szCs w:val="22"/>
        </w:rPr>
      </w:pPr>
      <w:r w:rsidRPr="00927731">
        <w:rPr>
          <w:rFonts w:ascii="Arial" w:hAnsi="Arial" w:cs="Arial"/>
          <w:color w:val="383838"/>
          <w:sz w:val="22"/>
          <w:szCs w:val="22"/>
        </w:rPr>
        <w:t>In generale, n</w:t>
      </w:r>
      <w:r w:rsidR="00B31083">
        <w:rPr>
          <w:rFonts w:ascii="Arial" w:hAnsi="Arial" w:cs="Arial"/>
          <w:color w:val="383838"/>
          <w:sz w:val="22"/>
          <w:szCs w:val="22"/>
        </w:rPr>
        <w:t>el terzo trimestre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, la crescita tendenziale delle </w:t>
      </w:r>
      <w:hyperlink r:id="rId28" w:history="1">
        <w:r w:rsidRPr="000B07F6">
          <w:rPr>
            <w:rStyle w:val="Collegamentoipertestuale"/>
            <w:rFonts w:ascii="Arial" w:hAnsi="Arial" w:cs="Arial"/>
            <w:sz w:val="22"/>
            <w:szCs w:val="22"/>
          </w:rPr>
          <w:t>retribuzioni contrattuali</w:t>
        </w:r>
      </w:hyperlink>
      <w:r w:rsidRPr="00927731">
        <w:rPr>
          <w:rFonts w:ascii="Arial" w:hAnsi="Arial" w:cs="Arial"/>
          <w:color w:val="383838"/>
          <w:sz w:val="22"/>
          <w:szCs w:val="22"/>
        </w:rPr>
        <w:t xml:space="preserve"> ha mostrato un</w:t>
      </w:r>
      <w:r w:rsidR="005E1A5F">
        <w:rPr>
          <w:rFonts w:ascii="Arial" w:hAnsi="Arial" w:cs="Arial"/>
          <w:color w:val="383838"/>
          <w:sz w:val="22"/>
          <w:szCs w:val="22"/>
        </w:rPr>
        <w:t>a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</w:t>
      </w:r>
      <w:r w:rsidR="005E1A5F">
        <w:rPr>
          <w:rFonts w:ascii="Arial" w:hAnsi="Arial" w:cs="Arial"/>
          <w:color w:val="383838"/>
          <w:sz w:val="22"/>
          <w:szCs w:val="22"/>
        </w:rPr>
        <w:t xml:space="preserve">decelerazione </w:t>
      </w:r>
      <w:r w:rsidR="00DB1B69">
        <w:rPr>
          <w:rFonts w:ascii="Arial" w:hAnsi="Arial" w:cs="Arial"/>
          <w:color w:val="383838"/>
          <w:sz w:val="22"/>
          <w:szCs w:val="22"/>
        </w:rPr>
        <w:t xml:space="preserve">rispetto </w:t>
      </w:r>
      <w:r w:rsidR="00CF5E25">
        <w:rPr>
          <w:rFonts w:ascii="Arial" w:hAnsi="Arial" w:cs="Arial"/>
          <w:color w:val="383838"/>
          <w:sz w:val="22"/>
          <w:szCs w:val="22"/>
        </w:rPr>
        <w:t>al secondo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, pur mantenendosi al di sopra del tasso di inflazione. </w:t>
      </w:r>
      <w:r w:rsidR="00A9261A">
        <w:rPr>
          <w:rFonts w:ascii="Arial" w:hAnsi="Arial" w:cs="Arial"/>
          <w:color w:val="383838"/>
          <w:sz w:val="22"/>
          <w:szCs w:val="22"/>
        </w:rPr>
        <w:t>Tale tendenza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è causata dalla sostanziale stabilità nei servizi privati e dal significativo rallentamento nel settore industriale, compensata solo in parte dalla lieve accelerazione nel comparto pubblico, a seguito dell'erogazione dell'indennità di vacanza contrattuale. Complessivamente, le retribuzioni contrattuali i</w:t>
      </w:r>
      <w:r w:rsidR="00B31083">
        <w:rPr>
          <w:rFonts w:ascii="Arial" w:hAnsi="Arial" w:cs="Arial"/>
          <w:color w:val="383838"/>
          <w:sz w:val="22"/>
          <w:szCs w:val="22"/>
        </w:rPr>
        <w:t>n termini reali a settembre</w:t>
      </w:r>
      <w:r w:rsidRPr="00927731">
        <w:rPr>
          <w:rFonts w:ascii="Arial" w:hAnsi="Arial" w:cs="Arial"/>
          <w:color w:val="383838"/>
          <w:sz w:val="22"/>
          <w:szCs w:val="22"/>
        </w:rPr>
        <w:t xml:space="preserve"> risultano inferiori dell'8,8% rispetto ai livelli registrati a gennaio 2021.  </w:t>
      </w:r>
    </w:p>
    <w:p w14:paraId="1C0069C7" w14:textId="77777777" w:rsidR="00327FF4" w:rsidRPr="00927731" w:rsidRDefault="00327FF4" w:rsidP="001F2064">
      <w:pPr>
        <w:pStyle w:val="NormaleWeb"/>
        <w:shd w:val="clear" w:color="auto" w:fill="FFFFFF"/>
        <w:spacing w:before="60" w:beforeAutospacing="0" w:after="120" w:afterAutospacing="0"/>
        <w:jc w:val="both"/>
        <w:rPr>
          <w:rFonts w:ascii="Arial" w:hAnsi="Arial" w:cs="Arial"/>
          <w:color w:val="383838"/>
          <w:sz w:val="22"/>
          <w:szCs w:val="22"/>
        </w:rPr>
      </w:pPr>
    </w:p>
    <w:tbl>
      <w:tblPr>
        <w:tblStyle w:val="Grigliatabel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1"/>
      </w:tblGrid>
      <w:tr w:rsidR="00663E93" w:rsidRPr="001E23DD" w14:paraId="1B978180" w14:textId="77777777" w:rsidTr="00C657FD">
        <w:tc>
          <w:tcPr>
            <w:tcW w:w="5100" w:type="dxa"/>
            <w:tcBorders>
              <w:bottom w:val="single" w:sz="2" w:space="0" w:color="D9D9D9" w:themeColor="background1" w:themeShade="D9"/>
            </w:tcBorders>
            <w:tcMar>
              <w:left w:w="0" w:type="dxa"/>
              <w:right w:w="0" w:type="dxa"/>
            </w:tcMar>
          </w:tcPr>
          <w:p w14:paraId="4ACD4A7B" w14:textId="73E77FD9" w:rsidR="0086191C" w:rsidRPr="00FB592B" w:rsidRDefault="00F608C6" w:rsidP="00BC3E56">
            <w:pPr>
              <w:pStyle w:val="052tabella-figurasottotitolo"/>
              <w:spacing w:after="120"/>
              <w:ind w:right="142"/>
              <w:rPr>
                <w:color w:val="595959" w:themeColor="text1" w:themeTint="A6"/>
                <w:sz w:val="20"/>
              </w:rPr>
            </w:pPr>
            <w:r w:rsidRPr="00FB592B">
              <w:rPr>
                <w:b/>
                <w:color w:val="00817F"/>
                <w:sz w:val="20"/>
              </w:rPr>
              <w:t>FIGURA 5</w:t>
            </w:r>
            <w:r w:rsidR="00C970AA" w:rsidRPr="00FB592B">
              <w:rPr>
                <w:b/>
                <w:sz w:val="20"/>
              </w:rPr>
              <w:t xml:space="preserve">. </w:t>
            </w:r>
            <w:r w:rsidR="00327FF4" w:rsidRPr="00327FF4">
              <w:rPr>
                <w:b/>
                <w:color w:val="595959" w:themeColor="text1" w:themeTint="A6"/>
                <w:sz w:val="20"/>
              </w:rPr>
              <w:t>OCCUPATI PER POSIZIONE PROFESSIONALE</w:t>
            </w:r>
            <w:r w:rsidR="007F3BFB" w:rsidRPr="007F3BFB">
              <w:rPr>
                <w:b/>
                <w:color w:val="595959" w:themeColor="text1" w:themeTint="A6"/>
                <w:sz w:val="20"/>
              </w:rPr>
              <w:t>.</w:t>
            </w:r>
            <w:r w:rsidR="003715C6">
              <w:rPr>
                <w:b/>
                <w:color w:val="595959" w:themeColor="text1" w:themeTint="A6"/>
                <w:sz w:val="20"/>
              </w:rPr>
              <w:t xml:space="preserve">                                                                     </w:t>
            </w:r>
            <w:r w:rsidR="00976406" w:rsidRPr="00FB592B">
              <w:rPr>
                <w:b/>
                <w:color w:val="595959" w:themeColor="text1" w:themeTint="A6"/>
                <w:sz w:val="20"/>
              </w:rPr>
              <w:t xml:space="preserve">  </w:t>
            </w:r>
            <w:r w:rsidR="007F4561">
              <w:rPr>
                <w:b/>
                <w:color w:val="595959" w:themeColor="text1" w:themeTint="A6"/>
                <w:sz w:val="20"/>
              </w:rPr>
              <w:t xml:space="preserve">     </w:t>
            </w:r>
            <w:r w:rsidR="007F4561">
              <w:rPr>
                <w:color w:val="595959" w:themeColor="text1" w:themeTint="A6"/>
                <w:sz w:val="20"/>
              </w:rPr>
              <w:t xml:space="preserve">  </w:t>
            </w:r>
            <w:r w:rsidR="004841BF">
              <w:rPr>
                <w:color w:val="595959" w:themeColor="text1" w:themeTint="A6"/>
                <w:sz w:val="20"/>
              </w:rPr>
              <w:t xml:space="preserve"> </w:t>
            </w:r>
            <w:r w:rsidR="004841BF" w:rsidRPr="00714889">
              <w:rPr>
                <w:color w:val="auto"/>
                <w:sz w:val="19"/>
                <w:szCs w:val="19"/>
              </w:rPr>
              <w:t xml:space="preserve">Numeri indice: base </w:t>
            </w:r>
            <w:r w:rsidR="007F4561" w:rsidRPr="00714889">
              <w:rPr>
                <w:color w:val="auto"/>
                <w:sz w:val="19"/>
                <w:szCs w:val="19"/>
              </w:rPr>
              <w:t>media 20</w:t>
            </w:r>
            <w:r w:rsidR="00327FF4">
              <w:rPr>
                <w:color w:val="auto"/>
                <w:sz w:val="19"/>
                <w:szCs w:val="19"/>
              </w:rPr>
              <w:t>21</w:t>
            </w:r>
            <w:r w:rsidR="00DA170E" w:rsidRPr="00714889">
              <w:rPr>
                <w:color w:val="auto"/>
                <w:sz w:val="19"/>
                <w:szCs w:val="19"/>
              </w:rPr>
              <w:t>, dati</w:t>
            </w:r>
            <w:r w:rsidR="007F4561" w:rsidRPr="00714889">
              <w:rPr>
                <w:color w:val="auto"/>
                <w:sz w:val="19"/>
                <w:szCs w:val="19"/>
              </w:rPr>
              <w:t xml:space="preserve"> destagionalizzati</w:t>
            </w:r>
          </w:p>
        </w:tc>
        <w:tc>
          <w:tcPr>
            <w:tcW w:w="5101" w:type="dxa"/>
            <w:tcBorders>
              <w:bottom w:val="single" w:sz="2" w:space="0" w:color="D9D9D9" w:themeColor="background1" w:themeShade="D9"/>
            </w:tcBorders>
            <w:tcMar>
              <w:left w:w="0" w:type="dxa"/>
              <w:right w:w="0" w:type="dxa"/>
            </w:tcMar>
          </w:tcPr>
          <w:p w14:paraId="40AF2E7E" w14:textId="08D7A357" w:rsidR="007462ED" w:rsidRPr="00FB592B" w:rsidRDefault="001E23DD" w:rsidP="0029081F">
            <w:pPr>
              <w:rPr>
                <w:rFonts w:ascii="Arial Narrow" w:hAnsi="Arial Narrow" w:cs="Arial"/>
                <w:b/>
                <w:iCs/>
                <w:noProof/>
                <w:color w:val="595959" w:themeColor="text1" w:themeTint="A6"/>
              </w:rPr>
            </w:pPr>
            <w:r w:rsidRPr="00C82E6F">
              <w:rPr>
                <w:rFonts w:ascii="Arial Narrow" w:hAnsi="Arial Narrow" w:cs="Arial"/>
                <w:b/>
                <w:iCs/>
                <w:noProof/>
                <w:color w:val="00817F"/>
              </w:rPr>
              <w:t>FIGURA 6</w:t>
            </w:r>
            <w:r w:rsidRPr="00C82E6F">
              <w:rPr>
                <w:rFonts w:ascii="Arial Narrow" w:hAnsi="Arial Narrow" w:cs="Arial"/>
                <w:b/>
                <w:iCs/>
                <w:noProof/>
                <w:color w:val="008080"/>
              </w:rPr>
              <w:t xml:space="preserve">. </w:t>
            </w:r>
            <w:r w:rsidR="00F40035" w:rsidRPr="00F40035">
              <w:rPr>
                <w:rFonts w:ascii="Arial Narrow" w:hAnsi="Arial Narrow" w:cs="Arial"/>
                <w:b/>
                <w:iCs/>
                <w:noProof/>
                <w:color w:val="595959" w:themeColor="text1" w:themeTint="A6"/>
              </w:rPr>
              <w:t>INFLAZIONE AL CONSUMO IN ITALIA.</w:t>
            </w:r>
            <w:r w:rsidR="00172E3C" w:rsidRPr="00FB592B">
              <w:rPr>
                <w:rFonts w:ascii="Arial Narrow" w:hAnsi="Arial Narrow" w:cs="Arial"/>
                <w:b/>
                <w:iCs/>
                <w:noProof/>
                <w:color w:val="008080"/>
              </w:rPr>
              <w:t xml:space="preserve"> </w:t>
            </w:r>
            <w:r w:rsidR="009F6728" w:rsidRPr="00FB592B">
              <w:rPr>
                <w:rFonts w:ascii="Arial Narrow" w:hAnsi="Arial Narrow" w:cs="Arial"/>
                <w:b/>
                <w:iCs/>
                <w:noProof/>
                <w:color w:val="008080"/>
              </w:rPr>
              <w:t xml:space="preserve"> </w:t>
            </w:r>
            <w:r w:rsidR="00172E3C" w:rsidRPr="00FB592B">
              <w:rPr>
                <w:rFonts w:ascii="Arial Narrow" w:hAnsi="Arial Narrow" w:cs="Arial"/>
                <w:b/>
                <w:iCs/>
                <w:noProof/>
                <w:color w:val="008080"/>
              </w:rPr>
              <w:t xml:space="preserve">     </w:t>
            </w:r>
            <w:r w:rsidRPr="00FB592B">
              <w:rPr>
                <w:rFonts w:ascii="Arial Narrow" w:hAnsi="Arial Narrow" w:cs="Arial"/>
                <w:b/>
                <w:iCs/>
                <w:noProof/>
                <w:color w:val="595959" w:themeColor="text1" w:themeTint="A6"/>
              </w:rPr>
              <w:t xml:space="preserve">            </w:t>
            </w:r>
            <w:r w:rsidR="00FD712E" w:rsidRPr="00FB592B">
              <w:rPr>
                <w:rFonts w:ascii="Arial Narrow" w:hAnsi="Arial Narrow" w:cs="Arial"/>
                <w:b/>
                <w:iCs/>
                <w:noProof/>
                <w:color w:val="595959" w:themeColor="text1" w:themeTint="A6"/>
              </w:rPr>
              <w:t xml:space="preserve">                                    </w:t>
            </w:r>
            <w:r w:rsidR="00F009B9" w:rsidRPr="00FB592B">
              <w:rPr>
                <w:rFonts w:ascii="Arial Narrow" w:hAnsi="Arial Narrow" w:cs="Arial"/>
                <w:b/>
                <w:iCs/>
                <w:noProof/>
                <w:color w:val="595959" w:themeColor="text1" w:themeTint="A6"/>
              </w:rPr>
              <w:t xml:space="preserve">                 </w:t>
            </w:r>
            <w:r w:rsidR="00F40035" w:rsidRPr="00F40035">
              <w:rPr>
                <w:rFonts w:ascii="Arial Narrow" w:hAnsi="Arial Narrow" w:cs="Arial"/>
                <w:iCs/>
                <w:noProof/>
                <w:sz w:val="19"/>
                <w:szCs w:val="19"/>
              </w:rPr>
              <w:t>Indice dei prezzi per l'intera collettività NIC, var. tendenziali</w:t>
            </w:r>
          </w:p>
        </w:tc>
      </w:tr>
      <w:tr w:rsidR="00663E93" w14:paraId="6C7E86A7" w14:textId="77777777" w:rsidTr="00327FF4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510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1E4FCA4B" w14:textId="3B888BC3" w:rsidR="00663E93" w:rsidRPr="00E623BE" w:rsidRDefault="00327FF4" w:rsidP="00505110">
            <w:pPr>
              <w:pStyle w:val="016testobulletprimapagina"/>
              <w:spacing w:before="60" w:after="120" w:line="240" w:lineRule="auto"/>
              <w:ind w:left="0" w:right="-8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06690C9" wp14:editId="2701FBA6">
                  <wp:extent cx="3149600" cy="2115820"/>
                  <wp:effectExtent l="0" t="0" r="0" b="0"/>
                  <wp:docPr id="6" name="Gra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3D5F14-FE72-47F0-8A30-19A35B2974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51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</w:tcPr>
          <w:p w14:paraId="76105AF6" w14:textId="6AC0BD9E" w:rsidR="00663E93" w:rsidRDefault="00E04DE9" w:rsidP="00505110">
            <w:pPr>
              <w:pStyle w:val="016testobulletprimapagina"/>
              <w:spacing w:before="60" w:after="120" w:line="240" w:lineRule="auto"/>
              <w:ind w:left="0" w:right="-8"/>
            </w:pPr>
            <w:r>
              <w:rPr>
                <w:noProof/>
              </w:rPr>
              <w:drawing>
                <wp:inline distT="0" distB="0" distL="0" distR="0" wp14:anchorId="7F373494" wp14:editId="03E91E56">
                  <wp:extent cx="3150235" cy="2126615"/>
                  <wp:effectExtent l="0" t="0" r="0" b="6985"/>
                  <wp:docPr id="3" name="Gra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34BAD1-1ACD-4D0D-ADD3-19B8CD2942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</w:tbl>
    <w:p w14:paraId="7FFC64D3" w14:textId="50DD69F6" w:rsidR="00F009B9" w:rsidRPr="00307AB9" w:rsidRDefault="0060472E" w:rsidP="00E65BDC">
      <w:pPr>
        <w:spacing w:before="60"/>
        <w:ind w:right="-6"/>
        <w:rPr>
          <w:rFonts w:ascii="Arial" w:hAnsi="Arial" w:cs="Arial"/>
          <w:sz w:val="15"/>
          <w:szCs w:val="15"/>
        </w:rPr>
      </w:pPr>
      <w:r w:rsidRPr="00307AB9">
        <w:rPr>
          <w:rFonts w:ascii="Arial" w:hAnsi="Arial" w:cs="Arial"/>
          <w:sz w:val="15"/>
          <w:szCs w:val="15"/>
        </w:rPr>
        <w:t>Fonte: Istat</w:t>
      </w:r>
      <w:r w:rsidR="005759E2" w:rsidRPr="00307AB9">
        <w:rPr>
          <w:rFonts w:ascii="Arial" w:hAnsi="Arial" w:cs="Arial"/>
          <w:sz w:val="15"/>
          <w:szCs w:val="15"/>
        </w:rPr>
        <w:tab/>
      </w:r>
      <w:r w:rsidR="005759E2" w:rsidRPr="00307AB9">
        <w:rPr>
          <w:rFonts w:ascii="Arial" w:hAnsi="Arial" w:cs="Arial"/>
          <w:sz w:val="15"/>
          <w:szCs w:val="15"/>
        </w:rPr>
        <w:tab/>
      </w:r>
      <w:r w:rsidR="005759E2" w:rsidRPr="00307AB9">
        <w:rPr>
          <w:rFonts w:ascii="Arial" w:hAnsi="Arial" w:cs="Arial"/>
          <w:sz w:val="15"/>
          <w:szCs w:val="15"/>
        </w:rPr>
        <w:tab/>
      </w:r>
      <w:r w:rsidR="005759E2" w:rsidRPr="00307AB9">
        <w:rPr>
          <w:rFonts w:ascii="Arial" w:hAnsi="Arial" w:cs="Arial"/>
          <w:sz w:val="15"/>
          <w:szCs w:val="15"/>
        </w:rPr>
        <w:tab/>
      </w:r>
      <w:r w:rsidR="005759E2" w:rsidRPr="00307AB9">
        <w:rPr>
          <w:rFonts w:ascii="Arial" w:hAnsi="Arial" w:cs="Arial"/>
          <w:sz w:val="15"/>
          <w:szCs w:val="15"/>
        </w:rPr>
        <w:tab/>
      </w:r>
      <w:r w:rsidR="005759E2" w:rsidRPr="00307AB9">
        <w:rPr>
          <w:rFonts w:ascii="Arial" w:hAnsi="Arial" w:cs="Arial"/>
          <w:sz w:val="15"/>
          <w:szCs w:val="15"/>
        </w:rPr>
        <w:tab/>
      </w:r>
      <w:r w:rsidR="009F6728" w:rsidRPr="00307AB9">
        <w:rPr>
          <w:rFonts w:ascii="Arial" w:hAnsi="Arial" w:cs="Arial"/>
          <w:sz w:val="15"/>
          <w:szCs w:val="15"/>
        </w:rPr>
        <w:t xml:space="preserve">    </w:t>
      </w:r>
      <w:r w:rsidR="00A255B0" w:rsidRPr="00307AB9">
        <w:rPr>
          <w:rFonts w:ascii="Arial" w:hAnsi="Arial" w:cs="Arial"/>
          <w:sz w:val="15"/>
          <w:szCs w:val="15"/>
        </w:rPr>
        <w:t xml:space="preserve">Fonte: </w:t>
      </w:r>
      <w:r w:rsidR="00F40035">
        <w:rPr>
          <w:rFonts w:ascii="Arial" w:hAnsi="Arial" w:cs="Arial"/>
          <w:sz w:val="15"/>
          <w:szCs w:val="15"/>
        </w:rPr>
        <w:t>I</w:t>
      </w:r>
      <w:r w:rsidR="00267B63" w:rsidRPr="00307AB9">
        <w:rPr>
          <w:rFonts w:ascii="Arial" w:hAnsi="Arial" w:cs="Arial"/>
          <w:sz w:val="15"/>
          <w:szCs w:val="15"/>
        </w:rPr>
        <w:t>stat</w:t>
      </w:r>
      <w:r w:rsidR="00172E3C" w:rsidRPr="00307AB9">
        <w:rPr>
          <w:rFonts w:ascii="Arial" w:hAnsi="Arial" w:cs="Arial"/>
          <w:sz w:val="15"/>
          <w:szCs w:val="15"/>
        </w:rPr>
        <w:t xml:space="preserve"> </w:t>
      </w:r>
    </w:p>
    <w:p w14:paraId="037430B7" w14:textId="43F4E613" w:rsidR="00D80AEB" w:rsidRDefault="00D80AEB" w:rsidP="009D0F31">
      <w:pPr>
        <w:autoSpaceDE w:val="0"/>
        <w:autoSpaceDN w:val="0"/>
        <w:adjustRightInd w:val="0"/>
        <w:spacing w:before="60" w:after="120"/>
        <w:ind w:right="-6"/>
        <w:jc w:val="both"/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</w:pPr>
    </w:p>
    <w:p w14:paraId="380224C5" w14:textId="0B9F848A" w:rsidR="003A56B2" w:rsidRPr="003A56B2" w:rsidRDefault="003A56B2" w:rsidP="003A56B2">
      <w:pPr>
        <w:autoSpaceDE w:val="0"/>
        <w:autoSpaceDN w:val="0"/>
        <w:adjustRightInd w:val="0"/>
        <w:spacing w:before="60" w:after="120"/>
        <w:ind w:right="-6"/>
        <w:jc w:val="both"/>
        <w:rPr>
          <w:rFonts w:ascii="Arial" w:eastAsia="Times New Roman" w:hAnsi="Arial" w:cs="Arial"/>
          <w:sz w:val="22"/>
          <w:szCs w:val="22"/>
        </w:rPr>
      </w:pP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Sensibile decelerazione dell’inflazione al consumo</w:t>
      </w:r>
      <w:r w:rsidR="00CF5E25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…</w:t>
      </w: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 xml:space="preserve"> 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La dinamica 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dell’</w:t>
      </w:r>
      <w:hyperlink r:id="rId31" w:history="1">
        <w:r w:rsidRPr="00AB7B91">
          <w:rPr>
            <w:rStyle w:val="Collegamentoipertestuale"/>
            <w:rFonts w:ascii="Arial" w:eastAsia="Times New Roman" w:hAnsi="Arial" w:cs="Arial"/>
            <w:kern w:val="2"/>
            <w:sz w:val="22"/>
            <w:szCs w:val="22"/>
            <w14:ligatures w14:val="standardContextual"/>
          </w:rPr>
          <w:t>indice dei prezzi al consumo per l’intera collettività</w:t>
        </w:r>
      </w:hyperlink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(NIC), a ottobre, secondo le stime preliminari</w:t>
      </w:r>
      <w:r w:rsidR="00CF5E25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,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rallenta in modo sensibile in termini tendenziali, portandosi a</w:t>
      </w:r>
      <w:r w:rsidR="00C566C8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ll’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1,2% (+1,6% a settembre)</w:t>
      </w:r>
      <w:r w:rsidR="007A7E3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(Figura 6)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; </w:t>
      </w:r>
      <w:r w:rsidR="007A7E3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su base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congiuntural</w:t>
      </w:r>
      <w:r w:rsidR="007A7E3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e</w:t>
      </w:r>
      <w:r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registra il secondo calo consecutivo (-0,3%; -0,2% nel mese precedente). </w:t>
      </w:r>
      <w:r w:rsidRPr="003A56B2">
        <w:rPr>
          <w:rFonts w:ascii="Arial" w:eastAsia="Times New Roman" w:hAnsi="Arial" w:cs="Arial"/>
          <w:sz w:val="22"/>
          <w:szCs w:val="22"/>
        </w:rPr>
        <w:t xml:space="preserve">L’inflazione al consumo acquisita a ottobre per il 2025 </w:t>
      </w:r>
      <w:r w:rsidR="00CF5E25">
        <w:rPr>
          <w:rFonts w:ascii="Arial" w:eastAsia="Times New Roman" w:hAnsi="Arial" w:cs="Arial"/>
          <w:sz w:val="22"/>
          <w:szCs w:val="22"/>
        </w:rPr>
        <w:t>è pari all’</w:t>
      </w:r>
      <w:r w:rsidRPr="003A56B2">
        <w:rPr>
          <w:rFonts w:ascii="Arial" w:eastAsia="Times New Roman" w:hAnsi="Arial" w:cs="Arial"/>
          <w:sz w:val="22"/>
          <w:szCs w:val="22"/>
        </w:rPr>
        <w:t>1,6%.</w:t>
      </w:r>
    </w:p>
    <w:p w14:paraId="4549585B" w14:textId="362C285B" w:rsidR="003A56B2" w:rsidRPr="003A56B2" w:rsidRDefault="008E4611" w:rsidP="003A56B2">
      <w:pPr>
        <w:autoSpaceDE w:val="0"/>
        <w:autoSpaceDN w:val="0"/>
        <w:adjustRightInd w:val="0"/>
        <w:spacing w:before="60" w:after="120"/>
        <w:ind w:right="-6"/>
        <w:jc w:val="both"/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.</w:t>
      </w:r>
      <w:r w:rsidR="00CF5E25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..guidata da</w:t>
      </w:r>
      <w:r w:rsidR="003A56B2"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i beni alimentari</w:t>
      </w:r>
      <w:r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..</w:t>
      </w:r>
      <w:r w:rsidR="00CF5E25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.</w:t>
      </w:r>
      <w:r w:rsidR="003A56B2"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 xml:space="preserve"> </w:t>
      </w:r>
      <w:r w:rsidR="00CF5E25" w:rsidRPr="001F7A07">
        <w:rPr>
          <w:rFonts w:ascii="Arial" w:eastAsia="Times New Roman" w:hAnsi="Arial" w:cs="Arial"/>
          <w:sz w:val="22"/>
          <w:szCs w:val="22"/>
        </w:rPr>
        <w:t xml:space="preserve">Questa tendenza è stata </w:t>
      </w:r>
      <w:r w:rsidR="00167E78">
        <w:rPr>
          <w:rFonts w:ascii="Arial" w:eastAsia="Times New Roman" w:hAnsi="Arial" w:cs="Arial"/>
          <w:sz w:val="22"/>
          <w:szCs w:val="22"/>
        </w:rPr>
        <w:t>dovuta</w:t>
      </w:r>
      <w:r w:rsidR="00167E78" w:rsidRPr="001F7A07">
        <w:rPr>
          <w:rFonts w:ascii="Arial" w:eastAsia="Times New Roman" w:hAnsi="Arial" w:cs="Arial"/>
          <w:sz w:val="22"/>
          <w:szCs w:val="22"/>
        </w:rPr>
        <w:t xml:space="preserve"> </w:t>
      </w:r>
      <w:r w:rsidR="00167E78">
        <w:rPr>
          <w:rFonts w:ascii="Arial" w:eastAsia="Times New Roman" w:hAnsi="Arial" w:cs="Arial"/>
          <w:sz w:val="22"/>
          <w:szCs w:val="22"/>
        </w:rPr>
        <w:t xml:space="preserve">principalmente </w:t>
      </w:r>
      <w:r w:rsidR="00CF5E25" w:rsidRPr="001F7A07">
        <w:rPr>
          <w:rFonts w:ascii="Arial" w:eastAsia="Times New Roman" w:hAnsi="Arial" w:cs="Arial"/>
          <w:sz w:val="22"/>
          <w:szCs w:val="22"/>
        </w:rPr>
        <w:t xml:space="preserve">al rallentamento 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dei prezzi dei beni alimentari </w:t>
      </w:r>
      <w:r w:rsidR="003A56B2" w:rsidRPr="001F7A07">
        <w:rPr>
          <w:rFonts w:ascii="Arial" w:eastAsia="Times New Roman" w:hAnsi="Arial" w:cs="Arial"/>
          <w:sz w:val="22"/>
          <w:szCs w:val="22"/>
        </w:rPr>
        <w:t xml:space="preserve">(da </w:t>
      </w:r>
      <w:r w:rsidR="00CE3C32">
        <w:rPr>
          <w:rFonts w:ascii="Arial" w:eastAsia="Times New Roman" w:hAnsi="Arial" w:cs="Arial"/>
          <w:sz w:val="22"/>
          <w:szCs w:val="22"/>
        </w:rPr>
        <w:t>+</w:t>
      </w:r>
      <w:r w:rsidR="003A56B2" w:rsidRPr="001F7A07">
        <w:rPr>
          <w:rFonts w:ascii="Arial" w:eastAsia="Times New Roman" w:hAnsi="Arial" w:cs="Arial"/>
          <w:sz w:val="22"/>
          <w:szCs w:val="22"/>
        </w:rPr>
        <w:t xml:space="preserve">3,5% di settembre a </w:t>
      </w:r>
      <w:r w:rsidR="00CE3C32">
        <w:rPr>
          <w:rFonts w:ascii="Arial" w:eastAsia="Times New Roman" w:hAnsi="Arial" w:cs="Arial"/>
          <w:sz w:val="22"/>
          <w:szCs w:val="22"/>
        </w:rPr>
        <w:t>+</w:t>
      </w:r>
      <w:r w:rsidR="003A56B2" w:rsidRPr="001F7A07">
        <w:rPr>
          <w:rFonts w:ascii="Arial" w:eastAsia="Times New Roman" w:hAnsi="Arial" w:cs="Arial"/>
          <w:sz w:val="22"/>
          <w:szCs w:val="22"/>
        </w:rPr>
        <w:t>2,5% di ottobre</w:t>
      </w:r>
      <w:r w:rsidR="00CF5E25" w:rsidRPr="001F7A07">
        <w:rPr>
          <w:rFonts w:ascii="Arial" w:eastAsia="Times New Roman" w:hAnsi="Arial" w:cs="Arial"/>
          <w:sz w:val="22"/>
          <w:szCs w:val="22"/>
        </w:rPr>
        <w:t xml:space="preserve"> su base tendenziale</w:t>
      </w:r>
      <w:r w:rsidR="003A56B2" w:rsidRPr="001F7A07">
        <w:rPr>
          <w:rFonts w:ascii="Arial" w:eastAsia="Times New Roman" w:hAnsi="Arial" w:cs="Arial"/>
          <w:sz w:val="22"/>
          <w:szCs w:val="22"/>
        </w:rPr>
        <w:t>). In particolare</w:t>
      </w:r>
      <w:r w:rsidR="00CF5E25" w:rsidRPr="001F7A07">
        <w:rPr>
          <w:rFonts w:ascii="Arial" w:eastAsia="Times New Roman" w:hAnsi="Arial" w:cs="Arial"/>
          <w:sz w:val="22"/>
          <w:szCs w:val="22"/>
        </w:rPr>
        <w:t>, la decelerazione è stata marcata per</w:t>
      </w:r>
      <w:r w:rsidR="003A56B2" w:rsidRPr="001F7A07">
        <w:rPr>
          <w:rFonts w:ascii="Arial" w:eastAsia="Times New Roman" w:hAnsi="Arial" w:cs="Arial"/>
          <w:sz w:val="22"/>
          <w:szCs w:val="22"/>
        </w:rPr>
        <w:t xml:space="preserve"> gli alimentari non lavorati (da </w:t>
      </w:r>
      <w:r w:rsidR="00CE3C32">
        <w:rPr>
          <w:rFonts w:ascii="Arial" w:eastAsia="Times New Roman" w:hAnsi="Arial" w:cs="Arial"/>
          <w:sz w:val="22"/>
          <w:szCs w:val="22"/>
        </w:rPr>
        <w:t>+</w:t>
      </w:r>
      <w:r w:rsidR="003A56B2" w:rsidRPr="001F7A07">
        <w:rPr>
          <w:rFonts w:ascii="Arial" w:eastAsia="Times New Roman" w:hAnsi="Arial" w:cs="Arial"/>
          <w:sz w:val="22"/>
          <w:szCs w:val="22"/>
        </w:rPr>
        <w:t xml:space="preserve">4,8% da </w:t>
      </w:r>
      <w:r w:rsidR="00CE3C32">
        <w:rPr>
          <w:rFonts w:ascii="Arial" w:eastAsia="Times New Roman" w:hAnsi="Arial" w:cs="Arial"/>
          <w:sz w:val="22"/>
          <w:szCs w:val="22"/>
        </w:rPr>
        <w:t>+</w:t>
      </w:r>
      <w:r w:rsidR="003A56B2" w:rsidRPr="001F7A07">
        <w:rPr>
          <w:rFonts w:ascii="Arial" w:eastAsia="Times New Roman" w:hAnsi="Arial" w:cs="Arial"/>
          <w:sz w:val="22"/>
          <w:szCs w:val="22"/>
        </w:rPr>
        <w:t>1,9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%)</w:t>
      </w:r>
      <w:r w:rsidR="00CF5E25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, a fronte </w:t>
      </w:r>
      <w:r w:rsidR="00CF5E25">
        <w:rPr>
          <w:rFonts w:ascii="Arial" w:eastAsia="Times New Roman" w:hAnsi="Arial" w:cs="Arial"/>
          <w:sz w:val="22"/>
          <w:szCs w:val="22"/>
        </w:rPr>
        <w:t xml:space="preserve">di una sostanziale stabilità </w:t>
      </w:r>
      <w:r w:rsidR="00CF5E25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di 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quelli lavorati (da </w:t>
      </w:r>
      <w:r w:rsidR="00CE3C3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+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2,7% a </w:t>
      </w:r>
      <w:r w:rsidR="00CE3C3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+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2,8%). </w:t>
      </w:r>
      <w:r w:rsidR="00CF5E25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n termini congiunturali, i prezzi dei beni alimentari aumentano (+0,2%; -0,1% a settembre), riflettendo una crescita dei lavorati (+0,4%; -0,5% il mese precedente) </w:t>
      </w:r>
      <w:r w:rsidR="00CF5E25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e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una riduzione dei non lavorati (-0,1%; +0,6% a settembre)</w:t>
      </w:r>
      <w:r w:rsidR="0029081F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(</w:t>
      </w:r>
      <w:r w:rsid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per un approfondimento </w:t>
      </w:r>
      <w:r w:rsidR="008B383A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si veda il Focus</w:t>
      </w:r>
      <w:r w:rsid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“L</w:t>
      </w:r>
      <w:r w:rsidR="00BC3E56" w:rsidRP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e principali determinanti della crescita dei prezzi dei beni </w:t>
      </w:r>
      <w:r w:rsidR="003352F4" w:rsidRP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alimentari</w:t>
      </w:r>
      <w:r w:rsidR="003352F4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in Italia </w:t>
      </w:r>
      <w:r w:rsidR="00BC3E56" w:rsidRP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tra il 2021 e il 2025</w:t>
      </w:r>
      <w:r w:rsidR="00BC3E56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”</w:t>
      </w:r>
      <w:r w:rsidR="0029081F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)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.</w:t>
      </w:r>
    </w:p>
    <w:p w14:paraId="29CF7D24" w14:textId="79B7055F" w:rsidR="003A56B2" w:rsidRPr="003A56B2" w:rsidRDefault="008E4611" w:rsidP="003A56B2">
      <w:pPr>
        <w:autoSpaceDE w:val="0"/>
        <w:autoSpaceDN w:val="0"/>
        <w:adjustRightInd w:val="0"/>
        <w:spacing w:before="60" w:after="120"/>
        <w:ind w:right="-6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…</w:t>
      </w:r>
      <w:r w:rsidR="00CF5E25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 xml:space="preserve">e da quelli energetici. </w:t>
      </w:r>
      <w:r w:rsidR="00C62FD6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 xml:space="preserve"> </w:t>
      </w:r>
      <w:r w:rsidR="009D2488">
        <w:rPr>
          <w:rFonts w:ascii="Arial" w:eastAsia="Times New Roman" w:hAnsi="Arial" w:cs="Arial"/>
          <w:sz w:val="22"/>
          <w:szCs w:val="22"/>
        </w:rPr>
        <w:t>A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 ottobre</w:t>
      </w:r>
      <w:r w:rsidR="00EC7C84">
        <w:rPr>
          <w:rFonts w:ascii="Arial" w:eastAsia="Times New Roman" w:hAnsi="Arial" w:cs="Arial"/>
          <w:sz w:val="22"/>
          <w:szCs w:val="22"/>
        </w:rPr>
        <w:t>,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 </w:t>
      </w:r>
      <w:r w:rsidR="009D2488">
        <w:rPr>
          <w:rFonts w:ascii="Arial" w:eastAsia="Times New Roman" w:hAnsi="Arial" w:cs="Arial"/>
          <w:sz w:val="22"/>
          <w:szCs w:val="22"/>
        </w:rPr>
        <w:t xml:space="preserve">anche i beni energetici 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hanno registrato una flessione </w:t>
      </w:r>
      <w:r w:rsidR="009D2488">
        <w:rPr>
          <w:rFonts w:ascii="Arial" w:eastAsia="Times New Roman" w:hAnsi="Arial" w:cs="Arial"/>
          <w:sz w:val="22"/>
          <w:szCs w:val="22"/>
        </w:rPr>
        <w:t>(-</w:t>
      </w:r>
      <w:r w:rsidR="003A56B2" w:rsidRPr="003A56B2">
        <w:rPr>
          <w:rFonts w:ascii="Arial" w:eastAsia="Times New Roman" w:hAnsi="Arial" w:cs="Arial"/>
          <w:sz w:val="22"/>
          <w:szCs w:val="22"/>
        </w:rPr>
        <w:t>1,3%</w:t>
      </w:r>
      <w:r w:rsidR="009D2488">
        <w:rPr>
          <w:rFonts w:ascii="Arial" w:eastAsia="Times New Roman" w:hAnsi="Arial" w:cs="Arial"/>
          <w:sz w:val="22"/>
          <w:szCs w:val="22"/>
        </w:rPr>
        <w:t xml:space="preserve"> su base congiunturale,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 </w:t>
      </w:r>
      <w:r w:rsidR="009D2488">
        <w:rPr>
          <w:rFonts w:ascii="Arial" w:eastAsia="Times New Roman" w:hAnsi="Arial" w:cs="Arial"/>
          <w:sz w:val="22"/>
          <w:szCs w:val="22"/>
        </w:rPr>
        <w:t xml:space="preserve">dopo la </w:t>
      </w:r>
      <w:r w:rsidR="003A56B2" w:rsidRPr="003A56B2">
        <w:rPr>
          <w:rFonts w:ascii="Arial" w:eastAsia="Times New Roman" w:hAnsi="Arial" w:cs="Arial"/>
          <w:sz w:val="22"/>
          <w:szCs w:val="22"/>
        </w:rPr>
        <w:t>stazionari</w:t>
      </w:r>
      <w:r w:rsidR="009D2488">
        <w:rPr>
          <w:rFonts w:ascii="Arial" w:eastAsia="Times New Roman" w:hAnsi="Arial" w:cs="Arial"/>
          <w:sz w:val="22"/>
          <w:szCs w:val="22"/>
        </w:rPr>
        <w:t>età in</w:t>
      </w:r>
      <w:r w:rsidR="003A56B2" w:rsidRPr="003A56B2">
        <w:rPr>
          <w:rFonts w:ascii="Arial" w:eastAsia="Times New Roman" w:hAnsi="Arial" w:cs="Arial"/>
          <w:sz w:val="22"/>
          <w:szCs w:val="22"/>
        </w:rPr>
        <w:t xml:space="preserve"> settembre), portandosi a un livello del 8,5% inferiore rispetto a quello di inizio anno (gennaio 2025) e al minimo dal febbraio 2022. Rispetto al corrispondente mese dell’anno precedente, i prezzi flettono del 4,6% (-3,7% a settembre). </w:t>
      </w:r>
    </w:p>
    <w:p w14:paraId="18009F01" w14:textId="7DA287F8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sz w:val="22"/>
          <w:szCs w:val="22"/>
        </w:rPr>
      </w:pP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lastRenderedPageBreak/>
        <w:t>Rallenta la crescita del carrello della spesa</w:t>
      </w:r>
      <w:r w:rsidRPr="003A56B2">
        <w:rPr>
          <w:rFonts w:ascii="Arial" w:eastAsia="Times New Roman" w:hAnsi="Arial" w:cs="Arial"/>
          <w:sz w:val="22"/>
          <w:szCs w:val="22"/>
        </w:rPr>
        <w:t xml:space="preserve"> (+2,3%</w:t>
      </w:r>
      <w:r w:rsidR="00B0664A">
        <w:rPr>
          <w:rFonts w:ascii="Arial" w:eastAsia="Times New Roman" w:hAnsi="Arial" w:cs="Arial"/>
          <w:sz w:val="22"/>
          <w:szCs w:val="22"/>
        </w:rPr>
        <w:t>,</w:t>
      </w:r>
      <w:r w:rsidRPr="003A56B2">
        <w:rPr>
          <w:rFonts w:ascii="Arial" w:eastAsia="Times New Roman" w:hAnsi="Arial" w:cs="Arial"/>
          <w:sz w:val="22"/>
          <w:szCs w:val="22"/>
        </w:rPr>
        <w:t xml:space="preserve"> da </w:t>
      </w:r>
      <w:r w:rsidR="009D2488">
        <w:rPr>
          <w:rFonts w:ascii="Arial" w:eastAsia="Times New Roman" w:hAnsi="Arial" w:cs="Arial"/>
          <w:sz w:val="22"/>
          <w:szCs w:val="22"/>
        </w:rPr>
        <w:t>+</w:t>
      </w:r>
      <w:r w:rsidRPr="003A56B2">
        <w:rPr>
          <w:rFonts w:ascii="Arial" w:eastAsia="Times New Roman" w:hAnsi="Arial" w:cs="Arial"/>
          <w:sz w:val="22"/>
          <w:szCs w:val="22"/>
        </w:rPr>
        <w:t xml:space="preserve">3,1% di settembre), riflettendo la dinamica dell’inflazione dei beni alimentari. Il differenziale d’inflazione tra il carrello della spesa e l’indice generale si porta a 1,1 punti percentuali (1,5 </w:t>
      </w:r>
      <w:r w:rsidR="00B0664A">
        <w:rPr>
          <w:rFonts w:ascii="Arial" w:eastAsia="Times New Roman" w:hAnsi="Arial" w:cs="Arial"/>
          <w:sz w:val="22"/>
          <w:szCs w:val="22"/>
        </w:rPr>
        <w:t xml:space="preserve">punti </w:t>
      </w:r>
      <w:r w:rsidRPr="003A56B2">
        <w:rPr>
          <w:rFonts w:ascii="Arial" w:eastAsia="Times New Roman" w:hAnsi="Arial" w:cs="Arial"/>
          <w:sz w:val="22"/>
          <w:szCs w:val="22"/>
        </w:rPr>
        <w:t>a settembre).</w:t>
      </w:r>
    </w:p>
    <w:p w14:paraId="6AE0A36E" w14:textId="36D52F48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</w:pP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A ottobre i prezzi dei servizi aumentano in termini tendenziali del 2,6%, come nella media dei 5 mesi precedenti, riducendosi dello 0,4% rispetto a</w:t>
      </w:r>
      <w:r w:rsidR="00ED4A2C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 settembre,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 </w:t>
      </w:r>
      <w:r w:rsidR="00ED4A2C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grazie alla contrazione 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dei prezzi relativi ai servizi ricreativi, culturali e per la cura della persona (-1,2%) e di quelli </w:t>
      </w:r>
      <w:r w:rsidR="00C566C8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de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lle comunicazioni (-0,3%)</w:t>
      </w:r>
      <w:r w:rsidR="00ED4A2C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; i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n aumento i prezzi </w:t>
      </w:r>
      <w:r w:rsidR="00B0664A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de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i servizi per l’abitazione (+0,3%)</w:t>
      </w:r>
      <w:r w:rsidR="00ED4A2C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>, in flessione</w:t>
      </w:r>
      <w:r w:rsidRPr="003A56B2">
        <w:rPr>
          <w:rFonts w:ascii="Arial" w:eastAsia="Times New Roman" w:hAnsi="Arial" w:cs="Arial"/>
          <w:bCs/>
          <w:iCs/>
          <w:noProof/>
          <w:spacing w:val="2"/>
          <w:kern w:val="2"/>
          <w:sz w:val="22"/>
          <w:szCs w:val="22"/>
          <w14:ligatures w14:val="standardContextual"/>
        </w:rPr>
        <w:t xml:space="preserve"> quelli dei trasporti (-0,3%). </w:t>
      </w:r>
    </w:p>
    <w:p w14:paraId="46EAAA66" w14:textId="7D56137B" w:rsidR="003A56B2" w:rsidRPr="003A56B2" w:rsidRDefault="003A56B2" w:rsidP="003A56B2">
      <w:pPr>
        <w:autoSpaceDE w:val="0"/>
        <w:autoSpaceDN w:val="0"/>
        <w:adjustRightInd w:val="0"/>
        <w:spacing w:before="60" w:after="120"/>
        <w:ind w:right="-6"/>
        <w:jc w:val="both"/>
        <w:rPr>
          <w:rFonts w:ascii="Arial" w:eastAsia="Times New Roman" w:hAnsi="Arial" w:cs="Arial"/>
          <w:sz w:val="22"/>
          <w:szCs w:val="22"/>
        </w:rPr>
      </w:pP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Stabile la componente di fondo al 2</w:t>
      </w:r>
      <w:r w:rsidR="00A302F9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,0</w:t>
      </w: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%</w:t>
      </w:r>
      <w:r w:rsidRPr="003A56B2">
        <w:rPr>
          <w:rFonts w:ascii="Arial" w:eastAsia="Times New Roman" w:hAnsi="Arial" w:cs="Arial"/>
          <w:sz w:val="22"/>
          <w:szCs w:val="22"/>
        </w:rPr>
        <w:t xml:space="preserve">. </w:t>
      </w:r>
      <w:bookmarkStart w:id="0" w:name="_Hlk212918557"/>
      <w:r w:rsidRPr="003A56B2">
        <w:rPr>
          <w:rFonts w:ascii="Arial" w:eastAsia="Times New Roman" w:hAnsi="Arial" w:cs="Arial"/>
          <w:sz w:val="22"/>
          <w:szCs w:val="22"/>
        </w:rPr>
        <w:t xml:space="preserve">L’inflazione relativa alla componente di fondo 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(</w:t>
      </w:r>
      <w:r w:rsidR="00ED4A2C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che </w:t>
      </w:r>
      <w:r w:rsidRPr="003A56B2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>esclude le componenti più volatili come i ben</w:t>
      </w:r>
      <w:bookmarkEnd w:id="0"/>
      <w:r w:rsidRPr="003A56B2">
        <w:rPr>
          <w:rFonts w:ascii="Arial" w:eastAsia="Calibri" w:hAnsi="Arial" w:cs="Arial"/>
          <w:kern w:val="2"/>
          <w:sz w:val="22"/>
          <w:szCs w:val="22"/>
          <w14:ligatures w14:val="standardContextual"/>
        </w:rPr>
        <w:t>i alimentari non lavorati e i beni energetici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) resta stabile a ottobre </w:t>
      </w:r>
      <w:r w:rsidRPr="003A56B2">
        <w:rPr>
          <w:rFonts w:ascii="Arial" w:eastAsia="Times New Roman" w:hAnsi="Arial" w:cs="Arial"/>
          <w:sz w:val="22"/>
          <w:szCs w:val="22"/>
        </w:rPr>
        <w:t>al 2</w:t>
      </w:r>
      <w:r w:rsidR="00EC7C84">
        <w:rPr>
          <w:rFonts w:ascii="Arial" w:eastAsia="Times New Roman" w:hAnsi="Arial" w:cs="Arial"/>
          <w:sz w:val="22"/>
          <w:szCs w:val="22"/>
        </w:rPr>
        <w:t>,0</w:t>
      </w:r>
      <w:r w:rsidRPr="003A56B2">
        <w:rPr>
          <w:rFonts w:ascii="Arial" w:eastAsia="Times New Roman" w:hAnsi="Arial" w:cs="Arial"/>
          <w:sz w:val="22"/>
          <w:szCs w:val="22"/>
        </w:rPr>
        <w:t>%, come nella media dei 6 mesi precedenti. L’acquisito per il 2025 a ottobre è pari al 2</w:t>
      </w:r>
      <w:r w:rsidR="00EC7C84">
        <w:rPr>
          <w:rFonts w:ascii="Arial" w:eastAsia="Times New Roman" w:hAnsi="Arial" w:cs="Arial"/>
          <w:sz w:val="22"/>
          <w:szCs w:val="22"/>
        </w:rPr>
        <w:t>,0</w:t>
      </w:r>
      <w:r w:rsidRPr="003A56B2">
        <w:rPr>
          <w:rFonts w:ascii="Arial" w:eastAsia="Times New Roman" w:hAnsi="Arial" w:cs="Arial"/>
          <w:sz w:val="22"/>
          <w:szCs w:val="22"/>
        </w:rPr>
        <w:t>%.</w:t>
      </w:r>
    </w:p>
    <w:p w14:paraId="3397D336" w14:textId="29A42E68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</w:pP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L’inf</w:t>
      </w:r>
      <w:r w:rsidR="00F64EFB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l</w:t>
      </w: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sz w:val="22"/>
          <w:szCs w:val="22"/>
        </w:rPr>
        <w:t>azione in Italia rimane sotto la media dell’area euro.</w:t>
      </w:r>
      <w:r w:rsidRPr="003A56B2">
        <w:rPr>
          <w:rFonts w:ascii="Arial" w:eastAsia="Times New Roman" w:hAnsi="Arial" w:cs="Arial"/>
          <w:spacing w:val="-3"/>
          <w:sz w:val="22"/>
          <w:szCs w:val="22"/>
        </w:rPr>
        <w:t xml:space="preserve"> </w:t>
      </w:r>
      <w:r w:rsidRPr="003A56B2">
        <w:rPr>
          <w:rFonts w:ascii="Arial" w:eastAsia="Times New Roman" w:hAnsi="Arial" w:cs="Arial"/>
          <w:sz w:val="22"/>
          <w:szCs w:val="22"/>
        </w:rPr>
        <w:t>A ottobre</w:t>
      </w:r>
      <w:r w:rsidR="0056536C">
        <w:rPr>
          <w:rFonts w:ascii="Arial" w:eastAsia="Times New Roman" w:hAnsi="Arial" w:cs="Arial"/>
          <w:sz w:val="22"/>
          <w:szCs w:val="22"/>
        </w:rPr>
        <w:t>,</w:t>
      </w:r>
      <w:r w:rsidRPr="003A56B2">
        <w:rPr>
          <w:rFonts w:ascii="Arial" w:eastAsia="Times New Roman" w:hAnsi="Arial" w:cs="Arial"/>
          <w:sz w:val="22"/>
          <w:szCs w:val="22"/>
        </w:rPr>
        <w:t xml:space="preserve"> l’</w:t>
      </w:r>
      <w:hyperlink r:id="rId32" w:history="1">
        <w:r w:rsidRPr="00AB7B91">
          <w:rPr>
            <w:rStyle w:val="Collegamentoipertestuale"/>
            <w:rFonts w:ascii="Arial" w:eastAsia="Times New Roman" w:hAnsi="Arial" w:cs="Arial"/>
            <w:sz w:val="22"/>
            <w:szCs w:val="22"/>
          </w:rPr>
          <w:t>indice armonizzato dei prezzi al consumo</w:t>
        </w:r>
      </w:hyperlink>
      <w:r w:rsidRPr="003A56B2">
        <w:rPr>
          <w:rFonts w:ascii="Arial" w:eastAsia="Times New Roman" w:hAnsi="Arial" w:cs="Arial"/>
          <w:sz w:val="22"/>
          <w:szCs w:val="22"/>
        </w:rPr>
        <w:t xml:space="preserve"> (IPCA) </w:t>
      </w:r>
      <w:r w:rsidR="0056536C">
        <w:rPr>
          <w:rFonts w:ascii="Arial" w:eastAsia="Times New Roman" w:hAnsi="Arial" w:cs="Arial"/>
          <w:sz w:val="22"/>
          <w:szCs w:val="22"/>
        </w:rPr>
        <w:t xml:space="preserve">italiano </w:t>
      </w:r>
      <w:r w:rsidRPr="003A56B2">
        <w:rPr>
          <w:rFonts w:ascii="Arial" w:eastAsia="Times New Roman" w:hAnsi="Arial" w:cs="Arial"/>
          <w:sz w:val="22"/>
          <w:szCs w:val="22"/>
        </w:rPr>
        <w:t xml:space="preserve">evidenzia, in base alle stime preliminari, un deciso </w:t>
      </w:r>
      <w:r w:rsidR="00ED4A2C">
        <w:rPr>
          <w:rFonts w:ascii="Arial" w:eastAsia="Times New Roman" w:hAnsi="Arial" w:cs="Arial"/>
          <w:sz w:val="22"/>
          <w:szCs w:val="22"/>
        </w:rPr>
        <w:t>ridimensionamento</w:t>
      </w:r>
      <w:r w:rsidR="00ED4A2C" w:rsidRPr="003A56B2">
        <w:rPr>
          <w:rFonts w:ascii="Arial" w:eastAsia="Times New Roman" w:hAnsi="Arial" w:cs="Arial"/>
          <w:sz w:val="22"/>
          <w:szCs w:val="22"/>
        </w:rPr>
        <w:t xml:space="preserve"> </w:t>
      </w:r>
      <w:r w:rsidRPr="003A56B2">
        <w:rPr>
          <w:rFonts w:ascii="Arial" w:eastAsia="Times New Roman" w:hAnsi="Arial" w:cs="Arial"/>
          <w:sz w:val="22"/>
          <w:szCs w:val="22"/>
        </w:rPr>
        <w:t>in termini tendenziali, portandosi a</w:t>
      </w:r>
      <w:r w:rsidR="00C566C8">
        <w:rPr>
          <w:rFonts w:ascii="Arial" w:eastAsia="Times New Roman" w:hAnsi="Arial" w:cs="Arial"/>
          <w:sz w:val="22"/>
          <w:szCs w:val="22"/>
        </w:rPr>
        <w:t>ll’</w:t>
      </w:r>
      <w:r w:rsidRPr="003A56B2">
        <w:rPr>
          <w:rFonts w:ascii="Arial" w:eastAsia="Times New Roman" w:hAnsi="Arial" w:cs="Arial"/>
          <w:sz w:val="22"/>
          <w:szCs w:val="22"/>
        </w:rPr>
        <w:t>1,3% (dal</w:t>
      </w:r>
      <w:r w:rsidR="0029081F">
        <w:rPr>
          <w:rFonts w:ascii="Arial" w:eastAsia="Times New Roman" w:hAnsi="Arial" w:cs="Arial"/>
          <w:sz w:val="22"/>
          <w:szCs w:val="22"/>
        </w:rPr>
        <w:t xml:space="preserve"> </w:t>
      </w:r>
      <w:r w:rsidR="00B0664A">
        <w:rPr>
          <w:rFonts w:ascii="Arial" w:eastAsia="Times New Roman" w:hAnsi="Arial" w:cs="Arial"/>
          <w:sz w:val="22"/>
          <w:szCs w:val="22"/>
        </w:rPr>
        <w:t>+</w:t>
      </w:r>
      <w:r w:rsidRPr="003A56B2">
        <w:rPr>
          <w:rFonts w:ascii="Arial" w:eastAsia="Times New Roman" w:hAnsi="Arial" w:cs="Arial"/>
          <w:sz w:val="22"/>
          <w:szCs w:val="22"/>
        </w:rPr>
        <w:t xml:space="preserve">1,8% del mese precedente) e rimanendo decisamente inferiore alla media dell’area euro (+2,1%; +2,2% a settembre). Il confronto con gli altri principali paesi dell’area </w:t>
      </w:r>
      <w:r w:rsidR="00824C86">
        <w:rPr>
          <w:rFonts w:ascii="Arial" w:eastAsia="Times New Roman" w:hAnsi="Arial" w:cs="Arial"/>
          <w:sz w:val="22"/>
          <w:szCs w:val="22"/>
        </w:rPr>
        <w:t>evidenzia</w:t>
      </w:r>
      <w:r w:rsidR="00824C86" w:rsidRPr="003A56B2">
        <w:rPr>
          <w:rFonts w:ascii="Arial" w:eastAsia="Times New Roman" w:hAnsi="Arial" w:cs="Arial"/>
          <w:sz w:val="22"/>
          <w:szCs w:val="22"/>
        </w:rPr>
        <w:t xml:space="preserve"> </w:t>
      </w:r>
      <w:r w:rsidRPr="003A56B2">
        <w:rPr>
          <w:rFonts w:ascii="Arial" w:eastAsia="Times New Roman" w:hAnsi="Arial" w:cs="Arial"/>
          <w:sz w:val="22"/>
          <w:szCs w:val="22"/>
        </w:rPr>
        <w:t xml:space="preserve">una dinamica più moderata </w:t>
      </w:r>
      <w:r w:rsidR="00B0664A">
        <w:rPr>
          <w:rFonts w:ascii="Arial" w:eastAsia="Times New Roman" w:hAnsi="Arial" w:cs="Arial"/>
          <w:sz w:val="22"/>
          <w:szCs w:val="22"/>
        </w:rPr>
        <w:t xml:space="preserve">sia </w:t>
      </w:r>
      <w:r w:rsidRPr="003A56B2">
        <w:rPr>
          <w:rFonts w:ascii="Arial" w:eastAsia="Times New Roman" w:hAnsi="Arial" w:cs="Arial"/>
          <w:sz w:val="22"/>
          <w:szCs w:val="22"/>
        </w:rPr>
        <w:t xml:space="preserve">rispetto alla Germania (+2,3%; +2,4% a settembre) </w:t>
      </w:r>
      <w:r w:rsidR="00ED4A2C">
        <w:rPr>
          <w:rFonts w:ascii="Arial" w:eastAsia="Times New Roman" w:hAnsi="Arial" w:cs="Arial"/>
          <w:sz w:val="22"/>
          <w:szCs w:val="22"/>
        </w:rPr>
        <w:t>sia</w:t>
      </w:r>
      <w:r w:rsidR="00ED4A2C" w:rsidRPr="003A56B2">
        <w:rPr>
          <w:rFonts w:ascii="Arial" w:eastAsia="Times New Roman" w:hAnsi="Arial" w:cs="Arial"/>
          <w:sz w:val="22"/>
          <w:szCs w:val="22"/>
        </w:rPr>
        <w:t xml:space="preserve"> </w:t>
      </w:r>
      <w:r w:rsidRPr="003A56B2">
        <w:rPr>
          <w:rFonts w:ascii="Arial" w:eastAsia="Times New Roman" w:hAnsi="Arial" w:cs="Arial"/>
          <w:sz w:val="22"/>
          <w:szCs w:val="22"/>
        </w:rPr>
        <w:t>alla Spagna (+3,2%; +3,0% a settembre), mentre in Francia l’inflazione risulta più contenuta (+0,9; +1,1% a settembre).</w:t>
      </w:r>
    </w:p>
    <w:p w14:paraId="628E9562" w14:textId="038A121E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</w:pP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Ad agosto tornano a ridursi i prezzi </w:t>
      </w:r>
      <w:r w:rsidR="009C20B1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all’import.</w:t>
      </w: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 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I </w:t>
      </w:r>
      <w:hyperlink r:id="rId33" w:history="1">
        <w:r w:rsidRPr="00DE44C4">
          <w:rPr>
            <w:rStyle w:val="Collegamentoipertestuale"/>
            <w:rFonts w:ascii="Arial" w:eastAsia="Times New Roman" w:hAnsi="Arial" w:cs="Arial"/>
            <w:spacing w:val="-3"/>
            <w:kern w:val="2"/>
            <w:sz w:val="22"/>
            <w:szCs w:val="22"/>
            <w14:ligatures w14:val="standardContextual"/>
          </w:rPr>
          <w:t>prezzi dei prodotti importati</w:t>
        </w:r>
      </w:hyperlink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 scendono dello 0,6% ad agosto (-3</w:t>
      </w:r>
      <w:r w:rsidR="00EC7C84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,0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% in termini tendenziali), dopo due mesi di modesto rialzo (+0,5% la variazione cumulata di giugno e luglio), soprattutto </w:t>
      </w:r>
      <w:r w:rsidR="009C20B1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grazie alla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 discesa </w:t>
      </w:r>
      <w:r w:rsidR="00B0664A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della componente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 energetic</w:t>
      </w:r>
      <w:r w:rsidR="00B0664A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a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 xml:space="preserve"> (-2</w:t>
      </w:r>
      <w:r w:rsidR="00EC7C84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,0</w:t>
      </w:r>
      <w:r w:rsidRPr="003A56B2">
        <w:rPr>
          <w:rFonts w:ascii="Arial" w:eastAsia="Times New Roman" w:hAnsi="Arial" w:cs="Arial"/>
          <w:spacing w:val="-3"/>
          <w:kern w:val="2"/>
          <w:sz w:val="22"/>
          <w:szCs w:val="22"/>
          <w14:ligatures w14:val="standardContextual"/>
        </w:rPr>
        <w:t>% ad agosto).</w:t>
      </w:r>
    </w:p>
    <w:p w14:paraId="1305B77B" w14:textId="5450B261" w:rsidR="003A56B2" w:rsidRPr="003A56B2" w:rsidRDefault="0056536C" w:rsidP="003A56B2">
      <w:pPr>
        <w:spacing w:before="60" w:after="120"/>
        <w:ind w:right="-6"/>
        <w:jc w:val="both"/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C</w:t>
      </w:r>
      <w:r w:rsidR="009C20B1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rescono </w:t>
      </w:r>
      <w:r w:rsidR="003A56B2"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i prezzi alla produzione. </w:t>
      </w:r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A settembre i </w:t>
      </w:r>
      <w:hyperlink r:id="rId34" w:history="1">
        <w:r w:rsidR="003A56B2" w:rsidRPr="00DE44C4">
          <w:rPr>
            <w:rStyle w:val="Collegamentoipertestuale"/>
            <w:rFonts w:ascii="Arial" w:eastAsia="Times New Roman" w:hAnsi="Arial" w:cs="Arial"/>
            <w:kern w:val="2"/>
            <w:sz w:val="22"/>
            <w:szCs w:val="22"/>
            <w14:ligatures w14:val="standardContextual"/>
          </w:rPr>
          <w:t>prezzi alla produzione dell’industria</w:t>
        </w:r>
      </w:hyperlink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hanno ripreso lievemente a crescere (+0,2%; -0,6% di agosto), con un </w:t>
      </w:r>
      <w:r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incremento</w:t>
      </w:r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tendenziale pari a</w:t>
      </w:r>
      <w:r w:rsidR="00C566C8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l</w:t>
      </w:r>
      <w:r w:rsidR="00B0664A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l’</w:t>
      </w:r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1,1%, </w:t>
      </w:r>
      <w:r w:rsidR="009C20B1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a </w:t>
      </w:r>
      <w:r w:rsidR="00EC7C84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riflesso</w:t>
      </w:r>
      <w:r w:rsidR="009C20B1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de</w:t>
      </w:r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gli aumenti registrati nel settore dell’energia (+0,7 congiunturale; +2,5% tendenziale). I prezzi alla produzione dei beni non energetici sono </w:t>
      </w:r>
      <w:r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aumentati</w:t>
      </w:r>
      <w:r w:rsidR="003A56B2"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moderatamente (+0,1% congiunturale; +0,8% tendenziale). </w:t>
      </w:r>
    </w:p>
    <w:p w14:paraId="5D5CAC38" w14:textId="3ADE8903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color w:val="000000"/>
          <w:spacing w:val="-3"/>
          <w:kern w:val="2"/>
          <w:sz w:val="22"/>
          <w:szCs w:val="22"/>
          <w14:ligatures w14:val="standardContextual"/>
        </w:rPr>
      </w:pP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Nel settore delle costruzioni</w:t>
      </w:r>
      <w:r w:rsidR="00EC7C84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,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i prezzi alla produzione diminuiscono lievemente per gli edifici </w:t>
      </w:r>
      <w:r w:rsidR="009C20B1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(-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0,1%</w:t>
      </w:r>
      <w:r w:rsidR="009C20B1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;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+0,4% ad agosto) e rimangono stazionari per strade e ferrovie (-0,2% nel mese precedente)</w:t>
      </w:r>
      <w:r w:rsidR="00B0664A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; l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a dinamica tendenziale accelera per </w:t>
      </w:r>
      <w:r w:rsidR="00B0664A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i primi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(+1,9% da +1,4%) e aumenta in modo modesto per </w:t>
      </w:r>
      <w:r w:rsidR="00B0664A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i secondi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(+0,6% da 0,1%).</w:t>
      </w:r>
    </w:p>
    <w:p w14:paraId="4747C592" w14:textId="54392CE6" w:rsidR="003A56B2" w:rsidRPr="003A56B2" w:rsidRDefault="003A56B2" w:rsidP="003A56B2">
      <w:pPr>
        <w:spacing w:before="60" w:after="120"/>
        <w:ind w:right="-6"/>
        <w:jc w:val="both"/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</w:pPr>
      <w:bookmarkStart w:id="1" w:name="_Hlk212640091"/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Tra i consumatori aumentano le atte</w:t>
      </w:r>
      <w:r w:rsidR="00F64EFB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se di stabilità dell’inflazione…</w:t>
      </w:r>
      <w:r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 </w:t>
      </w:r>
      <w:r w:rsidR="00B0664A" w:rsidRPr="00C915E4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A ottobre 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continuano a prevalere </w:t>
      </w:r>
      <w:hyperlink r:id="rId35" w:history="1">
        <w:r w:rsidR="001065FF" w:rsidRPr="00D54DC1">
          <w:rPr>
            <w:rStyle w:val="Collegamentoipertestuale"/>
            <w:rFonts w:ascii="Arial" w:eastAsia="Times New Roman" w:hAnsi="Arial" w:cs="Arial"/>
            <w:kern w:val="2"/>
            <w:sz w:val="22"/>
            <w:szCs w:val="22"/>
            <w14:ligatures w14:val="standardContextual"/>
          </w:rPr>
          <w:t>attese di inflazione</w:t>
        </w:r>
      </w:hyperlink>
      <w:r w:rsidR="008E4611">
        <w:rPr>
          <w:rStyle w:val="Collegamentoipertestuale"/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, </w:t>
      </w:r>
      <w:r w:rsidR="001065FF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in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calo nei successivi 12 mesi rispetto ai 12 mesi passati (</w:t>
      </w:r>
      <w:r w:rsidR="001065FF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per una quota del campione pari al 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>42%; 43,5% a settembre)</w:t>
      </w:r>
      <w:r w:rsidR="00274263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; </w:t>
      </w:r>
      <w:r w:rsidRPr="003A56B2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le attese di aumento sono pari al 40,5% (42,5% in settembre) e quelle di stabilità al 15,7% (12,7% nel mese precedente). </w:t>
      </w:r>
      <w:bookmarkEnd w:id="1"/>
    </w:p>
    <w:p w14:paraId="27735B17" w14:textId="769C113B" w:rsidR="003A56B2" w:rsidRPr="003A56B2" w:rsidRDefault="00F64EFB" w:rsidP="003A56B2">
      <w:pPr>
        <w:spacing w:before="60" w:after="120"/>
        <w:ind w:right="-6"/>
        <w:jc w:val="both"/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</w:pPr>
      <w:r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…e tra le imprese</w:t>
      </w:r>
      <w:r w:rsidR="003A56B2"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 </w:t>
      </w:r>
      <w:r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quelle </w:t>
      </w:r>
      <w:r w:rsidR="003A56B2" w:rsidRPr="003A56B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>di rialzo</w:t>
      </w:r>
      <w:r w:rsidR="00602A52">
        <w:rPr>
          <w:rFonts w:ascii="Arial" w:eastAsia="Times New Roman" w:hAnsi="Arial" w:cs="Arial"/>
          <w:b/>
          <w:iCs/>
          <w:noProof/>
          <w:color w:val="008080"/>
          <w:spacing w:val="2"/>
          <w:kern w:val="2"/>
          <w:sz w:val="22"/>
          <w:szCs w:val="22"/>
          <w14:ligatures w14:val="standardContextual"/>
        </w:rPr>
        <w:t xml:space="preserve"> dei prezzi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. </w:t>
      </w:r>
      <w:r w:rsidR="001065FF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l saldo tra l</w:t>
      </w:r>
      <w:r w:rsidR="00602A5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a quota di imprese che si attende un rialzo </w:t>
      </w:r>
      <w:proofErr w:type="gramStart"/>
      <w:r w:rsidR="00602A5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e</w:t>
      </w:r>
      <w:proofErr w:type="gramEnd"/>
      <w:r w:rsidR="008E461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="00602A5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di 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quelle </w:t>
      </w:r>
      <w:r w:rsidR="00602A5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che formula attese di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ribasso</w:t>
      </w:r>
      <w:r w:rsidR="00602A5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dei prezzi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aumenta</w:t>
      </w:r>
      <w:r w:rsidR="001065FF">
        <w:rPr>
          <w:rFonts w:ascii="Arial" w:eastAsia="Times New Roman" w:hAnsi="Arial" w:cs="Arial"/>
          <w:kern w:val="2"/>
          <w:sz w:val="22"/>
          <w:szCs w:val="22"/>
          <w14:ligatures w14:val="standardContextual"/>
        </w:rPr>
        <w:t xml:space="preserve"> a ottobre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nella manifattura (da 3,6 di settembre a 4,3 punti percentuali di ottobre), nelle costruzioni (da 3,8 a 5,2), nel commercio (da 10,8 a 12,6 punti)</w:t>
      </w:r>
      <w:r w:rsidR="008E461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,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mentre si riduce</w:t>
      </w:r>
      <w:r w:rsidR="009109AD" w:rsidRPr="009109AD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r w:rsidR="009109AD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nei servizi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(da 4,8 di settembre a 2 punti). La quota delle imprese che intendono mantenere stabili i listini nei successivi tre mesi diminuisce nel comparto manifatturiero (da 88,6% di settembre a 88,1% di ottobre) e in quello del commercio al dettaglio (da 82,1% a 80,7%)</w:t>
      </w:r>
      <w:r w:rsidR="008E4611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,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mentre aumenta in quelli delle costruzioni (da 91,1% a 92,3%) e dei servizi di mercato (da 88% a 92,2%)</w:t>
      </w:r>
      <w:r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>.</w:t>
      </w:r>
      <w:r w:rsidR="003A56B2" w:rsidRPr="003A56B2">
        <w:rPr>
          <w:rFonts w:ascii="Arial" w:eastAsia="Times New Roman" w:hAnsi="Arial" w:cs="Arial"/>
          <w:color w:val="000000"/>
          <w:kern w:val="2"/>
          <w:sz w:val="22"/>
          <w:szCs w:val="22"/>
          <w14:ligatures w14:val="standardContextual"/>
        </w:rPr>
        <w:t xml:space="preserve"> </w:t>
      </w:r>
      <w:bookmarkStart w:id="2" w:name="_GoBack"/>
      <w:bookmarkEnd w:id="2"/>
    </w:p>
    <w:p w14:paraId="5C943108" w14:textId="2F4DAC51" w:rsidR="00AE66DA" w:rsidRPr="00AA25CB" w:rsidRDefault="002938E6" w:rsidP="00A5691B">
      <w:pPr>
        <w:spacing w:before="60" w:after="120"/>
        <w:ind w:right="-6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2938E6">
        <w:rPr>
          <w:rFonts w:ascii="Arial" w:eastAsia="Times New Roman" w:hAnsi="Arial" w:cs="Arial"/>
          <w:sz w:val="22"/>
          <w:szCs w:val="22"/>
        </w:rPr>
        <w:br w:type="page"/>
      </w:r>
    </w:p>
    <w:p w14:paraId="7DE0B16F" w14:textId="77777777" w:rsidR="00A5691B" w:rsidRPr="002938E6" w:rsidRDefault="00A5691B" w:rsidP="00A5691B">
      <w:r w:rsidRPr="002938E6">
        <w:rPr>
          <w:noProof/>
          <w:spacing w:val="2"/>
          <w:sz w:val="20"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 wp14:anchorId="7A1CCD4E" wp14:editId="3DFD1349">
            <wp:simplePos x="0" y="0"/>
            <wp:positionH relativeFrom="column">
              <wp:posOffset>-2782570</wp:posOffset>
            </wp:positionH>
            <wp:positionV relativeFrom="paragraph">
              <wp:posOffset>16493</wp:posOffset>
            </wp:positionV>
            <wp:extent cx="4050000" cy="431661"/>
            <wp:effectExtent l="0" t="0" r="1905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050000" cy="431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202</w:t>
      </w:r>
    </w:p>
    <w:p w14:paraId="3003F05A" w14:textId="77777777" w:rsidR="00A5691B" w:rsidRDefault="00A5691B" w:rsidP="00A5691B">
      <w:pPr>
        <w:ind w:right="284"/>
        <w:jc w:val="both"/>
        <w:rPr>
          <w:rFonts w:ascii="Arial" w:eastAsia="Times New Roman" w:hAnsi="Arial" w:cs="Arial"/>
          <w:iCs/>
          <w:color w:val="008080"/>
          <w:spacing w:val="2"/>
          <w:sz w:val="20"/>
          <w:szCs w:val="19"/>
        </w:rPr>
      </w:pPr>
    </w:p>
    <w:p w14:paraId="22287E72" w14:textId="77777777" w:rsidR="00A5691B" w:rsidRPr="002938E6" w:rsidRDefault="00A5691B" w:rsidP="00A5691B">
      <w:pPr>
        <w:ind w:right="284"/>
        <w:jc w:val="both"/>
        <w:rPr>
          <w:rFonts w:ascii="Arial" w:eastAsia="Times New Roman" w:hAnsi="Arial" w:cs="Arial"/>
          <w:iCs/>
          <w:color w:val="008080"/>
          <w:spacing w:val="2"/>
          <w:sz w:val="20"/>
          <w:szCs w:val="19"/>
        </w:rPr>
      </w:pPr>
    </w:p>
    <w:p w14:paraId="0687956A" w14:textId="36D80C67" w:rsidR="00A5691B" w:rsidRDefault="00A5691B" w:rsidP="00D33713">
      <w:pPr>
        <w:spacing w:before="60"/>
        <w:jc w:val="both"/>
        <w:rPr>
          <w:b/>
        </w:rPr>
      </w:pPr>
      <w:r>
        <w:rPr>
          <w:rFonts w:ascii="Arial" w:hAnsi="Arial" w:cs="Arial"/>
          <w:b/>
          <w:color w:val="008080"/>
          <w:spacing w:val="-2"/>
        </w:rPr>
        <w:t>LE PRINCIPALI DETERMINANTI DELLA CRESCITA DEI PREZZI DEI BENI ALIMENTARI</w:t>
      </w:r>
      <w:r w:rsidR="003352F4">
        <w:rPr>
          <w:rFonts w:ascii="Arial" w:hAnsi="Arial" w:cs="Arial"/>
          <w:b/>
          <w:color w:val="008080"/>
          <w:spacing w:val="-2"/>
        </w:rPr>
        <w:t xml:space="preserve"> IN ITALIA </w:t>
      </w:r>
      <w:r>
        <w:rPr>
          <w:rFonts w:ascii="Arial" w:hAnsi="Arial" w:cs="Arial"/>
          <w:b/>
          <w:color w:val="008080"/>
          <w:spacing w:val="-2"/>
        </w:rPr>
        <w:t>TRA IL 2021 E IL 2025</w:t>
      </w:r>
      <w:r>
        <w:rPr>
          <w:rStyle w:val="Rimandonotaapidipagina"/>
          <w:rFonts w:ascii="Arial" w:hAnsi="Arial"/>
          <w:b/>
          <w:color w:val="008080"/>
          <w:spacing w:val="-2"/>
          <w:sz w:val="28"/>
          <w:szCs w:val="28"/>
        </w:rPr>
        <w:footnoteReference w:customMarkFollows="1" w:id="2"/>
        <w:t>*</w:t>
      </w:r>
      <w:r w:rsidRPr="00C43987">
        <w:rPr>
          <w:b/>
        </w:rPr>
        <w:t xml:space="preserve"> </w:t>
      </w:r>
    </w:p>
    <w:p w14:paraId="1A7BA740" w14:textId="77777777" w:rsidR="00A5691B" w:rsidRPr="00A5691B" w:rsidRDefault="00A5691B" w:rsidP="00A5691B">
      <w:pPr>
        <w:jc w:val="both"/>
        <w:rPr>
          <w:rFonts w:ascii="Arial" w:hAnsi="Arial"/>
          <w:b/>
          <w:color w:val="008080"/>
          <w:spacing w:val="-2"/>
          <w:sz w:val="16"/>
          <w:szCs w:val="16"/>
        </w:rPr>
      </w:pPr>
    </w:p>
    <w:p w14:paraId="14CC0E61" w14:textId="49C916A8" w:rsidR="00A5691B" w:rsidRPr="00594433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370AC5">
        <w:rPr>
          <w:rFonts w:ascii="Arial" w:hAnsi="Arial" w:cs="Arial"/>
          <w:iCs/>
          <w:color w:val="104875"/>
          <w:sz w:val="20"/>
          <w:szCs w:val="20"/>
        </w:rPr>
        <w:t>I beni alimentari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3"/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rappresentano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nel 2025 oltre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un quinto de</w:t>
      </w:r>
      <w:r>
        <w:rPr>
          <w:rFonts w:ascii="Arial" w:hAnsi="Arial" w:cs="Arial"/>
          <w:iCs/>
          <w:color w:val="104875"/>
          <w:sz w:val="20"/>
          <w:szCs w:val="20"/>
        </w:rPr>
        <w:t>l valore economico de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i beni e servizi consumati dalle famiglie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italiane.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4"/>
      </w:r>
      <w:r>
        <w:rPr>
          <w:rFonts w:ascii="Arial" w:hAnsi="Arial" w:cs="Arial"/>
          <w:iCs/>
          <w:color w:val="104875"/>
          <w:sz w:val="20"/>
          <w:szCs w:val="20"/>
        </w:rPr>
        <w:t xml:space="preserve"> Il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solo cibo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5"/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rappresenta,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in </w:t>
      </w:r>
      <w:r>
        <w:rPr>
          <w:rFonts w:ascii="Arial" w:hAnsi="Arial" w:cs="Arial"/>
          <w:iCs/>
          <w:color w:val="104875"/>
          <w:sz w:val="20"/>
          <w:szCs w:val="20"/>
        </w:rPr>
        <w:t>media,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il 16,6%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della spesa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. </w:t>
      </w:r>
      <w:r>
        <w:rPr>
          <w:rFonts w:ascii="Arial" w:hAnsi="Arial" w:cs="Arial"/>
          <w:iCs/>
          <w:color w:val="104875"/>
          <w:sz w:val="20"/>
          <w:szCs w:val="20"/>
        </w:rPr>
        <w:t>Trattandosi di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beni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in prevalenza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necessari, </w:t>
      </w:r>
      <w:r>
        <w:rPr>
          <w:rFonts w:ascii="Arial" w:hAnsi="Arial" w:cs="Arial"/>
          <w:iCs/>
          <w:color w:val="104875"/>
          <w:sz w:val="20"/>
          <w:szCs w:val="20"/>
        </w:rPr>
        <w:t>si caratterizzano per la rigidità della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loro domanda </w:t>
      </w:r>
      <w:r>
        <w:rPr>
          <w:rFonts w:ascii="Arial" w:hAnsi="Arial" w:cs="Arial"/>
          <w:iCs/>
          <w:color w:val="104875"/>
          <w:sz w:val="20"/>
          <w:szCs w:val="20"/>
        </w:rPr>
        <w:t>rispetto ad aumenti di prezzo. Inoltre, gli incrementi dei listini hanno un impatto rilevante s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ul potere di acquisto delle famiglie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, soprattutto quelle a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più basso reddito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in considerazione della maggiore quota dei beni alimentari rispetto al totale dei consumi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.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Da ottobre 2021 a ottobre 2025,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i beni alimentari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hanno registrato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aument</w:t>
      </w:r>
      <w:r>
        <w:rPr>
          <w:rFonts w:ascii="Arial" w:hAnsi="Arial" w:cs="Arial"/>
          <w:iCs/>
          <w:color w:val="104875"/>
          <w:sz w:val="20"/>
          <w:szCs w:val="20"/>
        </w:rPr>
        <w:t>i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di prezzo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del 24,9%, </w:t>
      </w:r>
      <w:r>
        <w:rPr>
          <w:rFonts w:ascii="Arial" w:hAnsi="Arial" w:cs="Arial"/>
          <w:iCs/>
          <w:color w:val="104875"/>
          <w:sz w:val="20"/>
          <w:szCs w:val="20"/>
        </w:rPr>
        <w:t>un incremento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superiore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di quasi 8 punti percentuali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rispetto a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quanto evidenziato nello stesso periodo dall’indice generale dei prezzi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al consumo </w:t>
      </w:r>
      <w:r w:rsidR="00E2690C">
        <w:rPr>
          <w:rFonts w:ascii="Arial" w:hAnsi="Arial" w:cs="Arial"/>
          <w:iCs/>
          <w:color w:val="104875"/>
          <w:sz w:val="20"/>
          <w:szCs w:val="20"/>
        </w:rPr>
        <w:t xml:space="preserve">armonizzato </w:t>
      </w:r>
      <w:r>
        <w:rPr>
          <w:rFonts w:ascii="Arial" w:hAnsi="Arial" w:cs="Arial"/>
          <w:iCs/>
          <w:color w:val="104875"/>
          <w:sz w:val="20"/>
          <w:szCs w:val="20"/>
        </w:rPr>
        <w:t>(</w:t>
      </w:r>
      <w:r w:rsidR="00CE3C32">
        <w:rPr>
          <w:rFonts w:ascii="Arial" w:hAnsi="Arial" w:cs="Arial"/>
          <w:iCs/>
          <w:color w:val="104875"/>
          <w:sz w:val="20"/>
          <w:szCs w:val="20"/>
        </w:rPr>
        <w:t>+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17,3%</w:t>
      </w:r>
      <w:r>
        <w:rPr>
          <w:rFonts w:ascii="Arial" w:hAnsi="Arial" w:cs="Arial"/>
          <w:iCs/>
          <w:color w:val="104875"/>
          <w:sz w:val="20"/>
          <w:szCs w:val="20"/>
        </w:rPr>
        <w:t>, Figura F1).</w:t>
      </w:r>
    </w:p>
    <w:p w14:paraId="735067B1" w14:textId="77777777" w:rsidR="00A5691B" w:rsidRPr="00C915E4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8"/>
          <w:szCs w:val="16"/>
        </w:rPr>
      </w:pPr>
    </w:p>
    <w:p w14:paraId="6EA6E3F0" w14:textId="77777777" w:rsidR="00A5691B" w:rsidRDefault="00A5691B" w:rsidP="00A5691B">
      <w:pPr>
        <w:suppressAutoHyphens/>
        <w:spacing w:after="120"/>
        <w:ind w:right="-6"/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</w:pPr>
      <w:bookmarkStart w:id="4" w:name="_Hlk213165518"/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FIGURA F1.</w:t>
      </w:r>
      <w:r w:rsidRPr="0050029E">
        <w:t xml:space="preserve"> 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PREZZI DEI 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BENI 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ALIMENTARI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 IN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 L'ITALIA. </w:t>
      </w:r>
      <w:r w:rsidRPr="00370AC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Anni 2019-2025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(i</w:t>
      </w:r>
      <w:r w:rsidRPr="00370AC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ndice IPCA, base 2019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)</w:t>
      </w:r>
    </w:p>
    <w:p w14:paraId="13836B19" w14:textId="77777777" w:rsidR="00A5691B" w:rsidRPr="00370AC5" w:rsidRDefault="00A5691B" w:rsidP="00A5691B">
      <w:pPr>
        <w:suppressAutoHyphens/>
        <w:spacing w:after="120"/>
        <w:ind w:right="-6"/>
        <w:rPr>
          <w:rFonts w:ascii="Arial Narrow" w:hAnsi="Arial Narrow" w:cs="Arial"/>
          <w:bCs/>
          <w:iCs/>
          <w:noProof/>
          <w:color w:val="000000" w:themeColor="text1"/>
          <w:spacing w:val="2"/>
          <w:sz w:val="20"/>
          <w:szCs w:val="22"/>
        </w:rPr>
      </w:pPr>
      <w:r>
        <w:rPr>
          <w:noProof/>
          <w:lang w:eastAsia="it-IT"/>
        </w:rPr>
        <w:drawing>
          <wp:inline distT="0" distB="0" distL="0" distR="0" wp14:anchorId="30D9AB5E" wp14:editId="247387D1">
            <wp:extent cx="6583680" cy="2160000"/>
            <wp:effectExtent l="0" t="0" r="7620" b="12065"/>
            <wp:docPr id="8" name="Gra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bookmarkEnd w:id="4"/>
    <w:p w14:paraId="33B049C4" w14:textId="77777777" w:rsidR="00A5691B" w:rsidRDefault="00A5691B" w:rsidP="00A5691B">
      <w:pPr>
        <w:suppressAutoHyphens/>
        <w:spacing w:after="60"/>
        <w:ind w:right="-6"/>
        <w:rPr>
          <w:rFonts w:ascii="Arial Narrow" w:hAnsi="Arial Narrow"/>
          <w:noProof/>
          <w:sz w:val="15"/>
          <w:szCs w:val="15"/>
          <w:lang w:eastAsia="it-IT"/>
        </w:rPr>
      </w:pPr>
      <w:r>
        <w:rPr>
          <w:rFonts w:ascii="Arial Narrow" w:hAnsi="Arial Narrow"/>
          <w:noProof/>
          <w:sz w:val="15"/>
          <w:szCs w:val="15"/>
          <w:lang w:eastAsia="it-IT"/>
        </w:rPr>
        <w:t xml:space="preserve">* </w:t>
      </w:r>
      <w:r w:rsidRPr="008C65CB">
        <w:rPr>
          <w:rFonts w:ascii="Arial Narrow" w:hAnsi="Arial Narrow"/>
          <w:noProof/>
          <w:sz w:val="15"/>
          <w:szCs w:val="15"/>
          <w:lang w:eastAsia="it-IT"/>
        </w:rPr>
        <w:t>Comprendono cibo, bevande e tabacchi.</w:t>
      </w:r>
    </w:p>
    <w:p w14:paraId="0D0ABA13" w14:textId="77777777" w:rsidR="00A5691B" w:rsidRPr="00370AC5" w:rsidRDefault="00A5691B" w:rsidP="00A5691B">
      <w:pPr>
        <w:suppressAutoHyphens/>
        <w:spacing w:after="60"/>
        <w:ind w:right="-6"/>
        <w:rPr>
          <w:rFonts w:ascii="Arial Narrow" w:hAnsi="Arial Narrow" w:cs="Arial"/>
          <w:noProof/>
          <w:sz w:val="15"/>
          <w:szCs w:val="15"/>
          <w:lang w:eastAsia="it-IT"/>
        </w:rPr>
      </w:pPr>
      <w:r w:rsidRPr="00370AC5">
        <w:rPr>
          <w:rFonts w:ascii="Arial Narrow" w:hAnsi="Arial Narrow"/>
          <w:noProof/>
          <w:sz w:val="15"/>
          <w:szCs w:val="15"/>
          <w:lang w:eastAsia="it-IT"/>
        </w:rPr>
        <w:t xml:space="preserve">Fonte: </w:t>
      </w:r>
      <w:r w:rsidRPr="00370AC5">
        <w:rPr>
          <w:rFonts w:ascii="Arial Narrow" w:hAnsi="Arial Narrow" w:cs="Arial"/>
          <w:noProof/>
          <w:sz w:val="15"/>
          <w:szCs w:val="15"/>
          <w:lang w:eastAsia="it-IT"/>
        </w:rPr>
        <w:t xml:space="preserve">Istat </w:t>
      </w:r>
    </w:p>
    <w:p w14:paraId="6F912485" w14:textId="77777777" w:rsidR="00A5691B" w:rsidRPr="00A5691B" w:rsidRDefault="00A5691B" w:rsidP="00A5691B">
      <w:pPr>
        <w:jc w:val="both"/>
        <w:rPr>
          <w:rFonts w:ascii="Arial" w:hAnsi="Arial" w:cs="Arial"/>
          <w:iCs/>
          <w:color w:val="104875"/>
          <w:sz w:val="16"/>
          <w:szCs w:val="16"/>
        </w:rPr>
      </w:pPr>
    </w:p>
    <w:p w14:paraId="48BACC68" w14:textId="77777777" w:rsidR="00781A4E" w:rsidRDefault="00A5691B" w:rsidP="00A5691B">
      <w:pPr>
        <w:suppressAutoHyphens/>
        <w:spacing w:after="120"/>
        <w:ind w:right="-6"/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</w:pP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FIGURA F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2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.</w:t>
      </w:r>
      <w:r w:rsidRPr="0050029E">
        <w:t xml:space="preserve"> 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PREZZI AL CONSUMO 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PER TIPOLOGIE DI 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PRODOTTI ALIMENTARI*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 Italia</w:t>
      </w:r>
      <w:r w:rsidRPr="00370AC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. </w:t>
      </w:r>
      <w:r w:rsidRPr="00F67631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Anni 2019-2025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(d</w:t>
      </w:r>
      <w:r w:rsidRPr="00F67631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ati mensili, indici base 2019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)</w:t>
      </w:r>
    </w:p>
    <w:p w14:paraId="2E32F64F" w14:textId="7CD31432" w:rsidR="00A5691B" w:rsidRDefault="00A5691B" w:rsidP="00A5691B">
      <w:pPr>
        <w:suppressAutoHyphens/>
        <w:spacing w:after="120"/>
        <w:ind w:right="-6"/>
        <w:rPr>
          <w:rFonts w:ascii="Arial" w:hAnsi="Arial" w:cs="Arial"/>
          <w:iCs/>
          <w:color w:val="104875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1254A2DC" wp14:editId="7CD17590">
            <wp:extent cx="6541477" cy="2159635"/>
            <wp:effectExtent l="0" t="0" r="12065" b="12065"/>
            <wp:docPr id="25" name="Grafico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41FEF11" w14:textId="77777777" w:rsidR="00A5691B" w:rsidRPr="00F67631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>*’</w:t>
      </w:r>
      <w:r>
        <w:rPr>
          <w:rFonts w:ascii="Arial Narrow" w:hAnsi="Arial Narrow"/>
          <w:sz w:val="15"/>
          <w:szCs w:val="15"/>
        </w:rPr>
        <w:t>A</w:t>
      </w:r>
      <w:r w:rsidRPr="00F67631">
        <w:rPr>
          <w:rFonts w:ascii="Arial Narrow" w:hAnsi="Arial Narrow"/>
          <w:sz w:val="15"/>
          <w:szCs w:val="15"/>
        </w:rPr>
        <w:t xml:space="preserve">ggregato </w:t>
      </w:r>
      <w:r>
        <w:rPr>
          <w:rFonts w:ascii="Arial Narrow" w:hAnsi="Arial Narrow"/>
          <w:sz w:val="15"/>
          <w:szCs w:val="15"/>
        </w:rPr>
        <w:t>CP011 (</w:t>
      </w:r>
      <w:proofErr w:type="spellStart"/>
      <w:r>
        <w:rPr>
          <w:rFonts w:ascii="Arial Narrow" w:hAnsi="Arial Narrow"/>
          <w:sz w:val="15"/>
          <w:szCs w:val="15"/>
        </w:rPr>
        <w:t>Food</w:t>
      </w:r>
      <w:proofErr w:type="spellEnd"/>
      <w:r>
        <w:rPr>
          <w:rFonts w:ascii="Arial Narrow" w:hAnsi="Arial Narrow"/>
          <w:sz w:val="15"/>
          <w:szCs w:val="15"/>
        </w:rPr>
        <w:t xml:space="preserve">) </w:t>
      </w:r>
      <w:r w:rsidRPr="00F67631">
        <w:rPr>
          <w:rFonts w:ascii="Arial Narrow" w:hAnsi="Arial Narrow"/>
          <w:sz w:val="15"/>
          <w:szCs w:val="15"/>
        </w:rPr>
        <w:t xml:space="preserve">COICOP dei prezzi al consumo. </w:t>
      </w:r>
    </w:p>
    <w:p w14:paraId="08234C20" w14:textId="77777777" w:rsidR="00A5691B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>Fonte: Eurostat e Istat</w:t>
      </w:r>
    </w:p>
    <w:p w14:paraId="579045DA" w14:textId="77777777" w:rsidR="00586C48" w:rsidRDefault="00586C48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4D2C1F4C" w14:textId="16BC7990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>Nel dettaglio, gli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alimentari freschi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(o non lavorati)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sono aumentati più di quelli lavorati (+26,2% e </w:t>
      </w:r>
      <w:r>
        <w:rPr>
          <w:rFonts w:ascii="Arial" w:hAnsi="Arial" w:cs="Arial"/>
          <w:iCs/>
          <w:color w:val="104875"/>
          <w:sz w:val="20"/>
          <w:szCs w:val="20"/>
        </w:rPr>
        <w:t>+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24,3% rispettivamente</w:t>
      </w:r>
      <w:r>
        <w:rPr>
          <w:rFonts w:ascii="Arial" w:hAnsi="Arial" w:cs="Arial"/>
          <w:iCs/>
          <w:color w:val="104875"/>
          <w:sz w:val="20"/>
          <w:szCs w:val="20"/>
        </w:rPr>
        <w:t>)</w:t>
      </w:r>
      <w:r w:rsidR="00845DDB">
        <w:rPr>
          <w:rFonts w:ascii="Arial" w:hAnsi="Arial" w:cs="Arial"/>
          <w:iCs/>
          <w:color w:val="104875"/>
          <w:sz w:val="20"/>
          <w:szCs w:val="20"/>
        </w:rPr>
        <w:t xml:space="preserve">; </w:t>
      </w:r>
      <w:r>
        <w:rPr>
          <w:rFonts w:ascii="Arial" w:hAnsi="Arial" w:cs="Arial"/>
          <w:iCs/>
          <w:color w:val="104875"/>
          <w:sz w:val="20"/>
          <w:szCs w:val="20"/>
        </w:rPr>
        <w:t>il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prezzo del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cibo, a settembre 2025</w:t>
      </w:r>
      <w:r w:rsidRPr="009F4214">
        <w:rPr>
          <w:rFonts w:cs="Arial"/>
          <w:sz w:val="22"/>
          <w:vertAlign w:val="superscript"/>
        </w:rPr>
        <w:footnoteReference w:id="6"/>
      </w:r>
      <w:r w:rsidRPr="000C0D13">
        <w:rPr>
          <w:rFonts w:ascii="Arial" w:hAnsi="Arial" w:cs="Arial"/>
          <w:iCs/>
          <w:color w:val="104875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>è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cresciuto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del 26,8% rispetto ad ottobre 2021, con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incrementi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più </w:t>
      </w:r>
      <w:r>
        <w:rPr>
          <w:rFonts w:ascii="Arial" w:hAnsi="Arial" w:cs="Arial"/>
          <w:iCs/>
          <w:color w:val="104875"/>
          <w:sz w:val="20"/>
          <w:szCs w:val="20"/>
        </w:rPr>
        <w:t>ampi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 xml:space="preserve"> per i prodotti vegetali (+32,7%), latte, formaggi e uova (+28,1%)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e pane e cereali (+25,5%) (Figur</w:t>
      </w:r>
      <w:r w:rsidR="00845DDB">
        <w:rPr>
          <w:rFonts w:ascii="Arial" w:hAnsi="Arial" w:cs="Arial"/>
          <w:iCs/>
          <w:color w:val="104875"/>
          <w:sz w:val="20"/>
          <w:szCs w:val="20"/>
        </w:rPr>
        <w:t>a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F</w:t>
      </w:r>
      <w:r w:rsidR="00845DDB">
        <w:rPr>
          <w:rFonts w:ascii="Arial" w:hAnsi="Arial" w:cs="Arial"/>
          <w:iCs/>
          <w:color w:val="104875"/>
          <w:sz w:val="20"/>
          <w:szCs w:val="20"/>
        </w:rPr>
        <w:t>2</w:t>
      </w:r>
      <w:r w:rsidRPr="00370AC5">
        <w:rPr>
          <w:rFonts w:ascii="Arial" w:hAnsi="Arial" w:cs="Arial"/>
          <w:iCs/>
          <w:color w:val="104875"/>
          <w:sz w:val="20"/>
          <w:szCs w:val="20"/>
        </w:rPr>
        <w:t>).</w:t>
      </w:r>
      <w:r w:rsidRPr="00F94D5B">
        <w:rPr>
          <w:rFonts w:ascii="Arial" w:hAnsi="Arial" w:cs="Arial"/>
          <w:iCs/>
          <w:color w:val="104875"/>
          <w:sz w:val="20"/>
          <w:szCs w:val="20"/>
        </w:rPr>
        <w:t xml:space="preserve"> </w:t>
      </w:r>
    </w:p>
    <w:p w14:paraId="30B97EE0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 xml:space="preserve">I 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>prezzi degli alimentari iniziano a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crescere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 xml:space="preserve"> nella seconda metà del 2021; subiscono un’impennata dall’inizio del 2022 fino alla </w:t>
      </w:r>
      <w:r>
        <w:rPr>
          <w:rFonts w:ascii="Arial" w:hAnsi="Arial" w:cs="Arial"/>
          <w:iCs/>
          <w:color w:val="104875"/>
          <w:sz w:val="20"/>
          <w:szCs w:val="20"/>
        </w:rPr>
        <w:t>metà del 2023, e continuano ad aumentare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>, seppure a tassi più moderati, anche nel periodo successivo.</w:t>
      </w:r>
    </w:p>
    <w:p w14:paraId="5745302A" w14:textId="361191C2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 xml:space="preserve">Il fenomeno non ha riguardato solo l’Italia ma è stato diffuso e ha colpito 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>altri paesi europei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anche con maggiore intensità. 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>(Figura F3)</w:t>
      </w:r>
      <w:r>
        <w:rPr>
          <w:rFonts w:ascii="Arial" w:hAnsi="Arial" w:cs="Arial"/>
          <w:iCs/>
          <w:color w:val="104875"/>
          <w:sz w:val="20"/>
          <w:szCs w:val="20"/>
        </w:rPr>
        <w:t>.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 </w:t>
      </w:r>
      <w:r w:rsidRPr="00F67631">
        <w:rPr>
          <w:rFonts w:ascii="Arial" w:hAnsi="Arial" w:cs="Arial"/>
          <w:iCs/>
          <w:color w:val="104875"/>
          <w:sz w:val="20"/>
          <w:szCs w:val="20"/>
        </w:rPr>
        <w:t>prezzi del cibo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sono infatti aumentati, nel periodo in esame, del 29% per l’area euro (+32,3 nella U</w:t>
      </w:r>
      <w:r w:rsidR="0004571D">
        <w:rPr>
          <w:rFonts w:ascii="Arial" w:hAnsi="Arial" w:cs="Arial"/>
          <w:iCs/>
          <w:color w:val="104875"/>
          <w:sz w:val="20"/>
          <w:szCs w:val="20"/>
        </w:rPr>
        <w:t>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27), del 32,8% in Germania, del 29,5% in Spagna. La Francia ha registrato incrementi leggermente inferiori </w:t>
      </w:r>
      <w:r w:rsidRPr="00817D45">
        <w:rPr>
          <w:rFonts w:ascii="Arial" w:hAnsi="Arial" w:cs="Arial"/>
          <w:iCs/>
          <w:color w:val="104875"/>
          <w:sz w:val="20"/>
          <w:szCs w:val="20"/>
        </w:rPr>
        <w:t>(23,9%)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a quelli rilevati in Italia. </w:t>
      </w:r>
    </w:p>
    <w:p w14:paraId="14559E77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33AD0197" w14:textId="77777777" w:rsidR="00A5691B" w:rsidRDefault="00A5691B" w:rsidP="00A5691B">
      <w:pPr>
        <w:suppressAutoHyphens/>
        <w:spacing w:after="120"/>
        <w:ind w:right="-6"/>
        <w:rPr>
          <w:noProof/>
        </w:rPr>
      </w:pP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FIGURA F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3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.</w:t>
      </w:r>
      <w:r w:rsidRPr="0050029E">
        <w:t xml:space="preserve"> </w:t>
      </w:r>
      <w:r w:rsidRPr="00F67631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PREZZI AL CONSUMO DEI PRODOTTI ALIMENTARI*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 NEI PRINCIPALI PAESI UE</w:t>
      </w:r>
      <w:r w:rsidRPr="00F67631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. </w:t>
      </w:r>
      <w:r w:rsidRPr="00F67631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Anni 2019-2025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(d</w:t>
      </w:r>
      <w:r w:rsidRPr="00F67631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ati mensili, indici base 2019</w:t>
      </w:r>
      <w:r>
        <w:rPr>
          <w:noProof/>
        </w:rPr>
        <w:t>)</w:t>
      </w:r>
    </w:p>
    <w:p w14:paraId="0F22C6D7" w14:textId="77777777" w:rsidR="00A5691B" w:rsidRDefault="00A5691B" w:rsidP="00A5691B">
      <w:pPr>
        <w:suppressAutoHyphens/>
        <w:spacing w:after="120"/>
        <w:ind w:right="-6"/>
        <w:rPr>
          <w:rFonts w:ascii="Arial" w:hAnsi="Arial" w:cs="Arial"/>
          <w:iCs/>
          <w:color w:val="104875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7FA6D149" wp14:editId="30EDFF1E">
            <wp:extent cx="6262255" cy="2160000"/>
            <wp:effectExtent l="0" t="0" r="5715" b="12065"/>
            <wp:docPr id="26" name="Grafico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4432D66F" w14:textId="77777777" w:rsidR="00A5691B" w:rsidRPr="00F67631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>*</w:t>
      </w:r>
      <w:r>
        <w:rPr>
          <w:rFonts w:ascii="Arial Narrow" w:hAnsi="Arial Narrow"/>
          <w:sz w:val="15"/>
          <w:szCs w:val="15"/>
        </w:rPr>
        <w:t>A</w:t>
      </w:r>
      <w:r w:rsidRPr="00F67631">
        <w:rPr>
          <w:rFonts w:ascii="Arial Narrow" w:hAnsi="Arial Narrow"/>
          <w:sz w:val="15"/>
          <w:szCs w:val="15"/>
        </w:rPr>
        <w:t>ggregato</w:t>
      </w:r>
      <w:r>
        <w:rPr>
          <w:rFonts w:ascii="Arial Narrow" w:hAnsi="Arial Narrow"/>
          <w:sz w:val="15"/>
          <w:szCs w:val="15"/>
        </w:rPr>
        <w:t xml:space="preserve"> CP011 (</w:t>
      </w:r>
      <w:proofErr w:type="spellStart"/>
      <w:r>
        <w:rPr>
          <w:rFonts w:ascii="Arial Narrow" w:hAnsi="Arial Narrow"/>
          <w:sz w:val="15"/>
          <w:szCs w:val="15"/>
        </w:rPr>
        <w:t>Food</w:t>
      </w:r>
      <w:proofErr w:type="spellEnd"/>
      <w:r>
        <w:rPr>
          <w:rFonts w:ascii="Arial Narrow" w:hAnsi="Arial Narrow"/>
          <w:sz w:val="15"/>
          <w:szCs w:val="15"/>
        </w:rPr>
        <w:t>) della classificazione</w:t>
      </w:r>
      <w:r w:rsidRPr="00F67631">
        <w:rPr>
          <w:rFonts w:ascii="Arial Narrow" w:hAnsi="Arial Narrow"/>
          <w:sz w:val="15"/>
          <w:szCs w:val="15"/>
        </w:rPr>
        <w:t xml:space="preserve"> COICOP dei prezzi al consumo</w:t>
      </w:r>
      <w:r>
        <w:rPr>
          <w:rFonts w:ascii="Arial Narrow" w:hAnsi="Arial Narrow"/>
          <w:sz w:val="15"/>
          <w:szCs w:val="15"/>
        </w:rPr>
        <w:t>.</w:t>
      </w:r>
    </w:p>
    <w:p w14:paraId="6D59403B" w14:textId="77777777" w:rsidR="00A5691B" w:rsidRPr="00F67631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>Fonte: Eurostat</w:t>
      </w:r>
    </w:p>
    <w:p w14:paraId="14020475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2C71BB12" w14:textId="77777777" w:rsidR="00A5691B" w:rsidRPr="00594433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Le cause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dell’eccezionale crescita dei prezzi dei prodotti alimentari in Italia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sono individuabili in una combinazione di fattori, di natura soprattutto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esterna, che hanno determinato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forti aumenti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soprattutto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nei prezzi internazionali degli input produttivi del settore alimentare. </w:t>
      </w:r>
      <w:r>
        <w:rPr>
          <w:rFonts w:ascii="Arial" w:hAnsi="Arial" w:cs="Arial"/>
          <w:iCs/>
          <w:color w:val="104875"/>
          <w:sz w:val="20"/>
          <w:szCs w:val="20"/>
        </w:rPr>
        <w:t>I f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attori interni hanno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invece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>agito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in misura più limitata e, in particolare negli anni più recenti.</w:t>
      </w:r>
    </w:p>
    <w:p w14:paraId="22226EB8" w14:textId="606272B8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>A partire da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lla seconda metà del 2021,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sono iniziate a manifestarsi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pressioni al rialzo dei prezzi internazionali delle materie prime alimentari </w:t>
      </w:r>
      <w:r>
        <w:rPr>
          <w:rFonts w:ascii="Arial" w:hAnsi="Arial" w:cs="Arial"/>
          <w:iCs/>
          <w:color w:val="104875"/>
          <w:sz w:val="20"/>
          <w:szCs w:val="20"/>
        </w:rPr>
        <w:t>dovute alla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 fase di ripresa economica post </w:t>
      </w:r>
      <w:r>
        <w:rPr>
          <w:rFonts w:ascii="Arial" w:hAnsi="Arial" w:cs="Arial"/>
          <w:iCs/>
          <w:color w:val="104875"/>
          <w:sz w:val="20"/>
          <w:szCs w:val="20"/>
        </w:rPr>
        <w:t>pandemica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>. In tale contesto, in presenza di una domanda crescente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7"/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 e di frizioni nell’approvvigionamento dovute ai riassestamenti delle catene globali dopo la pandemia, si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è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>verifica</w:t>
      </w:r>
      <w:r>
        <w:rPr>
          <w:rFonts w:ascii="Arial" w:hAnsi="Arial" w:cs="Arial"/>
          <w:iCs/>
          <w:color w:val="104875"/>
          <w:sz w:val="20"/>
          <w:szCs w:val="20"/>
        </w:rPr>
        <w:t>ta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 una contrazione dell’offerta mondiale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determinata anche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>d</w:t>
      </w:r>
      <w:r>
        <w:rPr>
          <w:rFonts w:ascii="Arial" w:hAnsi="Arial" w:cs="Arial"/>
          <w:iCs/>
          <w:color w:val="104875"/>
          <w:sz w:val="20"/>
          <w:szCs w:val="20"/>
        </w:rPr>
        <w:t>a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 eventi metereologici avversi nei principali paesi esportatori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8"/>
      </w:r>
      <w:r w:rsidRPr="00594433">
        <w:rPr>
          <w:rFonts w:ascii="Arial" w:hAnsi="Arial" w:cs="Arial"/>
          <w:iCs/>
          <w:color w:val="104875"/>
          <w:sz w:val="20"/>
          <w:szCs w:val="20"/>
        </w:rPr>
        <w:t>.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A partire da febbraio 2022, 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l’invasione dell’Ucraina </w:t>
      </w:r>
      <w:r>
        <w:rPr>
          <w:rFonts w:ascii="Arial" w:hAnsi="Arial" w:cs="Arial"/>
          <w:iCs/>
          <w:color w:val="104875"/>
          <w:sz w:val="20"/>
          <w:szCs w:val="20"/>
        </w:rPr>
        <w:t>e</w:t>
      </w:r>
      <w:r w:rsidRPr="00594433">
        <w:rPr>
          <w:rFonts w:ascii="Arial" w:hAnsi="Arial" w:cs="Arial"/>
          <w:iCs/>
          <w:color w:val="104875"/>
          <w:sz w:val="20"/>
          <w:szCs w:val="20"/>
        </w:rPr>
        <w:t xml:space="preserve"> le conseguenti sanzioni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internazionali (i.e. blocco delle importazioni di gas naturale) nei confronti della Russia hanno determinato forti pressioni inflattive sui beni energetici</w:t>
      </w:r>
      <w:r w:rsidR="00293637">
        <w:rPr>
          <w:rFonts w:ascii="Arial" w:hAnsi="Arial" w:cs="Arial"/>
          <w:iCs/>
          <w:color w:val="104875"/>
          <w:sz w:val="20"/>
          <w:szCs w:val="20"/>
        </w:rPr>
        <w:t>; nello stesso periodo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hanno continuato a crescere i prezzi delle materie prime alimentari.</w:t>
      </w:r>
    </w:p>
    <w:p w14:paraId="1DFE3FC5" w14:textId="3BD7F315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844441">
        <w:rPr>
          <w:rFonts w:ascii="Arial" w:hAnsi="Arial" w:cs="Arial"/>
          <w:iCs/>
          <w:color w:val="104875"/>
          <w:sz w:val="20"/>
          <w:szCs w:val="20"/>
        </w:rPr>
        <w:t>In Italia, il prezzo al consumo dei beni energetici è aumentato da ottobre 2021 a novembre 2022 del 76%</w:t>
      </w:r>
      <w:r w:rsidR="00293637">
        <w:rPr>
          <w:rFonts w:ascii="Arial" w:hAnsi="Arial" w:cs="Arial"/>
          <w:iCs/>
          <w:color w:val="104875"/>
          <w:sz w:val="20"/>
          <w:szCs w:val="20"/>
        </w:rPr>
        <w:t>,</w:t>
      </w:r>
      <w:r w:rsidRPr="00844441">
        <w:rPr>
          <w:rFonts w:ascii="Arial" w:hAnsi="Arial" w:cs="Arial"/>
          <w:iCs/>
          <w:color w:val="104875"/>
          <w:sz w:val="20"/>
          <w:szCs w:val="20"/>
        </w:rPr>
        <w:t xml:space="preserve"> in misura ben maggiore rispetto alla media dell’area euro (38,7%), dell’U</w:t>
      </w:r>
      <w:r>
        <w:rPr>
          <w:rFonts w:ascii="Arial" w:hAnsi="Arial" w:cs="Arial"/>
          <w:iCs/>
          <w:color w:val="104875"/>
          <w:sz w:val="20"/>
          <w:szCs w:val="20"/>
        </w:rPr>
        <w:t>e</w:t>
      </w:r>
      <w:r w:rsidRPr="00844441">
        <w:rPr>
          <w:rFonts w:ascii="Arial" w:hAnsi="Arial" w:cs="Arial"/>
          <w:iCs/>
          <w:color w:val="104875"/>
          <w:sz w:val="20"/>
          <w:szCs w:val="20"/>
        </w:rPr>
        <w:t>27 (36,8%) e degli altri principali paesi europei: Germania (42,7), Francia (21,1%) e Spagna (2,9%)</w:t>
      </w:r>
      <w:r>
        <w:rPr>
          <w:rFonts w:ascii="Arial" w:hAnsi="Arial" w:cs="Arial"/>
          <w:iCs/>
          <w:color w:val="104875"/>
          <w:sz w:val="20"/>
          <w:szCs w:val="20"/>
        </w:rPr>
        <w:t>.</w:t>
      </w:r>
      <w:r w:rsidR="00293637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L’aumento del costo dell’energia ha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avuto un impatto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 diretto e particolarmente significativo </w:t>
      </w:r>
      <w:r>
        <w:rPr>
          <w:rFonts w:ascii="Arial" w:hAnsi="Arial" w:cs="Arial"/>
          <w:iCs/>
          <w:color w:val="104875"/>
          <w:sz w:val="20"/>
          <w:szCs w:val="20"/>
        </w:rPr>
        <w:t>sul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 settore degli alimentari non lavorati, dove il peso degli input energetici sugli input totali (5,5%) è più del doppio rispetto alla media degli altri settori escluso </w:t>
      </w:r>
      <w:r>
        <w:rPr>
          <w:rFonts w:ascii="Arial" w:hAnsi="Arial" w:cs="Arial"/>
          <w:iCs/>
          <w:color w:val="104875"/>
          <w:sz w:val="20"/>
          <w:szCs w:val="20"/>
        </w:rPr>
        <w:t>quello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 energetico (2,2%</w:t>
      </w:r>
      <w:r>
        <w:rPr>
          <w:rFonts w:ascii="Arial" w:hAnsi="Arial" w:cs="Arial"/>
          <w:iCs/>
          <w:color w:val="104875"/>
          <w:sz w:val="20"/>
          <w:szCs w:val="20"/>
        </w:rPr>
        <w:t>) e di oltre un punto percentuale superiore all’intera economia (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4,4%</w:t>
      </w:r>
      <w:r>
        <w:rPr>
          <w:rFonts w:ascii="Arial" w:hAnsi="Arial" w:cs="Arial"/>
          <w:iCs/>
          <w:color w:val="104875"/>
          <w:sz w:val="20"/>
          <w:szCs w:val="20"/>
        </w:rPr>
        <w:t>)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9"/>
      </w:r>
      <w:r>
        <w:rPr>
          <w:rFonts w:ascii="Arial" w:hAnsi="Arial" w:cs="Arial"/>
          <w:iCs/>
          <w:color w:val="104875"/>
          <w:sz w:val="20"/>
          <w:szCs w:val="20"/>
        </w:rPr>
        <w:t xml:space="preserve">. </w:t>
      </w:r>
    </w:p>
    <w:p w14:paraId="3DE12183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lastRenderedPageBreak/>
        <w:t>L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o shock energetico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ha inoltre colpito i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l settore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alimentare 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anche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in modo 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indirett</w:t>
      </w:r>
      <w:r>
        <w:rPr>
          <w:rFonts w:ascii="Arial" w:hAnsi="Arial" w:cs="Arial"/>
          <w:iCs/>
          <w:color w:val="104875"/>
          <w:sz w:val="20"/>
          <w:szCs w:val="20"/>
        </w:rPr>
        <w:t>o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, attraverso gli </w:t>
      </w:r>
      <w:r>
        <w:rPr>
          <w:rFonts w:ascii="Arial" w:hAnsi="Arial" w:cs="Arial"/>
          <w:iCs/>
          <w:color w:val="104875"/>
          <w:sz w:val="20"/>
          <w:szCs w:val="20"/>
        </w:rPr>
        <w:t>incrementi de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i prezzi di altri prodotti intermedi, in particolare i fertilizzanti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(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il cui prezzo è più che raddoppiato dall’inizio del 2021 alla fine del 2022</w:t>
      </w:r>
      <w:r>
        <w:rPr>
          <w:rFonts w:ascii="Arial" w:hAnsi="Arial" w:cs="Arial"/>
          <w:iCs/>
          <w:color w:val="104875"/>
          <w:sz w:val="20"/>
          <w:szCs w:val="20"/>
        </w:rPr>
        <w:t>)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,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che rappresentano un 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input molto </w:t>
      </w:r>
      <w:r>
        <w:rPr>
          <w:rFonts w:ascii="Arial" w:hAnsi="Arial" w:cs="Arial"/>
          <w:iCs/>
          <w:color w:val="104875"/>
          <w:sz w:val="20"/>
          <w:szCs w:val="20"/>
        </w:rPr>
        <w:t>rilevante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 xml:space="preserve"> per il settore agricolo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(F</w:t>
      </w:r>
      <w:r>
        <w:rPr>
          <w:rFonts w:ascii="Arial" w:hAnsi="Arial" w:cs="Arial"/>
          <w:iCs/>
          <w:color w:val="104875"/>
          <w:sz w:val="20"/>
          <w:szCs w:val="20"/>
        </w:rPr>
        <w:t>igura F4</w:t>
      </w:r>
      <w:r w:rsidRPr="00446F9E">
        <w:rPr>
          <w:rFonts w:ascii="Arial" w:hAnsi="Arial" w:cs="Arial"/>
          <w:iCs/>
          <w:color w:val="104875"/>
          <w:sz w:val="20"/>
          <w:szCs w:val="20"/>
        </w:rPr>
        <w:t>).</w:t>
      </w:r>
    </w:p>
    <w:p w14:paraId="00CF7A3B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2DE155C8" w14:textId="77777777" w:rsidR="00781A4E" w:rsidRDefault="00A5691B" w:rsidP="00A5691B">
      <w:pPr>
        <w:suppressAutoHyphens/>
        <w:spacing w:after="120"/>
        <w:ind w:right="-6"/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</w:pPr>
      <w:bookmarkStart w:id="5" w:name="_Hlk213168016"/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FIGUR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A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 xml:space="preserve"> F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4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.</w:t>
      </w:r>
      <w:r w:rsidRPr="0050029E">
        <w:t xml:space="preserve"> </w:t>
      </w:r>
      <w:r w:rsidRPr="002657B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PREZZI DEI FATTORI DI PRODUZIONE AGRICOLA IN ITALIA, RELATIVI AI CONSUMI INTERMEDI. 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Trimestri 2020-2025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(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base anno 2020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)</w:t>
      </w:r>
      <w:bookmarkEnd w:id="5"/>
    </w:p>
    <w:p w14:paraId="3290E288" w14:textId="786DF873" w:rsidR="00A5691B" w:rsidRDefault="00A5691B" w:rsidP="00A5691B">
      <w:pPr>
        <w:suppressAutoHyphens/>
        <w:spacing w:after="120"/>
        <w:ind w:right="-6"/>
        <w:rPr>
          <w:rFonts w:ascii="Arial" w:hAnsi="Arial" w:cs="Arial"/>
          <w:iCs/>
          <w:color w:val="104875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4F800E06" wp14:editId="4C6A49AF">
            <wp:extent cx="6465228" cy="2160000"/>
            <wp:effectExtent l="0" t="0" r="12065" b="12065"/>
            <wp:docPr id="7" name="Grafico 7">
              <a:extLst xmlns:a="http://schemas.openxmlformats.org/drawingml/2006/main">
                <a:ext uri="{FF2B5EF4-FFF2-40B4-BE49-F238E27FC236}">
                  <a16:creationId xmlns:a16="http://schemas.microsoft.com/office/drawing/2014/main" id="{20A0C10D-7E61-4D95-9690-5C33C8F153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7B4F3E9D" w14:textId="77777777" w:rsidR="00A5691B" w:rsidRPr="00F67631" w:rsidRDefault="00A5691B" w:rsidP="00A5691B">
      <w:pPr>
        <w:rPr>
          <w:rFonts w:ascii="Arial Narrow" w:hAnsi="Arial Narrow"/>
          <w:sz w:val="15"/>
          <w:szCs w:val="15"/>
        </w:rPr>
      </w:pPr>
      <w:bookmarkStart w:id="6" w:name="_Hlk213168266"/>
      <w:r w:rsidRPr="00F67631">
        <w:rPr>
          <w:rFonts w:ascii="Arial Narrow" w:hAnsi="Arial Narrow"/>
          <w:sz w:val="15"/>
          <w:szCs w:val="15"/>
        </w:rPr>
        <w:t>Fonte: Eurostat</w:t>
      </w:r>
    </w:p>
    <w:bookmarkEnd w:id="6"/>
    <w:p w14:paraId="2A22161E" w14:textId="77777777" w:rsidR="00A5691B" w:rsidRPr="00F94D5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78B74F8B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 xml:space="preserve">Nel periodo di maggiore crescita 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>dei prezzi dei prodotti alimentari non lavorati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(dalla fine del 2021 a metà del 2023), i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 fattori interni </w:t>
      </w:r>
      <w:r>
        <w:rPr>
          <w:rFonts w:ascii="Arial" w:hAnsi="Arial" w:cs="Arial"/>
          <w:iCs/>
          <w:color w:val="104875"/>
          <w:sz w:val="20"/>
          <w:szCs w:val="20"/>
        </w:rPr>
        <w:t>hanno invece inciso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 in misura minore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rispetto a quelli internazionali.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 In particolare,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nel settore primario, 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 i margini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di profitto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0"/>
      </w:r>
      <w:r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si sono mantenuti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sostanzialmente 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>stabili fino alla metà del 2023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, mentre è aumentato il costo del lavoro per unità di prodotto (CLUP) 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1"/>
      </w:r>
      <w:r>
        <w:rPr>
          <w:rFonts w:ascii="Arial" w:hAnsi="Arial" w:cs="Arial"/>
          <w:iCs/>
          <w:color w:val="104875"/>
          <w:sz w:val="20"/>
          <w:szCs w:val="20"/>
        </w:rPr>
        <w:t xml:space="preserve">, ma in misura minore rispetto ai costi unitari variabili </w:t>
      </w:r>
      <w:r w:rsidRPr="0083430A">
        <w:rPr>
          <w:rFonts w:ascii="Arial" w:hAnsi="Arial" w:cs="Arial"/>
          <w:iCs/>
          <w:color w:val="104875"/>
          <w:sz w:val="20"/>
          <w:szCs w:val="20"/>
        </w:rPr>
        <w:t>totali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2"/>
      </w:r>
      <w:r>
        <w:rPr>
          <w:rFonts w:ascii="Arial" w:hAnsi="Arial" w:cs="Arial"/>
          <w:iCs/>
          <w:color w:val="104875"/>
          <w:sz w:val="20"/>
          <w:szCs w:val="20"/>
        </w:rPr>
        <w:t>.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>Dal terzo trimestre del 2021 al terzo del 2023 il prezzo dell’output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3"/>
      </w:r>
      <w:r>
        <w:rPr>
          <w:rFonts w:ascii="Arial" w:hAnsi="Arial" w:cs="Arial"/>
          <w:iCs/>
          <w:color w:val="104875"/>
          <w:sz w:val="20"/>
          <w:szCs w:val="20"/>
        </w:rPr>
        <w:t xml:space="preserve"> è cresciuto del 20,2%, leggermente meno del deflatore dell’input (21%) 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>(F</w:t>
      </w:r>
      <w:r>
        <w:rPr>
          <w:rFonts w:ascii="Arial" w:hAnsi="Arial" w:cs="Arial"/>
          <w:iCs/>
          <w:color w:val="104875"/>
          <w:sz w:val="20"/>
          <w:szCs w:val="20"/>
        </w:rPr>
        <w:t>igura F5</w:t>
      </w:r>
      <w:r w:rsidRPr="00811D3D">
        <w:rPr>
          <w:rFonts w:ascii="Arial" w:hAnsi="Arial" w:cs="Arial"/>
          <w:iCs/>
          <w:color w:val="104875"/>
          <w:sz w:val="20"/>
          <w:szCs w:val="20"/>
        </w:rPr>
        <w:t>).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</w:t>
      </w:r>
    </w:p>
    <w:p w14:paraId="2B736EC0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066C7AEB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bookmarkStart w:id="7" w:name="_Hlk213168434"/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</w:t>
      </w:r>
      <w:r w:rsidRPr="00781A4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URA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 xml:space="preserve"> F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5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.</w:t>
      </w:r>
      <w:r w:rsidRPr="0035440E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COSTI E MARGINI PER IL MACROSETTORE DELL'AGRICOLITURA, SILVICOLTURA E PESCA.</w:t>
      </w:r>
      <w:r w:rsidRPr="002657B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 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Trimestri 2020-2025</w:t>
      </w:r>
    </w:p>
    <w:bookmarkEnd w:id="7"/>
    <w:p w14:paraId="0AB44192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6119F33D" wp14:editId="79516E6F">
            <wp:extent cx="6479540" cy="2160000"/>
            <wp:effectExtent l="0" t="0" r="16510" b="1206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id="{16E10575-9A72-0E4B-3910-AEC565E70A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147F975E" w14:textId="7CCD1A6C" w:rsidR="00A5691B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 xml:space="preserve">Fonte: </w:t>
      </w:r>
      <w:r>
        <w:rPr>
          <w:rFonts w:ascii="Arial Narrow" w:hAnsi="Arial Narrow"/>
          <w:sz w:val="15"/>
          <w:szCs w:val="15"/>
        </w:rPr>
        <w:t>I</w:t>
      </w:r>
      <w:r w:rsidRPr="00F67631">
        <w:rPr>
          <w:rFonts w:ascii="Arial Narrow" w:hAnsi="Arial Narrow"/>
          <w:sz w:val="15"/>
          <w:szCs w:val="15"/>
        </w:rPr>
        <w:t>stat</w:t>
      </w:r>
    </w:p>
    <w:p w14:paraId="637B9CDE" w14:textId="77777777" w:rsidR="00781A4E" w:rsidRPr="00F67631" w:rsidRDefault="00781A4E" w:rsidP="00A5691B">
      <w:pPr>
        <w:rPr>
          <w:rFonts w:ascii="Arial Narrow" w:hAnsi="Arial Narrow"/>
          <w:sz w:val="15"/>
          <w:szCs w:val="15"/>
        </w:rPr>
      </w:pPr>
    </w:p>
    <w:p w14:paraId="7DDEB09C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>Gli incrementi</w:t>
      </w:r>
      <w:r w:rsidRPr="009A33B9">
        <w:rPr>
          <w:rFonts w:ascii="Arial" w:hAnsi="Arial" w:cs="Arial"/>
          <w:iCs/>
          <w:color w:val="104875"/>
          <w:sz w:val="20"/>
          <w:szCs w:val="20"/>
        </w:rPr>
        <w:t xml:space="preserve"> del prezzo dei prodotti alimentari non lavorati si sono trasmessi al settore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di quelli </w:t>
      </w:r>
      <w:r w:rsidRPr="009A33B9">
        <w:rPr>
          <w:rFonts w:ascii="Arial" w:hAnsi="Arial" w:cs="Arial"/>
          <w:iCs/>
          <w:color w:val="104875"/>
          <w:sz w:val="20"/>
          <w:szCs w:val="20"/>
        </w:rPr>
        <w:t>lavorati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; </w:t>
      </w:r>
      <w:r w:rsidRPr="009A33B9">
        <w:rPr>
          <w:rFonts w:ascii="Arial" w:hAnsi="Arial" w:cs="Arial"/>
          <w:iCs/>
          <w:color w:val="104875"/>
          <w:sz w:val="20"/>
          <w:szCs w:val="20"/>
        </w:rPr>
        <w:t xml:space="preserve">i prezzi alla produzione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dell’industria alimentare </w:t>
      </w:r>
      <w:r w:rsidRPr="009A33B9">
        <w:rPr>
          <w:rFonts w:ascii="Arial" w:hAnsi="Arial" w:cs="Arial"/>
          <w:iCs/>
          <w:color w:val="104875"/>
          <w:sz w:val="20"/>
          <w:szCs w:val="20"/>
        </w:rPr>
        <w:t>sono aumentati</w:t>
      </w:r>
      <w:r>
        <w:rPr>
          <w:rFonts w:ascii="Arial" w:hAnsi="Arial" w:cs="Arial"/>
          <w:iCs/>
          <w:color w:val="104875"/>
          <w:sz w:val="20"/>
          <w:szCs w:val="20"/>
        </w:rPr>
        <w:t>, tra il terzo trimestre del 2021 e il terzo del 2023, del 21,4%, in presenza di un’analoga crescita delle materie prime agricole.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>
        <w:rPr>
          <w:rFonts w:ascii="Arial" w:hAnsi="Arial" w:cs="Arial"/>
          <w:iCs/>
          <w:color w:val="104875"/>
          <w:sz w:val="20"/>
          <w:szCs w:val="20"/>
        </w:rPr>
        <w:t>(Figura F6)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>.</w:t>
      </w:r>
    </w:p>
    <w:p w14:paraId="632A4B1A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68901D27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FIGUR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A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 xml:space="preserve"> F</w:t>
      </w:r>
      <w:r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6</w:t>
      </w:r>
      <w:r w:rsidRPr="0050029E">
        <w:rPr>
          <w:rFonts w:ascii="Arial Narrow" w:hAnsi="Arial Narrow" w:cs="Arial"/>
          <w:b/>
          <w:iCs/>
          <w:noProof/>
          <w:color w:val="00817F"/>
          <w:sz w:val="22"/>
          <w:szCs w:val="22"/>
        </w:rPr>
        <w:t>.</w:t>
      </w:r>
      <w:r w:rsidRPr="0050029E">
        <w:t xml:space="preserve"> </w:t>
      </w:r>
      <w:r w:rsidRPr="002657B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PREZZI DE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LLE MATERIE PRIME AGRICOLE E PREZZI ALLA PRODUZIONE DELL’INDUSTRIA ALIMENTARE </w:t>
      </w:r>
      <w:r w:rsidRPr="002657B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IN ITALIA</w:t>
      </w:r>
      <w:r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>*</w:t>
      </w:r>
      <w:r w:rsidRPr="002657B5">
        <w:rPr>
          <w:rFonts w:ascii="Arial Narrow" w:hAnsi="Arial Narrow" w:cs="Arial"/>
          <w:b/>
          <w:iCs/>
          <w:noProof/>
          <w:color w:val="595959" w:themeColor="text1" w:themeTint="A6"/>
          <w:spacing w:val="2"/>
          <w:sz w:val="22"/>
          <w:szCs w:val="22"/>
        </w:rPr>
        <w:t xml:space="preserve">. 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Mensili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20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19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-2025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 xml:space="preserve"> (indici </w:t>
      </w:r>
      <w:r w:rsidRPr="002657B5"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base anno 20</w:t>
      </w:r>
      <w:r>
        <w:rPr>
          <w:rFonts w:ascii="Arial Narrow" w:hAnsi="Arial Narrow" w:cs="Arial"/>
          <w:bCs/>
          <w:iCs/>
          <w:noProof/>
          <w:color w:val="595959" w:themeColor="text1" w:themeTint="A6"/>
          <w:spacing w:val="2"/>
          <w:sz w:val="22"/>
          <w:szCs w:val="22"/>
        </w:rPr>
        <w:t>19)</w:t>
      </w:r>
    </w:p>
    <w:p w14:paraId="7BBB52E8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69201BB0" wp14:editId="36EC8AED">
            <wp:extent cx="6465228" cy="2286000"/>
            <wp:effectExtent l="0" t="0" r="12065" b="0"/>
            <wp:docPr id="27" name="Grafico 2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5C688424" w14:textId="77777777" w:rsidR="00A5691B" w:rsidRPr="00F67631" w:rsidRDefault="00A5691B" w:rsidP="00A5691B">
      <w:pPr>
        <w:rPr>
          <w:rFonts w:ascii="Arial Narrow" w:hAnsi="Arial Narrow"/>
          <w:sz w:val="15"/>
          <w:szCs w:val="15"/>
        </w:rPr>
      </w:pPr>
      <w:r w:rsidRPr="00F67631">
        <w:rPr>
          <w:rFonts w:ascii="Arial Narrow" w:hAnsi="Arial Narrow"/>
          <w:sz w:val="15"/>
          <w:szCs w:val="15"/>
        </w:rPr>
        <w:t>*</w:t>
      </w:r>
      <w:r>
        <w:rPr>
          <w:rFonts w:ascii="Arial Narrow" w:hAnsi="Arial Narrow"/>
          <w:sz w:val="15"/>
          <w:szCs w:val="15"/>
        </w:rPr>
        <w:t>A</w:t>
      </w:r>
      <w:r w:rsidRPr="00F67631">
        <w:rPr>
          <w:rFonts w:ascii="Arial Narrow" w:hAnsi="Arial Narrow"/>
          <w:sz w:val="15"/>
          <w:szCs w:val="15"/>
        </w:rPr>
        <w:t>ggregato</w:t>
      </w:r>
      <w:r>
        <w:rPr>
          <w:rFonts w:ascii="Arial Narrow" w:hAnsi="Arial Narrow"/>
          <w:sz w:val="15"/>
          <w:szCs w:val="15"/>
        </w:rPr>
        <w:t xml:space="preserve"> (</w:t>
      </w:r>
      <w:r w:rsidRPr="005F4A70">
        <w:rPr>
          <w:rFonts w:ascii="Arial Narrow" w:hAnsi="Arial Narrow"/>
          <w:sz w:val="15"/>
          <w:szCs w:val="15"/>
        </w:rPr>
        <w:t>NACE-Rev.2</w:t>
      </w:r>
      <w:r>
        <w:rPr>
          <w:rFonts w:ascii="Arial Narrow" w:hAnsi="Arial Narrow"/>
          <w:sz w:val="15"/>
          <w:szCs w:val="15"/>
        </w:rPr>
        <w:t xml:space="preserve">) per i prezzi alla produzione </w:t>
      </w:r>
      <w:r w:rsidRPr="005F4A70">
        <w:rPr>
          <w:rFonts w:ascii="Arial Narrow" w:hAnsi="Arial Narrow"/>
          <w:sz w:val="15"/>
          <w:szCs w:val="15"/>
        </w:rPr>
        <w:t xml:space="preserve">C10 </w:t>
      </w:r>
      <w:proofErr w:type="spellStart"/>
      <w:r w:rsidRPr="005F4A70">
        <w:rPr>
          <w:rFonts w:ascii="Arial Narrow" w:hAnsi="Arial Narrow"/>
          <w:sz w:val="15"/>
          <w:szCs w:val="15"/>
        </w:rPr>
        <w:t>Manufacture</w:t>
      </w:r>
      <w:proofErr w:type="spellEnd"/>
      <w:r w:rsidRPr="005F4A70">
        <w:rPr>
          <w:rFonts w:ascii="Arial Narrow" w:hAnsi="Arial Narrow"/>
          <w:sz w:val="15"/>
          <w:szCs w:val="15"/>
        </w:rPr>
        <w:t xml:space="preserve"> of </w:t>
      </w:r>
      <w:proofErr w:type="spellStart"/>
      <w:r w:rsidRPr="005F4A70">
        <w:rPr>
          <w:rFonts w:ascii="Arial Narrow" w:hAnsi="Arial Narrow"/>
          <w:sz w:val="15"/>
          <w:szCs w:val="15"/>
        </w:rPr>
        <w:t>food</w:t>
      </w:r>
      <w:proofErr w:type="spellEnd"/>
      <w:r w:rsidRPr="005F4A70">
        <w:rPr>
          <w:rFonts w:ascii="Arial Narrow" w:hAnsi="Arial Narrow"/>
          <w:sz w:val="15"/>
          <w:szCs w:val="15"/>
        </w:rPr>
        <w:t xml:space="preserve"> </w:t>
      </w:r>
      <w:proofErr w:type="spellStart"/>
      <w:r w:rsidRPr="005F4A70">
        <w:rPr>
          <w:rFonts w:ascii="Arial Narrow" w:hAnsi="Arial Narrow"/>
          <w:sz w:val="15"/>
          <w:szCs w:val="15"/>
        </w:rPr>
        <w:t>products</w:t>
      </w:r>
      <w:proofErr w:type="spellEnd"/>
      <w:r>
        <w:rPr>
          <w:rFonts w:ascii="Arial Narrow" w:hAnsi="Arial Narrow"/>
          <w:sz w:val="15"/>
          <w:szCs w:val="15"/>
        </w:rPr>
        <w:t>; aggregato (</w:t>
      </w:r>
      <w:proofErr w:type="spellStart"/>
      <w:r>
        <w:rPr>
          <w:rFonts w:ascii="Arial Narrow" w:hAnsi="Arial Narrow"/>
          <w:sz w:val="15"/>
          <w:szCs w:val="15"/>
        </w:rPr>
        <w:t>Agricultural</w:t>
      </w:r>
      <w:proofErr w:type="spellEnd"/>
      <w:r>
        <w:rPr>
          <w:rFonts w:ascii="Arial Narrow" w:hAnsi="Arial Narrow"/>
          <w:sz w:val="15"/>
          <w:szCs w:val="15"/>
        </w:rPr>
        <w:t xml:space="preserve"> commodity) per i prezzi delle </w:t>
      </w:r>
      <w:proofErr w:type="spellStart"/>
      <w:r>
        <w:rPr>
          <w:rFonts w:ascii="Arial Narrow" w:hAnsi="Arial Narrow"/>
          <w:sz w:val="15"/>
          <w:szCs w:val="15"/>
        </w:rPr>
        <w:t>commodities</w:t>
      </w:r>
      <w:proofErr w:type="spellEnd"/>
      <w:r>
        <w:rPr>
          <w:rFonts w:ascii="Arial Narrow" w:hAnsi="Arial Narrow"/>
          <w:sz w:val="15"/>
          <w:szCs w:val="15"/>
        </w:rPr>
        <w:t xml:space="preserve"> agricole (</w:t>
      </w:r>
      <w:r w:rsidRPr="005F4A70">
        <w:rPr>
          <w:rFonts w:ascii="Arial Narrow" w:hAnsi="Arial Narrow"/>
          <w:sz w:val="15"/>
          <w:szCs w:val="15"/>
        </w:rPr>
        <w:t xml:space="preserve">140000 </w:t>
      </w:r>
      <w:proofErr w:type="spellStart"/>
      <w:r w:rsidRPr="005F4A70">
        <w:rPr>
          <w:rFonts w:ascii="Arial Narrow" w:hAnsi="Arial Narrow"/>
          <w:sz w:val="15"/>
          <w:szCs w:val="15"/>
        </w:rPr>
        <w:t>Agricultural</w:t>
      </w:r>
      <w:proofErr w:type="spellEnd"/>
      <w:r w:rsidRPr="005F4A70">
        <w:rPr>
          <w:rFonts w:ascii="Arial Narrow" w:hAnsi="Arial Narrow"/>
          <w:sz w:val="15"/>
          <w:szCs w:val="15"/>
        </w:rPr>
        <w:t xml:space="preserve"> </w:t>
      </w:r>
      <w:proofErr w:type="spellStart"/>
      <w:r w:rsidRPr="005F4A70">
        <w:rPr>
          <w:rFonts w:ascii="Arial Narrow" w:hAnsi="Arial Narrow"/>
          <w:sz w:val="15"/>
          <w:szCs w:val="15"/>
        </w:rPr>
        <w:t>goods</w:t>
      </w:r>
      <w:proofErr w:type="spellEnd"/>
      <w:r>
        <w:rPr>
          <w:rFonts w:ascii="Arial Narrow" w:hAnsi="Arial Narrow"/>
          <w:sz w:val="15"/>
          <w:szCs w:val="15"/>
        </w:rPr>
        <w:t>).</w:t>
      </w:r>
    </w:p>
    <w:p w14:paraId="30A24EA4" w14:textId="77777777" w:rsidR="00A5691B" w:rsidRPr="00A5691B" w:rsidRDefault="00A5691B" w:rsidP="00A5691B">
      <w:pPr>
        <w:rPr>
          <w:rFonts w:ascii="Arial Narrow" w:hAnsi="Arial Narrow"/>
          <w:sz w:val="15"/>
          <w:szCs w:val="15"/>
          <w:lang w:val="en-GB"/>
        </w:rPr>
      </w:pPr>
      <w:r w:rsidRPr="00A5691B">
        <w:rPr>
          <w:rFonts w:ascii="Arial Narrow" w:hAnsi="Arial Narrow"/>
          <w:sz w:val="15"/>
          <w:szCs w:val="15"/>
          <w:lang w:val="en-GB"/>
        </w:rPr>
        <w:t>Fonte: Istat (</w:t>
      </w:r>
      <w:proofErr w:type="spellStart"/>
      <w:r w:rsidRPr="00A5691B">
        <w:rPr>
          <w:rFonts w:ascii="Arial Narrow" w:hAnsi="Arial Narrow"/>
          <w:sz w:val="15"/>
          <w:szCs w:val="15"/>
          <w:lang w:val="en-GB"/>
        </w:rPr>
        <w:t>prezzi</w:t>
      </w:r>
      <w:proofErr w:type="spellEnd"/>
      <w:r w:rsidRPr="00A5691B">
        <w:rPr>
          <w:rFonts w:ascii="Arial Narrow" w:hAnsi="Arial Narrow"/>
          <w:sz w:val="15"/>
          <w:szCs w:val="15"/>
          <w:lang w:val="en-GB"/>
        </w:rPr>
        <w:t xml:space="preserve"> </w:t>
      </w:r>
      <w:proofErr w:type="spellStart"/>
      <w:r w:rsidRPr="00A5691B">
        <w:rPr>
          <w:rFonts w:ascii="Arial Narrow" w:hAnsi="Arial Narrow"/>
          <w:sz w:val="15"/>
          <w:szCs w:val="15"/>
          <w:lang w:val="en-GB"/>
        </w:rPr>
        <w:t>alla</w:t>
      </w:r>
      <w:proofErr w:type="spellEnd"/>
      <w:r w:rsidRPr="00A5691B">
        <w:rPr>
          <w:rFonts w:ascii="Arial Narrow" w:hAnsi="Arial Narrow"/>
          <w:sz w:val="15"/>
          <w:szCs w:val="15"/>
          <w:lang w:val="en-GB"/>
        </w:rPr>
        <w:t xml:space="preserve"> </w:t>
      </w:r>
      <w:proofErr w:type="spellStart"/>
      <w:r w:rsidRPr="00A5691B">
        <w:rPr>
          <w:rFonts w:ascii="Arial Narrow" w:hAnsi="Arial Narrow"/>
          <w:sz w:val="15"/>
          <w:szCs w:val="15"/>
          <w:lang w:val="en-GB"/>
        </w:rPr>
        <w:t>produzione</w:t>
      </w:r>
      <w:proofErr w:type="spellEnd"/>
      <w:r w:rsidRPr="00A5691B">
        <w:rPr>
          <w:rFonts w:ascii="Arial Narrow" w:hAnsi="Arial Narrow"/>
          <w:sz w:val="15"/>
          <w:szCs w:val="15"/>
          <w:lang w:val="en-GB"/>
        </w:rPr>
        <w:t xml:space="preserve"> </w:t>
      </w:r>
      <w:proofErr w:type="spellStart"/>
      <w:r w:rsidRPr="00A5691B">
        <w:rPr>
          <w:rFonts w:ascii="Arial Narrow" w:hAnsi="Arial Narrow"/>
          <w:sz w:val="15"/>
          <w:szCs w:val="15"/>
          <w:lang w:val="en-GB"/>
        </w:rPr>
        <w:t>industriale</w:t>
      </w:r>
      <w:proofErr w:type="spellEnd"/>
      <w:r w:rsidRPr="00A5691B">
        <w:rPr>
          <w:rFonts w:ascii="Arial Narrow" w:hAnsi="Arial Narrow"/>
          <w:sz w:val="15"/>
          <w:szCs w:val="15"/>
          <w:lang w:val="en-GB"/>
        </w:rPr>
        <w:t xml:space="preserve"> C10 Manufacture of food products); Eurostat, Food price monitoring tool (-Agricultural commodity prices index (ACP))</w:t>
      </w:r>
    </w:p>
    <w:p w14:paraId="5DAFC331" w14:textId="77777777" w:rsidR="00A5691B" w:rsidRP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  <w:lang w:val="en-GB"/>
        </w:rPr>
      </w:pPr>
    </w:p>
    <w:p w14:paraId="3AE011EE" w14:textId="77777777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9A33B9">
        <w:rPr>
          <w:rFonts w:ascii="Arial" w:hAnsi="Arial" w:cs="Arial"/>
          <w:iCs/>
          <w:color w:val="104875"/>
          <w:sz w:val="20"/>
          <w:szCs w:val="20"/>
        </w:rPr>
        <w:t xml:space="preserve">L’elevata interconnessione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tra i due settori, 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>con i beni alimentari che rappresentano un</w:t>
      </w:r>
      <w:r>
        <w:rPr>
          <w:rFonts w:ascii="Arial" w:hAnsi="Arial" w:cs="Arial"/>
          <w:iCs/>
          <w:color w:val="104875"/>
          <w:sz w:val="20"/>
          <w:szCs w:val="20"/>
        </w:rPr>
        <w:t>’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importante </w:t>
      </w:r>
      <w:r>
        <w:rPr>
          <w:rFonts w:ascii="Arial" w:hAnsi="Arial" w:cs="Arial"/>
          <w:iCs/>
          <w:color w:val="104875"/>
          <w:sz w:val="20"/>
          <w:szCs w:val="20"/>
        </w:rPr>
        <w:t>quota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degli input intermedi sia del settore agricolo sia d</w:t>
      </w:r>
      <w:r>
        <w:rPr>
          <w:rFonts w:ascii="Arial" w:hAnsi="Arial" w:cs="Arial"/>
          <w:iCs/>
          <w:color w:val="104875"/>
          <w:sz w:val="20"/>
          <w:szCs w:val="20"/>
        </w:rPr>
        <w:t>i quello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alimentare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industriale (il 53% lavorati e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il 42% i non lavorati)</w:t>
      </w:r>
      <w:r w:rsidRPr="0012114E">
        <w:rPr>
          <w:rStyle w:val="Rimandonotaapidipagina"/>
          <w:rFonts w:ascii="Arial" w:hAnsi="Arial"/>
          <w:iCs/>
          <w:color w:val="104875"/>
          <w:sz w:val="20"/>
          <w:szCs w:val="20"/>
        </w:rPr>
        <w:t xml:space="preserve"> 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4"/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, ha rappresentato un ulteriore elemento di </w:t>
      </w:r>
      <w:r>
        <w:rPr>
          <w:rFonts w:ascii="Arial" w:hAnsi="Arial" w:cs="Arial"/>
          <w:iCs/>
          <w:color w:val="104875"/>
          <w:sz w:val="20"/>
          <w:szCs w:val="20"/>
        </w:rPr>
        <w:t>trasmissione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degli effetti sui prezzi.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Negli ultimi due anni il prezzo al consumo degli alimentari (</w:t>
      </w:r>
      <w:proofErr w:type="spellStart"/>
      <w:r>
        <w:rPr>
          <w:rFonts w:ascii="Arial" w:hAnsi="Arial" w:cs="Arial"/>
          <w:iCs/>
          <w:color w:val="104875"/>
          <w:sz w:val="20"/>
          <w:szCs w:val="20"/>
        </w:rPr>
        <w:t>food</w:t>
      </w:r>
      <w:proofErr w:type="spellEnd"/>
      <w:r>
        <w:rPr>
          <w:rFonts w:ascii="Arial" w:hAnsi="Arial" w:cs="Arial"/>
          <w:iCs/>
          <w:color w:val="104875"/>
          <w:sz w:val="20"/>
          <w:szCs w:val="20"/>
        </w:rPr>
        <w:t>) ha continuato a crescere ma a tassi sensibilmente più contenuti (+4,4% da settembre 2023 a settembre 2025).</w:t>
      </w:r>
    </w:p>
    <w:p w14:paraId="0693B416" w14:textId="6695383B" w:rsidR="00A5691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 w:rsidRPr="00E96AC9">
        <w:rPr>
          <w:rFonts w:ascii="Arial" w:hAnsi="Arial" w:cs="Arial"/>
          <w:iCs/>
          <w:color w:val="104875"/>
          <w:sz w:val="20"/>
          <w:szCs w:val="20"/>
        </w:rPr>
        <w:t>Nel corso del 2024, in presen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za di una moderazione dei prezzi 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>degli input, i margini nel settore agricolo hanno recuperato</w:t>
      </w:r>
      <w:r w:rsidR="0011763B"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Cs/>
          <w:color w:val="104875"/>
          <w:sz w:val="20"/>
          <w:szCs w:val="20"/>
        </w:rPr>
        <w:t>e</w:t>
      </w:r>
      <w:proofErr w:type="gramEnd"/>
      <w:r>
        <w:rPr>
          <w:rFonts w:ascii="Arial" w:hAnsi="Arial" w:cs="Arial"/>
          <w:iCs/>
          <w:color w:val="104875"/>
          <w:sz w:val="20"/>
          <w:szCs w:val="20"/>
        </w:rPr>
        <w:t xml:space="preserve"> nella prima metà del 2025 si sono stabilizzati su livelli più </w:t>
      </w:r>
      <w:r w:rsidRPr="0083430A">
        <w:rPr>
          <w:rFonts w:ascii="Arial" w:hAnsi="Arial" w:cs="Arial"/>
          <w:iCs/>
          <w:color w:val="104875"/>
          <w:sz w:val="20"/>
          <w:szCs w:val="20"/>
        </w:rPr>
        <w:t>elevati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</w:t>
      </w:r>
      <w:r w:rsidRPr="0083430A">
        <w:rPr>
          <w:rFonts w:ascii="Arial" w:hAnsi="Arial" w:cs="Arial"/>
          <w:iCs/>
          <w:color w:val="104875"/>
          <w:sz w:val="20"/>
          <w:szCs w:val="20"/>
        </w:rPr>
        <w:t>rispetto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alla media degli ultimi dieci anni. Dagli inizi del 2024, la dinamica del prezzo dell’output è rimasta sempre al di sopra di quella del prezzo dell’input</w:t>
      </w:r>
      <w:r>
        <w:rPr>
          <w:rStyle w:val="Rimandonotaapidipagina"/>
          <w:rFonts w:ascii="Arial" w:hAnsi="Arial"/>
          <w:iCs/>
          <w:color w:val="104875"/>
          <w:sz w:val="20"/>
          <w:szCs w:val="20"/>
        </w:rPr>
        <w:footnoteReference w:id="15"/>
      </w:r>
      <w:r>
        <w:rPr>
          <w:rFonts w:ascii="Arial" w:hAnsi="Arial" w:cs="Arial"/>
          <w:iCs/>
          <w:color w:val="104875"/>
          <w:sz w:val="20"/>
          <w:szCs w:val="20"/>
        </w:rPr>
        <w:t>. La crescita tendenziale dei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prezzi alla produzione del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settore alimentare industriale si è ridotta dalla metà del 2023 fino alla fine del 2024, collocandosi comunque al di sopra di quella delle materie prime alimentari. Successivamente i prezzi alla produzione, in presenza di rialzi di quelli delle materie prime alimentari, sono rimasti sostanzialmente stabili.</w:t>
      </w:r>
      <w:r w:rsidRPr="00E96AC9">
        <w:rPr>
          <w:rFonts w:ascii="Arial" w:hAnsi="Arial" w:cs="Arial"/>
          <w:iCs/>
          <w:color w:val="104875"/>
          <w:sz w:val="20"/>
          <w:szCs w:val="20"/>
        </w:rPr>
        <w:t xml:space="preserve"> </w:t>
      </w:r>
    </w:p>
    <w:p w14:paraId="6B705FF2" w14:textId="77E4506A" w:rsidR="00A5691B" w:rsidRPr="00AA25CB" w:rsidRDefault="00A5691B" w:rsidP="00A5691B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  <w:r>
        <w:rPr>
          <w:rFonts w:ascii="Arial" w:hAnsi="Arial" w:cs="Arial"/>
          <w:iCs/>
          <w:color w:val="104875"/>
          <w:sz w:val="20"/>
          <w:szCs w:val="20"/>
        </w:rPr>
        <w:t>In sintesi, la forte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 xml:space="preserve"> crescita dei prezzi dei beni alimentari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registrata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in Italia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negli anni 2022-2023 è stata dovuta prevalentemente a fattori internazionali, in particolare la crisi energetica che ha seguito l’invasione dell’Ucraina. Lo shock sui prezzi dell’energia ha colpito in modo particolare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 xml:space="preserve"> il settore degli alimentari non lavorati,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sia in modo diretto, dato il rilevante peso degli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input energeti</w:t>
      </w:r>
      <w:r w:rsidRPr="00DF2FA0">
        <w:rPr>
          <w:rFonts w:ascii="Arial" w:hAnsi="Arial" w:cs="Arial"/>
          <w:iCs/>
          <w:color w:val="104875"/>
          <w:sz w:val="20"/>
          <w:szCs w:val="20"/>
        </w:rPr>
        <w:t>ci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, sia in modo indiretto, alimentando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l'incremento del prezzo di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importanti prodotti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intermedi</w:t>
      </w:r>
      <w:r>
        <w:rPr>
          <w:rFonts w:ascii="Arial" w:hAnsi="Arial" w:cs="Arial"/>
          <w:iCs/>
          <w:color w:val="104875"/>
          <w:sz w:val="20"/>
          <w:szCs w:val="20"/>
        </w:rPr>
        <w:t>,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 xml:space="preserve"> come i fertilizzanti. Gli aumenti d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i prezzo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degli alimentari non lavorati si sono poi trasmessi al settore dei beni lavorati</w:t>
      </w:r>
      <w:r>
        <w:rPr>
          <w:rFonts w:ascii="Arial" w:hAnsi="Arial" w:cs="Arial"/>
          <w:iCs/>
          <w:color w:val="104875"/>
          <w:sz w:val="20"/>
          <w:szCs w:val="20"/>
        </w:rPr>
        <w:t>, a causa dell'elevata in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terconnessione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di questi due comparti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.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Negli ultimi due anni, i prezzi hanno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continuato ad aumentare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 ma a tassi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>not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evolmente più contenuti. A tale dinamica ha contribuito il </w:t>
      </w:r>
      <w:r w:rsidRPr="00AA25CB">
        <w:rPr>
          <w:rFonts w:ascii="Arial" w:hAnsi="Arial" w:cs="Arial"/>
          <w:iCs/>
          <w:color w:val="104875"/>
          <w:sz w:val="20"/>
          <w:szCs w:val="20"/>
        </w:rPr>
        <w:t xml:space="preserve">recupero </w:t>
      </w:r>
      <w:r>
        <w:rPr>
          <w:rFonts w:ascii="Arial" w:hAnsi="Arial" w:cs="Arial"/>
          <w:iCs/>
          <w:color w:val="104875"/>
          <w:sz w:val="20"/>
          <w:szCs w:val="20"/>
        </w:rPr>
        <w:t xml:space="preserve">dei margini di profitto delle imprese del settore agricolo, mantenutisi su livelli particolarmente bassi nel periodo </w:t>
      </w:r>
      <w:r w:rsidR="00B42880">
        <w:rPr>
          <w:rFonts w:ascii="Arial" w:hAnsi="Arial" w:cs="Arial"/>
          <w:iCs/>
          <w:color w:val="104875"/>
          <w:sz w:val="20"/>
          <w:szCs w:val="20"/>
        </w:rPr>
        <w:br/>
      </w:r>
      <w:r>
        <w:rPr>
          <w:rFonts w:ascii="Arial" w:hAnsi="Arial" w:cs="Arial"/>
          <w:iCs/>
          <w:color w:val="104875"/>
          <w:sz w:val="20"/>
          <w:szCs w:val="20"/>
        </w:rPr>
        <w:t>2021-2022.</w:t>
      </w:r>
    </w:p>
    <w:p w14:paraId="3C29DE64" w14:textId="77777777" w:rsidR="00AE66DA" w:rsidRPr="00E96AC9" w:rsidRDefault="00AE66DA" w:rsidP="00AE66DA">
      <w:pPr>
        <w:suppressAutoHyphens/>
        <w:spacing w:after="80"/>
        <w:jc w:val="both"/>
        <w:rPr>
          <w:rFonts w:ascii="Arial" w:hAnsi="Arial" w:cs="Arial"/>
          <w:iCs/>
          <w:color w:val="104875"/>
          <w:sz w:val="20"/>
          <w:szCs w:val="20"/>
        </w:rPr>
      </w:pPr>
    </w:p>
    <w:p w14:paraId="1D3C56CE" w14:textId="77777777" w:rsidR="00DF6D8F" w:rsidRPr="00161FD6" w:rsidRDefault="00DF6D8F" w:rsidP="00DF6D8F">
      <w:pPr>
        <w:spacing w:before="100" w:beforeAutospacing="1" w:after="100" w:afterAutospacing="1"/>
        <w:rPr>
          <w:rFonts w:ascii="Arial" w:eastAsia="Times New Roman" w:hAnsi="Arial" w:cs="Arial"/>
          <w:bCs/>
          <w:color w:val="008080"/>
          <w:sz w:val="36"/>
          <w:szCs w:val="36"/>
          <w:lang w:eastAsia="it-IT"/>
        </w:rPr>
      </w:pPr>
      <w:r w:rsidRPr="002938E6">
        <w:rPr>
          <w:rFonts w:ascii="Arial" w:eastAsia="Times New Roman" w:hAnsi="Arial" w:cs="Arial"/>
          <w:bCs/>
          <w:color w:val="008080"/>
          <w:sz w:val="36"/>
          <w:szCs w:val="36"/>
          <w:lang w:eastAsia="it-IT"/>
        </w:rPr>
        <w:t>Per chiarimenti tecnici e metodologici</w:t>
      </w:r>
      <w:r w:rsidRPr="002938E6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53A1C0F" wp14:editId="51535339">
                <wp:simplePos x="0" y="0"/>
                <wp:positionH relativeFrom="column">
                  <wp:posOffset>8255</wp:posOffset>
                </wp:positionH>
                <wp:positionV relativeFrom="paragraph">
                  <wp:posOffset>77469</wp:posOffset>
                </wp:positionV>
                <wp:extent cx="3740785" cy="0"/>
                <wp:effectExtent l="0" t="0" r="31115" b="19050"/>
                <wp:wrapNone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7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AE695" id="Connettore diritto 1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65pt,6.1pt" to="295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" strokecolor="#7f7f7f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DF6D8F" w14:paraId="07616FB6" w14:textId="77777777" w:rsidTr="00722621">
        <w:tc>
          <w:tcPr>
            <w:tcW w:w="5094" w:type="dxa"/>
          </w:tcPr>
          <w:p w14:paraId="2EDAD808" w14:textId="77777777" w:rsidR="00DF6D8F" w:rsidRPr="002938E6" w:rsidRDefault="00DF6D8F" w:rsidP="00722621">
            <w:pPr>
              <w:spacing w:after="0"/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r w:rsidRPr="002938E6"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  <w:t>Roberta De Santis</w:t>
            </w:r>
          </w:p>
          <w:p w14:paraId="1C9E716B" w14:textId="77777777" w:rsidR="00DF6D8F" w:rsidRPr="002938E6" w:rsidRDefault="00DF6D8F" w:rsidP="00722621">
            <w:pPr>
              <w:spacing w:after="0"/>
              <w:rPr>
                <w:rFonts w:ascii="Arial" w:hAnsi="Arial" w:cs="Arial"/>
                <w:color w:val="000000"/>
              </w:rPr>
            </w:pPr>
            <w:r w:rsidRPr="002938E6">
              <w:rPr>
                <w:rFonts w:ascii="Arial" w:hAnsi="Arial" w:cs="Arial"/>
                <w:color w:val="000000"/>
              </w:rPr>
              <w:t>tel.+39 06 4673 7294</w:t>
            </w:r>
          </w:p>
          <w:p w14:paraId="0571C66E" w14:textId="77777777" w:rsidR="00DF6D8F" w:rsidRDefault="00FD55DC" w:rsidP="00722621">
            <w:pPr>
              <w:spacing w:after="0"/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hyperlink r:id="rId43" w:history="1">
              <w:r w:rsidR="00DF6D8F" w:rsidRPr="002938E6">
                <w:rPr>
                  <w:rFonts w:ascii="Arial" w:eastAsiaTheme="majorEastAsia" w:hAnsi="Arial" w:cs="Arial"/>
                  <w:color w:val="0000FF"/>
                  <w:u w:val="single"/>
                </w:rPr>
                <w:t>rdesantis@istat.it</w:t>
              </w:r>
            </w:hyperlink>
          </w:p>
        </w:tc>
        <w:tc>
          <w:tcPr>
            <w:tcW w:w="5094" w:type="dxa"/>
          </w:tcPr>
          <w:p w14:paraId="78D6120B" w14:textId="77777777" w:rsidR="00DF6D8F" w:rsidRPr="002938E6" w:rsidRDefault="00DF6D8F" w:rsidP="00722621">
            <w:pPr>
              <w:spacing w:after="0"/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r w:rsidRPr="002938E6"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  <w:t>Claudio Vicarelli</w:t>
            </w:r>
          </w:p>
          <w:p w14:paraId="477F3704" w14:textId="77777777" w:rsidR="00DF6D8F" w:rsidRPr="002938E6" w:rsidRDefault="00DF6D8F" w:rsidP="00722621">
            <w:pPr>
              <w:spacing w:after="0"/>
              <w:rPr>
                <w:rFonts w:ascii="Arial" w:hAnsi="Arial" w:cs="Arial"/>
                <w:color w:val="000000"/>
              </w:rPr>
            </w:pPr>
            <w:r w:rsidRPr="002938E6">
              <w:rPr>
                <w:rFonts w:ascii="Arial" w:hAnsi="Arial" w:cs="Arial"/>
                <w:color w:val="000000"/>
              </w:rPr>
              <w:t>tel.+39 06 4673 7313</w:t>
            </w:r>
          </w:p>
          <w:p w14:paraId="766E7A94" w14:textId="77777777" w:rsidR="00DF6D8F" w:rsidRDefault="00FD55DC" w:rsidP="00722621">
            <w:pPr>
              <w:spacing w:after="0"/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hyperlink r:id="rId44" w:history="1">
              <w:r w:rsidR="00DF6D8F" w:rsidRPr="002938E6">
                <w:rPr>
                  <w:rFonts w:ascii="Arial" w:eastAsiaTheme="majorEastAsia" w:hAnsi="Arial" w:cs="Arial"/>
                  <w:color w:val="0000FF"/>
                  <w:u w:val="single"/>
                </w:rPr>
                <w:t>cvicarelli@istat.it</w:t>
              </w:r>
            </w:hyperlink>
            <w:r w:rsidR="00DF6D8F" w:rsidRPr="002938E6">
              <w:rPr>
                <w:rFonts w:ascii="Arial" w:hAnsi="Arial" w:cs="Arial"/>
              </w:rPr>
              <w:t xml:space="preserve"> </w:t>
            </w:r>
            <w:r w:rsidR="00DF6D8F" w:rsidRPr="002938E6">
              <w:rPr>
                <w:rFonts w:ascii="Arial" w:eastAsiaTheme="majorEastAsia" w:hAnsi="Arial" w:cs="Arial"/>
                <w:color w:val="0000FF"/>
                <w:u w:val="single"/>
              </w:rPr>
              <w:t xml:space="preserve"> </w:t>
            </w:r>
          </w:p>
        </w:tc>
      </w:tr>
    </w:tbl>
    <w:p w14:paraId="40075AFB" w14:textId="77777777" w:rsidR="00DF6D8F" w:rsidRPr="002938E6" w:rsidRDefault="00DF6D8F" w:rsidP="00DF6D8F">
      <w:pPr>
        <w:rPr>
          <w:rFonts w:ascii="Arial" w:eastAsia="Times New Roman" w:hAnsi="Arial" w:cs="Arial"/>
          <w:color w:val="000000"/>
          <w:lang w:eastAsia="it-IT"/>
        </w:rPr>
      </w:pPr>
    </w:p>
    <w:p w14:paraId="5B22321A" w14:textId="4B447B55" w:rsidR="002938E6" w:rsidRPr="00BB3D0A" w:rsidRDefault="002938E6" w:rsidP="00DF6D8F">
      <w:pPr>
        <w:rPr>
          <w:rFonts w:ascii="Arial" w:eastAsia="Times New Roman" w:hAnsi="Arial" w:cs="Arial"/>
          <w:color w:val="000000"/>
          <w:lang w:eastAsia="it-IT"/>
        </w:rPr>
      </w:pPr>
    </w:p>
    <w:sectPr w:rsidR="002938E6" w:rsidRPr="00BB3D0A" w:rsidSect="005505AC">
      <w:headerReference w:type="default" r:id="rId45"/>
      <w:footerReference w:type="even" r:id="rId46"/>
      <w:footerReference w:type="default" r:id="rId47"/>
      <w:footerReference w:type="first" r:id="rId48"/>
      <w:pgSz w:w="11900" w:h="16840"/>
      <w:pgMar w:top="1418" w:right="851" w:bottom="1097" w:left="851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36EFE" w14:textId="77777777" w:rsidR="00FD55DC" w:rsidRDefault="00FD55DC" w:rsidP="004C1120">
      <w:r>
        <w:separator/>
      </w:r>
    </w:p>
  </w:endnote>
  <w:endnote w:type="continuationSeparator" w:id="0">
    <w:p w14:paraId="282AEC7F" w14:textId="77777777" w:rsidR="00FD55DC" w:rsidRDefault="00FD55DC" w:rsidP="004C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446397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3C1D13B" w14:textId="5373B834" w:rsidR="00CF5E25" w:rsidRDefault="00CF5E25" w:rsidP="000A5829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5274DFC" w14:textId="77777777" w:rsidR="00CF5E25" w:rsidRDefault="00CF5E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21348595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61933F0" w14:textId="5906510A" w:rsidR="00CF5E25" w:rsidRDefault="00CF5E25" w:rsidP="00E34ED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A37B74">
          <w:rPr>
            <w:rStyle w:val="Numeropagina"/>
            <w:noProof/>
          </w:rPr>
          <w:t>11</w:t>
        </w:r>
        <w:r>
          <w:rPr>
            <w:rStyle w:val="Numeropagina"/>
          </w:rPr>
          <w:fldChar w:fldCharType="end"/>
        </w:r>
      </w:p>
    </w:sdtContent>
  </w:sdt>
  <w:p w14:paraId="0E066CCD" w14:textId="7F1FFBB1" w:rsidR="00CF5E25" w:rsidRDefault="00CF5E25" w:rsidP="000A5829">
    <w:pPr>
      <w:pStyle w:val="Pidipagina"/>
      <w:tabs>
        <w:tab w:val="clear" w:pos="9638"/>
      </w:tabs>
      <w:ind w:right="-6109"/>
    </w:pPr>
    <w:r>
      <w:rPr>
        <w:rFonts w:cs="Arial"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07A7B8" wp14:editId="7E50A45C">
              <wp:simplePos x="0" y="0"/>
              <wp:positionH relativeFrom="margin">
                <wp:align>left</wp:align>
              </wp:positionH>
              <wp:positionV relativeFrom="paragraph">
                <wp:posOffset>-177800</wp:posOffset>
              </wp:positionV>
              <wp:extent cx="6479540" cy="0"/>
              <wp:effectExtent l="0" t="0" r="35560" b="19050"/>
              <wp:wrapNone/>
              <wp:docPr id="15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0585A" id="Connettore 1 2" o:spid="_x0000_s1026" style="position:absolute;z-index:2516567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" strokecolor="gray [1629]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0B3E" w14:textId="77777777" w:rsidR="00CF5E25" w:rsidRPr="00C66F58" w:rsidRDefault="00FD55DC" w:rsidP="00ED1655">
    <w:pPr>
      <w:framePr w:w="5362" w:wrap="around" w:vAnchor="page" w:hAnchor="page" w:x="831" w:y="15871"/>
      <w:tabs>
        <w:tab w:val="left" w:pos="1985"/>
        <w:tab w:val="left" w:pos="4111"/>
      </w:tabs>
      <w:spacing w:after="60"/>
      <w:ind w:right="-147"/>
      <w:suppressOverlap/>
      <w:rPr>
        <w:rFonts w:ascii="Arial" w:hAnsi="Arial" w:cs="Arial"/>
        <w:b/>
        <w:bCs/>
        <w:color w:val="7F7F7F" w:themeColor="text1" w:themeTint="80"/>
        <w:sz w:val="15"/>
        <w:szCs w:val="15"/>
      </w:rPr>
    </w:pPr>
    <w:hyperlink r:id="rId1" w:history="1">
      <w:r w:rsidR="00CF5E25" w:rsidRPr="00C3248E">
        <w:rPr>
          <w:rStyle w:val="Collegamentoipertestuale"/>
          <w:rFonts w:ascii="Arial" w:hAnsi="Arial" w:cs="Arial"/>
          <w:b/>
          <w:bCs/>
          <w:color w:val="C00000"/>
          <w:sz w:val="21"/>
          <w:szCs w:val="21"/>
        </w:rPr>
        <w:t>www.istat.it</w:t>
      </w:r>
    </w:hyperlink>
    <w:r w:rsidR="00CF5E25" w:rsidRPr="00C3248E">
      <w:rPr>
        <w:rFonts w:ascii="Arial" w:hAnsi="Arial" w:cs="Arial"/>
        <w:b/>
        <w:bCs/>
        <w:color w:val="C00000"/>
        <w:sz w:val="21"/>
        <w:szCs w:val="21"/>
      </w:rPr>
      <w:tab/>
    </w:r>
    <w:r w:rsidR="00CF5E25" w:rsidRPr="00C66F58">
      <w:rPr>
        <w:rFonts w:ascii="Arial" w:hAnsi="Arial" w:cs="Arial"/>
        <w:b/>
        <w:bCs/>
        <w:color w:val="7F7F7F" w:themeColor="text1" w:themeTint="80"/>
        <w:sz w:val="15"/>
        <w:szCs w:val="15"/>
      </w:rPr>
      <w:t>Ufficio Stampa</w:t>
    </w:r>
    <w:r w:rsidR="00CF5E25" w:rsidRPr="0034201A">
      <w:rPr>
        <w:rFonts w:ascii="Arial" w:hAnsi="Arial" w:cs="Arial"/>
        <w:b/>
        <w:bCs/>
        <w:color w:val="7F7F7F" w:themeColor="text1" w:themeTint="80"/>
        <w:sz w:val="15"/>
        <w:szCs w:val="15"/>
      </w:rPr>
      <w:tab/>
    </w:r>
    <w:proofErr w:type="spellStart"/>
    <w:r w:rsidR="00CF5E25" w:rsidRPr="00C66F58">
      <w:rPr>
        <w:rFonts w:ascii="Arial" w:hAnsi="Arial" w:cs="Arial"/>
        <w:b/>
        <w:bCs/>
        <w:color w:val="7F7F7F" w:themeColor="text1" w:themeTint="80"/>
        <w:sz w:val="15"/>
        <w:szCs w:val="15"/>
      </w:rPr>
      <w:t>Contact</w:t>
    </w:r>
    <w:proofErr w:type="spellEnd"/>
    <w:r w:rsidR="00CF5E25" w:rsidRPr="00C66F58">
      <w:rPr>
        <w:rFonts w:ascii="Arial" w:hAnsi="Arial" w:cs="Arial"/>
        <w:b/>
        <w:bCs/>
        <w:color w:val="7F7F7F" w:themeColor="text1" w:themeTint="80"/>
        <w:sz w:val="15"/>
        <w:szCs w:val="15"/>
      </w:rPr>
      <w:t xml:space="preserve"> Centre</w:t>
    </w:r>
  </w:p>
  <w:p w14:paraId="67A846F4" w14:textId="77777777" w:rsidR="00CF5E25" w:rsidRPr="00AC4027" w:rsidRDefault="00CF5E25" w:rsidP="00ED1655">
    <w:pPr>
      <w:framePr w:w="5362" w:wrap="around" w:vAnchor="page" w:hAnchor="page" w:x="831" w:y="15871"/>
      <w:tabs>
        <w:tab w:val="left" w:pos="1985"/>
        <w:tab w:val="left" w:pos="4111"/>
      </w:tabs>
      <w:ind w:right="-147"/>
      <w:suppressOverlap/>
      <w:rPr>
        <w:rFonts w:ascii="Arial" w:hAnsi="Arial" w:cs="Arial"/>
        <w:color w:val="7F7F7F" w:themeColor="text1" w:themeTint="80"/>
        <w:sz w:val="15"/>
        <w:szCs w:val="15"/>
      </w:rPr>
    </w:pPr>
    <w:r w:rsidRPr="00C66F58">
      <w:rPr>
        <w:rFonts w:ascii="Arial" w:hAnsi="Arial" w:cs="Arial"/>
        <w:color w:val="7F7F7F" w:themeColor="text1" w:themeTint="80"/>
        <w:sz w:val="15"/>
        <w:szCs w:val="15"/>
      </w:rPr>
      <w:tab/>
      <w:t xml:space="preserve">Tel. +39 06 </w:t>
    </w:r>
    <w:r>
      <w:rPr>
        <w:rFonts w:ascii="Arial" w:hAnsi="Arial" w:cs="Arial"/>
        <w:color w:val="7F7F7F" w:themeColor="text1" w:themeTint="80"/>
        <w:sz w:val="15"/>
        <w:szCs w:val="15"/>
      </w:rPr>
      <w:t>46</w:t>
    </w:r>
    <w:r w:rsidRPr="00C66F58">
      <w:rPr>
        <w:rFonts w:ascii="Arial" w:hAnsi="Arial" w:cs="Arial"/>
        <w:color w:val="7F7F7F" w:themeColor="text1" w:themeTint="80"/>
        <w:sz w:val="15"/>
        <w:szCs w:val="15"/>
      </w:rPr>
      <w:t>73.2243/44</w:t>
    </w:r>
    <w:r w:rsidRPr="00C66F58">
      <w:rPr>
        <w:rFonts w:ascii="Arial" w:hAnsi="Arial" w:cs="Arial"/>
        <w:color w:val="7F7F7F" w:themeColor="text1" w:themeTint="80"/>
        <w:sz w:val="15"/>
        <w:szCs w:val="15"/>
      </w:rPr>
      <w:tab/>
    </w:r>
    <w:hyperlink r:id="rId2" w:history="1">
      <w:r w:rsidRPr="00AC4027">
        <w:rPr>
          <w:rStyle w:val="Collegamentoipertestuale"/>
          <w:rFonts w:ascii="Arial" w:hAnsi="Arial" w:cs="Arial"/>
          <w:color w:val="7F7F7F" w:themeColor="text1" w:themeTint="80"/>
          <w:sz w:val="15"/>
          <w:szCs w:val="15"/>
        </w:rPr>
        <w:t>Sportello media</w:t>
      </w:r>
    </w:hyperlink>
  </w:p>
  <w:p w14:paraId="3DB6DB07" w14:textId="64EE7A9E" w:rsidR="00CF5E25" w:rsidRPr="00C66F58" w:rsidRDefault="00CF5E25" w:rsidP="00ED1655">
    <w:pPr>
      <w:framePr w:w="5362" w:wrap="around" w:vAnchor="page" w:hAnchor="page" w:x="831" w:y="15871"/>
      <w:tabs>
        <w:tab w:val="left" w:pos="1985"/>
        <w:tab w:val="left" w:pos="4111"/>
      </w:tabs>
      <w:ind w:right="-147"/>
      <w:suppressOverlap/>
      <w:rPr>
        <w:rFonts w:ascii="Arial" w:hAnsi="Arial" w:cs="Arial"/>
        <w:color w:val="7F7F7F" w:themeColor="text1" w:themeTint="80"/>
        <w:sz w:val="15"/>
        <w:szCs w:val="15"/>
      </w:rPr>
    </w:pPr>
    <w:r w:rsidRPr="00C66F58">
      <w:rPr>
        <w:rFonts w:ascii="Arial" w:hAnsi="Arial" w:cs="Arial"/>
        <w:color w:val="7F7F7F" w:themeColor="text1" w:themeTint="80"/>
        <w:sz w:val="15"/>
        <w:szCs w:val="15"/>
      </w:rPr>
      <w:tab/>
    </w:r>
    <w:hyperlink r:id="rId3" w:history="1">
      <w:r w:rsidRPr="00252B1B">
        <w:rPr>
          <w:rStyle w:val="Collegamentoipertestuale"/>
          <w:rFonts w:ascii="Arial" w:hAnsi="Arial" w:cs="Arial"/>
          <w:color w:val="7F7F7F" w:themeColor="text1" w:themeTint="80"/>
          <w:sz w:val="15"/>
          <w:szCs w:val="15"/>
        </w:rPr>
        <w:t>ufficiostampa@istat.it</w:t>
      </w:r>
    </w:hyperlink>
    <w:r w:rsidRPr="00C66F58">
      <w:rPr>
        <w:rFonts w:ascii="Arial" w:hAnsi="Arial" w:cs="Arial"/>
        <w:noProof/>
        <w:color w:val="7F7F7F" w:themeColor="text1" w:themeTint="80"/>
        <w:spacing w:val="-6"/>
        <w:w w:val="110"/>
        <w:sz w:val="15"/>
        <w:szCs w:val="15"/>
      </w:rPr>
      <w:tab/>
    </w:r>
  </w:p>
  <w:p w14:paraId="2AFD73F6" w14:textId="596849E7" w:rsidR="00CF5E25" w:rsidRDefault="00CF5E25" w:rsidP="00695779">
    <w:pPr>
      <w:pStyle w:val="Pidipagina"/>
      <w:tabs>
        <w:tab w:val="clear" w:pos="9638"/>
        <w:tab w:val="right" w:pos="9632"/>
      </w:tabs>
      <w:ind w:hanging="284"/>
    </w:pPr>
    <w:r>
      <w:rPr>
        <w:rFonts w:cs="Arial"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F8A87E" wp14:editId="652F5FA6">
              <wp:simplePos x="0" y="0"/>
              <wp:positionH relativeFrom="column">
                <wp:posOffset>-13640</wp:posOffset>
              </wp:positionH>
              <wp:positionV relativeFrom="paragraph">
                <wp:posOffset>-13335</wp:posOffset>
              </wp:positionV>
              <wp:extent cx="6479540" cy="0"/>
              <wp:effectExtent l="0" t="0" r="35560" b="19050"/>
              <wp:wrapNone/>
              <wp:docPr id="1716387210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322115" id="Connettore 1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-1.05pt" to="509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" strokecolor="gray [1629]" strokeweight=".5pt">
              <v:stroke joinstyle="miter"/>
            </v:line>
          </w:pict>
        </mc:Fallback>
      </mc:AlternateContent>
    </w:r>
  </w:p>
  <w:p w14:paraId="19F14792" w14:textId="3FEBF023" w:rsidR="00CF5E25" w:rsidRPr="003C7795" w:rsidRDefault="00CF5E25" w:rsidP="003C77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A2E04" w14:textId="77777777" w:rsidR="00FD55DC" w:rsidRDefault="00FD55DC" w:rsidP="004C1120">
      <w:r>
        <w:separator/>
      </w:r>
    </w:p>
  </w:footnote>
  <w:footnote w:type="continuationSeparator" w:id="0">
    <w:p w14:paraId="567FAA4A" w14:textId="77777777" w:rsidR="00FD55DC" w:rsidRDefault="00FD55DC" w:rsidP="004C1120">
      <w:r>
        <w:continuationSeparator/>
      </w:r>
    </w:p>
  </w:footnote>
  <w:footnote w:id="1">
    <w:p w14:paraId="061D7CBF" w14:textId="15DD1D64" w:rsidR="00CF5E25" w:rsidRPr="00C915E4" w:rsidRDefault="00CF5E25">
      <w:pPr>
        <w:pStyle w:val="Testonotaapidipagina"/>
        <w:rPr>
          <w:rFonts w:ascii="Arial" w:hAnsi="Arial" w:cs="Arial"/>
          <w:sz w:val="16"/>
          <w:szCs w:val="16"/>
        </w:rPr>
      </w:pPr>
      <w:r w:rsidRPr="00C915E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915E4">
        <w:rPr>
          <w:rFonts w:ascii="Arial" w:hAnsi="Arial" w:cs="Arial"/>
          <w:sz w:val="16"/>
          <w:szCs w:val="16"/>
        </w:rPr>
        <w:t xml:space="preserve"> Lo "</w:t>
      </w:r>
      <w:proofErr w:type="spellStart"/>
      <w:r w:rsidRPr="00C915E4">
        <w:rPr>
          <w:rFonts w:ascii="Arial" w:hAnsi="Arial" w:cs="Arial"/>
          <w:sz w:val="16"/>
          <w:szCs w:val="16"/>
        </w:rPr>
        <w:t>shutdown</w:t>
      </w:r>
      <w:proofErr w:type="spellEnd"/>
      <w:r w:rsidRPr="00C915E4">
        <w:rPr>
          <w:rFonts w:ascii="Arial" w:hAnsi="Arial" w:cs="Arial"/>
          <w:sz w:val="16"/>
          <w:szCs w:val="16"/>
        </w:rPr>
        <w:t>" negli Stati Uniti è l'interruzione parziale dei servizi del governo federale dovuta alla mancata approvazione da parte del Congresso della legge di bilancio necessaria per finanziare le attività amministrative</w:t>
      </w:r>
      <w:r w:rsidRPr="00C915E4">
        <w:rPr>
          <w:rFonts w:ascii="Arial" w:hAnsi="Arial" w:cs="Arial"/>
          <w:color w:val="0A0A0A"/>
          <w:sz w:val="16"/>
          <w:szCs w:val="16"/>
          <w:shd w:val="clear" w:color="auto" w:fill="FFFFFF"/>
        </w:rPr>
        <w:t>. Questo porta alla chiusura di attività non essenziali e alla sospensione dei pagamenti per i dipendenti federali considerati non essenziali.</w:t>
      </w:r>
    </w:p>
  </w:footnote>
  <w:footnote w:id="2">
    <w:p w14:paraId="2F187F8D" w14:textId="77777777" w:rsidR="00A5691B" w:rsidRPr="00CD1CB5" w:rsidRDefault="00A5691B" w:rsidP="00C915E4">
      <w:pPr>
        <w:pStyle w:val="Testonotaapidipagina"/>
        <w:spacing w:after="40"/>
        <w:rPr>
          <w:rFonts w:ascii="Arial" w:hAnsi="Arial" w:cs="Arial"/>
          <w:sz w:val="16"/>
          <w:szCs w:val="16"/>
        </w:rPr>
      </w:pPr>
      <w:r w:rsidRPr="00CD1CB5">
        <w:rPr>
          <w:rFonts w:ascii="Arial" w:hAnsi="Arial" w:cs="Arial"/>
          <w:sz w:val="16"/>
          <w:szCs w:val="16"/>
        </w:rPr>
        <w:t xml:space="preserve">* </w:t>
      </w:r>
      <w:r w:rsidRPr="00CD1CB5">
        <w:rPr>
          <w:rFonts w:ascii="Arial" w:hAnsi="Arial" w:cs="Arial"/>
          <w:iCs/>
          <w:sz w:val="16"/>
          <w:szCs w:val="16"/>
        </w:rPr>
        <w:t xml:space="preserve">Il Focus è stato realizzato da Cristina </w:t>
      </w:r>
      <w:proofErr w:type="spellStart"/>
      <w:r w:rsidRPr="00CD1CB5">
        <w:rPr>
          <w:rFonts w:ascii="Arial" w:hAnsi="Arial" w:cs="Arial"/>
          <w:iCs/>
          <w:sz w:val="16"/>
          <w:szCs w:val="16"/>
        </w:rPr>
        <w:t>Brandimarte</w:t>
      </w:r>
      <w:proofErr w:type="spellEnd"/>
      <w:r w:rsidRPr="00CD1CB5">
        <w:rPr>
          <w:rFonts w:ascii="Arial" w:hAnsi="Arial" w:cs="Arial"/>
          <w:iCs/>
          <w:sz w:val="16"/>
          <w:szCs w:val="16"/>
        </w:rPr>
        <w:t xml:space="preserve"> e </w:t>
      </w:r>
      <w:proofErr w:type="spellStart"/>
      <w:r w:rsidRPr="00CD1CB5">
        <w:rPr>
          <w:rFonts w:ascii="Arial" w:hAnsi="Arial" w:cs="Arial"/>
          <w:iCs/>
          <w:sz w:val="16"/>
          <w:szCs w:val="16"/>
        </w:rPr>
        <w:t>Piergiuseppe</w:t>
      </w:r>
      <w:proofErr w:type="spellEnd"/>
      <w:r w:rsidRPr="00CD1CB5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CD1CB5">
        <w:rPr>
          <w:rFonts w:ascii="Arial" w:hAnsi="Arial" w:cs="Arial"/>
          <w:iCs/>
          <w:sz w:val="16"/>
          <w:szCs w:val="16"/>
        </w:rPr>
        <w:t>Cossu</w:t>
      </w:r>
      <w:proofErr w:type="spellEnd"/>
      <w:r w:rsidRPr="00CD1CB5">
        <w:rPr>
          <w:rFonts w:ascii="Arial" w:hAnsi="Arial" w:cs="Arial"/>
          <w:iCs/>
          <w:sz w:val="16"/>
          <w:szCs w:val="16"/>
        </w:rPr>
        <w:t>.</w:t>
      </w:r>
    </w:p>
  </w:footnote>
  <w:footnote w:id="3">
    <w:p w14:paraId="59E2119F" w14:textId="2954E1DE" w:rsidR="00A5691B" w:rsidRPr="00CD1CB5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CD1CB5">
        <w:rPr>
          <w:rFonts w:ascii="Arial" w:hAnsi="Arial" w:cs="Arial"/>
          <w:sz w:val="16"/>
          <w:szCs w:val="16"/>
        </w:rPr>
        <w:footnoteRef/>
      </w:r>
      <w:r w:rsidRPr="00CD1CB5">
        <w:rPr>
          <w:rFonts w:ascii="Arial" w:hAnsi="Arial" w:cs="Arial"/>
          <w:sz w:val="16"/>
          <w:szCs w:val="16"/>
        </w:rPr>
        <w:t xml:space="preserve"> </w:t>
      </w:r>
      <w:bookmarkStart w:id="3" w:name="_Hlk213326020"/>
      <w:r w:rsidR="00E519B0">
        <w:rPr>
          <w:rFonts w:ascii="Arial" w:hAnsi="Arial" w:cs="Arial"/>
          <w:sz w:val="16"/>
          <w:szCs w:val="16"/>
        </w:rPr>
        <w:t>L’aggregato c</w:t>
      </w:r>
      <w:r w:rsidRPr="00CD1CB5">
        <w:rPr>
          <w:rFonts w:ascii="Arial" w:hAnsi="Arial" w:cs="Arial"/>
          <w:sz w:val="16"/>
          <w:szCs w:val="16"/>
        </w:rPr>
        <w:t>omprend</w:t>
      </w:r>
      <w:r w:rsidR="00E519B0">
        <w:rPr>
          <w:rFonts w:ascii="Arial" w:hAnsi="Arial" w:cs="Arial"/>
          <w:sz w:val="16"/>
          <w:szCs w:val="16"/>
        </w:rPr>
        <w:t>e</w:t>
      </w:r>
      <w:r w:rsidRPr="00CD1CB5">
        <w:rPr>
          <w:rFonts w:ascii="Arial" w:hAnsi="Arial" w:cs="Arial"/>
          <w:sz w:val="16"/>
          <w:szCs w:val="16"/>
        </w:rPr>
        <w:t xml:space="preserve"> cibo, bevande e tabacchi.</w:t>
      </w:r>
      <w:bookmarkEnd w:id="3"/>
    </w:p>
  </w:footnote>
  <w:footnote w:id="4">
    <w:p w14:paraId="50CAF2F4" w14:textId="3869D56B" w:rsidR="00A5691B" w:rsidRPr="00CD1CB5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CD1CB5">
        <w:rPr>
          <w:rFonts w:ascii="Arial" w:hAnsi="Arial" w:cs="Arial"/>
          <w:sz w:val="16"/>
          <w:szCs w:val="16"/>
        </w:rPr>
        <w:footnoteRef/>
      </w:r>
      <w:r w:rsidRPr="00CD1CB5">
        <w:rPr>
          <w:rFonts w:ascii="Arial" w:hAnsi="Arial" w:cs="Arial"/>
          <w:sz w:val="16"/>
          <w:szCs w:val="16"/>
        </w:rPr>
        <w:t xml:space="preserve"> In dettaglio, </w:t>
      </w:r>
      <w:r w:rsidR="00E519B0">
        <w:rPr>
          <w:rFonts w:ascii="Arial" w:hAnsi="Arial" w:cs="Arial"/>
          <w:sz w:val="16"/>
          <w:szCs w:val="16"/>
        </w:rPr>
        <w:t xml:space="preserve">i </w:t>
      </w:r>
      <w:r w:rsidRPr="00CD1CB5">
        <w:rPr>
          <w:rFonts w:ascii="Arial" w:hAnsi="Arial" w:cs="Arial"/>
          <w:sz w:val="16"/>
          <w:szCs w:val="16"/>
        </w:rPr>
        <w:t>beni alimentari lavorati pesano per il 15,1%</w:t>
      </w:r>
      <w:r w:rsidR="00E519B0">
        <w:rPr>
          <w:rFonts w:ascii="Arial" w:hAnsi="Arial" w:cs="Arial"/>
          <w:sz w:val="16"/>
          <w:szCs w:val="16"/>
        </w:rPr>
        <w:t xml:space="preserve"> della spesa delle famiglie,</w:t>
      </w:r>
      <w:r w:rsidRPr="00CD1CB5">
        <w:rPr>
          <w:rFonts w:ascii="Arial" w:hAnsi="Arial" w:cs="Arial"/>
          <w:sz w:val="16"/>
          <w:szCs w:val="16"/>
        </w:rPr>
        <w:t xml:space="preserve"> quelli non lavorati per il 6,3% (Pesi IPCA) </w:t>
      </w:r>
    </w:p>
  </w:footnote>
  <w:footnote w:id="5">
    <w:p w14:paraId="14D74D97" w14:textId="5C99CC9E" w:rsidR="00A5691B" w:rsidRPr="00CD1CB5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CD1CB5">
        <w:rPr>
          <w:rFonts w:ascii="Arial" w:hAnsi="Arial" w:cs="Arial"/>
          <w:sz w:val="16"/>
          <w:szCs w:val="16"/>
        </w:rPr>
        <w:footnoteRef/>
      </w:r>
      <w:r w:rsidRPr="00CD1CB5">
        <w:rPr>
          <w:rFonts w:ascii="Arial" w:hAnsi="Arial" w:cs="Arial"/>
          <w:sz w:val="16"/>
          <w:szCs w:val="16"/>
        </w:rPr>
        <w:t xml:space="preserve"> L’aggregato “cibo” (COICOP CP011-Food) comprende generi alimentari come pane e cereali, carne, latte, formaggi e uova, vegetali e</w:t>
      </w:r>
      <w:r w:rsidR="00E519B0">
        <w:rPr>
          <w:rFonts w:ascii="Arial" w:hAnsi="Arial" w:cs="Arial"/>
          <w:sz w:val="16"/>
          <w:szCs w:val="16"/>
        </w:rPr>
        <w:t>t</w:t>
      </w:r>
      <w:r w:rsidRPr="00CD1CB5">
        <w:rPr>
          <w:rFonts w:ascii="Arial" w:hAnsi="Arial" w:cs="Arial"/>
          <w:sz w:val="16"/>
          <w:szCs w:val="16"/>
        </w:rPr>
        <w:t>c. e</w:t>
      </w:r>
      <w:r w:rsidR="00E519B0">
        <w:rPr>
          <w:rFonts w:ascii="Arial" w:hAnsi="Arial" w:cs="Arial"/>
          <w:sz w:val="16"/>
          <w:szCs w:val="16"/>
        </w:rPr>
        <w:t>d è incluso,</w:t>
      </w:r>
      <w:r w:rsidRPr="00CD1CB5">
        <w:rPr>
          <w:rFonts w:ascii="Arial" w:hAnsi="Arial" w:cs="Arial"/>
          <w:sz w:val="16"/>
          <w:szCs w:val="16"/>
        </w:rPr>
        <w:t xml:space="preserve"> insieme a bevande (non alcoliche e alcoliche) e tabacchi</w:t>
      </w:r>
      <w:r w:rsidR="00E519B0">
        <w:rPr>
          <w:rFonts w:ascii="Arial" w:hAnsi="Arial" w:cs="Arial"/>
          <w:sz w:val="16"/>
          <w:szCs w:val="16"/>
        </w:rPr>
        <w:t>, n</w:t>
      </w:r>
      <w:r w:rsidR="00E519B0" w:rsidRPr="00CD1CB5">
        <w:rPr>
          <w:rFonts w:ascii="Arial" w:hAnsi="Arial" w:cs="Arial"/>
          <w:sz w:val="16"/>
          <w:szCs w:val="16"/>
        </w:rPr>
        <w:t>ei beni alimentari</w:t>
      </w:r>
      <w:r w:rsidRPr="00CD1CB5">
        <w:rPr>
          <w:rFonts w:ascii="Arial" w:hAnsi="Arial" w:cs="Arial"/>
          <w:sz w:val="16"/>
          <w:szCs w:val="16"/>
        </w:rPr>
        <w:t>.</w:t>
      </w:r>
    </w:p>
  </w:footnote>
  <w:footnote w:id="6">
    <w:p w14:paraId="79BBA281" w14:textId="77777777" w:rsidR="00A5691B" w:rsidRDefault="00A5691B" w:rsidP="00A5691B">
      <w:pPr>
        <w:pStyle w:val="Testonotaapidipagina"/>
      </w:pPr>
      <w:r w:rsidRPr="00CD1CB5">
        <w:rPr>
          <w:rFonts w:ascii="Arial" w:hAnsi="Arial" w:cs="Arial"/>
          <w:sz w:val="16"/>
          <w:szCs w:val="16"/>
        </w:rPr>
        <w:footnoteRef/>
      </w:r>
      <w:r w:rsidRPr="00CD1CB5">
        <w:rPr>
          <w:rFonts w:ascii="Arial" w:hAnsi="Arial" w:cs="Arial"/>
          <w:sz w:val="16"/>
          <w:szCs w:val="16"/>
        </w:rPr>
        <w:t xml:space="preserve"> Ultimo dato disponibile per l’aggregato.</w:t>
      </w:r>
    </w:p>
  </w:footnote>
  <w:footnote w:id="7">
    <w:p w14:paraId="2E562759" w14:textId="5826C84E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Nel corso del 2021 la domanda mondiale di beni alimentari aumenta per comportamenti precauzionali (accumulo di riserve alimentari per le preoccupazioni legate alla pandemia)</w:t>
      </w:r>
      <w:r>
        <w:rPr>
          <w:rFonts w:ascii="Arial" w:hAnsi="Arial" w:cs="Arial"/>
          <w:sz w:val="16"/>
          <w:szCs w:val="16"/>
        </w:rPr>
        <w:t>,</w:t>
      </w:r>
      <w:r w:rsidRPr="004566E1">
        <w:rPr>
          <w:rFonts w:ascii="Arial" w:hAnsi="Arial" w:cs="Arial"/>
          <w:sz w:val="16"/>
          <w:szCs w:val="16"/>
        </w:rPr>
        <w:t xml:space="preserve"> per il forte </w:t>
      </w:r>
      <w:r>
        <w:rPr>
          <w:rFonts w:ascii="Arial" w:hAnsi="Arial" w:cs="Arial"/>
          <w:sz w:val="16"/>
          <w:szCs w:val="16"/>
        </w:rPr>
        <w:t>incremento</w:t>
      </w:r>
      <w:r w:rsidRPr="004566E1">
        <w:rPr>
          <w:rFonts w:ascii="Arial" w:hAnsi="Arial" w:cs="Arial"/>
          <w:sz w:val="16"/>
          <w:szCs w:val="16"/>
        </w:rPr>
        <w:t xml:space="preserve"> della domanda di mangimi dalla Cina</w:t>
      </w:r>
      <w:r>
        <w:rPr>
          <w:rFonts w:ascii="Arial" w:hAnsi="Arial" w:cs="Arial"/>
          <w:sz w:val="16"/>
          <w:szCs w:val="16"/>
        </w:rPr>
        <w:t xml:space="preserve"> e per quello</w:t>
      </w:r>
      <w:r w:rsidRPr="004566E1">
        <w:rPr>
          <w:rFonts w:ascii="Arial" w:hAnsi="Arial" w:cs="Arial"/>
          <w:sz w:val="16"/>
          <w:szCs w:val="16"/>
        </w:rPr>
        <w:t xml:space="preserve"> della domanda di prodotti alimentari di base utilizzabili per la produzione</w:t>
      </w:r>
      <w:r>
        <w:rPr>
          <w:rFonts w:ascii="Arial" w:hAnsi="Arial" w:cs="Arial"/>
          <w:sz w:val="16"/>
          <w:szCs w:val="16"/>
        </w:rPr>
        <w:t xml:space="preserve"> di biocarburanti</w:t>
      </w:r>
      <w:r w:rsidRPr="004566E1">
        <w:rPr>
          <w:rFonts w:ascii="Arial" w:hAnsi="Arial" w:cs="Arial"/>
          <w:sz w:val="16"/>
          <w:szCs w:val="16"/>
        </w:rPr>
        <w:t>.</w:t>
      </w:r>
    </w:p>
  </w:footnote>
  <w:footnote w:id="8">
    <w:p w14:paraId="6C99737B" w14:textId="7A0FF5E9" w:rsidR="00A5691B" w:rsidRPr="00B6399E" w:rsidRDefault="00A5691B" w:rsidP="00A5691B">
      <w:pPr>
        <w:pStyle w:val="Testonotaapidipagina"/>
        <w:rPr>
          <w:rFonts w:ascii="Arial" w:hAnsi="Arial" w:cs="Arial"/>
          <w:sz w:val="16"/>
          <w:szCs w:val="16"/>
          <w:lang w:val="en-GB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In particolare</w:t>
      </w:r>
      <w:r>
        <w:rPr>
          <w:rFonts w:ascii="Arial" w:hAnsi="Arial" w:cs="Arial"/>
          <w:sz w:val="16"/>
          <w:szCs w:val="16"/>
        </w:rPr>
        <w:t>,</w:t>
      </w:r>
      <w:r w:rsidRPr="004566E1">
        <w:rPr>
          <w:rFonts w:ascii="Arial" w:hAnsi="Arial" w:cs="Arial"/>
          <w:sz w:val="16"/>
          <w:szCs w:val="16"/>
        </w:rPr>
        <w:t xml:space="preserve"> la siccità portata da La Nina nel 2020-2021 che ha colpito pesantemente i principali paesi esportatori di prodotti alimentari</w:t>
      </w:r>
      <w:r>
        <w:rPr>
          <w:rFonts w:ascii="Arial" w:hAnsi="Arial" w:cs="Arial"/>
          <w:sz w:val="16"/>
          <w:szCs w:val="16"/>
        </w:rPr>
        <w:t xml:space="preserve"> </w:t>
      </w:r>
      <w:r w:rsidRPr="004566E1">
        <w:rPr>
          <w:rFonts w:ascii="Arial" w:hAnsi="Arial" w:cs="Arial"/>
          <w:sz w:val="16"/>
          <w:szCs w:val="16"/>
        </w:rPr>
        <w:t>tra cui</w:t>
      </w:r>
      <w:r>
        <w:rPr>
          <w:rFonts w:ascii="Arial" w:hAnsi="Arial" w:cs="Arial"/>
          <w:sz w:val="16"/>
          <w:szCs w:val="16"/>
        </w:rPr>
        <w:t xml:space="preserve">, </w:t>
      </w:r>
      <w:r w:rsidRPr="004566E1">
        <w:rPr>
          <w:rFonts w:ascii="Arial" w:hAnsi="Arial" w:cs="Arial"/>
          <w:sz w:val="16"/>
          <w:szCs w:val="16"/>
        </w:rPr>
        <w:t>Argentina, Brasile e Stati Uniti, ma anche, indirettamente, Ucraina e Russia.</w:t>
      </w:r>
      <w:r>
        <w:rPr>
          <w:rFonts w:ascii="Arial" w:hAnsi="Arial" w:cs="Arial"/>
          <w:sz w:val="16"/>
          <w:szCs w:val="16"/>
        </w:rPr>
        <w:t xml:space="preserve"> </w:t>
      </w:r>
      <w:r w:rsidRPr="00B6399E">
        <w:rPr>
          <w:rFonts w:ascii="Arial" w:hAnsi="Arial" w:cs="Arial"/>
          <w:sz w:val="16"/>
          <w:szCs w:val="16"/>
          <w:lang w:val="en-GB"/>
        </w:rPr>
        <w:t xml:space="preserve">Si </w:t>
      </w:r>
      <w:proofErr w:type="spellStart"/>
      <w:r w:rsidRPr="00B6399E">
        <w:rPr>
          <w:rFonts w:ascii="Arial" w:hAnsi="Arial" w:cs="Arial"/>
          <w:sz w:val="16"/>
          <w:szCs w:val="16"/>
          <w:lang w:val="en-GB"/>
        </w:rPr>
        <w:t>veda</w:t>
      </w:r>
      <w:proofErr w:type="spellEnd"/>
      <w:r w:rsidRPr="00B6399E">
        <w:rPr>
          <w:rFonts w:ascii="Arial" w:hAnsi="Arial" w:cs="Arial"/>
          <w:sz w:val="16"/>
          <w:szCs w:val="16"/>
          <w:lang w:val="en-GB"/>
        </w:rPr>
        <w:t xml:space="preserve">  </w:t>
      </w:r>
      <w:proofErr w:type="spellStart"/>
      <w:r w:rsidRPr="00B6399E">
        <w:rPr>
          <w:rFonts w:ascii="Arial" w:hAnsi="Arial" w:cs="Arial"/>
          <w:sz w:val="16"/>
          <w:szCs w:val="16"/>
          <w:lang w:val="en-GB"/>
        </w:rPr>
        <w:t>C.Bogmans</w:t>
      </w:r>
      <w:proofErr w:type="spellEnd"/>
      <w:r w:rsidRPr="00B6399E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B6399E">
        <w:rPr>
          <w:rFonts w:ascii="Arial" w:hAnsi="Arial" w:cs="Arial"/>
          <w:sz w:val="16"/>
          <w:szCs w:val="16"/>
          <w:lang w:val="en-GB"/>
        </w:rPr>
        <w:t>A.Pescatori</w:t>
      </w:r>
      <w:proofErr w:type="spellEnd"/>
      <w:r w:rsidRPr="00B6399E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Pr="00B6399E">
        <w:rPr>
          <w:rFonts w:ascii="Arial" w:hAnsi="Arial" w:cs="Arial"/>
          <w:sz w:val="16"/>
          <w:szCs w:val="16"/>
          <w:lang w:val="en-GB"/>
        </w:rPr>
        <w:t>E.Prifti</w:t>
      </w:r>
      <w:proofErr w:type="spellEnd"/>
      <w:r w:rsidRPr="00B6399E">
        <w:rPr>
          <w:rFonts w:ascii="Arial" w:hAnsi="Arial" w:cs="Arial"/>
          <w:sz w:val="16"/>
          <w:szCs w:val="16"/>
          <w:lang w:val="en-GB"/>
        </w:rPr>
        <w:t xml:space="preserve">, “Four Facts about Soaring Consumer Food Prices”,  IMF </w:t>
      </w:r>
      <w:proofErr w:type="spellStart"/>
      <w:r w:rsidRPr="00B6399E">
        <w:rPr>
          <w:rFonts w:ascii="Arial" w:hAnsi="Arial" w:cs="Arial"/>
          <w:sz w:val="16"/>
          <w:szCs w:val="16"/>
          <w:lang w:val="en-GB"/>
        </w:rPr>
        <w:t>june</w:t>
      </w:r>
      <w:proofErr w:type="spellEnd"/>
      <w:r w:rsidRPr="00B6399E">
        <w:rPr>
          <w:rFonts w:ascii="Arial" w:hAnsi="Arial" w:cs="Arial"/>
          <w:sz w:val="16"/>
          <w:szCs w:val="16"/>
          <w:lang w:val="en-GB"/>
        </w:rPr>
        <w:t xml:space="preserve"> 2021 </w:t>
      </w:r>
      <w:hyperlink r:id="rId1" w:history="1">
        <w:r w:rsidRPr="002948F0">
          <w:rPr>
            <w:rStyle w:val="Collegamentoipertestuale"/>
            <w:rFonts w:ascii="Arial" w:hAnsi="Arial" w:cs="Arial"/>
            <w:sz w:val="16"/>
            <w:szCs w:val="16"/>
            <w:lang w:val="en-GB"/>
          </w:rPr>
          <w:t>https://www.imf.org/en/Blogs/Articles/2021/06/24/four-facts-about-soaring-consumer-food-prices</w:t>
        </w:r>
      </w:hyperlink>
      <w:r>
        <w:rPr>
          <w:rFonts w:ascii="Arial" w:hAnsi="Arial" w:cs="Arial"/>
          <w:sz w:val="16"/>
          <w:szCs w:val="16"/>
          <w:highlight w:val="yellow"/>
          <w:lang w:val="en-GB"/>
        </w:rPr>
        <w:t xml:space="preserve"> </w:t>
      </w:r>
    </w:p>
  </w:footnote>
  <w:footnote w:id="9">
    <w:p w14:paraId="55F02A0C" w14:textId="75DF9069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</w:t>
      </w:r>
      <w:r w:rsidR="0011763B">
        <w:rPr>
          <w:rFonts w:ascii="Arial" w:hAnsi="Arial" w:cs="Arial"/>
          <w:sz w:val="16"/>
          <w:szCs w:val="16"/>
        </w:rPr>
        <w:t>Pesi</w:t>
      </w:r>
      <w:r w:rsidRPr="004566E1">
        <w:rPr>
          <w:rFonts w:ascii="Arial" w:hAnsi="Arial" w:cs="Arial"/>
          <w:sz w:val="16"/>
          <w:szCs w:val="16"/>
        </w:rPr>
        <w:t xml:space="preserve"> relativ</w:t>
      </w:r>
      <w:r w:rsidR="0011763B">
        <w:rPr>
          <w:rFonts w:ascii="Arial" w:hAnsi="Arial" w:cs="Arial"/>
          <w:sz w:val="16"/>
          <w:szCs w:val="16"/>
        </w:rPr>
        <w:t>i</w:t>
      </w:r>
      <w:r w:rsidRPr="004566E1">
        <w:rPr>
          <w:rFonts w:ascii="Arial" w:hAnsi="Arial" w:cs="Arial"/>
          <w:sz w:val="16"/>
          <w:szCs w:val="16"/>
        </w:rPr>
        <w:t xml:space="preserve"> al 2021</w:t>
      </w:r>
      <w:r w:rsidR="00DC4C11">
        <w:rPr>
          <w:rFonts w:ascii="Arial" w:hAnsi="Arial" w:cs="Arial"/>
          <w:sz w:val="16"/>
          <w:szCs w:val="16"/>
        </w:rPr>
        <w:t>, sulla base</w:t>
      </w:r>
      <w:r w:rsidRPr="004566E1">
        <w:rPr>
          <w:rFonts w:ascii="Arial" w:hAnsi="Arial" w:cs="Arial"/>
          <w:sz w:val="16"/>
          <w:szCs w:val="16"/>
        </w:rPr>
        <w:t xml:space="preserve"> delle tavole Input Output di </w:t>
      </w:r>
      <w:r w:rsidR="00DC4C11">
        <w:rPr>
          <w:rFonts w:ascii="Arial" w:hAnsi="Arial" w:cs="Arial"/>
          <w:sz w:val="16"/>
          <w:szCs w:val="16"/>
        </w:rPr>
        <w:t xml:space="preserve">fonte </w:t>
      </w:r>
      <w:r w:rsidRPr="004566E1">
        <w:rPr>
          <w:rFonts w:ascii="Arial" w:hAnsi="Arial" w:cs="Arial"/>
          <w:sz w:val="16"/>
          <w:szCs w:val="16"/>
        </w:rPr>
        <w:t>Eurostat</w:t>
      </w:r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7989EBA4" w14:textId="77777777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</w:t>
      </w:r>
      <w:r w:rsidRPr="004566E1">
        <w:rPr>
          <w:rFonts w:ascii="Arial" w:hAnsi="Arial" w:cs="Arial"/>
          <w:color w:val="333333"/>
          <w:sz w:val="16"/>
          <w:szCs w:val="16"/>
          <w:shd w:val="clear" w:color="auto" w:fill="FFFFFF"/>
        </w:rPr>
        <w:t>Rapporto tra il deflatore dell'output e i costi unitari variabili</w:t>
      </w:r>
    </w:p>
  </w:footnote>
  <w:footnote w:id="11">
    <w:p w14:paraId="3B21F840" w14:textId="77777777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L’aumento del CLUP nel settore agricolo ha risentito dell’andamento delle retribuzioni interne lorde orarie che sono aumentate nel 2022 del 4,7%, più della media dell’intera economia (1,5%</w:t>
      </w:r>
      <w:r>
        <w:rPr>
          <w:rFonts w:ascii="Arial" w:hAnsi="Arial" w:cs="Arial"/>
          <w:sz w:val="16"/>
          <w:szCs w:val="16"/>
        </w:rPr>
        <w:t>;</w:t>
      </w:r>
      <w:r w:rsidRPr="004566E1">
        <w:rPr>
          <w:rFonts w:ascii="Arial" w:hAnsi="Arial" w:cs="Arial"/>
          <w:sz w:val="16"/>
          <w:szCs w:val="16"/>
        </w:rPr>
        <w:t xml:space="preserve"> del 3,4% nell’industria alimentare); mentre nel 2023 sono cresciute dello 0,4%, al di sotto della media (+1,3%) (+1,4% nell’industria alimentare).</w:t>
      </w:r>
    </w:p>
  </w:footnote>
  <w:footnote w:id="12">
    <w:p w14:paraId="213D8AE4" w14:textId="77777777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</w:t>
      </w:r>
      <w:r w:rsidRPr="004566E1">
        <w:rPr>
          <w:rFonts w:ascii="Arial" w:hAnsi="Arial" w:cs="Arial"/>
          <w:color w:val="333333"/>
          <w:sz w:val="16"/>
          <w:szCs w:val="16"/>
          <w:shd w:val="clear" w:color="auto" w:fill="FFFFFF"/>
        </w:rPr>
        <w:t>Rapporto tra la somma dei redditi da lavoro dipendente e i consumi intermedi e la produzione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.</w:t>
      </w:r>
    </w:p>
  </w:footnote>
  <w:footnote w:id="13">
    <w:p w14:paraId="510605EC" w14:textId="77777777" w:rsidR="00A5691B" w:rsidRDefault="00A5691B" w:rsidP="00A5691B">
      <w:pPr>
        <w:pStyle w:val="Testonotaapidipagina"/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</w:t>
      </w:r>
      <w:r w:rsidRPr="004566E1">
        <w:rPr>
          <w:rFonts w:ascii="Arial" w:hAnsi="Arial" w:cs="Arial"/>
          <w:color w:val="333333"/>
          <w:sz w:val="16"/>
          <w:szCs w:val="16"/>
          <w:shd w:val="clear" w:color="auto" w:fill="FFFFFF"/>
        </w:rPr>
        <w:t>Rapporto tra la produzione al costo dei fattori a prezzi correnti e la produzione al costo dei fattori concatenata.</w:t>
      </w:r>
    </w:p>
  </w:footnote>
  <w:footnote w:id="14">
    <w:p w14:paraId="6F1E184E" w14:textId="63B4AD37" w:rsidR="00A5691B" w:rsidRPr="004566E1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4566E1">
        <w:rPr>
          <w:rStyle w:val="Rimandonotaapidipagina"/>
          <w:rFonts w:ascii="Arial" w:hAnsi="Arial" w:cs="Arial"/>
          <w:sz w:val="16"/>
          <w:szCs w:val="16"/>
        </w:rPr>
        <w:footnoteRef/>
      </w:r>
      <w:r w:rsidRPr="004566E1">
        <w:rPr>
          <w:rFonts w:ascii="Arial" w:hAnsi="Arial" w:cs="Arial"/>
          <w:sz w:val="16"/>
          <w:szCs w:val="16"/>
        </w:rPr>
        <w:t xml:space="preserve"> </w:t>
      </w:r>
      <w:r w:rsidR="0011763B">
        <w:rPr>
          <w:rFonts w:ascii="Arial" w:hAnsi="Arial" w:cs="Arial"/>
          <w:sz w:val="16"/>
          <w:szCs w:val="16"/>
        </w:rPr>
        <w:t>Pesi</w:t>
      </w:r>
      <w:r w:rsidR="0011763B" w:rsidRPr="004566E1">
        <w:rPr>
          <w:rFonts w:ascii="Arial" w:hAnsi="Arial" w:cs="Arial"/>
          <w:sz w:val="16"/>
          <w:szCs w:val="16"/>
        </w:rPr>
        <w:t xml:space="preserve"> relativ</w:t>
      </w:r>
      <w:r w:rsidR="0011763B">
        <w:rPr>
          <w:rFonts w:ascii="Arial" w:hAnsi="Arial" w:cs="Arial"/>
          <w:sz w:val="16"/>
          <w:szCs w:val="16"/>
        </w:rPr>
        <w:t>i</w:t>
      </w:r>
      <w:r w:rsidR="0011763B" w:rsidRPr="004566E1">
        <w:rPr>
          <w:rFonts w:ascii="Arial" w:hAnsi="Arial" w:cs="Arial"/>
          <w:sz w:val="16"/>
          <w:szCs w:val="16"/>
        </w:rPr>
        <w:t xml:space="preserve"> al 2021</w:t>
      </w:r>
      <w:r w:rsidR="0011763B">
        <w:rPr>
          <w:rFonts w:ascii="Arial" w:hAnsi="Arial" w:cs="Arial"/>
          <w:sz w:val="16"/>
          <w:szCs w:val="16"/>
        </w:rPr>
        <w:t>, sulla base</w:t>
      </w:r>
      <w:r w:rsidR="0011763B" w:rsidRPr="004566E1">
        <w:rPr>
          <w:rFonts w:ascii="Arial" w:hAnsi="Arial" w:cs="Arial"/>
          <w:sz w:val="16"/>
          <w:szCs w:val="16"/>
        </w:rPr>
        <w:t xml:space="preserve"> delle tavole Input Output di </w:t>
      </w:r>
      <w:r w:rsidR="0011763B">
        <w:rPr>
          <w:rFonts w:ascii="Arial" w:hAnsi="Arial" w:cs="Arial"/>
          <w:sz w:val="16"/>
          <w:szCs w:val="16"/>
        </w:rPr>
        <w:t xml:space="preserve">fonte </w:t>
      </w:r>
      <w:r w:rsidR="0011763B" w:rsidRPr="004566E1">
        <w:rPr>
          <w:rFonts w:ascii="Arial" w:hAnsi="Arial" w:cs="Arial"/>
          <w:sz w:val="16"/>
          <w:szCs w:val="16"/>
        </w:rPr>
        <w:t>Eurostat</w:t>
      </w:r>
    </w:p>
  </w:footnote>
  <w:footnote w:id="15">
    <w:p w14:paraId="709765EA" w14:textId="77777777" w:rsidR="00A5691B" w:rsidRPr="00E10C63" w:rsidRDefault="00A5691B" w:rsidP="00A5691B">
      <w:pPr>
        <w:pStyle w:val="Testonotaapidipagina"/>
        <w:rPr>
          <w:rFonts w:ascii="Arial" w:hAnsi="Arial" w:cs="Arial"/>
          <w:sz w:val="16"/>
          <w:szCs w:val="16"/>
        </w:rPr>
      </w:pPr>
      <w:r w:rsidRPr="00E10C63">
        <w:rPr>
          <w:rStyle w:val="Rimandonotaapidipagina"/>
          <w:rFonts w:ascii="Arial" w:hAnsi="Arial" w:cs="Arial"/>
          <w:sz w:val="16"/>
          <w:szCs w:val="16"/>
        </w:rPr>
        <w:footnoteRef/>
      </w:r>
      <w:r>
        <w:t xml:space="preserve"> </w:t>
      </w:r>
      <w:r w:rsidRPr="00E10C63">
        <w:rPr>
          <w:rFonts w:ascii="Arial" w:hAnsi="Arial" w:cs="Arial"/>
          <w:sz w:val="16"/>
          <w:szCs w:val="16"/>
        </w:rPr>
        <w:t xml:space="preserve">Il prezzo al consumo dei beni energetici, dopo la forte riduzione registrata dalla fine del 2022 (-30% da novembre 2022 alla metà del 2024), si </w:t>
      </w:r>
      <w:r>
        <w:rPr>
          <w:rFonts w:ascii="Arial" w:hAnsi="Arial" w:cs="Arial"/>
          <w:sz w:val="16"/>
          <w:szCs w:val="16"/>
        </w:rPr>
        <w:t>è</w:t>
      </w:r>
      <w:r w:rsidRPr="00E10C63">
        <w:rPr>
          <w:rFonts w:ascii="Arial" w:hAnsi="Arial" w:cs="Arial"/>
          <w:sz w:val="16"/>
          <w:szCs w:val="16"/>
        </w:rPr>
        <w:t xml:space="preserve"> sostanzialmente stabilizzat</w:t>
      </w:r>
      <w:r>
        <w:rPr>
          <w:rFonts w:ascii="Arial" w:hAnsi="Arial" w:cs="Arial"/>
          <w:sz w:val="16"/>
          <w:szCs w:val="16"/>
        </w:rPr>
        <w:t>o</w:t>
      </w:r>
      <w:r w:rsidRPr="00E10C63">
        <w:rPr>
          <w:rFonts w:ascii="Arial" w:hAnsi="Arial" w:cs="Arial"/>
          <w:sz w:val="16"/>
          <w:szCs w:val="16"/>
        </w:rPr>
        <w:t xml:space="preserve"> fino alla primavera del 2025, per poi riprendere a scendere (-9,5% da marzo a ottobre).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A762" w14:textId="77777777" w:rsidR="00CF5E25" w:rsidRDefault="00CF5E25" w:rsidP="003C7795">
    <w:pPr>
      <w:pStyle w:val="052tabella-figurasottotitolo"/>
    </w:pPr>
    <w:r>
      <w:rPr>
        <w:lang w:eastAsia="it-IT"/>
      </w:rPr>
      <w:drawing>
        <wp:anchor distT="0" distB="0" distL="114300" distR="114300" simplePos="0" relativeHeight="251663360" behindDoc="0" locked="0" layoutInCell="1" allowOverlap="1" wp14:anchorId="4FE275AB" wp14:editId="3DC90F0B">
          <wp:simplePos x="0" y="0"/>
          <wp:positionH relativeFrom="column">
            <wp:posOffset>5164455</wp:posOffset>
          </wp:positionH>
          <wp:positionV relativeFrom="paragraph">
            <wp:posOffset>46412</wp:posOffset>
          </wp:positionV>
          <wp:extent cx="1302826" cy="222370"/>
          <wp:effectExtent l="0" t="0" r="5715" b="6350"/>
          <wp:wrapNone/>
          <wp:docPr id="13" name="Immagine 8" descr="Immagine che contiene testo, Carattere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482584" name="Immagine 8" descr="Immagine che contiene testo, Carattere, Elementi grafici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2826" cy="22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it-IT"/>
      </w:rPr>
      <w:drawing>
        <wp:anchor distT="0" distB="0" distL="114300" distR="114300" simplePos="0" relativeHeight="251661312" behindDoc="0" locked="0" layoutInCell="1" allowOverlap="1" wp14:anchorId="6552DE61" wp14:editId="372A10B9">
          <wp:simplePos x="0" y="0"/>
          <wp:positionH relativeFrom="column">
            <wp:posOffset>-1270</wp:posOffset>
          </wp:positionH>
          <wp:positionV relativeFrom="paragraph">
            <wp:posOffset>-107950</wp:posOffset>
          </wp:positionV>
          <wp:extent cx="2682716" cy="421253"/>
          <wp:effectExtent l="0" t="0" r="0" b="0"/>
          <wp:wrapNone/>
          <wp:docPr id="14" name="Immagine 8" descr="Immagine che contiene Carattere, Elementi grafici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1866" name="Immagine 8" descr="Immagine che contiene Carattere, Elementi grafici, testo, grafica&#10;&#10;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82716" cy="421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E84587" w14:textId="77777777" w:rsidR="00CF5E25" w:rsidRDefault="00CF5E25" w:rsidP="003C7795">
    <w:pPr>
      <w:pStyle w:val="052tabella-figurasottotitolo"/>
    </w:pPr>
  </w:p>
  <w:p w14:paraId="46C0073C" w14:textId="77777777" w:rsidR="00CF5E25" w:rsidRDefault="00CF5E25" w:rsidP="003C7795">
    <w:pPr>
      <w:ind w:left="-709"/>
    </w:pPr>
    <w:r>
      <w:rPr>
        <w:rFonts w:cs="Arial"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D048BF" wp14:editId="4883A26D">
              <wp:simplePos x="0" y="0"/>
              <wp:positionH relativeFrom="column">
                <wp:posOffset>0</wp:posOffset>
              </wp:positionH>
              <wp:positionV relativeFrom="paragraph">
                <wp:posOffset>108123</wp:posOffset>
              </wp:positionV>
              <wp:extent cx="6474230" cy="0"/>
              <wp:effectExtent l="0" t="0" r="15875" b="12700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423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4B499" id="Connettore 1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5pt" to="509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" strokecolor="gray [1629]" strokeweight=".5pt">
              <v:stroke joinstyle="miter"/>
            </v:line>
          </w:pict>
        </mc:Fallback>
      </mc:AlternateContent>
    </w:r>
    <w:r>
      <w:rPr>
        <w:noProof/>
        <w:color w:val="008080"/>
        <w:sz w:val="16"/>
        <w:szCs w:val="16"/>
        <w:lang w:eastAsia="it-IT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FAFDAB" wp14:editId="1A4B5E2B">
              <wp:simplePos x="0" y="0"/>
              <wp:positionH relativeFrom="column">
                <wp:posOffset>1336675</wp:posOffset>
              </wp:positionH>
              <wp:positionV relativeFrom="page">
                <wp:posOffset>589280</wp:posOffset>
              </wp:positionV>
              <wp:extent cx="2495550" cy="156210"/>
              <wp:effectExtent l="0" t="0" r="0" b="15240"/>
              <wp:wrapSquare wrapText="bothSides"/>
              <wp:docPr id="2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5550" cy="156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FB0357" w14:textId="01C4BEAA" w:rsidR="00CF5E25" w:rsidRPr="00115CD2" w:rsidRDefault="00CF5E25" w:rsidP="003C7795">
                          <w:pPr>
                            <w:rPr>
                              <w:rFonts w:ascii="Arial" w:hAnsi="Arial"/>
                              <w:color w:val="00849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008497"/>
                              <w:sz w:val="16"/>
                              <w:szCs w:val="16"/>
                            </w:rPr>
                            <w:t>NOVEMBRE 2025</w:t>
                          </w:r>
                        </w:p>
                        <w:p w14:paraId="62BBDF9E" w14:textId="77777777" w:rsidR="00CF5E25" w:rsidRPr="00584EEE" w:rsidRDefault="00CF5E25" w:rsidP="003C779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68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AFDA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105.25pt;margin-top:46.4pt;width:196.5pt;height:12.3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" filled="f" stroked="f" strokeweight=".5pt">
              <v:path arrowok="t"/>
              <v:textbox inset="0,1.3mm,0,0">
                <w:txbxContent>
                  <w:p w14:paraId="32FB0357" w14:textId="01C4BEAA" w:rsidR="00CF5E25" w:rsidRPr="00115CD2" w:rsidRDefault="00CF5E25" w:rsidP="003C7795">
                    <w:pPr>
                      <w:rPr>
                        <w:rFonts w:ascii="Arial" w:hAnsi="Arial"/>
                        <w:color w:val="008497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008497"/>
                        <w:sz w:val="16"/>
                        <w:szCs w:val="16"/>
                      </w:rPr>
                      <w:t>NOVEMBRE 2025</w:t>
                    </w:r>
                  </w:p>
                  <w:p w14:paraId="62BBDF9E" w14:textId="77777777" w:rsidR="00CF5E25" w:rsidRPr="00584EEE" w:rsidRDefault="00CF5E25" w:rsidP="003C779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  <w:p w14:paraId="7592B2EB" w14:textId="77777777" w:rsidR="00CF5E25" w:rsidRPr="00C915E4" w:rsidRDefault="00CF5E25" w:rsidP="003C7795">
    <w:pPr>
      <w:pStyle w:val="Intestazion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F11"/>
    <w:multiLevelType w:val="hybridMultilevel"/>
    <w:tmpl w:val="D3285D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31C"/>
    <w:multiLevelType w:val="hybridMultilevel"/>
    <w:tmpl w:val="77880DFA"/>
    <w:lvl w:ilvl="0" w:tplc="C366CEDA">
      <w:start w:val="1"/>
      <w:numFmt w:val="bullet"/>
      <w:pStyle w:val="StilePALLINO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C97AA"/>
        <w:spacing w:val="0"/>
        <w:w w:val="100"/>
        <w:kern w:val="0"/>
        <w:position w:val="0"/>
        <w:sz w:val="36"/>
        <w:szCs w:val="3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0739"/>
    <w:multiLevelType w:val="hybridMultilevel"/>
    <w:tmpl w:val="B3A076EC"/>
    <w:lvl w:ilvl="0" w:tplc="D44C127E">
      <w:start w:val="1"/>
      <w:numFmt w:val="lowerLetter"/>
      <w:lvlText w:val="(%1)"/>
      <w:lvlJc w:val="left"/>
      <w:pPr>
        <w:ind w:left="5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240" w:hanging="360"/>
      </w:pPr>
    </w:lvl>
    <w:lvl w:ilvl="2" w:tplc="0809001B" w:tentative="1">
      <w:start w:val="1"/>
      <w:numFmt w:val="lowerRoman"/>
      <w:lvlText w:val="%3."/>
      <w:lvlJc w:val="right"/>
      <w:pPr>
        <w:ind w:left="6960" w:hanging="180"/>
      </w:pPr>
    </w:lvl>
    <w:lvl w:ilvl="3" w:tplc="0809000F" w:tentative="1">
      <w:start w:val="1"/>
      <w:numFmt w:val="decimal"/>
      <w:lvlText w:val="%4."/>
      <w:lvlJc w:val="left"/>
      <w:pPr>
        <w:ind w:left="7680" w:hanging="360"/>
      </w:pPr>
    </w:lvl>
    <w:lvl w:ilvl="4" w:tplc="08090019" w:tentative="1">
      <w:start w:val="1"/>
      <w:numFmt w:val="lowerLetter"/>
      <w:lvlText w:val="%5."/>
      <w:lvlJc w:val="left"/>
      <w:pPr>
        <w:ind w:left="8400" w:hanging="360"/>
      </w:pPr>
    </w:lvl>
    <w:lvl w:ilvl="5" w:tplc="0809001B" w:tentative="1">
      <w:start w:val="1"/>
      <w:numFmt w:val="lowerRoman"/>
      <w:lvlText w:val="%6."/>
      <w:lvlJc w:val="right"/>
      <w:pPr>
        <w:ind w:left="9120" w:hanging="180"/>
      </w:pPr>
    </w:lvl>
    <w:lvl w:ilvl="6" w:tplc="0809000F" w:tentative="1">
      <w:start w:val="1"/>
      <w:numFmt w:val="decimal"/>
      <w:lvlText w:val="%7."/>
      <w:lvlJc w:val="left"/>
      <w:pPr>
        <w:ind w:left="9840" w:hanging="360"/>
      </w:pPr>
    </w:lvl>
    <w:lvl w:ilvl="7" w:tplc="08090019" w:tentative="1">
      <w:start w:val="1"/>
      <w:numFmt w:val="lowerLetter"/>
      <w:lvlText w:val="%8."/>
      <w:lvlJc w:val="left"/>
      <w:pPr>
        <w:ind w:left="10560" w:hanging="360"/>
      </w:pPr>
    </w:lvl>
    <w:lvl w:ilvl="8" w:tplc="0809001B" w:tentative="1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16766198"/>
    <w:multiLevelType w:val="hybridMultilevel"/>
    <w:tmpl w:val="D3285D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32CA"/>
    <w:multiLevelType w:val="hybridMultilevel"/>
    <w:tmpl w:val="6936CB0E"/>
    <w:lvl w:ilvl="0" w:tplc="C366CE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aps w:val="0"/>
        <w:strike w:val="0"/>
        <w:dstrike w:val="0"/>
        <w:vanish w:val="0"/>
        <w:color w:val="0C97AA"/>
        <w:spacing w:val="0"/>
        <w:w w:val="100"/>
        <w:kern w:val="0"/>
        <w:position w:val="0"/>
        <w:sz w:val="36"/>
        <w:szCs w:val="3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F3E7B36"/>
    <w:multiLevelType w:val="hybridMultilevel"/>
    <w:tmpl w:val="1E9A77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5"/>
  </w:num>
  <w:num w:numId="19">
    <w:abstractNumId w:val="0"/>
  </w:num>
  <w:num w:numId="20">
    <w:abstractNumId w:val="3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GB" w:vendorID="64" w:dllVersion="131078" w:nlCheck="1" w:checkStyle="0"/>
  <w:proofState w:spelling="clean" w:grammar="clean"/>
  <w:doNotTrackMoves/>
  <w:documentProtection w:edit="trackedChange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9"/>
    <w:rsid w:val="000001C5"/>
    <w:rsid w:val="00000E5F"/>
    <w:rsid w:val="00000EFC"/>
    <w:rsid w:val="0000108E"/>
    <w:rsid w:val="00001498"/>
    <w:rsid w:val="0000198B"/>
    <w:rsid w:val="00003AFB"/>
    <w:rsid w:val="00004BA1"/>
    <w:rsid w:val="00006031"/>
    <w:rsid w:val="000072B2"/>
    <w:rsid w:val="00007334"/>
    <w:rsid w:val="00007E3F"/>
    <w:rsid w:val="0001013D"/>
    <w:rsid w:val="000116C7"/>
    <w:rsid w:val="000119BF"/>
    <w:rsid w:val="00012448"/>
    <w:rsid w:val="00012CE9"/>
    <w:rsid w:val="00013505"/>
    <w:rsid w:val="0001360D"/>
    <w:rsid w:val="000137B8"/>
    <w:rsid w:val="00013E85"/>
    <w:rsid w:val="00014031"/>
    <w:rsid w:val="00014103"/>
    <w:rsid w:val="00014170"/>
    <w:rsid w:val="000143D3"/>
    <w:rsid w:val="00014623"/>
    <w:rsid w:val="00014FE9"/>
    <w:rsid w:val="00016141"/>
    <w:rsid w:val="000163FB"/>
    <w:rsid w:val="00016510"/>
    <w:rsid w:val="000176BC"/>
    <w:rsid w:val="00017833"/>
    <w:rsid w:val="00017961"/>
    <w:rsid w:val="000210A6"/>
    <w:rsid w:val="00022A09"/>
    <w:rsid w:val="00023097"/>
    <w:rsid w:val="00023381"/>
    <w:rsid w:val="000247E7"/>
    <w:rsid w:val="00025446"/>
    <w:rsid w:val="00025459"/>
    <w:rsid w:val="000257E2"/>
    <w:rsid w:val="00025869"/>
    <w:rsid w:val="000261DC"/>
    <w:rsid w:val="00027762"/>
    <w:rsid w:val="00030346"/>
    <w:rsid w:val="000313EF"/>
    <w:rsid w:val="000318BA"/>
    <w:rsid w:val="00031BAB"/>
    <w:rsid w:val="000326FD"/>
    <w:rsid w:val="0003271C"/>
    <w:rsid w:val="00032733"/>
    <w:rsid w:val="00032A8B"/>
    <w:rsid w:val="0003382E"/>
    <w:rsid w:val="00033953"/>
    <w:rsid w:val="00033F82"/>
    <w:rsid w:val="00033FB3"/>
    <w:rsid w:val="0003410B"/>
    <w:rsid w:val="0003437B"/>
    <w:rsid w:val="000359C9"/>
    <w:rsid w:val="0003634A"/>
    <w:rsid w:val="0003635E"/>
    <w:rsid w:val="0003673F"/>
    <w:rsid w:val="00037907"/>
    <w:rsid w:val="000410EF"/>
    <w:rsid w:val="00042248"/>
    <w:rsid w:val="00042969"/>
    <w:rsid w:val="00042FA4"/>
    <w:rsid w:val="000441A1"/>
    <w:rsid w:val="00044203"/>
    <w:rsid w:val="00045165"/>
    <w:rsid w:val="000451F7"/>
    <w:rsid w:val="00045464"/>
    <w:rsid w:val="000455EA"/>
    <w:rsid w:val="0004571D"/>
    <w:rsid w:val="000458A1"/>
    <w:rsid w:val="00045BDE"/>
    <w:rsid w:val="00046AFC"/>
    <w:rsid w:val="0004760C"/>
    <w:rsid w:val="000476E9"/>
    <w:rsid w:val="000479F9"/>
    <w:rsid w:val="00050AB1"/>
    <w:rsid w:val="00050CC1"/>
    <w:rsid w:val="00053F77"/>
    <w:rsid w:val="000544EF"/>
    <w:rsid w:val="0005468F"/>
    <w:rsid w:val="000558A7"/>
    <w:rsid w:val="00055D29"/>
    <w:rsid w:val="0005637C"/>
    <w:rsid w:val="0005638D"/>
    <w:rsid w:val="0005697C"/>
    <w:rsid w:val="000569C3"/>
    <w:rsid w:val="00057371"/>
    <w:rsid w:val="0005766F"/>
    <w:rsid w:val="00057E04"/>
    <w:rsid w:val="00060310"/>
    <w:rsid w:val="00060C54"/>
    <w:rsid w:val="00060F3F"/>
    <w:rsid w:val="00060F90"/>
    <w:rsid w:val="000614EF"/>
    <w:rsid w:val="000617CA"/>
    <w:rsid w:val="00061A51"/>
    <w:rsid w:val="00061D60"/>
    <w:rsid w:val="00062130"/>
    <w:rsid w:val="00062919"/>
    <w:rsid w:val="000629E1"/>
    <w:rsid w:val="000636CE"/>
    <w:rsid w:val="0006370D"/>
    <w:rsid w:val="000639EB"/>
    <w:rsid w:val="00063AD2"/>
    <w:rsid w:val="00063C9F"/>
    <w:rsid w:val="00064BCE"/>
    <w:rsid w:val="00064F00"/>
    <w:rsid w:val="000664C1"/>
    <w:rsid w:val="0006682B"/>
    <w:rsid w:val="00066A70"/>
    <w:rsid w:val="000672AA"/>
    <w:rsid w:val="0006762F"/>
    <w:rsid w:val="00070084"/>
    <w:rsid w:val="000704E1"/>
    <w:rsid w:val="00072006"/>
    <w:rsid w:val="0007218A"/>
    <w:rsid w:val="00072298"/>
    <w:rsid w:val="0007240C"/>
    <w:rsid w:val="0007372E"/>
    <w:rsid w:val="00074BE2"/>
    <w:rsid w:val="00075531"/>
    <w:rsid w:val="00075926"/>
    <w:rsid w:val="0007592B"/>
    <w:rsid w:val="0007677F"/>
    <w:rsid w:val="00076967"/>
    <w:rsid w:val="00076EB3"/>
    <w:rsid w:val="000773FE"/>
    <w:rsid w:val="0007743B"/>
    <w:rsid w:val="00077BDF"/>
    <w:rsid w:val="0008026E"/>
    <w:rsid w:val="0008045C"/>
    <w:rsid w:val="00081796"/>
    <w:rsid w:val="00083331"/>
    <w:rsid w:val="00083D78"/>
    <w:rsid w:val="000843BD"/>
    <w:rsid w:val="000845CF"/>
    <w:rsid w:val="00085A31"/>
    <w:rsid w:val="000873A7"/>
    <w:rsid w:val="00087E3F"/>
    <w:rsid w:val="00090888"/>
    <w:rsid w:val="00090A11"/>
    <w:rsid w:val="00091483"/>
    <w:rsid w:val="000921CE"/>
    <w:rsid w:val="000926D5"/>
    <w:rsid w:val="0009275C"/>
    <w:rsid w:val="0009296D"/>
    <w:rsid w:val="00092DA2"/>
    <w:rsid w:val="000937FA"/>
    <w:rsid w:val="00094D1B"/>
    <w:rsid w:val="000952FC"/>
    <w:rsid w:val="00095725"/>
    <w:rsid w:val="00095C44"/>
    <w:rsid w:val="000961CF"/>
    <w:rsid w:val="00096EB6"/>
    <w:rsid w:val="000975C9"/>
    <w:rsid w:val="00097C4D"/>
    <w:rsid w:val="000A033F"/>
    <w:rsid w:val="000A0EC1"/>
    <w:rsid w:val="000A279E"/>
    <w:rsid w:val="000A2A02"/>
    <w:rsid w:val="000A48AF"/>
    <w:rsid w:val="000A5829"/>
    <w:rsid w:val="000A63B3"/>
    <w:rsid w:val="000B07F6"/>
    <w:rsid w:val="000B1436"/>
    <w:rsid w:val="000B1571"/>
    <w:rsid w:val="000B1B4B"/>
    <w:rsid w:val="000B24C2"/>
    <w:rsid w:val="000B2B40"/>
    <w:rsid w:val="000B2BA4"/>
    <w:rsid w:val="000B3652"/>
    <w:rsid w:val="000B4169"/>
    <w:rsid w:val="000B44F2"/>
    <w:rsid w:val="000B4E7F"/>
    <w:rsid w:val="000B5023"/>
    <w:rsid w:val="000B52DE"/>
    <w:rsid w:val="000B599F"/>
    <w:rsid w:val="000B63A3"/>
    <w:rsid w:val="000B7639"/>
    <w:rsid w:val="000B7892"/>
    <w:rsid w:val="000B7DFE"/>
    <w:rsid w:val="000C0332"/>
    <w:rsid w:val="000C0480"/>
    <w:rsid w:val="000C093F"/>
    <w:rsid w:val="000C0CC1"/>
    <w:rsid w:val="000C0DAE"/>
    <w:rsid w:val="000C11CD"/>
    <w:rsid w:val="000C1BD7"/>
    <w:rsid w:val="000C22AA"/>
    <w:rsid w:val="000C25BB"/>
    <w:rsid w:val="000C2728"/>
    <w:rsid w:val="000C35F6"/>
    <w:rsid w:val="000C363C"/>
    <w:rsid w:val="000C46D2"/>
    <w:rsid w:val="000C58CD"/>
    <w:rsid w:val="000C7165"/>
    <w:rsid w:val="000C7846"/>
    <w:rsid w:val="000D03FD"/>
    <w:rsid w:val="000D0501"/>
    <w:rsid w:val="000D05FB"/>
    <w:rsid w:val="000D1204"/>
    <w:rsid w:val="000D2255"/>
    <w:rsid w:val="000D25DF"/>
    <w:rsid w:val="000D27C7"/>
    <w:rsid w:val="000D3ED3"/>
    <w:rsid w:val="000D447E"/>
    <w:rsid w:val="000D4E23"/>
    <w:rsid w:val="000D5821"/>
    <w:rsid w:val="000D5987"/>
    <w:rsid w:val="000D5E7B"/>
    <w:rsid w:val="000D5EA7"/>
    <w:rsid w:val="000D63C8"/>
    <w:rsid w:val="000D65CF"/>
    <w:rsid w:val="000D6F98"/>
    <w:rsid w:val="000E03B0"/>
    <w:rsid w:val="000E0537"/>
    <w:rsid w:val="000E1235"/>
    <w:rsid w:val="000E1A48"/>
    <w:rsid w:val="000E2AE9"/>
    <w:rsid w:val="000E48DA"/>
    <w:rsid w:val="000E5A09"/>
    <w:rsid w:val="000E5B5B"/>
    <w:rsid w:val="000E5E59"/>
    <w:rsid w:val="000E766E"/>
    <w:rsid w:val="000E771D"/>
    <w:rsid w:val="000E7D4F"/>
    <w:rsid w:val="000F0171"/>
    <w:rsid w:val="000F2DA6"/>
    <w:rsid w:val="000F36CE"/>
    <w:rsid w:val="000F3A14"/>
    <w:rsid w:val="000F3A28"/>
    <w:rsid w:val="000F49AC"/>
    <w:rsid w:val="000F4CF3"/>
    <w:rsid w:val="000F4D4B"/>
    <w:rsid w:val="000F54D8"/>
    <w:rsid w:val="000F59E8"/>
    <w:rsid w:val="000F5D31"/>
    <w:rsid w:val="000F5DC0"/>
    <w:rsid w:val="000F6075"/>
    <w:rsid w:val="000F6E97"/>
    <w:rsid w:val="000F7367"/>
    <w:rsid w:val="001003A9"/>
    <w:rsid w:val="00100435"/>
    <w:rsid w:val="00100A4B"/>
    <w:rsid w:val="0010289C"/>
    <w:rsid w:val="00103582"/>
    <w:rsid w:val="0010451D"/>
    <w:rsid w:val="001047AE"/>
    <w:rsid w:val="0010514E"/>
    <w:rsid w:val="00105B12"/>
    <w:rsid w:val="00106242"/>
    <w:rsid w:val="001065FF"/>
    <w:rsid w:val="00106A04"/>
    <w:rsid w:val="00107452"/>
    <w:rsid w:val="0010797F"/>
    <w:rsid w:val="00107F65"/>
    <w:rsid w:val="00110770"/>
    <w:rsid w:val="00110937"/>
    <w:rsid w:val="001113BA"/>
    <w:rsid w:val="00112395"/>
    <w:rsid w:val="00112AD9"/>
    <w:rsid w:val="00112D2D"/>
    <w:rsid w:val="0011357B"/>
    <w:rsid w:val="00113E77"/>
    <w:rsid w:val="00114833"/>
    <w:rsid w:val="00115269"/>
    <w:rsid w:val="0011577A"/>
    <w:rsid w:val="001157DA"/>
    <w:rsid w:val="00116EEB"/>
    <w:rsid w:val="0011763B"/>
    <w:rsid w:val="0011777F"/>
    <w:rsid w:val="00117E5F"/>
    <w:rsid w:val="001203DC"/>
    <w:rsid w:val="00121FF3"/>
    <w:rsid w:val="0012234F"/>
    <w:rsid w:val="00122B4F"/>
    <w:rsid w:val="00122E1E"/>
    <w:rsid w:val="00124B07"/>
    <w:rsid w:val="00125336"/>
    <w:rsid w:val="001257B2"/>
    <w:rsid w:val="001261C0"/>
    <w:rsid w:val="00126D97"/>
    <w:rsid w:val="00126DCD"/>
    <w:rsid w:val="00126EA9"/>
    <w:rsid w:val="00130A78"/>
    <w:rsid w:val="0013112C"/>
    <w:rsid w:val="00131E50"/>
    <w:rsid w:val="00131F76"/>
    <w:rsid w:val="00133207"/>
    <w:rsid w:val="00133C29"/>
    <w:rsid w:val="00133E19"/>
    <w:rsid w:val="0013479F"/>
    <w:rsid w:val="00134CB3"/>
    <w:rsid w:val="00134D3D"/>
    <w:rsid w:val="00135518"/>
    <w:rsid w:val="00135F99"/>
    <w:rsid w:val="001365A6"/>
    <w:rsid w:val="001365C9"/>
    <w:rsid w:val="00137635"/>
    <w:rsid w:val="00141092"/>
    <w:rsid w:val="00142E83"/>
    <w:rsid w:val="00143328"/>
    <w:rsid w:val="00143C05"/>
    <w:rsid w:val="00143E51"/>
    <w:rsid w:val="00144B26"/>
    <w:rsid w:val="00144C22"/>
    <w:rsid w:val="00144DA9"/>
    <w:rsid w:val="00144EFA"/>
    <w:rsid w:val="00145DDD"/>
    <w:rsid w:val="00146F76"/>
    <w:rsid w:val="001474E1"/>
    <w:rsid w:val="001510E2"/>
    <w:rsid w:val="00151269"/>
    <w:rsid w:val="001513BC"/>
    <w:rsid w:val="00151701"/>
    <w:rsid w:val="001529C1"/>
    <w:rsid w:val="00152B2F"/>
    <w:rsid w:val="00152C3C"/>
    <w:rsid w:val="00153BC4"/>
    <w:rsid w:val="001549E9"/>
    <w:rsid w:val="00154FFE"/>
    <w:rsid w:val="001552FA"/>
    <w:rsid w:val="001555F4"/>
    <w:rsid w:val="00155658"/>
    <w:rsid w:val="001561A2"/>
    <w:rsid w:val="00156CF7"/>
    <w:rsid w:val="00160976"/>
    <w:rsid w:val="00160F81"/>
    <w:rsid w:val="00161830"/>
    <w:rsid w:val="00161A29"/>
    <w:rsid w:val="00161FD6"/>
    <w:rsid w:val="00163144"/>
    <w:rsid w:val="00163BA2"/>
    <w:rsid w:val="00164093"/>
    <w:rsid w:val="00164204"/>
    <w:rsid w:val="0016491D"/>
    <w:rsid w:val="00164E51"/>
    <w:rsid w:val="00165A2B"/>
    <w:rsid w:val="00165DFF"/>
    <w:rsid w:val="001676FC"/>
    <w:rsid w:val="00167750"/>
    <w:rsid w:val="00167791"/>
    <w:rsid w:val="00167C17"/>
    <w:rsid w:val="00167E78"/>
    <w:rsid w:val="00167EDE"/>
    <w:rsid w:val="001703C4"/>
    <w:rsid w:val="0017175E"/>
    <w:rsid w:val="00172E3C"/>
    <w:rsid w:val="00172EB3"/>
    <w:rsid w:val="001733FA"/>
    <w:rsid w:val="00173687"/>
    <w:rsid w:val="00173A9D"/>
    <w:rsid w:val="00175A23"/>
    <w:rsid w:val="00175D27"/>
    <w:rsid w:val="001766C4"/>
    <w:rsid w:val="0018007C"/>
    <w:rsid w:val="00180BE2"/>
    <w:rsid w:val="0018165B"/>
    <w:rsid w:val="00181800"/>
    <w:rsid w:val="00182433"/>
    <w:rsid w:val="00182D51"/>
    <w:rsid w:val="00183887"/>
    <w:rsid w:val="0018457B"/>
    <w:rsid w:val="00184B6C"/>
    <w:rsid w:val="00184D72"/>
    <w:rsid w:val="001852BB"/>
    <w:rsid w:val="00185805"/>
    <w:rsid w:val="00186546"/>
    <w:rsid w:val="001865AD"/>
    <w:rsid w:val="0018788E"/>
    <w:rsid w:val="00190362"/>
    <w:rsid w:val="00190622"/>
    <w:rsid w:val="00191F6B"/>
    <w:rsid w:val="00191FD0"/>
    <w:rsid w:val="001921FD"/>
    <w:rsid w:val="0019256F"/>
    <w:rsid w:val="00192B25"/>
    <w:rsid w:val="0019313F"/>
    <w:rsid w:val="00194454"/>
    <w:rsid w:val="00194882"/>
    <w:rsid w:val="00194909"/>
    <w:rsid w:val="0019504B"/>
    <w:rsid w:val="0019539B"/>
    <w:rsid w:val="001956A0"/>
    <w:rsid w:val="001959AC"/>
    <w:rsid w:val="001973BD"/>
    <w:rsid w:val="00197933"/>
    <w:rsid w:val="00197E15"/>
    <w:rsid w:val="001A07C5"/>
    <w:rsid w:val="001A1E77"/>
    <w:rsid w:val="001A2122"/>
    <w:rsid w:val="001A2875"/>
    <w:rsid w:val="001A2F25"/>
    <w:rsid w:val="001A3D00"/>
    <w:rsid w:val="001A497E"/>
    <w:rsid w:val="001A5CB9"/>
    <w:rsid w:val="001A6F8F"/>
    <w:rsid w:val="001A7A83"/>
    <w:rsid w:val="001A7AE0"/>
    <w:rsid w:val="001A7CE3"/>
    <w:rsid w:val="001A7D6A"/>
    <w:rsid w:val="001B035B"/>
    <w:rsid w:val="001B0DB1"/>
    <w:rsid w:val="001B0F49"/>
    <w:rsid w:val="001B1719"/>
    <w:rsid w:val="001B19CA"/>
    <w:rsid w:val="001B27DA"/>
    <w:rsid w:val="001B5A6F"/>
    <w:rsid w:val="001B7636"/>
    <w:rsid w:val="001B7666"/>
    <w:rsid w:val="001B78BF"/>
    <w:rsid w:val="001B7B64"/>
    <w:rsid w:val="001C094D"/>
    <w:rsid w:val="001C0E62"/>
    <w:rsid w:val="001C1621"/>
    <w:rsid w:val="001C19B6"/>
    <w:rsid w:val="001C2E76"/>
    <w:rsid w:val="001C3022"/>
    <w:rsid w:val="001C30D7"/>
    <w:rsid w:val="001C3CF6"/>
    <w:rsid w:val="001C42B2"/>
    <w:rsid w:val="001C4631"/>
    <w:rsid w:val="001C4E7E"/>
    <w:rsid w:val="001C5259"/>
    <w:rsid w:val="001C7BA5"/>
    <w:rsid w:val="001C7F86"/>
    <w:rsid w:val="001D03A5"/>
    <w:rsid w:val="001D18B4"/>
    <w:rsid w:val="001D19F5"/>
    <w:rsid w:val="001D1CE4"/>
    <w:rsid w:val="001D23C6"/>
    <w:rsid w:val="001D367B"/>
    <w:rsid w:val="001D4050"/>
    <w:rsid w:val="001D4153"/>
    <w:rsid w:val="001D495C"/>
    <w:rsid w:val="001D5609"/>
    <w:rsid w:val="001D5868"/>
    <w:rsid w:val="001D7968"/>
    <w:rsid w:val="001E124F"/>
    <w:rsid w:val="001E1D29"/>
    <w:rsid w:val="001E23DD"/>
    <w:rsid w:val="001E2831"/>
    <w:rsid w:val="001E304B"/>
    <w:rsid w:val="001E3513"/>
    <w:rsid w:val="001E3997"/>
    <w:rsid w:val="001E448B"/>
    <w:rsid w:val="001E44BF"/>
    <w:rsid w:val="001E5673"/>
    <w:rsid w:val="001E593C"/>
    <w:rsid w:val="001E70B4"/>
    <w:rsid w:val="001E78EB"/>
    <w:rsid w:val="001F0E46"/>
    <w:rsid w:val="001F1A4C"/>
    <w:rsid w:val="001F2064"/>
    <w:rsid w:val="001F223C"/>
    <w:rsid w:val="001F2268"/>
    <w:rsid w:val="001F2803"/>
    <w:rsid w:val="001F282A"/>
    <w:rsid w:val="001F3056"/>
    <w:rsid w:val="001F33ED"/>
    <w:rsid w:val="001F4485"/>
    <w:rsid w:val="001F4F02"/>
    <w:rsid w:val="001F570A"/>
    <w:rsid w:val="001F58D3"/>
    <w:rsid w:val="001F5FDD"/>
    <w:rsid w:val="001F7A07"/>
    <w:rsid w:val="001F7B72"/>
    <w:rsid w:val="0020039E"/>
    <w:rsid w:val="0020240F"/>
    <w:rsid w:val="00202C58"/>
    <w:rsid w:val="00203743"/>
    <w:rsid w:val="00204286"/>
    <w:rsid w:val="0020439F"/>
    <w:rsid w:val="00204513"/>
    <w:rsid w:val="0020488F"/>
    <w:rsid w:val="00204D61"/>
    <w:rsid w:val="002061C5"/>
    <w:rsid w:val="00206FDB"/>
    <w:rsid w:val="00207A24"/>
    <w:rsid w:val="00210239"/>
    <w:rsid w:val="00210891"/>
    <w:rsid w:val="0021094F"/>
    <w:rsid w:val="00210AF9"/>
    <w:rsid w:val="00211524"/>
    <w:rsid w:val="002121A0"/>
    <w:rsid w:val="0021281B"/>
    <w:rsid w:val="002128F7"/>
    <w:rsid w:val="00212969"/>
    <w:rsid w:val="00212D75"/>
    <w:rsid w:val="0021380D"/>
    <w:rsid w:val="00214D1F"/>
    <w:rsid w:val="00215B40"/>
    <w:rsid w:val="00215F43"/>
    <w:rsid w:val="002161EE"/>
    <w:rsid w:val="002171DC"/>
    <w:rsid w:val="002176A9"/>
    <w:rsid w:val="00217980"/>
    <w:rsid w:val="00217D25"/>
    <w:rsid w:val="00220E0D"/>
    <w:rsid w:val="0022109B"/>
    <w:rsid w:val="002211FB"/>
    <w:rsid w:val="0022133E"/>
    <w:rsid w:val="0022182D"/>
    <w:rsid w:val="0022255A"/>
    <w:rsid w:val="002225EF"/>
    <w:rsid w:val="0022367B"/>
    <w:rsid w:val="00224DAE"/>
    <w:rsid w:val="00225AC1"/>
    <w:rsid w:val="00226E80"/>
    <w:rsid w:val="0022792C"/>
    <w:rsid w:val="002304A3"/>
    <w:rsid w:val="00231941"/>
    <w:rsid w:val="00231983"/>
    <w:rsid w:val="002334D4"/>
    <w:rsid w:val="002339CB"/>
    <w:rsid w:val="002342BB"/>
    <w:rsid w:val="0023452F"/>
    <w:rsid w:val="0023462A"/>
    <w:rsid w:val="0023641D"/>
    <w:rsid w:val="00240CB1"/>
    <w:rsid w:val="00241223"/>
    <w:rsid w:val="00241337"/>
    <w:rsid w:val="002418E1"/>
    <w:rsid w:val="00241ECE"/>
    <w:rsid w:val="00241F8D"/>
    <w:rsid w:val="00242510"/>
    <w:rsid w:val="002431DB"/>
    <w:rsid w:val="002447C2"/>
    <w:rsid w:val="00244F6B"/>
    <w:rsid w:val="0024552E"/>
    <w:rsid w:val="00245889"/>
    <w:rsid w:val="002464D7"/>
    <w:rsid w:val="00246C63"/>
    <w:rsid w:val="00247D25"/>
    <w:rsid w:val="002502F2"/>
    <w:rsid w:val="00250446"/>
    <w:rsid w:val="00250D7D"/>
    <w:rsid w:val="00251031"/>
    <w:rsid w:val="002510CE"/>
    <w:rsid w:val="00251227"/>
    <w:rsid w:val="002519C0"/>
    <w:rsid w:val="00251B78"/>
    <w:rsid w:val="00251D25"/>
    <w:rsid w:val="00251E45"/>
    <w:rsid w:val="00252F6C"/>
    <w:rsid w:val="0025326E"/>
    <w:rsid w:val="00254823"/>
    <w:rsid w:val="00254ACC"/>
    <w:rsid w:val="00255080"/>
    <w:rsid w:val="002550D1"/>
    <w:rsid w:val="00255336"/>
    <w:rsid w:val="0025597F"/>
    <w:rsid w:val="002560DE"/>
    <w:rsid w:val="00256683"/>
    <w:rsid w:val="0025711E"/>
    <w:rsid w:val="002571D3"/>
    <w:rsid w:val="00257252"/>
    <w:rsid w:val="0025790B"/>
    <w:rsid w:val="00257F4E"/>
    <w:rsid w:val="0026028D"/>
    <w:rsid w:val="002604EA"/>
    <w:rsid w:val="00260D09"/>
    <w:rsid w:val="00260FFA"/>
    <w:rsid w:val="0026145F"/>
    <w:rsid w:val="002618C4"/>
    <w:rsid w:val="00261CE3"/>
    <w:rsid w:val="0026204E"/>
    <w:rsid w:val="002620EF"/>
    <w:rsid w:val="002631DC"/>
    <w:rsid w:val="00263602"/>
    <w:rsid w:val="002642E8"/>
    <w:rsid w:val="002642FC"/>
    <w:rsid w:val="00264C87"/>
    <w:rsid w:val="00264DF0"/>
    <w:rsid w:val="00265156"/>
    <w:rsid w:val="00265BBD"/>
    <w:rsid w:val="002664B4"/>
    <w:rsid w:val="00266AC2"/>
    <w:rsid w:val="002671F7"/>
    <w:rsid w:val="00267B63"/>
    <w:rsid w:val="00270631"/>
    <w:rsid w:val="002708AA"/>
    <w:rsid w:val="0027111C"/>
    <w:rsid w:val="002720A1"/>
    <w:rsid w:val="00272C99"/>
    <w:rsid w:val="00274229"/>
    <w:rsid w:val="00274263"/>
    <w:rsid w:val="002744A3"/>
    <w:rsid w:val="00274BC2"/>
    <w:rsid w:val="0027503F"/>
    <w:rsid w:val="00275EC7"/>
    <w:rsid w:val="00276EAF"/>
    <w:rsid w:val="0027741C"/>
    <w:rsid w:val="002800A7"/>
    <w:rsid w:val="00280AE8"/>
    <w:rsid w:val="00280DEB"/>
    <w:rsid w:val="00281D73"/>
    <w:rsid w:val="002833C7"/>
    <w:rsid w:val="00284E5E"/>
    <w:rsid w:val="0029078F"/>
    <w:rsid w:val="0029081F"/>
    <w:rsid w:val="00291329"/>
    <w:rsid w:val="002915FF"/>
    <w:rsid w:val="00291976"/>
    <w:rsid w:val="002925F4"/>
    <w:rsid w:val="00293637"/>
    <w:rsid w:val="002938E6"/>
    <w:rsid w:val="00294349"/>
    <w:rsid w:val="00294778"/>
    <w:rsid w:val="002948F0"/>
    <w:rsid w:val="00294CF7"/>
    <w:rsid w:val="00294DC2"/>
    <w:rsid w:val="00295501"/>
    <w:rsid w:val="00296222"/>
    <w:rsid w:val="00296F4E"/>
    <w:rsid w:val="002971E3"/>
    <w:rsid w:val="00297AD7"/>
    <w:rsid w:val="00297BED"/>
    <w:rsid w:val="002A0056"/>
    <w:rsid w:val="002A0B2E"/>
    <w:rsid w:val="002A0EBC"/>
    <w:rsid w:val="002A1119"/>
    <w:rsid w:val="002A1B9F"/>
    <w:rsid w:val="002A1EE8"/>
    <w:rsid w:val="002A25BD"/>
    <w:rsid w:val="002A31D3"/>
    <w:rsid w:val="002A3261"/>
    <w:rsid w:val="002A50F7"/>
    <w:rsid w:val="002A549E"/>
    <w:rsid w:val="002A5D96"/>
    <w:rsid w:val="002A78F0"/>
    <w:rsid w:val="002A7AC8"/>
    <w:rsid w:val="002B269B"/>
    <w:rsid w:val="002B336A"/>
    <w:rsid w:val="002B3435"/>
    <w:rsid w:val="002B3699"/>
    <w:rsid w:val="002B376A"/>
    <w:rsid w:val="002B41A4"/>
    <w:rsid w:val="002B4A47"/>
    <w:rsid w:val="002B4D36"/>
    <w:rsid w:val="002B5392"/>
    <w:rsid w:val="002B5F32"/>
    <w:rsid w:val="002B5FE2"/>
    <w:rsid w:val="002B6218"/>
    <w:rsid w:val="002B6CA3"/>
    <w:rsid w:val="002B785B"/>
    <w:rsid w:val="002C1407"/>
    <w:rsid w:val="002C2FEE"/>
    <w:rsid w:val="002C325F"/>
    <w:rsid w:val="002C335F"/>
    <w:rsid w:val="002C3FFF"/>
    <w:rsid w:val="002C504B"/>
    <w:rsid w:val="002C58B6"/>
    <w:rsid w:val="002C59A0"/>
    <w:rsid w:val="002C686F"/>
    <w:rsid w:val="002C6AD6"/>
    <w:rsid w:val="002C7A48"/>
    <w:rsid w:val="002D037D"/>
    <w:rsid w:val="002D1514"/>
    <w:rsid w:val="002D16E4"/>
    <w:rsid w:val="002D20FF"/>
    <w:rsid w:val="002D37A8"/>
    <w:rsid w:val="002D3C99"/>
    <w:rsid w:val="002D47F9"/>
    <w:rsid w:val="002D4C12"/>
    <w:rsid w:val="002D591A"/>
    <w:rsid w:val="002D5A92"/>
    <w:rsid w:val="002D5B5E"/>
    <w:rsid w:val="002D65CB"/>
    <w:rsid w:val="002D7A29"/>
    <w:rsid w:val="002E0092"/>
    <w:rsid w:val="002E0892"/>
    <w:rsid w:val="002E0C97"/>
    <w:rsid w:val="002E1FC0"/>
    <w:rsid w:val="002E2529"/>
    <w:rsid w:val="002E2E9F"/>
    <w:rsid w:val="002E3839"/>
    <w:rsid w:val="002E4192"/>
    <w:rsid w:val="002E45B6"/>
    <w:rsid w:val="002E45DF"/>
    <w:rsid w:val="002E4906"/>
    <w:rsid w:val="002E4AFF"/>
    <w:rsid w:val="002E520E"/>
    <w:rsid w:val="002E53A2"/>
    <w:rsid w:val="002E5615"/>
    <w:rsid w:val="002E5E16"/>
    <w:rsid w:val="002E6141"/>
    <w:rsid w:val="002E6FF2"/>
    <w:rsid w:val="002E7809"/>
    <w:rsid w:val="002F0AA5"/>
    <w:rsid w:val="002F1895"/>
    <w:rsid w:val="002F1CA8"/>
    <w:rsid w:val="002F1D04"/>
    <w:rsid w:val="002F1DCF"/>
    <w:rsid w:val="002F203C"/>
    <w:rsid w:val="002F4A3C"/>
    <w:rsid w:val="002F4C36"/>
    <w:rsid w:val="002F5045"/>
    <w:rsid w:val="002F6D70"/>
    <w:rsid w:val="002F7B3E"/>
    <w:rsid w:val="003001A1"/>
    <w:rsid w:val="0030061B"/>
    <w:rsid w:val="00300A39"/>
    <w:rsid w:val="003028D5"/>
    <w:rsid w:val="00302B72"/>
    <w:rsid w:val="00303EC2"/>
    <w:rsid w:val="0030422C"/>
    <w:rsid w:val="003047FA"/>
    <w:rsid w:val="00305819"/>
    <w:rsid w:val="00305943"/>
    <w:rsid w:val="003067A2"/>
    <w:rsid w:val="003075F1"/>
    <w:rsid w:val="00307AB9"/>
    <w:rsid w:val="00310E17"/>
    <w:rsid w:val="00311AC3"/>
    <w:rsid w:val="00311B61"/>
    <w:rsid w:val="003124A2"/>
    <w:rsid w:val="00312527"/>
    <w:rsid w:val="0031349F"/>
    <w:rsid w:val="00314976"/>
    <w:rsid w:val="003149E5"/>
    <w:rsid w:val="00314AF9"/>
    <w:rsid w:val="003152DC"/>
    <w:rsid w:val="00315880"/>
    <w:rsid w:val="00315B9C"/>
    <w:rsid w:val="00315DAC"/>
    <w:rsid w:val="00315EBB"/>
    <w:rsid w:val="0031777E"/>
    <w:rsid w:val="00320A52"/>
    <w:rsid w:val="003210F6"/>
    <w:rsid w:val="0032137C"/>
    <w:rsid w:val="00321D00"/>
    <w:rsid w:val="0032264E"/>
    <w:rsid w:val="0032288D"/>
    <w:rsid w:val="00323083"/>
    <w:rsid w:val="003240B6"/>
    <w:rsid w:val="00324ED6"/>
    <w:rsid w:val="00326226"/>
    <w:rsid w:val="003262E6"/>
    <w:rsid w:val="003266CA"/>
    <w:rsid w:val="003276FB"/>
    <w:rsid w:val="00327D4D"/>
    <w:rsid w:val="00327FF4"/>
    <w:rsid w:val="00332007"/>
    <w:rsid w:val="003322FB"/>
    <w:rsid w:val="003323B7"/>
    <w:rsid w:val="00333812"/>
    <w:rsid w:val="00334086"/>
    <w:rsid w:val="00334FEF"/>
    <w:rsid w:val="003352F4"/>
    <w:rsid w:val="003356DB"/>
    <w:rsid w:val="00335B80"/>
    <w:rsid w:val="0033608E"/>
    <w:rsid w:val="00336A54"/>
    <w:rsid w:val="00336F7C"/>
    <w:rsid w:val="003377AA"/>
    <w:rsid w:val="00337E83"/>
    <w:rsid w:val="00340A66"/>
    <w:rsid w:val="00341839"/>
    <w:rsid w:val="003418F8"/>
    <w:rsid w:val="00341DF1"/>
    <w:rsid w:val="003426F7"/>
    <w:rsid w:val="00343051"/>
    <w:rsid w:val="003433BC"/>
    <w:rsid w:val="003448E5"/>
    <w:rsid w:val="00344DD9"/>
    <w:rsid w:val="00345268"/>
    <w:rsid w:val="003452C1"/>
    <w:rsid w:val="003455BF"/>
    <w:rsid w:val="0034643C"/>
    <w:rsid w:val="00347041"/>
    <w:rsid w:val="00347B01"/>
    <w:rsid w:val="00351002"/>
    <w:rsid w:val="003528FE"/>
    <w:rsid w:val="003534BB"/>
    <w:rsid w:val="00353C4D"/>
    <w:rsid w:val="00353CED"/>
    <w:rsid w:val="00354001"/>
    <w:rsid w:val="003546EB"/>
    <w:rsid w:val="00354ABF"/>
    <w:rsid w:val="00354B7B"/>
    <w:rsid w:val="003561F0"/>
    <w:rsid w:val="003562A8"/>
    <w:rsid w:val="003568CE"/>
    <w:rsid w:val="00356E7E"/>
    <w:rsid w:val="00362A7C"/>
    <w:rsid w:val="00362B2F"/>
    <w:rsid w:val="0036341A"/>
    <w:rsid w:val="0036409C"/>
    <w:rsid w:val="00364DCC"/>
    <w:rsid w:val="00365982"/>
    <w:rsid w:val="0036700E"/>
    <w:rsid w:val="00370645"/>
    <w:rsid w:val="003708C3"/>
    <w:rsid w:val="003715C6"/>
    <w:rsid w:val="00371ABF"/>
    <w:rsid w:val="00371CA7"/>
    <w:rsid w:val="00372224"/>
    <w:rsid w:val="00372FBE"/>
    <w:rsid w:val="00373830"/>
    <w:rsid w:val="00373AEE"/>
    <w:rsid w:val="00374169"/>
    <w:rsid w:val="0037547C"/>
    <w:rsid w:val="00376362"/>
    <w:rsid w:val="00376B41"/>
    <w:rsid w:val="00377136"/>
    <w:rsid w:val="0037784C"/>
    <w:rsid w:val="00377B26"/>
    <w:rsid w:val="00377B3C"/>
    <w:rsid w:val="00377FA6"/>
    <w:rsid w:val="00381E0C"/>
    <w:rsid w:val="0038475C"/>
    <w:rsid w:val="00384E3F"/>
    <w:rsid w:val="00384F31"/>
    <w:rsid w:val="00385722"/>
    <w:rsid w:val="00385A6D"/>
    <w:rsid w:val="00385B99"/>
    <w:rsid w:val="00385E8E"/>
    <w:rsid w:val="00386F77"/>
    <w:rsid w:val="00387195"/>
    <w:rsid w:val="003871BB"/>
    <w:rsid w:val="003879AB"/>
    <w:rsid w:val="00390270"/>
    <w:rsid w:val="00390568"/>
    <w:rsid w:val="003907B9"/>
    <w:rsid w:val="00391FDE"/>
    <w:rsid w:val="00392C53"/>
    <w:rsid w:val="003937A4"/>
    <w:rsid w:val="0039389A"/>
    <w:rsid w:val="00393D53"/>
    <w:rsid w:val="00393E47"/>
    <w:rsid w:val="00394F47"/>
    <w:rsid w:val="00395121"/>
    <w:rsid w:val="00395182"/>
    <w:rsid w:val="0039550B"/>
    <w:rsid w:val="00396FAA"/>
    <w:rsid w:val="003977A7"/>
    <w:rsid w:val="003A03E5"/>
    <w:rsid w:val="003A07ED"/>
    <w:rsid w:val="003A1043"/>
    <w:rsid w:val="003A1827"/>
    <w:rsid w:val="003A2036"/>
    <w:rsid w:val="003A310E"/>
    <w:rsid w:val="003A38F7"/>
    <w:rsid w:val="003A4D3D"/>
    <w:rsid w:val="003A4D76"/>
    <w:rsid w:val="003A4DFA"/>
    <w:rsid w:val="003A56B2"/>
    <w:rsid w:val="003A5891"/>
    <w:rsid w:val="003A638D"/>
    <w:rsid w:val="003A6D87"/>
    <w:rsid w:val="003A724E"/>
    <w:rsid w:val="003A755C"/>
    <w:rsid w:val="003A7C8E"/>
    <w:rsid w:val="003A7CD5"/>
    <w:rsid w:val="003B181B"/>
    <w:rsid w:val="003B1927"/>
    <w:rsid w:val="003B1FE9"/>
    <w:rsid w:val="003B2B13"/>
    <w:rsid w:val="003B2BC6"/>
    <w:rsid w:val="003B2F18"/>
    <w:rsid w:val="003B31F4"/>
    <w:rsid w:val="003B419C"/>
    <w:rsid w:val="003B4FE3"/>
    <w:rsid w:val="003B677B"/>
    <w:rsid w:val="003B711C"/>
    <w:rsid w:val="003B72B3"/>
    <w:rsid w:val="003B7980"/>
    <w:rsid w:val="003B7F2F"/>
    <w:rsid w:val="003C0556"/>
    <w:rsid w:val="003C103C"/>
    <w:rsid w:val="003C17E2"/>
    <w:rsid w:val="003C1A0D"/>
    <w:rsid w:val="003C1B06"/>
    <w:rsid w:val="003C23EF"/>
    <w:rsid w:val="003C262C"/>
    <w:rsid w:val="003C2DE2"/>
    <w:rsid w:val="003C3787"/>
    <w:rsid w:val="003C394E"/>
    <w:rsid w:val="003C3DB7"/>
    <w:rsid w:val="003C6A30"/>
    <w:rsid w:val="003C70AE"/>
    <w:rsid w:val="003C7795"/>
    <w:rsid w:val="003D087E"/>
    <w:rsid w:val="003D21A3"/>
    <w:rsid w:val="003D355C"/>
    <w:rsid w:val="003D3E7D"/>
    <w:rsid w:val="003D4293"/>
    <w:rsid w:val="003D4853"/>
    <w:rsid w:val="003D4CF6"/>
    <w:rsid w:val="003D5432"/>
    <w:rsid w:val="003D5AB3"/>
    <w:rsid w:val="003D6192"/>
    <w:rsid w:val="003D6866"/>
    <w:rsid w:val="003E081F"/>
    <w:rsid w:val="003E099B"/>
    <w:rsid w:val="003E09E7"/>
    <w:rsid w:val="003E1325"/>
    <w:rsid w:val="003E18E5"/>
    <w:rsid w:val="003E2BA1"/>
    <w:rsid w:val="003E396E"/>
    <w:rsid w:val="003E48A7"/>
    <w:rsid w:val="003E4D7F"/>
    <w:rsid w:val="003E6265"/>
    <w:rsid w:val="003E6857"/>
    <w:rsid w:val="003E6F26"/>
    <w:rsid w:val="003E731B"/>
    <w:rsid w:val="003E75AA"/>
    <w:rsid w:val="003E78B8"/>
    <w:rsid w:val="003E7F43"/>
    <w:rsid w:val="003F089F"/>
    <w:rsid w:val="003F09C1"/>
    <w:rsid w:val="003F09E2"/>
    <w:rsid w:val="003F1D3A"/>
    <w:rsid w:val="003F34A6"/>
    <w:rsid w:val="003F3976"/>
    <w:rsid w:val="003F4245"/>
    <w:rsid w:val="003F49CE"/>
    <w:rsid w:val="003F594D"/>
    <w:rsid w:val="003F595B"/>
    <w:rsid w:val="003F660E"/>
    <w:rsid w:val="003F6D94"/>
    <w:rsid w:val="003F6E5C"/>
    <w:rsid w:val="0040151A"/>
    <w:rsid w:val="00401CC4"/>
    <w:rsid w:val="00402E90"/>
    <w:rsid w:val="00403291"/>
    <w:rsid w:val="004040AC"/>
    <w:rsid w:val="0040539B"/>
    <w:rsid w:val="00405589"/>
    <w:rsid w:val="00405760"/>
    <w:rsid w:val="00405811"/>
    <w:rsid w:val="00405F88"/>
    <w:rsid w:val="004063EE"/>
    <w:rsid w:val="004119F7"/>
    <w:rsid w:val="0041226A"/>
    <w:rsid w:val="004126DA"/>
    <w:rsid w:val="00412923"/>
    <w:rsid w:val="00413364"/>
    <w:rsid w:val="00413890"/>
    <w:rsid w:val="004141A1"/>
    <w:rsid w:val="004146D2"/>
    <w:rsid w:val="0041508B"/>
    <w:rsid w:val="00415E40"/>
    <w:rsid w:val="00416039"/>
    <w:rsid w:val="00420656"/>
    <w:rsid w:val="004207D0"/>
    <w:rsid w:val="00420E8D"/>
    <w:rsid w:val="00421746"/>
    <w:rsid w:val="00422618"/>
    <w:rsid w:val="0042418B"/>
    <w:rsid w:val="00424FAC"/>
    <w:rsid w:val="00425FAB"/>
    <w:rsid w:val="004268EB"/>
    <w:rsid w:val="004273D7"/>
    <w:rsid w:val="004304B3"/>
    <w:rsid w:val="00430698"/>
    <w:rsid w:val="00431C44"/>
    <w:rsid w:val="004322AE"/>
    <w:rsid w:val="00433391"/>
    <w:rsid w:val="00436B8F"/>
    <w:rsid w:val="00436D25"/>
    <w:rsid w:val="0044045E"/>
    <w:rsid w:val="0044062D"/>
    <w:rsid w:val="004406F4"/>
    <w:rsid w:val="004409F8"/>
    <w:rsid w:val="00440A20"/>
    <w:rsid w:val="0044104C"/>
    <w:rsid w:val="00441B8B"/>
    <w:rsid w:val="004422A1"/>
    <w:rsid w:val="00442BA4"/>
    <w:rsid w:val="00442CE2"/>
    <w:rsid w:val="00443D73"/>
    <w:rsid w:val="0044416D"/>
    <w:rsid w:val="004444FC"/>
    <w:rsid w:val="00444FF5"/>
    <w:rsid w:val="004453D9"/>
    <w:rsid w:val="00445404"/>
    <w:rsid w:val="00446A49"/>
    <w:rsid w:val="0044727A"/>
    <w:rsid w:val="004472E3"/>
    <w:rsid w:val="00447F87"/>
    <w:rsid w:val="00450295"/>
    <w:rsid w:val="004508BE"/>
    <w:rsid w:val="004509A8"/>
    <w:rsid w:val="004518A8"/>
    <w:rsid w:val="004519B5"/>
    <w:rsid w:val="004527AE"/>
    <w:rsid w:val="00452B35"/>
    <w:rsid w:val="0045360A"/>
    <w:rsid w:val="00453682"/>
    <w:rsid w:val="004540D0"/>
    <w:rsid w:val="004541E5"/>
    <w:rsid w:val="0045467E"/>
    <w:rsid w:val="00454EA2"/>
    <w:rsid w:val="0045515A"/>
    <w:rsid w:val="004567C0"/>
    <w:rsid w:val="00456BA3"/>
    <w:rsid w:val="004575C1"/>
    <w:rsid w:val="00462087"/>
    <w:rsid w:val="00464715"/>
    <w:rsid w:val="0046476F"/>
    <w:rsid w:val="00465215"/>
    <w:rsid w:val="004652D1"/>
    <w:rsid w:val="004656A2"/>
    <w:rsid w:val="00465AD1"/>
    <w:rsid w:val="00466916"/>
    <w:rsid w:val="004669C1"/>
    <w:rsid w:val="00466B5D"/>
    <w:rsid w:val="0046751A"/>
    <w:rsid w:val="00467BF3"/>
    <w:rsid w:val="004714B4"/>
    <w:rsid w:val="00471A1E"/>
    <w:rsid w:val="00472E3D"/>
    <w:rsid w:val="00472F35"/>
    <w:rsid w:val="0047415B"/>
    <w:rsid w:val="004750CA"/>
    <w:rsid w:val="00475166"/>
    <w:rsid w:val="00476A9A"/>
    <w:rsid w:val="0048134A"/>
    <w:rsid w:val="004813CF"/>
    <w:rsid w:val="00481450"/>
    <w:rsid w:val="004841BF"/>
    <w:rsid w:val="00484425"/>
    <w:rsid w:val="004845C8"/>
    <w:rsid w:val="00484E48"/>
    <w:rsid w:val="00485093"/>
    <w:rsid w:val="004854A3"/>
    <w:rsid w:val="0048573C"/>
    <w:rsid w:val="00485DA7"/>
    <w:rsid w:val="00485F6F"/>
    <w:rsid w:val="0048755E"/>
    <w:rsid w:val="0048757A"/>
    <w:rsid w:val="0048786F"/>
    <w:rsid w:val="00487CA4"/>
    <w:rsid w:val="004902CF"/>
    <w:rsid w:val="004903C7"/>
    <w:rsid w:val="004903F8"/>
    <w:rsid w:val="004906E1"/>
    <w:rsid w:val="00491B1D"/>
    <w:rsid w:val="0049246D"/>
    <w:rsid w:val="004935A0"/>
    <w:rsid w:val="0049369A"/>
    <w:rsid w:val="00493707"/>
    <w:rsid w:val="004944B0"/>
    <w:rsid w:val="00494D09"/>
    <w:rsid w:val="00495686"/>
    <w:rsid w:val="004962FD"/>
    <w:rsid w:val="00497003"/>
    <w:rsid w:val="004977AB"/>
    <w:rsid w:val="004A0375"/>
    <w:rsid w:val="004A0434"/>
    <w:rsid w:val="004A07EF"/>
    <w:rsid w:val="004A148E"/>
    <w:rsid w:val="004A240E"/>
    <w:rsid w:val="004A26C5"/>
    <w:rsid w:val="004A4A46"/>
    <w:rsid w:val="004A6710"/>
    <w:rsid w:val="004A6875"/>
    <w:rsid w:val="004A7D31"/>
    <w:rsid w:val="004B084B"/>
    <w:rsid w:val="004B2FAC"/>
    <w:rsid w:val="004B51ED"/>
    <w:rsid w:val="004B61E9"/>
    <w:rsid w:val="004B62C3"/>
    <w:rsid w:val="004B76D7"/>
    <w:rsid w:val="004C00C1"/>
    <w:rsid w:val="004C0A78"/>
    <w:rsid w:val="004C1120"/>
    <w:rsid w:val="004C1663"/>
    <w:rsid w:val="004C17F1"/>
    <w:rsid w:val="004C1F0F"/>
    <w:rsid w:val="004C2A5A"/>
    <w:rsid w:val="004C2C69"/>
    <w:rsid w:val="004C3576"/>
    <w:rsid w:val="004C435D"/>
    <w:rsid w:val="004C4FCE"/>
    <w:rsid w:val="004C6A30"/>
    <w:rsid w:val="004C76D7"/>
    <w:rsid w:val="004D0CA1"/>
    <w:rsid w:val="004D10F8"/>
    <w:rsid w:val="004D1D3F"/>
    <w:rsid w:val="004D268F"/>
    <w:rsid w:val="004D26C9"/>
    <w:rsid w:val="004D2CF5"/>
    <w:rsid w:val="004D315A"/>
    <w:rsid w:val="004D38C8"/>
    <w:rsid w:val="004D49F2"/>
    <w:rsid w:val="004D49FB"/>
    <w:rsid w:val="004D50C8"/>
    <w:rsid w:val="004D5359"/>
    <w:rsid w:val="004D5740"/>
    <w:rsid w:val="004D59A8"/>
    <w:rsid w:val="004D6981"/>
    <w:rsid w:val="004D7B4F"/>
    <w:rsid w:val="004D7F8F"/>
    <w:rsid w:val="004E09B8"/>
    <w:rsid w:val="004E3AE9"/>
    <w:rsid w:val="004E409A"/>
    <w:rsid w:val="004E4598"/>
    <w:rsid w:val="004E49A5"/>
    <w:rsid w:val="004E5914"/>
    <w:rsid w:val="004E5C5E"/>
    <w:rsid w:val="004E5E22"/>
    <w:rsid w:val="004E6A50"/>
    <w:rsid w:val="004E6D6A"/>
    <w:rsid w:val="004E732C"/>
    <w:rsid w:val="004F0D17"/>
    <w:rsid w:val="004F1354"/>
    <w:rsid w:val="004F1D25"/>
    <w:rsid w:val="004F22D7"/>
    <w:rsid w:val="004F26F0"/>
    <w:rsid w:val="004F2D78"/>
    <w:rsid w:val="004F3119"/>
    <w:rsid w:val="004F3E94"/>
    <w:rsid w:val="004F42B4"/>
    <w:rsid w:val="004F4E60"/>
    <w:rsid w:val="004F53CD"/>
    <w:rsid w:val="004F5B19"/>
    <w:rsid w:val="004F73AF"/>
    <w:rsid w:val="00501064"/>
    <w:rsid w:val="005011BE"/>
    <w:rsid w:val="00501F18"/>
    <w:rsid w:val="00502452"/>
    <w:rsid w:val="0050252D"/>
    <w:rsid w:val="00502880"/>
    <w:rsid w:val="005028E5"/>
    <w:rsid w:val="00502961"/>
    <w:rsid w:val="00502D3C"/>
    <w:rsid w:val="00502F4B"/>
    <w:rsid w:val="00504595"/>
    <w:rsid w:val="005048FC"/>
    <w:rsid w:val="00504CFC"/>
    <w:rsid w:val="00505110"/>
    <w:rsid w:val="005054A2"/>
    <w:rsid w:val="0050577D"/>
    <w:rsid w:val="00505869"/>
    <w:rsid w:val="00510CE1"/>
    <w:rsid w:val="00511435"/>
    <w:rsid w:val="0051156A"/>
    <w:rsid w:val="0051237A"/>
    <w:rsid w:val="00513B67"/>
    <w:rsid w:val="00514315"/>
    <w:rsid w:val="00514D81"/>
    <w:rsid w:val="005166E2"/>
    <w:rsid w:val="00517123"/>
    <w:rsid w:val="00517576"/>
    <w:rsid w:val="00517C99"/>
    <w:rsid w:val="0052055C"/>
    <w:rsid w:val="00521612"/>
    <w:rsid w:val="005218FE"/>
    <w:rsid w:val="00521BF5"/>
    <w:rsid w:val="00521C32"/>
    <w:rsid w:val="00521E6C"/>
    <w:rsid w:val="005225B5"/>
    <w:rsid w:val="005226DC"/>
    <w:rsid w:val="00522B33"/>
    <w:rsid w:val="00523242"/>
    <w:rsid w:val="00523277"/>
    <w:rsid w:val="0052598A"/>
    <w:rsid w:val="00525BC1"/>
    <w:rsid w:val="00527088"/>
    <w:rsid w:val="005278CD"/>
    <w:rsid w:val="0052792C"/>
    <w:rsid w:val="00527E7D"/>
    <w:rsid w:val="0053050F"/>
    <w:rsid w:val="0053120F"/>
    <w:rsid w:val="005317CE"/>
    <w:rsid w:val="0053246F"/>
    <w:rsid w:val="005329ED"/>
    <w:rsid w:val="00532BA4"/>
    <w:rsid w:val="00532C9B"/>
    <w:rsid w:val="0053344B"/>
    <w:rsid w:val="00533D6A"/>
    <w:rsid w:val="0053414B"/>
    <w:rsid w:val="00534CCB"/>
    <w:rsid w:val="00534D35"/>
    <w:rsid w:val="00535426"/>
    <w:rsid w:val="00535E50"/>
    <w:rsid w:val="00536165"/>
    <w:rsid w:val="00536860"/>
    <w:rsid w:val="005368A3"/>
    <w:rsid w:val="00541FFB"/>
    <w:rsid w:val="0054221B"/>
    <w:rsid w:val="00542419"/>
    <w:rsid w:val="00542BD3"/>
    <w:rsid w:val="00543022"/>
    <w:rsid w:val="005430AD"/>
    <w:rsid w:val="005432BF"/>
    <w:rsid w:val="00545487"/>
    <w:rsid w:val="00545668"/>
    <w:rsid w:val="00545873"/>
    <w:rsid w:val="0054588C"/>
    <w:rsid w:val="0054685E"/>
    <w:rsid w:val="00547296"/>
    <w:rsid w:val="00547337"/>
    <w:rsid w:val="00547E10"/>
    <w:rsid w:val="00550283"/>
    <w:rsid w:val="005505AC"/>
    <w:rsid w:val="00550B42"/>
    <w:rsid w:val="00551C6D"/>
    <w:rsid w:val="00554134"/>
    <w:rsid w:val="0055583F"/>
    <w:rsid w:val="00555B5D"/>
    <w:rsid w:val="00555ED8"/>
    <w:rsid w:val="00555FF4"/>
    <w:rsid w:val="005564DD"/>
    <w:rsid w:val="005568A9"/>
    <w:rsid w:val="00556B91"/>
    <w:rsid w:val="0055710D"/>
    <w:rsid w:val="00557B58"/>
    <w:rsid w:val="00560946"/>
    <w:rsid w:val="00561629"/>
    <w:rsid w:val="00562128"/>
    <w:rsid w:val="00562716"/>
    <w:rsid w:val="00563930"/>
    <w:rsid w:val="00564B0C"/>
    <w:rsid w:val="00564F8A"/>
    <w:rsid w:val="0056536C"/>
    <w:rsid w:val="005654B8"/>
    <w:rsid w:val="0056688C"/>
    <w:rsid w:val="00567265"/>
    <w:rsid w:val="0056784A"/>
    <w:rsid w:val="00567E21"/>
    <w:rsid w:val="00570370"/>
    <w:rsid w:val="00571A14"/>
    <w:rsid w:val="00571A26"/>
    <w:rsid w:val="00572AE9"/>
    <w:rsid w:val="00572D26"/>
    <w:rsid w:val="005738E9"/>
    <w:rsid w:val="00574400"/>
    <w:rsid w:val="0057455B"/>
    <w:rsid w:val="00574D53"/>
    <w:rsid w:val="00575155"/>
    <w:rsid w:val="00575777"/>
    <w:rsid w:val="005759E2"/>
    <w:rsid w:val="00575DA4"/>
    <w:rsid w:val="00576224"/>
    <w:rsid w:val="005768D4"/>
    <w:rsid w:val="00576AA9"/>
    <w:rsid w:val="00577827"/>
    <w:rsid w:val="00577E13"/>
    <w:rsid w:val="0058051A"/>
    <w:rsid w:val="00580B40"/>
    <w:rsid w:val="005814F7"/>
    <w:rsid w:val="00582BB8"/>
    <w:rsid w:val="00582C04"/>
    <w:rsid w:val="005835D5"/>
    <w:rsid w:val="00583D84"/>
    <w:rsid w:val="005844EA"/>
    <w:rsid w:val="00584DF1"/>
    <w:rsid w:val="005851FF"/>
    <w:rsid w:val="00585D7A"/>
    <w:rsid w:val="0058601D"/>
    <w:rsid w:val="005862BF"/>
    <w:rsid w:val="0058638D"/>
    <w:rsid w:val="00586C48"/>
    <w:rsid w:val="0058786E"/>
    <w:rsid w:val="005879A0"/>
    <w:rsid w:val="00587A86"/>
    <w:rsid w:val="00590A5B"/>
    <w:rsid w:val="00590FC8"/>
    <w:rsid w:val="00591178"/>
    <w:rsid w:val="00594557"/>
    <w:rsid w:val="00594F14"/>
    <w:rsid w:val="005955E5"/>
    <w:rsid w:val="005956E1"/>
    <w:rsid w:val="00595913"/>
    <w:rsid w:val="00595E8A"/>
    <w:rsid w:val="00596224"/>
    <w:rsid w:val="00596457"/>
    <w:rsid w:val="00596D0A"/>
    <w:rsid w:val="005971C3"/>
    <w:rsid w:val="0059720F"/>
    <w:rsid w:val="0059752F"/>
    <w:rsid w:val="005A001C"/>
    <w:rsid w:val="005A0449"/>
    <w:rsid w:val="005A04D4"/>
    <w:rsid w:val="005A05DE"/>
    <w:rsid w:val="005A0FD7"/>
    <w:rsid w:val="005A18BA"/>
    <w:rsid w:val="005A1DCE"/>
    <w:rsid w:val="005A27B6"/>
    <w:rsid w:val="005A29E7"/>
    <w:rsid w:val="005A2E39"/>
    <w:rsid w:val="005A31B5"/>
    <w:rsid w:val="005A33C8"/>
    <w:rsid w:val="005A3F2F"/>
    <w:rsid w:val="005A481D"/>
    <w:rsid w:val="005A49CC"/>
    <w:rsid w:val="005A5AFD"/>
    <w:rsid w:val="005A5D16"/>
    <w:rsid w:val="005A607D"/>
    <w:rsid w:val="005A6740"/>
    <w:rsid w:val="005A692D"/>
    <w:rsid w:val="005A7DE3"/>
    <w:rsid w:val="005B007B"/>
    <w:rsid w:val="005B08CC"/>
    <w:rsid w:val="005B18C7"/>
    <w:rsid w:val="005B2A8D"/>
    <w:rsid w:val="005B4993"/>
    <w:rsid w:val="005B4ED7"/>
    <w:rsid w:val="005B6026"/>
    <w:rsid w:val="005B6838"/>
    <w:rsid w:val="005B68BB"/>
    <w:rsid w:val="005B6F05"/>
    <w:rsid w:val="005B7248"/>
    <w:rsid w:val="005B72BF"/>
    <w:rsid w:val="005C146D"/>
    <w:rsid w:val="005C1D81"/>
    <w:rsid w:val="005C2F89"/>
    <w:rsid w:val="005C3D00"/>
    <w:rsid w:val="005C4180"/>
    <w:rsid w:val="005C51B5"/>
    <w:rsid w:val="005C7336"/>
    <w:rsid w:val="005C73EE"/>
    <w:rsid w:val="005C7890"/>
    <w:rsid w:val="005C7D46"/>
    <w:rsid w:val="005C7FA3"/>
    <w:rsid w:val="005D09E2"/>
    <w:rsid w:val="005D0F3A"/>
    <w:rsid w:val="005D1938"/>
    <w:rsid w:val="005D1F0F"/>
    <w:rsid w:val="005D267F"/>
    <w:rsid w:val="005D2E8E"/>
    <w:rsid w:val="005D36F5"/>
    <w:rsid w:val="005D396C"/>
    <w:rsid w:val="005D3EE1"/>
    <w:rsid w:val="005D4624"/>
    <w:rsid w:val="005D5F30"/>
    <w:rsid w:val="005D6522"/>
    <w:rsid w:val="005D68D3"/>
    <w:rsid w:val="005D696C"/>
    <w:rsid w:val="005D6AF2"/>
    <w:rsid w:val="005D6FAA"/>
    <w:rsid w:val="005E005E"/>
    <w:rsid w:val="005E168A"/>
    <w:rsid w:val="005E1A5F"/>
    <w:rsid w:val="005E23D1"/>
    <w:rsid w:val="005E2628"/>
    <w:rsid w:val="005E27B5"/>
    <w:rsid w:val="005E2D52"/>
    <w:rsid w:val="005E2EC0"/>
    <w:rsid w:val="005E342E"/>
    <w:rsid w:val="005E5421"/>
    <w:rsid w:val="005E5993"/>
    <w:rsid w:val="005E5E2A"/>
    <w:rsid w:val="005E6C5C"/>
    <w:rsid w:val="005E7629"/>
    <w:rsid w:val="005E781E"/>
    <w:rsid w:val="005E7B76"/>
    <w:rsid w:val="005F1229"/>
    <w:rsid w:val="005F1438"/>
    <w:rsid w:val="005F23EA"/>
    <w:rsid w:val="005F3346"/>
    <w:rsid w:val="005F61D6"/>
    <w:rsid w:val="005F6943"/>
    <w:rsid w:val="005F6B1B"/>
    <w:rsid w:val="005F725B"/>
    <w:rsid w:val="00602461"/>
    <w:rsid w:val="00602A52"/>
    <w:rsid w:val="00602B7F"/>
    <w:rsid w:val="00602DB0"/>
    <w:rsid w:val="00603316"/>
    <w:rsid w:val="0060472E"/>
    <w:rsid w:val="00605FFD"/>
    <w:rsid w:val="00607299"/>
    <w:rsid w:val="00610028"/>
    <w:rsid w:val="006100BC"/>
    <w:rsid w:val="00610241"/>
    <w:rsid w:val="006119B9"/>
    <w:rsid w:val="0061235B"/>
    <w:rsid w:val="00612369"/>
    <w:rsid w:val="00612652"/>
    <w:rsid w:val="00612881"/>
    <w:rsid w:val="00613A78"/>
    <w:rsid w:val="006145AE"/>
    <w:rsid w:val="00614FCD"/>
    <w:rsid w:val="00615317"/>
    <w:rsid w:val="00615A41"/>
    <w:rsid w:val="00616217"/>
    <w:rsid w:val="00616A00"/>
    <w:rsid w:val="00616BD4"/>
    <w:rsid w:val="006173BC"/>
    <w:rsid w:val="00617742"/>
    <w:rsid w:val="00617C75"/>
    <w:rsid w:val="006202AB"/>
    <w:rsid w:val="006206D3"/>
    <w:rsid w:val="0062105C"/>
    <w:rsid w:val="00621123"/>
    <w:rsid w:val="006215DB"/>
    <w:rsid w:val="00621CDC"/>
    <w:rsid w:val="00622E3E"/>
    <w:rsid w:val="006233AB"/>
    <w:rsid w:val="006240DD"/>
    <w:rsid w:val="00624277"/>
    <w:rsid w:val="00624E85"/>
    <w:rsid w:val="00626551"/>
    <w:rsid w:val="00626609"/>
    <w:rsid w:val="0062732F"/>
    <w:rsid w:val="006300CC"/>
    <w:rsid w:val="0063063B"/>
    <w:rsid w:val="006310CC"/>
    <w:rsid w:val="006311B3"/>
    <w:rsid w:val="00631627"/>
    <w:rsid w:val="00631779"/>
    <w:rsid w:val="00631F20"/>
    <w:rsid w:val="00633AA6"/>
    <w:rsid w:val="00634C65"/>
    <w:rsid w:val="00634EEE"/>
    <w:rsid w:val="00634F82"/>
    <w:rsid w:val="006353EF"/>
    <w:rsid w:val="00635663"/>
    <w:rsid w:val="00635AD0"/>
    <w:rsid w:val="00635F46"/>
    <w:rsid w:val="00635F52"/>
    <w:rsid w:val="0063747E"/>
    <w:rsid w:val="00637A4D"/>
    <w:rsid w:val="00637D86"/>
    <w:rsid w:val="00641310"/>
    <w:rsid w:val="0064187D"/>
    <w:rsid w:val="00641948"/>
    <w:rsid w:val="00641C07"/>
    <w:rsid w:val="0064224F"/>
    <w:rsid w:val="00643400"/>
    <w:rsid w:val="00643601"/>
    <w:rsid w:val="006445B2"/>
    <w:rsid w:val="00644679"/>
    <w:rsid w:val="00644F99"/>
    <w:rsid w:val="00644FA7"/>
    <w:rsid w:val="006454FA"/>
    <w:rsid w:val="00645633"/>
    <w:rsid w:val="006457C0"/>
    <w:rsid w:val="00646C07"/>
    <w:rsid w:val="00646C14"/>
    <w:rsid w:val="0064763B"/>
    <w:rsid w:val="00650F96"/>
    <w:rsid w:val="0065215C"/>
    <w:rsid w:val="00652ED2"/>
    <w:rsid w:val="0065305D"/>
    <w:rsid w:val="0065352D"/>
    <w:rsid w:val="006542E3"/>
    <w:rsid w:val="006562AF"/>
    <w:rsid w:val="00656577"/>
    <w:rsid w:val="00656AA5"/>
    <w:rsid w:val="00656D93"/>
    <w:rsid w:val="006571F9"/>
    <w:rsid w:val="006572AE"/>
    <w:rsid w:val="006602B0"/>
    <w:rsid w:val="0066053D"/>
    <w:rsid w:val="00660A5C"/>
    <w:rsid w:val="00660CDD"/>
    <w:rsid w:val="00661075"/>
    <w:rsid w:val="006611D0"/>
    <w:rsid w:val="00661247"/>
    <w:rsid w:val="00661924"/>
    <w:rsid w:val="00661E77"/>
    <w:rsid w:val="0066249A"/>
    <w:rsid w:val="00662F66"/>
    <w:rsid w:val="006631CF"/>
    <w:rsid w:val="00663E93"/>
    <w:rsid w:val="00665518"/>
    <w:rsid w:val="00665C50"/>
    <w:rsid w:val="006662EC"/>
    <w:rsid w:val="006669B0"/>
    <w:rsid w:val="00666A6D"/>
    <w:rsid w:val="0066781C"/>
    <w:rsid w:val="00667CDF"/>
    <w:rsid w:val="00671262"/>
    <w:rsid w:val="006713A3"/>
    <w:rsid w:val="006717DB"/>
    <w:rsid w:val="00671C7E"/>
    <w:rsid w:val="00671D49"/>
    <w:rsid w:val="006727A6"/>
    <w:rsid w:val="00673A01"/>
    <w:rsid w:val="0067621A"/>
    <w:rsid w:val="006762DE"/>
    <w:rsid w:val="00676BE4"/>
    <w:rsid w:val="00677B9B"/>
    <w:rsid w:val="006806A1"/>
    <w:rsid w:val="0068195D"/>
    <w:rsid w:val="00681E96"/>
    <w:rsid w:val="00682408"/>
    <w:rsid w:val="006824AA"/>
    <w:rsid w:val="006830FF"/>
    <w:rsid w:val="00683A35"/>
    <w:rsid w:val="00684E60"/>
    <w:rsid w:val="00685773"/>
    <w:rsid w:val="006859CE"/>
    <w:rsid w:val="0068647A"/>
    <w:rsid w:val="00686934"/>
    <w:rsid w:val="006875D6"/>
    <w:rsid w:val="00687AB4"/>
    <w:rsid w:val="006909AF"/>
    <w:rsid w:val="00690FB6"/>
    <w:rsid w:val="00691941"/>
    <w:rsid w:val="0069194F"/>
    <w:rsid w:val="00691AB5"/>
    <w:rsid w:val="0069211F"/>
    <w:rsid w:val="0069260D"/>
    <w:rsid w:val="0069329F"/>
    <w:rsid w:val="00694251"/>
    <w:rsid w:val="006942B6"/>
    <w:rsid w:val="0069483D"/>
    <w:rsid w:val="00695309"/>
    <w:rsid w:val="00695779"/>
    <w:rsid w:val="00696BC8"/>
    <w:rsid w:val="00697076"/>
    <w:rsid w:val="006A02B4"/>
    <w:rsid w:val="006A107D"/>
    <w:rsid w:val="006A1D0D"/>
    <w:rsid w:val="006A2F6E"/>
    <w:rsid w:val="006A40C3"/>
    <w:rsid w:val="006A5BFD"/>
    <w:rsid w:val="006A5F2F"/>
    <w:rsid w:val="006A78C7"/>
    <w:rsid w:val="006B0207"/>
    <w:rsid w:val="006B0925"/>
    <w:rsid w:val="006B0ED8"/>
    <w:rsid w:val="006B12AA"/>
    <w:rsid w:val="006B2077"/>
    <w:rsid w:val="006B2372"/>
    <w:rsid w:val="006B2B7A"/>
    <w:rsid w:val="006B3FEE"/>
    <w:rsid w:val="006B4DEF"/>
    <w:rsid w:val="006B5AE2"/>
    <w:rsid w:val="006B5D38"/>
    <w:rsid w:val="006B71E0"/>
    <w:rsid w:val="006B7512"/>
    <w:rsid w:val="006B7882"/>
    <w:rsid w:val="006C0719"/>
    <w:rsid w:val="006C0ABE"/>
    <w:rsid w:val="006C1251"/>
    <w:rsid w:val="006C12E5"/>
    <w:rsid w:val="006C1926"/>
    <w:rsid w:val="006C196D"/>
    <w:rsid w:val="006C2029"/>
    <w:rsid w:val="006C22CE"/>
    <w:rsid w:val="006C30A5"/>
    <w:rsid w:val="006C32C1"/>
    <w:rsid w:val="006C469C"/>
    <w:rsid w:val="006C61F9"/>
    <w:rsid w:val="006C7017"/>
    <w:rsid w:val="006C7CFA"/>
    <w:rsid w:val="006D09F1"/>
    <w:rsid w:val="006D0BC4"/>
    <w:rsid w:val="006D1002"/>
    <w:rsid w:val="006D1B19"/>
    <w:rsid w:val="006D2604"/>
    <w:rsid w:val="006D27E1"/>
    <w:rsid w:val="006D34CF"/>
    <w:rsid w:val="006D3575"/>
    <w:rsid w:val="006D3C33"/>
    <w:rsid w:val="006D4C30"/>
    <w:rsid w:val="006D577A"/>
    <w:rsid w:val="006D5DDA"/>
    <w:rsid w:val="006D6941"/>
    <w:rsid w:val="006D6A58"/>
    <w:rsid w:val="006D6E0B"/>
    <w:rsid w:val="006D7DEB"/>
    <w:rsid w:val="006E0B70"/>
    <w:rsid w:val="006E1700"/>
    <w:rsid w:val="006E20E6"/>
    <w:rsid w:val="006E2295"/>
    <w:rsid w:val="006E2461"/>
    <w:rsid w:val="006E2CD6"/>
    <w:rsid w:val="006E3393"/>
    <w:rsid w:val="006E48D6"/>
    <w:rsid w:val="006E542E"/>
    <w:rsid w:val="006E544D"/>
    <w:rsid w:val="006E736F"/>
    <w:rsid w:val="006E7721"/>
    <w:rsid w:val="006E7A4D"/>
    <w:rsid w:val="006F00E7"/>
    <w:rsid w:val="006F06A3"/>
    <w:rsid w:val="006F14A6"/>
    <w:rsid w:val="006F169D"/>
    <w:rsid w:val="006F206F"/>
    <w:rsid w:val="006F2700"/>
    <w:rsid w:val="006F270E"/>
    <w:rsid w:val="006F3404"/>
    <w:rsid w:val="006F389A"/>
    <w:rsid w:val="006F44C0"/>
    <w:rsid w:val="006F4F0F"/>
    <w:rsid w:val="006F539A"/>
    <w:rsid w:val="006F5CEB"/>
    <w:rsid w:val="006F5EFB"/>
    <w:rsid w:val="006F6E7D"/>
    <w:rsid w:val="006F76B8"/>
    <w:rsid w:val="00700066"/>
    <w:rsid w:val="0070114F"/>
    <w:rsid w:val="00701B46"/>
    <w:rsid w:val="007022B4"/>
    <w:rsid w:val="007065CF"/>
    <w:rsid w:val="0070682D"/>
    <w:rsid w:val="00707D86"/>
    <w:rsid w:val="00707FE6"/>
    <w:rsid w:val="007107C7"/>
    <w:rsid w:val="00710B60"/>
    <w:rsid w:val="0071174A"/>
    <w:rsid w:val="00711AA0"/>
    <w:rsid w:val="00711AD9"/>
    <w:rsid w:val="00712072"/>
    <w:rsid w:val="00712933"/>
    <w:rsid w:val="00712D54"/>
    <w:rsid w:val="00713927"/>
    <w:rsid w:val="00714889"/>
    <w:rsid w:val="00715239"/>
    <w:rsid w:val="007161CD"/>
    <w:rsid w:val="00716925"/>
    <w:rsid w:val="00716C1C"/>
    <w:rsid w:val="00721849"/>
    <w:rsid w:val="00721AD2"/>
    <w:rsid w:val="00721EE7"/>
    <w:rsid w:val="007222EA"/>
    <w:rsid w:val="0072252F"/>
    <w:rsid w:val="00722F4A"/>
    <w:rsid w:val="00723422"/>
    <w:rsid w:val="007251EF"/>
    <w:rsid w:val="00725C90"/>
    <w:rsid w:val="00727EF4"/>
    <w:rsid w:val="00730929"/>
    <w:rsid w:val="00730DB8"/>
    <w:rsid w:val="007313A8"/>
    <w:rsid w:val="00732A19"/>
    <w:rsid w:val="007335FC"/>
    <w:rsid w:val="00735C87"/>
    <w:rsid w:val="00736022"/>
    <w:rsid w:val="007362B0"/>
    <w:rsid w:val="0073630B"/>
    <w:rsid w:val="007366B0"/>
    <w:rsid w:val="00736C4E"/>
    <w:rsid w:val="007407ED"/>
    <w:rsid w:val="00742D4D"/>
    <w:rsid w:val="00742E98"/>
    <w:rsid w:val="00743743"/>
    <w:rsid w:val="00743D55"/>
    <w:rsid w:val="00744153"/>
    <w:rsid w:val="00744D0A"/>
    <w:rsid w:val="00744D72"/>
    <w:rsid w:val="00745A0B"/>
    <w:rsid w:val="007462ED"/>
    <w:rsid w:val="007464AE"/>
    <w:rsid w:val="00747B19"/>
    <w:rsid w:val="00747DC7"/>
    <w:rsid w:val="00750065"/>
    <w:rsid w:val="00750085"/>
    <w:rsid w:val="00751110"/>
    <w:rsid w:val="00751132"/>
    <w:rsid w:val="00751BA5"/>
    <w:rsid w:val="00752B2F"/>
    <w:rsid w:val="007538E6"/>
    <w:rsid w:val="00755604"/>
    <w:rsid w:val="00755898"/>
    <w:rsid w:val="00756B65"/>
    <w:rsid w:val="00757DA2"/>
    <w:rsid w:val="0076025E"/>
    <w:rsid w:val="007609B8"/>
    <w:rsid w:val="00760CEC"/>
    <w:rsid w:val="00761B55"/>
    <w:rsid w:val="0076209E"/>
    <w:rsid w:val="00762317"/>
    <w:rsid w:val="00763419"/>
    <w:rsid w:val="007639FE"/>
    <w:rsid w:val="00763A3E"/>
    <w:rsid w:val="007645CF"/>
    <w:rsid w:val="00764830"/>
    <w:rsid w:val="00764889"/>
    <w:rsid w:val="007662F8"/>
    <w:rsid w:val="00766BFD"/>
    <w:rsid w:val="007673C3"/>
    <w:rsid w:val="007701D3"/>
    <w:rsid w:val="00771870"/>
    <w:rsid w:val="00772DE1"/>
    <w:rsid w:val="007732C3"/>
    <w:rsid w:val="0077350F"/>
    <w:rsid w:val="007744F5"/>
    <w:rsid w:val="00774CA5"/>
    <w:rsid w:val="0077540C"/>
    <w:rsid w:val="00775C6D"/>
    <w:rsid w:val="00776BBE"/>
    <w:rsid w:val="00776F26"/>
    <w:rsid w:val="00777AE6"/>
    <w:rsid w:val="00777C09"/>
    <w:rsid w:val="00777C5C"/>
    <w:rsid w:val="00781A4E"/>
    <w:rsid w:val="00782C5A"/>
    <w:rsid w:val="00782E17"/>
    <w:rsid w:val="0078499D"/>
    <w:rsid w:val="00785665"/>
    <w:rsid w:val="00785B2C"/>
    <w:rsid w:val="00785D0A"/>
    <w:rsid w:val="0078636E"/>
    <w:rsid w:val="007863D2"/>
    <w:rsid w:val="00786A0B"/>
    <w:rsid w:val="00786FCC"/>
    <w:rsid w:val="00787600"/>
    <w:rsid w:val="00787FD4"/>
    <w:rsid w:val="007908DB"/>
    <w:rsid w:val="007909F4"/>
    <w:rsid w:val="007919B3"/>
    <w:rsid w:val="00791C87"/>
    <w:rsid w:val="00792801"/>
    <w:rsid w:val="00792DA3"/>
    <w:rsid w:val="00793F8B"/>
    <w:rsid w:val="00794AD2"/>
    <w:rsid w:val="00795419"/>
    <w:rsid w:val="00795DE1"/>
    <w:rsid w:val="007966DA"/>
    <w:rsid w:val="00797070"/>
    <w:rsid w:val="00797848"/>
    <w:rsid w:val="00797862"/>
    <w:rsid w:val="00797985"/>
    <w:rsid w:val="00797CCB"/>
    <w:rsid w:val="00797E67"/>
    <w:rsid w:val="007A04BF"/>
    <w:rsid w:val="007A0BA3"/>
    <w:rsid w:val="007A1C55"/>
    <w:rsid w:val="007A208A"/>
    <w:rsid w:val="007A2AA8"/>
    <w:rsid w:val="007A5515"/>
    <w:rsid w:val="007A5D6B"/>
    <w:rsid w:val="007A6292"/>
    <w:rsid w:val="007A66E6"/>
    <w:rsid w:val="007A6BF4"/>
    <w:rsid w:val="007A7E31"/>
    <w:rsid w:val="007B0015"/>
    <w:rsid w:val="007B00B4"/>
    <w:rsid w:val="007B087E"/>
    <w:rsid w:val="007B090C"/>
    <w:rsid w:val="007B0A1E"/>
    <w:rsid w:val="007B0D34"/>
    <w:rsid w:val="007B21F1"/>
    <w:rsid w:val="007B2521"/>
    <w:rsid w:val="007B3491"/>
    <w:rsid w:val="007B4097"/>
    <w:rsid w:val="007B4246"/>
    <w:rsid w:val="007B480D"/>
    <w:rsid w:val="007B4BF5"/>
    <w:rsid w:val="007B5FBF"/>
    <w:rsid w:val="007B652F"/>
    <w:rsid w:val="007B782A"/>
    <w:rsid w:val="007C029E"/>
    <w:rsid w:val="007C0517"/>
    <w:rsid w:val="007C1B76"/>
    <w:rsid w:val="007C1EED"/>
    <w:rsid w:val="007C2584"/>
    <w:rsid w:val="007C2C69"/>
    <w:rsid w:val="007C3432"/>
    <w:rsid w:val="007C3B90"/>
    <w:rsid w:val="007C3F29"/>
    <w:rsid w:val="007C462F"/>
    <w:rsid w:val="007C4B77"/>
    <w:rsid w:val="007C5027"/>
    <w:rsid w:val="007C5883"/>
    <w:rsid w:val="007C5B11"/>
    <w:rsid w:val="007C5E4A"/>
    <w:rsid w:val="007C5FE3"/>
    <w:rsid w:val="007C63EA"/>
    <w:rsid w:val="007D0099"/>
    <w:rsid w:val="007D02CC"/>
    <w:rsid w:val="007D0393"/>
    <w:rsid w:val="007D0687"/>
    <w:rsid w:val="007D0BAA"/>
    <w:rsid w:val="007D237D"/>
    <w:rsid w:val="007D26FB"/>
    <w:rsid w:val="007D2FD4"/>
    <w:rsid w:val="007D3402"/>
    <w:rsid w:val="007D3798"/>
    <w:rsid w:val="007D3E5A"/>
    <w:rsid w:val="007D484F"/>
    <w:rsid w:val="007D4EA5"/>
    <w:rsid w:val="007D5229"/>
    <w:rsid w:val="007D60BF"/>
    <w:rsid w:val="007D66DD"/>
    <w:rsid w:val="007D6F0C"/>
    <w:rsid w:val="007D7874"/>
    <w:rsid w:val="007D7C90"/>
    <w:rsid w:val="007E07F5"/>
    <w:rsid w:val="007E0D88"/>
    <w:rsid w:val="007E1331"/>
    <w:rsid w:val="007E199F"/>
    <w:rsid w:val="007E36EF"/>
    <w:rsid w:val="007E42FD"/>
    <w:rsid w:val="007E5225"/>
    <w:rsid w:val="007E61BC"/>
    <w:rsid w:val="007E705F"/>
    <w:rsid w:val="007E7924"/>
    <w:rsid w:val="007E7C6F"/>
    <w:rsid w:val="007F20D5"/>
    <w:rsid w:val="007F3895"/>
    <w:rsid w:val="007F3A06"/>
    <w:rsid w:val="007F3A7A"/>
    <w:rsid w:val="007F3BFB"/>
    <w:rsid w:val="007F3E33"/>
    <w:rsid w:val="007F4561"/>
    <w:rsid w:val="007F564A"/>
    <w:rsid w:val="007F5758"/>
    <w:rsid w:val="007F6295"/>
    <w:rsid w:val="007F683E"/>
    <w:rsid w:val="007F7A09"/>
    <w:rsid w:val="00800437"/>
    <w:rsid w:val="0080078A"/>
    <w:rsid w:val="008007A2"/>
    <w:rsid w:val="00800AE0"/>
    <w:rsid w:val="00801B74"/>
    <w:rsid w:val="008027AB"/>
    <w:rsid w:val="00802946"/>
    <w:rsid w:val="00804096"/>
    <w:rsid w:val="00804A16"/>
    <w:rsid w:val="00804C54"/>
    <w:rsid w:val="00806E7B"/>
    <w:rsid w:val="008075C1"/>
    <w:rsid w:val="008104B3"/>
    <w:rsid w:val="00810F8F"/>
    <w:rsid w:val="0081160F"/>
    <w:rsid w:val="00811B75"/>
    <w:rsid w:val="00811E51"/>
    <w:rsid w:val="00813002"/>
    <w:rsid w:val="0081312E"/>
    <w:rsid w:val="008139CC"/>
    <w:rsid w:val="00813C8D"/>
    <w:rsid w:val="0081425E"/>
    <w:rsid w:val="0081571A"/>
    <w:rsid w:val="00815B79"/>
    <w:rsid w:val="008160A3"/>
    <w:rsid w:val="0081617A"/>
    <w:rsid w:val="0081633A"/>
    <w:rsid w:val="0081690F"/>
    <w:rsid w:val="00816A16"/>
    <w:rsid w:val="008171C0"/>
    <w:rsid w:val="008173DA"/>
    <w:rsid w:val="00817735"/>
    <w:rsid w:val="00817A59"/>
    <w:rsid w:val="008204DD"/>
    <w:rsid w:val="0082227A"/>
    <w:rsid w:val="00822A28"/>
    <w:rsid w:val="00822EB1"/>
    <w:rsid w:val="0082332F"/>
    <w:rsid w:val="0082385E"/>
    <w:rsid w:val="00823961"/>
    <w:rsid w:val="0082434C"/>
    <w:rsid w:val="00824C86"/>
    <w:rsid w:val="00824E4D"/>
    <w:rsid w:val="00824EFE"/>
    <w:rsid w:val="00825186"/>
    <w:rsid w:val="008255BC"/>
    <w:rsid w:val="00825775"/>
    <w:rsid w:val="008258B4"/>
    <w:rsid w:val="00826582"/>
    <w:rsid w:val="00826888"/>
    <w:rsid w:val="00826944"/>
    <w:rsid w:val="00826A4E"/>
    <w:rsid w:val="00827D19"/>
    <w:rsid w:val="00827EA9"/>
    <w:rsid w:val="008300F6"/>
    <w:rsid w:val="008307ED"/>
    <w:rsid w:val="008319B6"/>
    <w:rsid w:val="00834602"/>
    <w:rsid w:val="008355CF"/>
    <w:rsid w:val="00835F7E"/>
    <w:rsid w:val="0083675D"/>
    <w:rsid w:val="008367EF"/>
    <w:rsid w:val="00836A7D"/>
    <w:rsid w:val="008373C7"/>
    <w:rsid w:val="00837604"/>
    <w:rsid w:val="00837655"/>
    <w:rsid w:val="00837C39"/>
    <w:rsid w:val="008402A6"/>
    <w:rsid w:val="00840B6D"/>
    <w:rsid w:val="00840BBD"/>
    <w:rsid w:val="00842DED"/>
    <w:rsid w:val="00843F20"/>
    <w:rsid w:val="00844340"/>
    <w:rsid w:val="008444E3"/>
    <w:rsid w:val="0084466E"/>
    <w:rsid w:val="00844783"/>
    <w:rsid w:val="00844B29"/>
    <w:rsid w:val="00845DDB"/>
    <w:rsid w:val="008462D8"/>
    <w:rsid w:val="008463C5"/>
    <w:rsid w:val="0085104F"/>
    <w:rsid w:val="0085142D"/>
    <w:rsid w:val="00851B07"/>
    <w:rsid w:val="00852237"/>
    <w:rsid w:val="00853E82"/>
    <w:rsid w:val="00853F86"/>
    <w:rsid w:val="00853FEA"/>
    <w:rsid w:val="00854A58"/>
    <w:rsid w:val="00855EA6"/>
    <w:rsid w:val="008563DF"/>
    <w:rsid w:val="00856D4F"/>
    <w:rsid w:val="0085721A"/>
    <w:rsid w:val="008575EC"/>
    <w:rsid w:val="008578E6"/>
    <w:rsid w:val="008601CC"/>
    <w:rsid w:val="00860607"/>
    <w:rsid w:val="0086077E"/>
    <w:rsid w:val="00860C28"/>
    <w:rsid w:val="00860DE4"/>
    <w:rsid w:val="0086191C"/>
    <w:rsid w:val="0086193F"/>
    <w:rsid w:val="008624BB"/>
    <w:rsid w:val="00862AE3"/>
    <w:rsid w:val="0086329C"/>
    <w:rsid w:val="008643FE"/>
    <w:rsid w:val="0086455F"/>
    <w:rsid w:val="0086537A"/>
    <w:rsid w:val="00865D89"/>
    <w:rsid w:val="00867545"/>
    <w:rsid w:val="00870727"/>
    <w:rsid w:val="00871A75"/>
    <w:rsid w:val="00871EED"/>
    <w:rsid w:val="00872463"/>
    <w:rsid w:val="00872C52"/>
    <w:rsid w:val="00872D0A"/>
    <w:rsid w:val="00872F89"/>
    <w:rsid w:val="0087368F"/>
    <w:rsid w:val="00874135"/>
    <w:rsid w:val="00874417"/>
    <w:rsid w:val="00874478"/>
    <w:rsid w:val="00874B0C"/>
    <w:rsid w:val="00874E63"/>
    <w:rsid w:val="00875878"/>
    <w:rsid w:val="00875E44"/>
    <w:rsid w:val="00876316"/>
    <w:rsid w:val="00876A24"/>
    <w:rsid w:val="00877E32"/>
    <w:rsid w:val="0088019A"/>
    <w:rsid w:val="00880338"/>
    <w:rsid w:val="008803F1"/>
    <w:rsid w:val="008816ED"/>
    <w:rsid w:val="00885EEC"/>
    <w:rsid w:val="00886415"/>
    <w:rsid w:val="00886A45"/>
    <w:rsid w:val="00886E0B"/>
    <w:rsid w:val="00886EB0"/>
    <w:rsid w:val="00890854"/>
    <w:rsid w:val="00890B63"/>
    <w:rsid w:val="00892475"/>
    <w:rsid w:val="008925A9"/>
    <w:rsid w:val="00892CB2"/>
    <w:rsid w:val="00892E4B"/>
    <w:rsid w:val="00893399"/>
    <w:rsid w:val="00893565"/>
    <w:rsid w:val="00894ACC"/>
    <w:rsid w:val="00895B4F"/>
    <w:rsid w:val="00895DCE"/>
    <w:rsid w:val="008969EE"/>
    <w:rsid w:val="00897344"/>
    <w:rsid w:val="008973E9"/>
    <w:rsid w:val="00897996"/>
    <w:rsid w:val="00897A29"/>
    <w:rsid w:val="008A06C9"/>
    <w:rsid w:val="008A075C"/>
    <w:rsid w:val="008A0947"/>
    <w:rsid w:val="008A0C41"/>
    <w:rsid w:val="008A1067"/>
    <w:rsid w:val="008A148D"/>
    <w:rsid w:val="008A1CEA"/>
    <w:rsid w:val="008A27AD"/>
    <w:rsid w:val="008A2914"/>
    <w:rsid w:val="008A2FEB"/>
    <w:rsid w:val="008A318B"/>
    <w:rsid w:val="008A3ADD"/>
    <w:rsid w:val="008A489A"/>
    <w:rsid w:val="008A4E42"/>
    <w:rsid w:val="008A56D0"/>
    <w:rsid w:val="008A5DFB"/>
    <w:rsid w:val="008A5E66"/>
    <w:rsid w:val="008A611A"/>
    <w:rsid w:val="008A6395"/>
    <w:rsid w:val="008A6B4B"/>
    <w:rsid w:val="008A6CD7"/>
    <w:rsid w:val="008A6D6B"/>
    <w:rsid w:val="008A7AB5"/>
    <w:rsid w:val="008A7FF8"/>
    <w:rsid w:val="008B022E"/>
    <w:rsid w:val="008B0719"/>
    <w:rsid w:val="008B0894"/>
    <w:rsid w:val="008B0C52"/>
    <w:rsid w:val="008B0F6D"/>
    <w:rsid w:val="008B1116"/>
    <w:rsid w:val="008B207D"/>
    <w:rsid w:val="008B303D"/>
    <w:rsid w:val="008B3332"/>
    <w:rsid w:val="008B383A"/>
    <w:rsid w:val="008B4589"/>
    <w:rsid w:val="008B47DD"/>
    <w:rsid w:val="008B5275"/>
    <w:rsid w:val="008B652D"/>
    <w:rsid w:val="008B6FFE"/>
    <w:rsid w:val="008C011F"/>
    <w:rsid w:val="008C0A8D"/>
    <w:rsid w:val="008C0FF9"/>
    <w:rsid w:val="008C16FB"/>
    <w:rsid w:val="008C1FE7"/>
    <w:rsid w:val="008C2A8A"/>
    <w:rsid w:val="008C394E"/>
    <w:rsid w:val="008C545A"/>
    <w:rsid w:val="008C56DD"/>
    <w:rsid w:val="008C6D66"/>
    <w:rsid w:val="008C700D"/>
    <w:rsid w:val="008C70D1"/>
    <w:rsid w:val="008C71F7"/>
    <w:rsid w:val="008C7D9F"/>
    <w:rsid w:val="008C7E97"/>
    <w:rsid w:val="008D0534"/>
    <w:rsid w:val="008D1D81"/>
    <w:rsid w:val="008D1EFC"/>
    <w:rsid w:val="008D2112"/>
    <w:rsid w:val="008D4FFB"/>
    <w:rsid w:val="008D5666"/>
    <w:rsid w:val="008D64C4"/>
    <w:rsid w:val="008D65E3"/>
    <w:rsid w:val="008E0020"/>
    <w:rsid w:val="008E00A1"/>
    <w:rsid w:val="008E014C"/>
    <w:rsid w:val="008E039E"/>
    <w:rsid w:val="008E07D8"/>
    <w:rsid w:val="008E1168"/>
    <w:rsid w:val="008E200B"/>
    <w:rsid w:val="008E2272"/>
    <w:rsid w:val="008E258B"/>
    <w:rsid w:val="008E2768"/>
    <w:rsid w:val="008E2D82"/>
    <w:rsid w:val="008E2F78"/>
    <w:rsid w:val="008E3155"/>
    <w:rsid w:val="008E3514"/>
    <w:rsid w:val="008E43B8"/>
    <w:rsid w:val="008E4611"/>
    <w:rsid w:val="008E522F"/>
    <w:rsid w:val="008E6AC5"/>
    <w:rsid w:val="008E7C66"/>
    <w:rsid w:val="008F0AD2"/>
    <w:rsid w:val="008F2110"/>
    <w:rsid w:val="008F2283"/>
    <w:rsid w:val="008F22D8"/>
    <w:rsid w:val="008F25C1"/>
    <w:rsid w:val="008F2654"/>
    <w:rsid w:val="008F3279"/>
    <w:rsid w:val="008F3B30"/>
    <w:rsid w:val="008F3C16"/>
    <w:rsid w:val="008F3C47"/>
    <w:rsid w:val="008F40C0"/>
    <w:rsid w:val="008F4BE2"/>
    <w:rsid w:val="00900218"/>
    <w:rsid w:val="00900FFB"/>
    <w:rsid w:val="00901A52"/>
    <w:rsid w:val="00902ACA"/>
    <w:rsid w:val="00902B34"/>
    <w:rsid w:val="00902D00"/>
    <w:rsid w:val="00902EA9"/>
    <w:rsid w:val="0090332F"/>
    <w:rsid w:val="00903790"/>
    <w:rsid w:val="00903E2E"/>
    <w:rsid w:val="0090401B"/>
    <w:rsid w:val="009040AF"/>
    <w:rsid w:val="009050A9"/>
    <w:rsid w:val="00905120"/>
    <w:rsid w:val="00905656"/>
    <w:rsid w:val="00906327"/>
    <w:rsid w:val="00906B7B"/>
    <w:rsid w:val="009072DB"/>
    <w:rsid w:val="00907D80"/>
    <w:rsid w:val="00910669"/>
    <w:rsid w:val="00910938"/>
    <w:rsid w:val="009109AD"/>
    <w:rsid w:val="009111A1"/>
    <w:rsid w:val="009129E6"/>
    <w:rsid w:val="009136D5"/>
    <w:rsid w:val="00913C61"/>
    <w:rsid w:val="00914095"/>
    <w:rsid w:val="009143AD"/>
    <w:rsid w:val="0091463C"/>
    <w:rsid w:val="009148DC"/>
    <w:rsid w:val="00914D63"/>
    <w:rsid w:val="009163C1"/>
    <w:rsid w:val="00916F54"/>
    <w:rsid w:val="00917276"/>
    <w:rsid w:val="00917747"/>
    <w:rsid w:val="009179B2"/>
    <w:rsid w:val="00920534"/>
    <w:rsid w:val="0092098D"/>
    <w:rsid w:val="009209B3"/>
    <w:rsid w:val="00920EFC"/>
    <w:rsid w:val="0092166B"/>
    <w:rsid w:val="00921AD2"/>
    <w:rsid w:val="0092287D"/>
    <w:rsid w:val="00922FA3"/>
    <w:rsid w:val="00923338"/>
    <w:rsid w:val="00923970"/>
    <w:rsid w:val="00923AE0"/>
    <w:rsid w:val="0092575C"/>
    <w:rsid w:val="00926092"/>
    <w:rsid w:val="009270D0"/>
    <w:rsid w:val="0092745B"/>
    <w:rsid w:val="00927731"/>
    <w:rsid w:val="00927EBA"/>
    <w:rsid w:val="00930666"/>
    <w:rsid w:val="00935763"/>
    <w:rsid w:val="00935872"/>
    <w:rsid w:val="0093592A"/>
    <w:rsid w:val="00935B5A"/>
    <w:rsid w:val="00935CEB"/>
    <w:rsid w:val="00935E67"/>
    <w:rsid w:val="00936307"/>
    <w:rsid w:val="00940119"/>
    <w:rsid w:val="009410E1"/>
    <w:rsid w:val="00941BA9"/>
    <w:rsid w:val="00942797"/>
    <w:rsid w:val="00942A47"/>
    <w:rsid w:val="00942D19"/>
    <w:rsid w:val="009436C4"/>
    <w:rsid w:val="00945935"/>
    <w:rsid w:val="009474BC"/>
    <w:rsid w:val="00947627"/>
    <w:rsid w:val="0095174D"/>
    <w:rsid w:val="0095174F"/>
    <w:rsid w:val="00952497"/>
    <w:rsid w:val="0095289A"/>
    <w:rsid w:val="00953BAD"/>
    <w:rsid w:val="00953C6F"/>
    <w:rsid w:val="00954A4C"/>
    <w:rsid w:val="00954F47"/>
    <w:rsid w:val="00955166"/>
    <w:rsid w:val="009558C9"/>
    <w:rsid w:val="00956F9F"/>
    <w:rsid w:val="009608BB"/>
    <w:rsid w:val="00960EEB"/>
    <w:rsid w:val="009612FF"/>
    <w:rsid w:val="0096195F"/>
    <w:rsid w:val="009625E6"/>
    <w:rsid w:val="009626C4"/>
    <w:rsid w:val="00962795"/>
    <w:rsid w:val="009627AA"/>
    <w:rsid w:val="00962B4E"/>
    <w:rsid w:val="00962E7D"/>
    <w:rsid w:val="00962FF1"/>
    <w:rsid w:val="0096394F"/>
    <w:rsid w:val="00963CA8"/>
    <w:rsid w:val="009665B2"/>
    <w:rsid w:val="00970637"/>
    <w:rsid w:val="00971081"/>
    <w:rsid w:val="0097208A"/>
    <w:rsid w:val="00972867"/>
    <w:rsid w:val="00973590"/>
    <w:rsid w:val="009735A5"/>
    <w:rsid w:val="00973B47"/>
    <w:rsid w:val="00973C81"/>
    <w:rsid w:val="00973FF1"/>
    <w:rsid w:val="00974587"/>
    <w:rsid w:val="00974875"/>
    <w:rsid w:val="00974A6B"/>
    <w:rsid w:val="00974AFE"/>
    <w:rsid w:val="00974B4D"/>
    <w:rsid w:val="00974E61"/>
    <w:rsid w:val="009762FE"/>
    <w:rsid w:val="00976406"/>
    <w:rsid w:val="00976C6D"/>
    <w:rsid w:val="00976D80"/>
    <w:rsid w:val="00977735"/>
    <w:rsid w:val="0097778B"/>
    <w:rsid w:val="0097799B"/>
    <w:rsid w:val="009802E8"/>
    <w:rsid w:val="00980554"/>
    <w:rsid w:val="00980660"/>
    <w:rsid w:val="0098291D"/>
    <w:rsid w:val="00982C17"/>
    <w:rsid w:val="00982DB7"/>
    <w:rsid w:val="009855CF"/>
    <w:rsid w:val="009856CF"/>
    <w:rsid w:val="00986884"/>
    <w:rsid w:val="009876A8"/>
    <w:rsid w:val="00987D10"/>
    <w:rsid w:val="009900F8"/>
    <w:rsid w:val="00990F71"/>
    <w:rsid w:val="00991EF6"/>
    <w:rsid w:val="009936C9"/>
    <w:rsid w:val="00994BE1"/>
    <w:rsid w:val="00995453"/>
    <w:rsid w:val="00995538"/>
    <w:rsid w:val="00996B5C"/>
    <w:rsid w:val="00996DB8"/>
    <w:rsid w:val="009973F6"/>
    <w:rsid w:val="00997AC8"/>
    <w:rsid w:val="009A0F38"/>
    <w:rsid w:val="009A103D"/>
    <w:rsid w:val="009A14A3"/>
    <w:rsid w:val="009A1B03"/>
    <w:rsid w:val="009A20F9"/>
    <w:rsid w:val="009A3071"/>
    <w:rsid w:val="009A30AA"/>
    <w:rsid w:val="009A3BB6"/>
    <w:rsid w:val="009A3DE6"/>
    <w:rsid w:val="009A4AC5"/>
    <w:rsid w:val="009A4E3A"/>
    <w:rsid w:val="009A520B"/>
    <w:rsid w:val="009A57B3"/>
    <w:rsid w:val="009A7DA8"/>
    <w:rsid w:val="009B034A"/>
    <w:rsid w:val="009B04A9"/>
    <w:rsid w:val="009B068D"/>
    <w:rsid w:val="009B2364"/>
    <w:rsid w:val="009B27AB"/>
    <w:rsid w:val="009B2AD9"/>
    <w:rsid w:val="009B2BD7"/>
    <w:rsid w:val="009B411E"/>
    <w:rsid w:val="009B5D31"/>
    <w:rsid w:val="009B6636"/>
    <w:rsid w:val="009B7726"/>
    <w:rsid w:val="009C034F"/>
    <w:rsid w:val="009C0EA7"/>
    <w:rsid w:val="009C0F53"/>
    <w:rsid w:val="009C137A"/>
    <w:rsid w:val="009C16C3"/>
    <w:rsid w:val="009C1AAA"/>
    <w:rsid w:val="009C1F28"/>
    <w:rsid w:val="009C1FE6"/>
    <w:rsid w:val="009C20B1"/>
    <w:rsid w:val="009C2288"/>
    <w:rsid w:val="009C28C6"/>
    <w:rsid w:val="009C548B"/>
    <w:rsid w:val="009C6345"/>
    <w:rsid w:val="009C6F60"/>
    <w:rsid w:val="009D01FF"/>
    <w:rsid w:val="009D0248"/>
    <w:rsid w:val="009D038A"/>
    <w:rsid w:val="009D05E7"/>
    <w:rsid w:val="009D0F31"/>
    <w:rsid w:val="009D15ED"/>
    <w:rsid w:val="009D1B7E"/>
    <w:rsid w:val="009D2488"/>
    <w:rsid w:val="009D34F5"/>
    <w:rsid w:val="009D351F"/>
    <w:rsid w:val="009D42BA"/>
    <w:rsid w:val="009D52A9"/>
    <w:rsid w:val="009D5371"/>
    <w:rsid w:val="009D651D"/>
    <w:rsid w:val="009D6A12"/>
    <w:rsid w:val="009D7F95"/>
    <w:rsid w:val="009E033D"/>
    <w:rsid w:val="009E1512"/>
    <w:rsid w:val="009E17E7"/>
    <w:rsid w:val="009E1D63"/>
    <w:rsid w:val="009E1D9C"/>
    <w:rsid w:val="009E3FB3"/>
    <w:rsid w:val="009E4044"/>
    <w:rsid w:val="009E49D9"/>
    <w:rsid w:val="009E6C54"/>
    <w:rsid w:val="009E6C81"/>
    <w:rsid w:val="009F0267"/>
    <w:rsid w:val="009F04B7"/>
    <w:rsid w:val="009F0541"/>
    <w:rsid w:val="009F05BF"/>
    <w:rsid w:val="009F1314"/>
    <w:rsid w:val="009F2F1A"/>
    <w:rsid w:val="009F320C"/>
    <w:rsid w:val="009F32B4"/>
    <w:rsid w:val="009F4957"/>
    <w:rsid w:val="009F4C38"/>
    <w:rsid w:val="009F63E2"/>
    <w:rsid w:val="009F6728"/>
    <w:rsid w:val="009F7B03"/>
    <w:rsid w:val="00A000AE"/>
    <w:rsid w:val="00A00A09"/>
    <w:rsid w:val="00A013A7"/>
    <w:rsid w:val="00A01498"/>
    <w:rsid w:val="00A02CFE"/>
    <w:rsid w:val="00A03DD3"/>
    <w:rsid w:val="00A03E16"/>
    <w:rsid w:val="00A044B1"/>
    <w:rsid w:val="00A04E45"/>
    <w:rsid w:val="00A05708"/>
    <w:rsid w:val="00A057DD"/>
    <w:rsid w:val="00A061E7"/>
    <w:rsid w:val="00A06BC9"/>
    <w:rsid w:val="00A06E73"/>
    <w:rsid w:val="00A06ED8"/>
    <w:rsid w:val="00A07426"/>
    <w:rsid w:val="00A104B8"/>
    <w:rsid w:val="00A104FB"/>
    <w:rsid w:val="00A12368"/>
    <w:rsid w:val="00A129EE"/>
    <w:rsid w:val="00A12E1C"/>
    <w:rsid w:val="00A13550"/>
    <w:rsid w:val="00A13BB7"/>
    <w:rsid w:val="00A14BF7"/>
    <w:rsid w:val="00A14DDA"/>
    <w:rsid w:val="00A159A1"/>
    <w:rsid w:val="00A15C37"/>
    <w:rsid w:val="00A1602C"/>
    <w:rsid w:val="00A16695"/>
    <w:rsid w:val="00A16FFC"/>
    <w:rsid w:val="00A17648"/>
    <w:rsid w:val="00A176C8"/>
    <w:rsid w:val="00A200D3"/>
    <w:rsid w:val="00A21A3F"/>
    <w:rsid w:val="00A223F9"/>
    <w:rsid w:val="00A226D5"/>
    <w:rsid w:val="00A22E02"/>
    <w:rsid w:val="00A230E6"/>
    <w:rsid w:val="00A233AA"/>
    <w:rsid w:val="00A242A1"/>
    <w:rsid w:val="00A2512E"/>
    <w:rsid w:val="00A255B0"/>
    <w:rsid w:val="00A256BD"/>
    <w:rsid w:val="00A25BE6"/>
    <w:rsid w:val="00A25CA8"/>
    <w:rsid w:val="00A2697C"/>
    <w:rsid w:val="00A269DA"/>
    <w:rsid w:val="00A2707E"/>
    <w:rsid w:val="00A27F06"/>
    <w:rsid w:val="00A302F9"/>
    <w:rsid w:val="00A3164B"/>
    <w:rsid w:val="00A31CDF"/>
    <w:rsid w:val="00A32199"/>
    <w:rsid w:val="00A32CBF"/>
    <w:rsid w:val="00A3320A"/>
    <w:rsid w:val="00A333CC"/>
    <w:rsid w:val="00A34932"/>
    <w:rsid w:val="00A36FB1"/>
    <w:rsid w:val="00A375A6"/>
    <w:rsid w:val="00A37B74"/>
    <w:rsid w:val="00A37FA8"/>
    <w:rsid w:val="00A400E9"/>
    <w:rsid w:val="00A406F3"/>
    <w:rsid w:val="00A407DB"/>
    <w:rsid w:val="00A410AE"/>
    <w:rsid w:val="00A41D1A"/>
    <w:rsid w:val="00A43691"/>
    <w:rsid w:val="00A436A5"/>
    <w:rsid w:val="00A44F72"/>
    <w:rsid w:val="00A457DF"/>
    <w:rsid w:val="00A45CCE"/>
    <w:rsid w:val="00A4645E"/>
    <w:rsid w:val="00A471A2"/>
    <w:rsid w:val="00A473BF"/>
    <w:rsid w:val="00A474D4"/>
    <w:rsid w:val="00A5046D"/>
    <w:rsid w:val="00A505E1"/>
    <w:rsid w:val="00A50F82"/>
    <w:rsid w:val="00A5336F"/>
    <w:rsid w:val="00A5498C"/>
    <w:rsid w:val="00A55896"/>
    <w:rsid w:val="00A5609A"/>
    <w:rsid w:val="00A56278"/>
    <w:rsid w:val="00A568AD"/>
    <w:rsid w:val="00A5691B"/>
    <w:rsid w:val="00A56ECF"/>
    <w:rsid w:val="00A575D4"/>
    <w:rsid w:val="00A57BE8"/>
    <w:rsid w:val="00A57DCD"/>
    <w:rsid w:val="00A6031A"/>
    <w:rsid w:val="00A6054C"/>
    <w:rsid w:val="00A60AD3"/>
    <w:rsid w:val="00A60D4D"/>
    <w:rsid w:val="00A610F7"/>
    <w:rsid w:val="00A617C2"/>
    <w:rsid w:val="00A6189D"/>
    <w:rsid w:val="00A61B6E"/>
    <w:rsid w:val="00A624C2"/>
    <w:rsid w:val="00A62AF3"/>
    <w:rsid w:val="00A62EA9"/>
    <w:rsid w:val="00A630B9"/>
    <w:rsid w:val="00A642C7"/>
    <w:rsid w:val="00A64C17"/>
    <w:rsid w:val="00A64F8C"/>
    <w:rsid w:val="00A6526A"/>
    <w:rsid w:val="00A6547A"/>
    <w:rsid w:val="00A65C31"/>
    <w:rsid w:val="00A65C32"/>
    <w:rsid w:val="00A660D4"/>
    <w:rsid w:val="00A66AE6"/>
    <w:rsid w:val="00A66E2B"/>
    <w:rsid w:val="00A701EC"/>
    <w:rsid w:val="00A70480"/>
    <w:rsid w:val="00A70AFE"/>
    <w:rsid w:val="00A7178A"/>
    <w:rsid w:val="00A719F2"/>
    <w:rsid w:val="00A72BC7"/>
    <w:rsid w:val="00A731EB"/>
    <w:rsid w:val="00A7336A"/>
    <w:rsid w:val="00A7342A"/>
    <w:rsid w:val="00A735DA"/>
    <w:rsid w:val="00A7437C"/>
    <w:rsid w:val="00A7448F"/>
    <w:rsid w:val="00A7505B"/>
    <w:rsid w:val="00A75300"/>
    <w:rsid w:val="00A76A9B"/>
    <w:rsid w:val="00A76CAC"/>
    <w:rsid w:val="00A76CF0"/>
    <w:rsid w:val="00A77265"/>
    <w:rsid w:val="00A77354"/>
    <w:rsid w:val="00A77C7C"/>
    <w:rsid w:val="00A80A48"/>
    <w:rsid w:val="00A80D4B"/>
    <w:rsid w:val="00A81301"/>
    <w:rsid w:val="00A81469"/>
    <w:rsid w:val="00A8196B"/>
    <w:rsid w:val="00A81DBA"/>
    <w:rsid w:val="00A82877"/>
    <w:rsid w:val="00A83049"/>
    <w:rsid w:val="00A83BFF"/>
    <w:rsid w:val="00A84508"/>
    <w:rsid w:val="00A847FE"/>
    <w:rsid w:val="00A84D8C"/>
    <w:rsid w:val="00A8512A"/>
    <w:rsid w:val="00A85D26"/>
    <w:rsid w:val="00A8669E"/>
    <w:rsid w:val="00A869AC"/>
    <w:rsid w:val="00A87387"/>
    <w:rsid w:val="00A874ED"/>
    <w:rsid w:val="00A90BE8"/>
    <w:rsid w:val="00A90F87"/>
    <w:rsid w:val="00A917B9"/>
    <w:rsid w:val="00A9261A"/>
    <w:rsid w:val="00A9484B"/>
    <w:rsid w:val="00A94D3B"/>
    <w:rsid w:val="00A95FC2"/>
    <w:rsid w:val="00A96971"/>
    <w:rsid w:val="00A97683"/>
    <w:rsid w:val="00AA0523"/>
    <w:rsid w:val="00AA06D0"/>
    <w:rsid w:val="00AA1311"/>
    <w:rsid w:val="00AA1E31"/>
    <w:rsid w:val="00AA3E32"/>
    <w:rsid w:val="00AA45EF"/>
    <w:rsid w:val="00AA5FE0"/>
    <w:rsid w:val="00AA78F6"/>
    <w:rsid w:val="00AB01D2"/>
    <w:rsid w:val="00AB05E2"/>
    <w:rsid w:val="00AB0E13"/>
    <w:rsid w:val="00AB13DE"/>
    <w:rsid w:val="00AB16E1"/>
    <w:rsid w:val="00AB1C28"/>
    <w:rsid w:val="00AB39EC"/>
    <w:rsid w:val="00AB3B58"/>
    <w:rsid w:val="00AB3C5A"/>
    <w:rsid w:val="00AB470B"/>
    <w:rsid w:val="00AB4CB6"/>
    <w:rsid w:val="00AB569D"/>
    <w:rsid w:val="00AB56A1"/>
    <w:rsid w:val="00AB658E"/>
    <w:rsid w:val="00AB6670"/>
    <w:rsid w:val="00AB7116"/>
    <w:rsid w:val="00AB7373"/>
    <w:rsid w:val="00AB7B91"/>
    <w:rsid w:val="00AC022B"/>
    <w:rsid w:val="00AC0248"/>
    <w:rsid w:val="00AC026A"/>
    <w:rsid w:val="00AC070B"/>
    <w:rsid w:val="00AC13C8"/>
    <w:rsid w:val="00AC233E"/>
    <w:rsid w:val="00AC27C8"/>
    <w:rsid w:val="00AC2FE9"/>
    <w:rsid w:val="00AC347E"/>
    <w:rsid w:val="00AC3923"/>
    <w:rsid w:val="00AC49C1"/>
    <w:rsid w:val="00AC511B"/>
    <w:rsid w:val="00AC5C47"/>
    <w:rsid w:val="00AC5D42"/>
    <w:rsid w:val="00AC64D1"/>
    <w:rsid w:val="00AC6E40"/>
    <w:rsid w:val="00AC788F"/>
    <w:rsid w:val="00AC7E71"/>
    <w:rsid w:val="00AD01D6"/>
    <w:rsid w:val="00AD09FD"/>
    <w:rsid w:val="00AD0AFF"/>
    <w:rsid w:val="00AD0EDD"/>
    <w:rsid w:val="00AD117F"/>
    <w:rsid w:val="00AD371D"/>
    <w:rsid w:val="00AD391A"/>
    <w:rsid w:val="00AD3A01"/>
    <w:rsid w:val="00AD3CA6"/>
    <w:rsid w:val="00AD3F3B"/>
    <w:rsid w:val="00AD432C"/>
    <w:rsid w:val="00AD4B24"/>
    <w:rsid w:val="00AD5C97"/>
    <w:rsid w:val="00AD5D2C"/>
    <w:rsid w:val="00AD6DF2"/>
    <w:rsid w:val="00AD6EC7"/>
    <w:rsid w:val="00AD6FBD"/>
    <w:rsid w:val="00AE028B"/>
    <w:rsid w:val="00AE03CA"/>
    <w:rsid w:val="00AE1370"/>
    <w:rsid w:val="00AE17A1"/>
    <w:rsid w:val="00AE1FA4"/>
    <w:rsid w:val="00AE2AEB"/>
    <w:rsid w:val="00AE2ECD"/>
    <w:rsid w:val="00AE35C6"/>
    <w:rsid w:val="00AE3E77"/>
    <w:rsid w:val="00AE66DA"/>
    <w:rsid w:val="00AE68F9"/>
    <w:rsid w:val="00AE74E9"/>
    <w:rsid w:val="00AE7B01"/>
    <w:rsid w:val="00AE7C39"/>
    <w:rsid w:val="00AE7DC9"/>
    <w:rsid w:val="00AF0C7D"/>
    <w:rsid w:val="00AF1ED2"/>
    <w:rsid w:val="00AF27C0"/>
    <w:rsid w:val="00AF27FB"/>
    <w:rsid w:val="00AF2858"/>
    <w:rsid w:val="00AF2AA0"/>
    <w:rsid w:val="00AF341D"/>
    <w:rsid w:val="00AF3BE4"/>
    <w:rsid w:val="00AF3CAA"/>
    <w:rsid w:val="00AF49E0"/>
    <w:rsid w:val="00AF4B6B"/>
    <w:rsid w:val="00AF4D8F"/>
    <w:rsid w:val="00AF5018"/>
    <w:rsid w:val="00AF5A5A"/>
    <w:rsid w:val="00AF5B5F"/>
    <w:rsid w:val="00AF64E4"/>
    <w:rsid w:val="00AF6846"/>
    <w:rsid w:val="00AF6C15"/>
    <w:rsid w:val="00AF7829"/>
    <w:rsid w:val="00B00C0B"/>
    <w:rsid w:val="00B01243"/>
    <w:rsid w:val="00B0171A"/>
    <w:rsid w:val="00B02606"/>
    <w:rsid w:val="00B03719"/>
    <w:rsid w:val="00B042D3"/>
    <w:rsid w:val="00B047AD"/>
    <w:rsid w:val="00B04A97"/>
    <w:rsid w:val="00B052AD"/>
    <w:rsid w:val="00B052CB"/>
    <w:rsid w:val="00B057D4"/>
    <w:rsid w:val="00B05C9A"/>
    <w:rsid w:val="00B061E3"/>
    <w:rsid w:val="00B0664A"/>
    <w:rsid w:val="00B072E6"/>
    <w:rsid w:val="00B077A5"/>
    <w:rsid w:val="00B07AB2"/>
    <w:rsid w:val="00B07F92"/>
    <w:rsid w:val="00B1031B"/>
    <w:rsid w:val="00B116CA"/>
    <w:rsid w:val="00B11952"/>
    <w:rsid w:val="00B12B2A"/>
    <w:rsid w:val="00B12B8A"/>
    <w:rsid w:val="00B1372C"/>
    <w:rsid w:val="00B13E48"/>
    <w:rsid w:val="00B13FCE"/>
    <w:rsid w:val="00B14558"/>
    <w:rsid w:val="00B14798"/>
    <w:rsid w:val="00B14841"/>
    <w:rsid w:val="00B15036"/>
    <w:rsid w:val="00B155F4"/>
    <w:rsid w:val="00B15AC9"/>
    <w:rsid w:val="00B15D7E"/>
    <w:rsid w:val="00B165F8"/>
    <w:rsid w:val="00B175E7"/>
    <w:rsid w:val="00B17E57"/>
    <w:rsid w:val="00B206A7"/>
    <w:rsid w:val="00B206E1"/>
    <w:rsid w:val="00B208DC"/>
    <w:rsid w:val="00B21424"/>
    <w:rsid w:val="00B2154E"/>
    <w:rsid w:val="00B21D08"/>
    <w:rsid w:val="00B21F1D"/>
    <w:rsid w:val="00B22017"/>
    <w:rsid w:val="00B220F2"/>
    <w:rsid w:val="00B22215"/>
    <w:rsid w:val="00B2275E"/>
    <w:rsid w:val="00B248C3"/>
    <w:rsid w:val="00B259D3"/>
    <w:rsid w:val="00B26079"/>
    <w:rsid w:val="00B26E2A"/>
    <w:rsid w:val="00B2770B"/>
    <w:rsid w:val="00B27BA6"/>
    <w:rsid w:val="00B3017C"/>
    <w:rsid w:val="00B30CB0"/>
    <w:rsid w:val="00B31083"/>
    <w:rsid w:val="00B3129F"/>
    <w:rsid w:val="00B317BA"/>
    <w:rsid w:val="00B31F2B"/>
    <w:rsid w:val="00B35BEE"/>
    <w:rsid w:val="00B35D5B"/>
    <w:rsid w:val="00B36227"/>
    <w:rsid w:val="00B36331"/>
    <w:rsid w:val="00B37B89"/>
    <w:rsid w:val="00B404FB"/>
    <w:rsid w:val="00B40944"/>
    <w:rsid w:val="00B40A5D"/>
    <w:rsid w:val="00B40BB0"/>
    <w:rsid w:val="00B426F9"/>
    <w:rsid w:val="00B42880"/>
    <w:rsid w:val="00B442FD"/>
    <w:rsid w:val="00B44E23"/>
    <w:rsid w:val="00B44EAD"/>
    <w:rsid w:val="00B458BD"/>
    <w:rsid w:val="00B45D83"/>
    <w:rsid w:val="00B4631A"/>
    <w:rsid w:val="00B467DD"/>
    <w:rsid w:val="00B46D17"/>
    <w:rsid w:val="00B47887"/>
    <w:rsid w:val="00B47A9D"/>
    <w:rsid w:val="00B47C91"/>
    <w:rsid w:val="00B50030"/>
    <w:rsid w:val="00B5010F"/>
    <w:rsid w:val="00B515AE"/>
    <w:rsid w:val="00B51F26"/>
    <w:rsid w:val="00B53D55"/>
    <w:rsid w:val="00B5407B"/>
    <w:rsid w:val="00B54669"/>
    <w:rsid w:val="00B5557C"/>
    <w:rsid w:val="00B55CB7"/>
    <w:rsid w:val="00B55E0A"/>
    <w:rsid w:val="00B560CC"/>
    <w:rsid w:val="00B57BBF"/>
    <w:rsid w:val="00B57C2C"/>
    <w:rsid w:val="00B6022C"/>
    <w:rsid w:val="00B60795"/>
    <w:rsid w:val="00B60859"/>
    <w:rsid w:val="00B62121"/>
    <w:rsid w:val="00B6413A"/>
    <w:rsid w:val="00B64813"/>
    <w:rsid w:val="00B64A54"/>
    <w:rsid w:val="00B652A0"/>
    <w:rsid w:val="00B664C9"/>
    <w:rsid w:val="00B67335"/>
    <w:rsid w:val="00B674D7"/>
    <w:rsid w:val="00B67D28"/>
    <w:rsid w:val="00B70532"/>
    <w:rsid w:val="00B70DE8"/>
    <w:rsid w:val="00B71EC7"/>
    <w:rsid w:val="00B723DF"/>
    <w:rsid w:val="00B738B1"/>
    <w:rsid w:val="00B742F4"/>
    <w:rsid w:val="00B745A3"/>
    <w:rsid w:val="00B754A6"/>
    <w:rsid w:val="00B7567B"/>
    <w:rsid w:val="00B75AA9"/>
    <w:rsid w:val="00B76972"/>
    <w:rsid w:val="00B77335"/>
    <w:rsid w:val="00B801C6"/>
    <w:rsid w:val="00B8188F"/>
    <w:rsid w:val="00B81970"/>
    <w:rsid w:val="00B81FCF"/>
    <w:rsid w:val="00B82353"/>
    <w:rsid w:val="00B825CE"/>
    <w:rsid w:val="00B82A08"/>
    <w:rsid w:val="00B82ED8"/>
    <w:rsid w:val="00B83315"/>
    <w:rsid w:val="00B83DEA"/>
    <w:rsid w:val="00B83FBD"/>
    <w:rsid w:val="00B83FEB"/>
    <w:rsid w:val="00B84374"/>
    <w:rsid w:val="00B85053"/>
    <w:rsid w:val="00B85E04"/>
    <w:rsid w:val="00B85E07"/>
    <w:rsid w:val="00B86EE8"/>
    <w:rsid w:val="00B86EF9"/>
    <w:rsid w:val="00B8778F"/>
    <w:rsid w:val="00B87FA9"/>
    <w:rsid w:val="00B90170"/>
    <w:rsid w:val="00B905BE"/>
    <w:rsid w:val="00B92090"/>
    <w:rsid w:val="00B9281F"/>
    <w:rsid w:val="00B931FE"/>
    <w:rsid w:val="00B93506"/>
    <w:rsid w:val="00B938DF"/>
    <w:rsid w:val="00B946F8"/>
    <w:rsid w:val="00B94DB2"/>
    <w:rsid w:val="00B9593E"/>
    <w:rsid w:val="00B96C78"/>
    <w:rsid w:val="00B97825"/>
    <w:rsid w:val="00BA01C2"/>
    <w:rsid w:val="00BA02FA"/>
    <w:rsid w:val="00BA15FC"/>
    <w:rsid w:val="00BA211A"/>
    <w:rsid w:val="00BA2922"/>
    <w:rsid w:val="00BA35E4"/>
    <w:rsid w:val="00BA3702"/>
    <w:rsid w:val="00BA4CF8"/>
    <w:rsid w:val="00BA62FE"/>
    <w:rsid w:val="00BA64C5"/>
    <w:rsid w:val="00BA68AD"/>
    <w:rsid w:val="00BA6949"/>
    <w:rsid w:val="00BA6D83"/>
    <w:rsid w:val="00BA73EC"/>
    <w:rsid w:val="00BB0D68"/>
    <w:rsid w:val="00BB1090"/>
    <w:rsid w:val="00BB2701"/>
    <w:rsid w:val="00BB34FE"/>
    <w:rsid w:val="00BB3B20"/>
    <w:rsid w:val="00BB3D0A"/>
    <w:rsid w:val="00BB42F7"/>
    <w:rsid w:val="00BB4F43"/>
    <w:rsid w:val="00BB63B9"/>
    <w:rsid w:val="00BB6ECB"/>
    <w:rsid w:val="00BB6F96"/>
    <w:rsid w:val="00BB6FFF"/>
    <w:rsid w:val="00BC004D"/>
    <w:rsid w:val="00BC02EE"/>
    <w:rsid w:val="00BC05D1"/>
    <w:rsid w:val="00BC05E7"/>
    <w:rsid w:val="00BC0DB2"/>
    <w:rsid w:val="00BC0EA0"/>
    <w:rsid w:val="00BC386E"/>
    <w:rsid w:val="00BC3E56"/>
    <w:rsid w:val="00BC43F1"/>
    <w:rsid w:val="00BC4877"/>
    <w:rsid w:val="00BC4EB6"/>
    <w:rsid w:val="00BC54D8"/>
    <w:rsid w:val="00BC56A7"/>
    <w:rsid w:val="00BC5717"/>
    <w:rsid w:val="00BC5E3A"/>
    <w:rsid w:val="00BC6070"/>
    <w:rsid w:val="00BC67AD"/>
    <w:rsid w:val="00BD034F"/>
    <w:rsid w:val="00BD048E"/>
    <w:rsid w:val="00BD0FA1"/>
    <w:rsid w:val="00BD1369"/>
    <w:rsid w:val="00BD1C7E"/>
    <w:rsid w:val="00BD1F19"/>
    <w:rsid w:val="00BD2474"/>
    <w:rsid w:val="00BD247D"/>
    <w:rsid w:val="00BD2560"/>
    <w:rsid w:val="00BD2F5E"/>
    <w:rsid w:val="00BD30AE"/>
    <w:rsid w:val="00BD441F"/>
    <w:rsid w:val="00BD44DD"/>
    <w:rsid w:val="00BD46C5"/>
    <w:rsid w:val="00BD4E6F"/>
    <w:rsid w:val="00BD58EF"/>
    <w:rsid w:val="00BD5D36"/>
    <w:rsid w:val="00BD654E"/>
    <w:rsid w:val="00BD7386"/>
    <w:rsid w:val="00BE02BC"/>
    <w:rsid w:val="00BE0466"/>
    <w:rsid w:val="00BE0751"/>
    <w:rsid w:val="00BE0BBD"/>
    <w:rsid w:val="00BE2978"/>
    <w:rsid w:val="00BE35A0"/>
    <w:rsid w:val="00BE3933"/>
    <w:rsid w:val="00BE3BB7"/>
    <w:rsid w:val="00BE3E1F"/>
    <w:rsid w:val="00BE44DF"/>
    <w:rsid w:val="00BE6227"/>
    <w:rsid w:val="00BE6849"/>
    <w:rsid w:val="00BF0469"/>
    <w:rsid w:val="00BF168C"/>
    <w:rsid w:val="00BF1EE0"/>
    <w:rsid w:val="00BF2A90"/>
    <w:rsid w:val="00BF2FD6"/>
    <w:rsid w:val="00BF33C1"/>
    <w:rsid w:val="00BF3826"/>
    <w:rsid w:val="00BF39BA"/>
    <w:rsid w:val="00BF3B0C"/>
    <w:rsid w:val="00BF3E2A"/>
    <w:rsid w:val="00BF4B7B"/>
    <w:rsid w:val="00BF56D4"/>
    <w:rsid w:val="00BF6340"/>
    <w:rsid w:val="00BF641E"/>
    <w:rsid w:val="00BF7672"/>
    <w:rsid w:val="00BF76CA"/>
    <w:rsid w:val="00C00FE3"/>
    <w:rsid w:val="00C017C7"/>
    <w:rsid w:val="00C01DF2"/>
    <w:rsid w:val="00C027A2"/>
    <w:rsid w:val="00C02A1B"/>
    <w:rsid w:val="00C033B9"/>
    <w:rsid w:val="00C03601"/>
    <w:rsid w:val="00C03BD0"/>
    <w:rsid w:val="00C04D08"/>
    <w:rsid w:val="00C067C1"/>
    <w:rsid w:val="00C07227"/>
    <w:rsid w:val="00C07B5D"/>
    <w:rsid w:val="00C101BA"/>
    <w:rsid w:val="00C1045A"/>
    <w:rsid w:val="00C10810"/>
    <w:rsid w:val="00C11520"/>
    <w:rsid w:val="00C11CD4"/>
    <w:rsid w:val="00C12C4B"/>
    <w:rsid w:val="00C1310D"/>
    <w:rsid w:val="00C13220"/>
    <w:rsid w:val="00C160B8"/>
    <w:rsid w:val="00C17BB9"/>
    <w:rsid w:val="00C20402"/>
    <w:rsid w:val="00C206BF"/>
    <w:rsid w:val="00C2121F"/>
    <w:rsid w:val="00C2203A"/>
    <w:rsid w:val="00C22097"/>
    <w:rsid w:val="00C2215C"/>
    <w:rsid w:val="00C229C1"/>
    <w:rsid w:val="00C22EA1"/>
    <w:rsid w:val="00C23995"/>
    <w:rsid w:val="00C2516A"/>
    <w:rsid w:val="00C2586A"/>
    <w:rsid w:val="00C25988"/>
    <w:rsid w:val="00C274A1"/>
    <w:rsid w:val="00C2787C"/>
    <w:rsid w:val="00C30982"/>
    <w:rsid w:val="00C30E27"/>
    <w:rsid w:val="00C3126F"/>
    <w:rsid w:val="00C31A4D"/>
    <w:rsid w:val="00C31D8B"/>
    <w:rsid w:val="00C327F2"/>
    <w:rsid w:val="00C32BE8"/>
    <w:rsid w:val="00C32C25"/>
    <w:rsid w:val="00C331B2"/>
    <w:rsid w:val="00C3336E"/>
    <w:rsid w:val="00C346EA"/>
    <w:rsid w:val="00C349DC"/>
    <w:rsid w:val="00C34D38"/>
    <w:rsid w:val="00C357B6"/>
    <w:rsid w:val="00C358DC"/>
    <w:rsid w:val="00C35A78"/>
    <w:rsid w:val="00C36B4E"/>
    <w:rsid w:val="00C376D2"/>
    <w:rsid w:val="00C37721"/>
    <w:rsid w:val="00C37BAB"/>
    <w:rsid w:val="00C37DCE"/>
    <w:rsid w:val="00C407E1"/>
    <w:rsid w:val="00C4088A"/>
    <w:rsid w:val="00C40E80"/>
    <w:rsid w:val="00C41276"/>
    <w:rsid w:val="00C41324"/>
    <w:rsid w:val="00C41499"/>
    <w:rsid w:val="00C41E4C"/>
    <w:rsid w:val="00C41EA5"/>
    <w:rsid w:val="00C42531"/>
    <w:rsid w:val="00C4291E"/>
    <w:rsid w:val="00C42DAA"/>
    <w:rsid w:val="00C436DC"/>
    <w:rsid w:val="00C4540B"/>
    <w:rsid w:val="00C45930"/>
    <w:rsid w:val="00C464D1"/>
    <w:rsid w:val="00C46A54"/>
    <w:rsid w:val="00C47C0D"/>
    <w:rsid w:val="00C501F9"/>
    <w:rsid w:val="00C5072A"/>
    <w:rsid w:val="00C50AB7"/>
    <w:rsid w:val="00C516E9"/>
    <w:rsid w:val="00C526C2"/>
    <w:rsid w:val="00C53101"/>
    <w:rsid w:val="00C54836"/>
    <w:rsid w:val="00C550FC"/>
    <w:rsid w:val="00C55483"/>
    <w:rsid w:val="00C55A3E"/>
    <w:rsid w:val="00C566C8"/>
    <w:rsid w:val="00C578EA"/>
    <w:rsid w:val="00C57AA9"/>
    <w:rsid w:val="00C57C69"/>
    <w:rsid w:val="00C604E3"/>
    <w:rsid w:val="00C6064D"/>
    <w:rsid w:val="00C60E31"/>
    <w:rsid w:val="00C60EA0"/>
    <w:rsid w:val="00C61494"/>
    <w:rsid w:val="00C61CE5"/>
    <w:rsid w:val="00C61FB0"/>
    <w:rsid w:val="00C62324"/>
    <w:rsid w:val="00C62B04"/>
    <w:rsid w:val="00C62BB6"/>
    <w:rsid w:val="00C62FD6"/>
    <w:rsid w:val="00C63743"/>
    <w:rsid w:val="00C63866"/>
    <w:rsid w:val="00C63CBC"/>
    <w:rsid w:val="00C64579"/>
    <w:rsid w:val="00C657FD"/>
    <w:rsid w:val="00C65A64"/>
    <w:rsid w:val="00C65BAC"/>
    <w:rsid w:val="00C65F3C"/>
    <w:rsid w:val="00C665E5"/>
    <w:rsid w:val="00C6708D"/>
    <w:rsid w:val="00C67673"/>
    <w:rsid w:val="00C6791B"/>
    <w:rsid w:val="00C71F6A"/>
    <w:rsid w:val="00C72076"/>
    <w:rsid w:val="00C74598"/>
    <w:rsid w:val="00C771E4"/>
    <w:rsid w:val="00C77744"/>
    <w:rsid w:val="00C809BB"/>
    <w:rsid w:val="00C80BCE"/>
    <w:rsid w:val="00C80C77"/>
    <w:rsid w:val="00C80DA9"/>
    <w:rsid w:val="00C80FEA"/>
    <w:rsid w:val="00C81932"/>
    <w:rsid w:val="00C82E6F"/>
    <w:rsid w:val="00C82FC0"/>
    <w:rsid w:val="00C83967"/>
    <w:rsid w:val="00C846D1"/>
    <w:rsid w:val="00C8487F"/>
    <w:rsid w:val="00C86C58"/>
    <w:rsid w:val="00C86CEB"/>
    <w:rsid w:val="00C9053D"/>
    <w:rsid w:val="00C91507"/>
    <w:rsid w:val="00C915E4"/>
    <w:rsid w:val="00C916F9"/>
    <w:rsid w:val="00C918E2"/>
    <w:rsid w:val="00C91E8D"/>
    <w:rsid w:val="00C91F8E"/>
    <w:rsid w:val="00C92F8E"/>
    <w:rsid w:val="00C93603"/>
    <w:rsid w:val="00C94289"/>
    <w:rsid w:val="00C952AA"/>
    <w:rsid w:val="00C95571"/>
    <w:rsid w:val="00C96157"/>
    <w:rsid w:val="00C970AA"/>
    <w:rsid w:val="00CA139E"/>
    <w:rsid w:val="00CA23E7"/>
    <w:rsid w:val="00CA25C2"/>
    <w:rsid w:val="00CA274B"/>
    <w:rsid w:val="00CA28A9"/>
    <w:rsid w:val="00CA2C96"/>
    <w:rsid w:val="00CA30CF"/>
    <w:rsid w:val="00CA30F8"/>
    <w:rsid w:val="00CA47E2"/>
    <w:rsid w:val="00CA494A"/>
    <w:rsid w:val="00CA5FCF"/>
    <w:rsid w:val="00CA643D"/>
    <w:rsid w:val="00CA6C14"/>
    <w:rsid w:val="00CA7FD6"/>
    <w:rsid w:val="00CB0643"/>
    <w:rsid w:val="00CB0D23"/>
    <w:rsid w:val="00CB1079"/>
    <w:rsid w:val="00CB1D99"/>
    <w:rsid w:val="00CB1FE4"/>
    <w:rsid w:val="00CB24A2"/>
    <w:rsid w:val="00CB26EF"/>
    <w:rsid w:val="00CB352F"/>
    <w:rsid w:val="00CB3C73"/>
    <w:rsid w:val="00CB3EBF"/>
    <w:rsid w:val="00CB4811"/>
    <w:rsid w:val="00CB5629"/>
    <w:rsid w:val="00CB5AD4"/>
    <w:rsid w:val="00CB5ECD"/>
    <w:rsid w:val="00CB76D0"/>
    <w:rsid w:val="00CB7E15"/>
    <w:rsid w:val="00CC0245"/>
    <w:rsid w:val="00CC042E"/>
    <w:rsid w:val="00CC195B"/>
    <w:rsid w:val="00CC1E3D"/>
    <w:rsid w:val="00CC48E0"/>
    <w:rsid w:val="00CC4C75"/>
    <w:rsid w:val="00CC5FD9"/>
    <w:rsid w:val="00CC6DEA"/>
    <w:rsid w:val="00CD0888"/>
    <w:rsid w:val="00CD2170"/>
    <w:rsid w:val="00CD2623"/>
    <w:rsid w:val="00CD2DB7"/>
    <w:rsid w:val="00CD34CD"/>
    <w:rsid w:val="00CD3789"/>
    <w:rsid w:val="00CD4304"/>
    <w:rsid w:val="00CD462B"/>
    <w:rsid w:val="00CD5478"/>
    <w:rsid w:val="00CD5E08"/>
    <w:rsid w:val="00CD68C1"/>
    <w:rsid w:val="00CD7449"/>
    <w:rsid w:val="00CE066F"/>
    <w:rsid w:val="00CE0DFC"/>
    <w:rsid w:val="00CE14EC"/>
    <w:rsid w:val="00CE163D"/>
    <w:rsid w:val="00CE196D"/>
    <w:rsid w:val="00CE1B51"/>
    <w:rsid w:val="00CE23A4"/>
    <w:rsid w:val="00CE2E47"/>
    <w:rsid w:val="00CE393A"/>
    <w:rsid w:val="00CE3C32"/>
    <w:rsid w:val="00CE3C8A"/>
    <w:rsid w:val="00CE3D55"/>
    <w:rsid w:val="00CE41B0"/>
    <w:rsid w:val="00CE458C"/>
    <w:rsid w:val="00CE4FAE"/>
    <w:rsid w:val="00CE524B"/>
    <w:rsid w:val="00CE6665"/>
    <w:rsid w:val="00CE7A24"/>
    <w:rsid w:val="00CE7C52"/>
    <w:rsid w:val="00CF05F8"/>
    <w:rsid w:val="00CF0D15"/>
    <w:rsid w:val="00CF1784"/>
    <w:rsid w:val="00CF17E0"/>
    <w:rsid w:val="00CF1B10"/>
    <w:rsid w:val="00CF1DE0"/>
    <w:rsid w:val="00CF1E85"/>
    <w:rsid w:val="00CF23AC"/>
    <w:rsid w:val="00CF2413"/>
    <w:rsid w:val="00CF3A7D"/>
    <w:rsid w:val="00CF42FB"/>
    <w:rsid w:val="00CF4D73"/>
    <w:rsid w:val="00CF4E11"/>
    <w:rsid w:val="00CF5C35"/>
    <w:rsid w:val="00CF5E25"/>
    <w:rsid w:val="00CF5E75"/>
    <w:rsid w:val="00CF6099"/>
    <w:rsid w:val="00CF62E1"/>
    <w:rsid w:val="00CF72D0"/>
    <w:rsid w:val="00CF7467"/>
    <w:rsid w:val="00CF7CEC"/>
    <w:rsid w:val="00D010D7"/>
    <w:rsid w:val="00D012F1"/>
    <w:rsid w:val="00D01754"/>
    <w:rsid w:val="00D01BB0"/>
    <w:rsid w:val="00D01D82"/>
    <w:rsid w:val="00D03DB3"/>
    <w:rsid w:val="00D0418B"/>
    <w:rsid w:val="00D04BFE"/>
    <w:rsid w:val="00D06274"/>
    <w:rsid w:val="00D06AE2"/>
    <w:rsid w:val="00D07389"/>
    <w:rsid w:val="00D07EB2"/>
    <w:rsid w:val="00D1027B"/>
    <w:rsid w:val="00D11708"/>
    <w:rsid w:val="00D125C0"/>
    <w:rsid w:val="00D12E87"/>
    <w:rsid w:val="00D14B9A"/>
    <w:rsid w:val="00D152FB"/>
    <w:rsid w:val="00D16417"/>
    <w:rsid w:val="00D16454"/>
    <w:rsid w:val="00D165C9"/>
    <w:rsid w:val="00D16D3C"/>
    <w:rsid w:val="00D17E15"/>
    <w:rsid w:val="00D207A7"/>
    <w:rsid w:val="00D2132F"/>
    <w:rsid w:val="00D222B1"/>
    <w:rsid w:val="00D23266"/>
    <w:rsid w:val="00D23C9C"/>
    <w:rsid w:val="00D23DAD"/>
    <w:rsid w:val="00D24665"/>
    <w:rsid w:val="00D25AE1"/>
    <w:rsid w:val="00D26BC7"/>
    <w:rsid w:val="00D26EFE"/>
    <w:rsid w:val="00D30A61"/>
    <w:rsid w:val="00D3315C"/>
    <w:rsid w:val="00D33713"/>
    <w:rsid w:val="00D33A9E"/>
    <w:rsid w:val="00D341B3"/>
    <w:rsid w:val="00D34C92"/>
    <w:rsid w:val="00D35049"/>
    <w:rsid w:val="00D3510E"/>
    <w:rsid w:val="00D36475"/>
    <w:rsid w:val="00D37285"/>
    <w:rsid w:val="00D37F31"/>
    <w:rsid w:val="00D4019E"/>
    <w:rsid w:val="00D403CB"/>
    <w:rsid w:val="00D40BD8"/>
    <w:rsid w:val="00D40CC6"/>
    <w:rsid w:val="00D41443"/>
    <w:rsid w:val="00D41767"/>
    <w:rsid w:val="00D420C3"/>
    <w:rsid w:val="00D44412"/>
    <w:rsid w:val="00D45ED5"/>
    <w:rsid w:val="00D46CEB"/>
    <w:rsid w:val="00D50569"/>
    <w:rsid w:val="00D5064C"/>
    <w:rsid w:val="00D50CCC"/>
    <w:rsid w:val="00D5143B"/>
    <w:rsid w:val="00D52145"/>
    <w:rsid w:val="00D53525"/>
    <w:rsid w:val="00D53AA9"/>
    <w:rsid w:val="00D53CD9"/>
    <w:rsid w:val="00D544B0"/>
    <w:rsid w:val="00D5494C"/>
    <w:rsid w:val="00D54DC1"/>
    <w:rsid w:val="00D55A43"/>
    <w:rsid w:val="00D55C53"/>
    <w:rsid w:val="00D5622F"/>
    <w:rsid w:val="00D577E1"/>
    <w:rsid w:val="00D57981"/>
    <w:rsid w:val="00D57FB9"/>
    <w:rsid w:val="00D6089B"/>
    <w:rsid w:val="00D60925"/>
    <w:rsid w:val="00D60ACE"/>
    <w:rsid w:val="00D62830"/>
    <w:rsid w:val="00D645A5"/>
    <w:rsid w:val="00D646F1"/>
    <w:rsid w:val="00D647C4"/>
    <w:rsid w:val="00D664E1"/>
    <w:rsid w:val="00D6676F"/>
    <w:rsid w:val="00D66D3F"/>
    <w:rsid w:val="00D67224"/>
    <w:rsid w:val="00D70B94"/>
    <w:rsid w:val="00D70D73"/>
    <w:rsid w:val="00D70DEC"/>
    <w:rsid w:val="00D7171D"/>
    <w:rsid w:val="00D720AB"/>
    <w:rsid w:val="00D72429"/>
    <w:rsid w:val="00D7285A"/>
    <w:rsid w:val="00D7465B"/>
    <w:rsid w:val="00D75B22"/>
    <w:rsid w:val="00D767E6"/>
    <w:rsid w:val="00D776D5"/>
    <w:rsid w:val="00D777BB"/>
    <w:rsid w:val="00D77AB0"/>
    <w:rsid w:val="00D77CBF"/>
    <w:rsid w:val="00D8004E"/>
    <w:rsid w:val="00D80216"/>
    <w:rsid w:val="00D80719"/>
    <w:rsid w:val="00D80867"/>
    <w:rsid w:val="00D80921"/>
    <w:rsid w:val="00D80AEB"/>
    <w:rsid w:val="00D80E61"/>
    <w:rsid w:val="00D815EF"/>
    <w:rsid w:val="00D8180C"/>
    <w:rsid w:val="00D81CCA"/>
    <w:rsid w:val="00D83447"/>
    <w:rsid w:val="00D83762"/>
    <w:rsid w:val="00D8435A"/>
    <w:rsid w:val="00D84F64"/>
    <w:rsid w:val="00D85044"/>
    <w:rsid w:val="00D85960"/>
    <w:rsid w:val="00D85A19"/>
    <w:rsid w:val="00D85B11"/>
    <w:rsid w:val="00D85C38"/>
    <w:rsid w:val="00D86760"/>
    <w:rsid w:val="00D86B0A"/>
    <w:rsid w:val="00D87555"/>
    <w:rsid w:val="00D9060A"/>
    <w:rsid w:val="00D91A50"/>
    <w:rsid w:val="00D9226F"/>
    <w:rsid w:val="00D92723"/>
    <w:rsid w:val="00D927D7"/>
    <w:rsid w:val="00D95753"/>
    <w:rsid w:val="00D95C13"/>
    <w:rsid w:val="00D95EF1"/>
    <w:rsid w:val="00D96C17"/>
    <w:rsid w:val="00D9767B"/>
    <w:rsid w:val="00D97883"/>
    <w:rsid w:val="00D97C16"/>
    <w:rsid w:val="00DA00B5"/>
    <w:rsid w:val="00DA170E"/>
    <w:rsid w:val="00DA2B32"/>
    <w:rsid w:val="00DA2F3D"/>
    <w:rsid w:val="00DA3413"/>
    <w:rsid w:val="00DA3644"/>
    <w:rsid w:val="00DA464D"/>
    <w:rsid w:val="00DA4E22"/>
    <w:rsid w:val="00DA4F29"/>
    <w:rsid w:val="00DA6C52"/>
    <w:rsid w:val="00DA71B1"/>
    <w:rsid w:val="00DA75E2"/>
    <w:rsid w:val="00DA7A6E"/>
    <w:rsid w:val="00DA7C74"/>
    <w:rsid w:val="00DA7E08"/>
    <w:rsid w:val="00DB0B55"/>
    <w:rsid w:val="00DB0C2C"/>
    <w:rsid w:val="00DB0F50"/>
    <w:rsid w:val="00DB1205"/>
    <w:rsid w:val="00DB121E"/>
    <w:rsid w:val="00DB140F"/>
    <w:rsid w:val="00DB16E5"/>
    <w:rsid w:val="00DB17ED"/>
    <w:rsid w:val="00DB1B69"/>
    <w:rsid w:val="00DB1C22"/>
    <w:rsid w:val="00DB1FAD"/>
    <w:rsid w:val="00DB2062"/>
    <w:rsid w:val="00DB29E0"/>
    <w:rsid w:val="00DB2E0E"/>
    <w:rsid w:val="00DB2ECD"/>
    <w:rsid w:val="00DB33F2"/>
    <w:rsid w:val="00DB3604"/>
    <w:rsid w:val="00DB3A38"/>
    <w:rsid w:val="00DB4462"/>
    <w:rsid w:val="00DB48B0"/>
    <w:rsid w:val="00DB4CDD"/>
    <w:rsid w:val="00DB5696"/>
    <w:rsid w:val="00DB5CEB"/>
    <w:rsid w:val="00DB609E"/>
    <w:rsid w:val="00DB6238"/>
    <w:rsid w:val="00DB69A2"/>
    <w:rsid w:val="00DB6E97"/>
    <w:rsid w:val="00DB780E"/>
    <w:rsid w:val="00DB7C44"/>
    <w:rsid w:val="00DB7D0F"/>
    <w:rsid w:val="00DC1044"/>
    <w:rsid w:val="00DC1064"/>
    <w:rsid w:val="00DC24C3"/>
    <w:rsid w:val="00DC3C84"/>
    <w:rsid w:val="00DC49B7"/>
    <w:rsid w:val="00DC4C11"/>
    <w:rsid w:val="00DC6402"/>
    <w:rsid w:val="00DC6B59"/>
    <w:rsid w:val="00DC6CD9"/>
    <w:rsid w:val="00DC7B6F"/>
    <w:rsid w:val="00DD0DF4"/>
    <w:rsid w:val="00DD103F"/>
    <w:rsid w:val="00DD135E"/>
    <w:rsid w:val="00DD16FA"/>
    <w:rsid w:val="00DD1B32"/>
    <w:rsid w:val="00DD38CE"/>
    <w:rsid w:val="00DD4BE7"/>
    <w:rsid w:val="00DD4EAD"/>
    <w:rsid w:val="00DD5DDA"/>
    <w:rsid w:val="00DD68C9"/>
    <w:rsid w:val="00DD75D9"/>
    <w:rsid w:val="00DE138B"/>
    <w:rsid w:val="00DE22F3"/>
    <w:rsid w:val="00DE33E1"/>
    <w:rsid w:val="00DE3A8C"/>
    <w:rsid w:val="00DE3E37"/>
    <w:rsid w:val="00DE446A"/>
    <w:rsid w:val="00DE44C4"/>
    <w:rsid w:val="00DE49AD"/>
    <w:rsid w:val="00DE49B6"/>
    <w:rsid w:val="00DE5117"/>
    <w:rsid w:val="00DE521E"/>
    <w:rsid w:val="00DE5313"/>
    <w:rsid w:val="00DE55A7"/>
    <w:rsid w:val="00DE5714"/>
    <w:rsid w:val="00DE57BE"/>
    <w:rsid w:val="00DE654E"/>
    <w:rsid w:val="00DE68EC"/>
    <w:rsid w:val="00DE69D4"/>
    <w:rsid w:val="00DE6C47"/>
    <w:rsid w:val="00DE71E4"/>
    <w:rsid w:val="00DE7692"/>
    <w:rsid w:val="00DE7B77"/>
    <w:rsid w:val="00DF0638"/>
    <w:rsid w:val="00DF1E2D"/>
    <w:rsid w:val="00DF1E6F"/>
    <w:rsid w:val="00DF487A"/>
    <w:rsid w:val="00DF4E2F"/>
    <w:rsid w:val="00DF63F5"/>
    <w:rsid w:val="00DF682B"/>
    <w:rsid w:val="00DF68D6"/>
    <w:rsid w:val="00DF6D8F"/>
    <w:rsid w:val="00DF7744"/>
    <w:rsid w:val="00E0025E"/>
    <w:rsid w:val="00E02214"/>
    <w:rsid w:val="00E02451"/>
    <w:rsid w:val="00E02DA6"/>
    <w:rsid w:val="00E036B1"/>
    <w:rsid w:val="00E0394C"/>
    <w:rsid w:val="00E04702"/>
    <w:rsid w:val="00E047F3"/>
    <w:rsid w:val="00E04DE9"/>
    <w:rsid w:val="00E0500A"/>
    <w:rsid w:val="00E05C31"/>
    <w:rsid w:val="00E06818"/>
    <w:rsid w:val="00E103D2"/>
    <w:rsid w:val="00E1127A"/>
    <w:rsid w:val="00E11B3D"/>
    <w:rsid w:val="00E12BCB"/>
    <w:rsid w:val="00E13D87"/>
    <w:rsid w:val="00E140FD"/>
    <w:rsid w:val="00E1482C"/>
    <w:rsid w:val="00E149C2"/>
    <w:rsid w:val="00E14B4E"/>
    <w:rsid w:val="00E152A5"/>
    <w:rsid w:val="00E157FA"/>
    <w:rsid w:val="00E1663B"/>
    <w:rsid w:val="00E168E9"/>
    <w:rsid w:val="00E16A95"/>
    <w:rsid w:val="00E16ABA"/>
    <w:rsid w:val="00E16FEF"/>
    <w:rsid w:val="00E171BA"/>
    <w:rsid w:val="00E179F4"/>
    <w:rsid w:val="00E20644"/>
    <w:rsid w:val="00E20C8B"/>
    <w:rsid w:val="00E2125A"/>
    <w:rsid w:val="00E21600"/>
    <w:rsid w:val="00E21689"/>
    <w:rsid w:val="00E2199F"/>
    <w:rsid w:val="00E251A1"/>
    <w:rsid w:val="00E25254"/>
    <w:rsid w:val="00E253D6"/>
    <w:rsid w:val="00E25B70"/>
    <w:rsid w:val="00E26392"/>
    <w:rsid w:val="00E268E5"/>
    <w:rsid w:val="00E2690C"/>
    <w:rsid w:val="00E27C2F"/>
    <w:rsid w:val="00E27EE0"/>
    <w:rsid w:val="00E30D17"/>
    <w:rsid w:val="00E31376"/>
    <w:rsid w:val="00E314B6"/>
    <w:rsid w:val="00E327FE"/>
    <w:rsid w:val="00E32ADF"/>
    <w:rsid w:val="00E32C40"/>
    <w:rsid w:val="00E32C63"/>
    <w:rsid w:val="00E33B31"/>
    <w:rsid w:val="00E33C76"/>
    <w:rsid w:val="00E33F94"/>
    <w:rsid w:val="00E34B35"/>
    <w:rsid w:val="00E34EDD"/>
    <w:rsid w:val="00E3612F"/>
    <w:rsid w:val="00E368A1"/>
    <w:rsid w:val="00E36970"/>
    <w:rsid w:val="00E37410"/>
    <w:rsid w:val="00E40323"/>
    <w:rsid w:val="00E4096E"/>
    <w:rsid w:val="00E40DEF"/>
    <w:rsid w:val="00E41FCE"/>
    <w:rsid w:val="00E42E27"/>
    <w:rsid w:val="00E43B78"/>
    <w:rsid w:val="00E44048"/>
    <w:rsid w:val="00E44523"/>
    <w:rsid w:val="00E448E6"/>
    <w:rsid w:val="00E4495F"/>
    <w:rsid w:val="00E45212"/>
    <w:rsid w:val="00E454EB"/>
    <w:rsid w:val="00E45651"/>
    <w:rsid w:val="00E45D18"/>
    <w:rsid w:val="00E45EAD"/>
    <w:rsid w:val="00E502DD"/>
    <w:rsid w:val="00E519B0"/>
    <w:rsid w:val="00E528CE"/>
    <w:rsid w:val="00E53460"/>
    <w:rsid w:val="00E5351D"/>
    <w:rsid w:val="00E5353C"/>
    <w:rsid w:val="00E53841"/>
    <w:rsid w:val="00E5448D"/>
    <w:rsid w:val="00E54EEC"/>
    <w:rsid w:val="00E560C7"/>
    <w:rsid w:val="00E57558"/>
    <w:rsid w:val="00E577A6"/>
    <w:rsid w:val="00E60345"/>
    <w:rsid w:val="00E6036E"/>
    <w:rsid w:val="00E6091A"/>
    <w:rsid w:val="00E6119F"/>
    <w:rsid w:val="00E621A7"/>
    <w:rsid w:val="00E63390"/>
    <w:rsid w:val="00E63776"/>
    <w:rsid w:val="00E6470A"/>
    <w:rsid w:val="00E64F32"/>
    <w:rsid w:val="00E64F55"/>
    <w:rsid w:val="00E64FF1"/>
    <w:rsid w:val="00E653FE"/>
    <w:rsid w:val="00E65BDC"/>
    <w:rsid w:val="00E66840"/>
    <w:rsid w:val="00E66BF3"/>
    <w:rsid w:val="00E66C6C"/>
    <w:rsid w:val="00E678D7"/>
    <w:rsid w:val="00E71AC9"/>
    <w:rsid w:val="00E73099"/>
    <w:rsid w:val="00E7338F"/>
    <w:rsid w:val="00E73433"/>
    <w:rsid w:val="00E74718"/>
    <w:rsid w:val="00E75BE1"/>
    <w:rsid w:val="00E7622A"/>
    <w:rsid w:val="00E768AF"/>
    <w:rsid w:val="00E771B2"/>
    <w:rsid w:val="00E77279"/>
    <w:rsid w:val="00E772CB"/>
    <w:rsid w:val="00E81828"/>
    <w:rsid w:val="00E820D8"/>
    <w:rsid w:val="00E820E8"/>
    <w:rsid w:val="00E8258B"/>
    <w:rsid w:val="00E8263B"/>
    <w:rsid w:val="00E827E2"/>
    <w:rsid w:val="00E828F7"/>
    <w:rsid w:val="00E82DEF"/>
    <w:rsid w:val="00E8363A"/>
    <w:rsid w:val="00E866CB"/>
    <w:rsid w:val="00E87752"/>
    <w:rsid w:val="00E87E61"/>
    <w:rsid w:val="00E87F6B"/>
    <w:rsid w:val="00E90C28"/>
    <w:rsid w:val="00E90E4E"/>
    <w:rsid w:val="00E91B22"/>
    <w:rsid w:val="00E92AF6"/>
    <w:rsid w:val="00E936D4"/>
    <w:rsid w:val="00E936D9"/>
    <w:rsid w:val="00E94FA2"/>
    <w:rsid w:val="00E969D4"/>
    <w:rsid w:val="00E96A1A"/>
    <w:rsid w:val="00EA0D15"/>
    <w:rsid w:val="00EA0F12"/>
    <w:rsid w:val="00EA25E3"/>
    <w:rsid w:val="00EA2622"/>
    <w:rsid w:val="00EA287F"/>
    <w:rsid w:val="00EA28FB"/>
    <w:rsid w:val="00EA2CFC"/>
    <w:rsid w:val="00EA3570"/>
    <w:rsid w:val="00EA3D47"/>
    <w:rsid w:val="00EA3D89"/>
    <w:rsid w:val="00EA43E9"/>
    <w:rsid w:val="00EA478E"/>
    <w:rsid w:val="00EA4F37"/>
    <w:rsid w:val="00EA5ECB"/>
    <w:rsid w:val="00EA717E"/>
    <w:rsid w:val="00EA760B"/>
    <w:rsid w:val="00EA79BC"/>
    <w:rsid w:val="00EA7E5B"/>
    <w:rsid w:val="00EB0069"/>
    <w:rsid w:val="00EB0792"/>
    <w:rsid w:val="00EB184A"/>
    <w:rsid w:val="00EB28AB"/>
    <w:rsid w:val="00EB2C58"/>
    <w:rsid w:val="00EB313A"/>
    <w:rsid w:val="00EB36BD"/>
    <w:rsid w:val="00EB38BB"/>
    <w:rsid w:val="00EB3B9D"/>
    <w:rsid w:val="00EB46D1"/>
    <w:rsid w:val="00EB495C"/>
    <w:rsid w:val="00EB5322"/>
    <w:rsid w:val="00EB6BD4"/>
    <w:rsid w:val="00EB6E83"/>
    <w:rsid w:val="00EB7646"/>
    <w:rsid w:val="00EB7BB2"/>
    <w:rsid w:val="00EC09C3"/>
    <w:rsid w:val="00EC0D1B"/>
    <w:rsid w:val="00EC11C0"/>
    <w:rsid w:val="00EC22CF"/>
    <w:rsid w:val="00EC2455"/>
    <w:rsid w:val="00EC26AC"/>
    <w:rsid w:val="00EC28B5"/>
    <w:rsid w:val="00EC2A14"/>
    <w:rsid w:val="00EC2E3D"/>
    <w:rsid w:val="00EC365B"/>
    <w:rsid w:val="00EC3690"/>
    <w:rsid w:val="00EC3991"/>
    <w:rsid w:val="00EC3A2F"/>
    <w:rsid w:val="00EC3E54"/>
    <w:rsid w:val="00EC4162"/>
    <w:rsid w:val="00EC50FF"/>
    <w:rsid w:val="00EC66D8"/>
    <w:rsid w:val="00EC7131"/>
    <w:rsid w:val="00EC74DD"/>
    <w:rsid w:val="00EC7C84"/>
    <w:rsid w:val="00ED045F"/>
    <w:rsid w:val="00ED050B"/>
    <w:rsid w:val="00ED06D5"/>
    <w:rsid w:val="00ED088D"/>
    <w:rsid w:val="00ED1655"/>
    <w:rsid w:val="00ED296B"/>
    <w:rsid w:val="00ED2A5F"/>
    <w:rsid w:val="00ED300D"/>
    <w:rsid w:val="00ED38F6"/>
    <w:rsid w:val="00ED39C4"/>
    <w:rsid w:val="00ED3D78"/>
    <w:rsid w:val="00ED4A2C"/>
    <w:rsid w:val="00ED4B76"/>
    <w:rsid w:val="00ED59E2"/>
    <w:rsid w:val="00ED5E51"/>
    <w:rsid w:val="00ED7F76"/>
    <w:rsid w:val="00EE0A81"/>
    <w:rsid w:val="00EE2642"/>
    <w:rsid w:val="00EE278F"/>
    <w:rsid w:val="00EE2881"/>
    <w:rsid w:val="00EE2906"/>
    <w:rsid w:val="00EE2F3D"/>
    <w:rsid w:val="00EE5DBD"/>
    <w:rsid w:val="00EE5DD0"/>
    <w:rsid w:val="00EE6062"/>
    <w:rsid w:val="00EE6B4A"/>
    <w:rsid w:val="00EE7E54"/>
    <w:rsid w:val="00EF05C4"/>
    <w:rsid w:val="00EF0703"/>
    <w:rsid w:val="00EF128E"/>
    <w:rsid w:val="00EF1650"/>
    <w:rsid w:val="00EF1FC5"/>
    <w:rsid w:val="00EF212C"/>
    <w:rsid w:val="00EF21CA"/>
    <w:rsid w:val="00EF28AC"/>
    <w:rsid w:val="00EF2941"/>
    <w:rsid w:val="00EF30A7"/>
    <w:rsid w:val="00EF342E"/>
    <w:rsid w:val="00EF40C2"/>
    <w:rsid w:val="00EF5529"/>
    <w:rsid w:val="00EF6421"/>
    <w:rsid w:val="00EF64F9"/>
    <w:rsid w:val="00EF689E"/>
    <w:rsid w:val="00EF7077"/>
    <w:rsid w:val="00EF747C"/>
    <w:rsid w:val="00EF7858"/>
    <w:rsid w:val="00EF7D56"/>
    <w:rsid w:val="00F009B9"/>
    <w:rsid w:val="00F00A00"/>
    <w:rsid w:val="00F01D62"/>
    <w:rsid w:val="00F022E9"/>
    <w:rsid w:val="00F0324A"/>
    <w:rsid w:val="00F03F28"/>
    <w:rsid w:val="00F04D61"/>
    <w:rsid w:val="00F06484"/>
    <w:rsid w:val="00F06CCB"/>
    <w:rsid w:val="00F070B6"/>
    <w:rsid w:val="00F0764D"/>
    <w:rsid w:val="00F076D9"/>
    <w:rsid w:val="00F07C70"/>
    <w:rsid w:val="00F105A3"/>
    <w:rsid w:val="00F13A2C"/>
    <w:rsid w:val="00F13A68"/>
    <w:rsid w:val="00F15196"/>
    <w:rsid w:val="00F17819"/>
    <w:rsid w:val="00F17866"/>
    <w:rsid w:val="00F17AB0"/>
    <w:rsid w:val="00F17CDD"/>
    <w:rsid w:val="00F20A1C"/>
    <w:rsid w:val="00F20F41"/>
    <w:rsid w:val="00F21EDE"/>
    <w:rsid w:val="00F21EE3"/>
    <w:rsid w:val="00F22596"/>
    <w:rsid w:val="00F229F5"/>
    <w:rsid w:val="00F22E01"/>
    <w:rsid w:val="00F23657"/>
    <w:rsid w:val="00F23A71"/>
    <w:rsid w:val="00F23E62"/>
    <w:rsid w:val="00F2415B"/>
    <w:rsid w:val="00F249B4"/>
    <w:rsid w:val="00F24A5C"/>
    <w:rsid w:val="00F2513A"/>
    <w:rsid w:val="00F25801"/>
    <w:rsid w:val="00F26399"/>
    <w:rsid w:val="00F2660C"/>
    <w:rsid w:val="00F27485"/>
    <w:rsid w:val="00F27FAC"/>
    <w:rsid w:val="00F3083F"/>
    <w:rsid w:val="00F30F0E"/>
    <w:rsid w:val="00F3124E"/>
    <w:rsid w:val="00F31CB1"/>
    <w:rsid w:val="00F3328D"/>
    <w:rsid w:val="00F332FD"/>
    <w:rsid w:val="00F33642"/>
    <w:rsid w:val="00F345C3"/>
    <w:rsid w:val="00F348BE"/>
    <w:rsid w:val="00F34C39"/>
    <w:rsid w:val="00F36294"/>
    <w:rsid w:val="00F36E39"/>
    <w:rsid w:val="00F36FC1"/>
    <w:rsid w:val="00F372DB"/>
    <w:rsid w:val="00F377DB"/>
    <w:rsid w:val="00F37938"/>
    <w:rsid w:val="00F40035"/>
    <w:rsid w:val="00F41144"/>
    <w:rsid w:val="00F4126D"/>
    <w:rsid w:val="00F41DFC"/>
    <w:rsid w:val="00F420F9"/>
    <w:rsid w:val="00F433A2"/>
    <w:rsid w:val="00F43541"/>
    <w:rsid w:val="00F45372"/>
    <w:rsid w:val="00F46BB6"/>
    <w:rsid w:val="00F46D5F"/>
    <w:rsid w:val="00F479A7"/>
    <w:rsid w:val="00F500C0"/>
    <w:rsid w:val="00F50AB0"/>
    <w:rsid w:val="00F51357"/>
    <w:rsid w:val="00F53EBD"/>
    <w:rsid w:val="00F54BD9"/>
    <w:rsid w:val="00F557DA"/>
    <w:rsid w:val="00F562C5"/>
    <w:rsid w:val="00F563DC"/>
    <w:rsid w:val="00F5721D"/>
    <w:rsid w:val="00F57EA8"/>
    <w:rsid w:val="00F608C6"/>
    <w:rsid w:val="00F61CB5"/>
    <w:rsid w:val="00F64085"/>
    <w:rsid w:val="00F64116"/>
    <w:rsid w:val="00F646B9"/>
    <w:rsid w:val="00F64C67"/>
    <w:rsid w:val="00F64EFB"/>
    <w:rsid w:val="00F65100"/>
    <w:rsid w:val="00F6605A"/>
    <w:rsid w:val="00F66688"/>
    <w:rsid w:val="00F67159"/>
    <w:rsid w:val="00F671C1"/>
    <w:rsid w:val="00F7071B"/>
    <w:rsid w:val="00F7114B"/>
    <w:rsid w:val="00F735A3"/>
    <w:rsid w:val="00F735E2"/>
    <w:rsid w:val="00F73A6B"/>
    <w:rsid w:val="00F73A98"/>
    <w:rsid w:val="00F73C56"/>
    <w:rsid w:val="00F73FDD"/>
    <w:rsid w:val="00F742A5"/>
    <w:rsid w:val="00F74700"/>
    <w:rsid w:val="00F74F52"/>
    <w:rsid w:val="00F750AA"/>
    <w:rsid w:val="00F7518C"/>
    <w:rsid w:val="00F754B4"/>
    <w:rsid w:val="00F75A35"/>
    <w:rsid w:val="00F75CF0"/>
    <w:rsid w:val="00F75FD3"/>
    <w:rsid w:val="00F76FEC"/>
    <w:rsid w:val="00F7725C"/>
    <w:rsid w:val="00F77702"/>
    <w:rsid w:val="00F80267"/>
    <w:rsid w:val="00F80B1B"/>
    <w:rsid w:val="00F80C8E"/>
    <w:rsid w:val="00F80E47"/>
    <w:rsid w:val="00F821E5"/>
    <w:rsid w:val="00F82540"/>
    <w:rsid w:val="00F849CD"/>
    <w:rsid w:val="00F85794"/>
    <w:rsid w:val="00F862D2"/>
    <w:rsid w:val="00F86B65"/>
    <w:rsid w:val="00F86F43"/>
    <w:rsid w:val="00F90A29"/>
    <w:rsid w:val="00F9258A"/>
    <w:rsid w:val="00F9333B"/>
    <w:rsid w:val="00F9370D"/>
    <w:rsid w:val="00F93D5D"/>
    <w:rsid w:val="00F9526F"/>
    <w:rsid w:val="00F958F2"/>
    <w:rsid w:val="00F95937"/>
    <w:rsid w:val="00F95F7F"/>
    <w:rsid w:val="00F95FDC"/>
    <w:rsid w:val="00F96F79"/>
    <w:rsid w:val="00F9748B"/>
    <w:rsid w:val="00F97D0C"/>
    <w:rsid w:val="00F97E84"/>
    <w:rsid w:val="00FA0BC6"/>
    <w:rsid w:val="00FA15B0"/>
    <w:rsid w:val="00FA1902"/>
    <w:rsid w:val="00FA2074"/>
    <w:rsid w:val="00FA3272"/>
    <w:rsid w:val="00FA393A"/>
    <w:rsid w:val="00FA4BC2"/>
    <w:rsid w:val="00FA508F"/>
    <w:rsid w:val="00FA633B"/>
    <w:rsid w:val="00FA6998"/>
    <w:rsid w:val="00FA69FD"/>
    <w:rsid w:val="00FA6BDA"/>
    <w:rsid w:val="00FA7423"/>
    <w:rsid w:val="00FB1418"/>
    <w:rsid w:val="00FB188C"/>
    <w:rsid w:val="00FB19C4"/>
    <w:rsid w:val="00FB1FDD"/>
    <w:rsid w:val="00FB2DBD"/>
    <w:rsid w:val="00FB321A"/>
    <w:rsid w:val="00FB37EA"/>
    <w:rsid w:val="00FB3999"/>
    <w:rsid w:val="00FB3DDA"/>
    <w:rsid w:val="00FB44F4"/>
    <w:rsid w:val="00FB4899"/>
    <w:rsid w:val="00FB4D59"/>
    <w:rsid w:val="00FB592B"/>
    <w:rsid w:val="00FB5AA8"/>
    <w:rsid w:val="00FB608C"/>
    <w:rsid w:val="00FB64AB"/>
    <w:rsid w:val="00FB6783"/>
    <w:rsid w:val="00FB6AD7"/>
    <w:rsid w:val="00FB7A73"/>
    <w:rsid w:val="00FC06C8"/>
    <w:rsid w:val="00FC0BA9"/>
    <w:rsid w:val="00FC1353"/>
    <w:rsid w:val="00FC1781"/>
    <w:rsid w:val="00FC29CB"/>
    <w:rsid w:val="00FC2E20"/>
    <w:rsid w:val="00FC3B5D"/>
    <w:rsid w:val="00FC41D9"/>
    <w:rsid w:val="00FC4517"/>
    <w:rsid w:val="00FC4D82"/>
    <w:rsid w:val="00FC5C05"/>
    <w:rsid w:val="00FC6FD6"/>
    <w:rsid w:val="00FD04DD"/>
    <w:rsid w:val="00FD06AD"/>
    <w:rsid w:val="00FD0C8D"/>
    <w:rsid w:val="00FD0DF1"/>
    <w:rsid w:val="00FD0E2C"/>
    <w:rsid w:val="00FD1A2C"/>
    <w:rsid w:val="00FD25B2"/>
    <w:rsid w:val="00FD32F1"/>
    <w:rsid w:val="00FD3D8C"/>
    <w:rsid w:val="00FD3F77"/>
    <w:rsid w:val="00FD45F7"/>
    <w:rsid w:val="00FD47CB"/>
    <w:rsid w:val="00FD4C4F"/>
    <w:rsid w:val="00FD55DC"/>
    <w:rsid w:val="00FD5994"/>
    <w:rsid w:val="00FD712E"/>
    <w:rsid w:val="00FD7D96"/>
    <w:rsid w:val="00FE0880"/>
    <w:rsid w:val="00FE0B9A"/>
    <w:rsid w:val="00FE0C2A"/>
    <w:rsid w:val="00FE1155"/>
    <w:rsid w:val="00FE11F0"/>
    <w:rsid w:val="00FE13F7"/>
    <w:rsid w:val="00FE2456"/>
    <w:rsid w:val="00FE2738"/>
    <w:rsid w:val="00FE4048"/>
    <w:rsid w:val="00FE4BEB"/>
    <w:rsid w:val="00FE51D1"/>
    <w:rsid w:val="00FE5C40"/>
    <w:rsid w:val="00FE5ECD"/>
    <w:rsid w:val="00FE6E0D"/>
    <w:rsid w:val="00FE6E10"/>
    <w:rsid w:val="00FE7401"/>
    <w:rsid w:val="00FE7415"/>
    <w:rsid w:val="00FE7886"/>
    <w:rsid w:val="00FF0857"/>
    <w:rsid w:val="00FF0BCC"/>
    <w:rsid w:val="00FF1FE5"/>
    <w:rsid w:val="00FF20AA"/>
    <w:rsid w:val="00FF3BD4"/>
    <w:rsid w:val="00FF3BED"/>
    <w:rsid w:val="00FF3C3C"/>
    <w:rsid w:val="00FF452E"/>
    <w:rsid w:val="00FF55E8"/>
    <w:rsid w:val="00FF5B7E"/>
    <w:rsid w:val="00FF6564"/>
    <w:rsid w:val="00FF7AB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F7BA"/>
  <w15:chartTrackingRefBased/>
  <w15:docId w15:val="{D043A436-C2B3-43B8-954C-9B714DCB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6D4F"/>
  </w:style>
  <w:style w:type="paragraph" w:styleId="Titolo1">
    <w:name w:val="heading 1"/>
    <w:basedOn w:val="Normale"/>
    <w:next w:val="Normale"/>
    <w:link w:val="Titolo1Carattere"/>
    <w:uiPriority w:val="9"/>
    <w:qFormat/>
    <w:rsid w:val="00902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2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2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2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2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2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2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2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2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2E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2E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2E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2E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2E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2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2E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2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2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2E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2E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2E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2E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2EA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C1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120"/>
  </w:style>
  <w:style w:type="paragraph" w:styleId="Pidipagina">
    <w:name w:val="footer"/>
    <w:basedOn w:val="Normale"/>
    <w:link w:val="PidipaginaCarattere"/>
    <w:uiPriority w:val="99"/>
    <w:unhideWhenUsed/>
    <w:rsid w:val="004C1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120"/>
  </w:style>
  <w:style w:type="character" w:styleId="Collegamentoipertestuale">
    <w:name w:val="Hyperlink"/>
    <w:uiPriority w:val="99"/>
    <w:rsid w:val="004C1120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1120"/>
    <w:rPr>
      <w:color w:val="96607D" w:themeColor="followedHyperlink"/>
      <w:u w:val="single"/>
    </w:rPr>
  </w:style>
  <w:style w:type="paragraph" w:customStyle="1" w:styleId="012titoloparagrafo">
    <w:name w:val="012_titolo paragrafo"/>
    <w:basedOn w:val="Normale"/>
    <w:uiPriority w:val="99"/>
    <w:rsid w:val="004C1120"/>
    <w:pPr>
      <w:spacing w:before="360" w:after="240"/>
    </w:pPr>
    <w:rPr>
      <w:rFonts w:ascii="Arial" w:eastAsia="Times New Roman" w:hAnsi="Arial" w:cs="Arial"/>
      <w:b/>
      <w:color w:val="008080"/>
      <w:spacing w:val="-2"/>
      <w:sz w:val="26"/>
      <w:szCs w:val="22"/>
    </w:rPr>
  </w:style>
  <w:style w:type="paragraph" w:customStyle="1" w:styleId="016testobulletprimapagina">
    <w:name w:val="016_testo_bullet_prima_pagina"/>
    <w:basedOn w:val="Normale"/>
    <w:uiPriority w:val="99"/>
    <w:rsid w:val="004C1120"/>
    <w:pPr>
      <w:spacing w:after="180" w:line="264" w:lineRule="auto"/>
      <w:ind w:left="284" w:right="284"/>
      <w:jc w:val="both"/>
    </w:pPr>
    <w:rPr>
      <w:rFonts w:ascii="Arial" w:eastAsia="Times New Roman" w:hAnsi="Arial" w:cs="Arial"/>
      <w:iCs/>
      <w:color w:val="008080"/>
      <w:szCs w:val="19"/>
    </w:rPr>
  </w:style>
  <w:style w:type="paragraph" w:customStyle="1" w:styleId="051tabella-figuratitolo">
    <w:name w:val="051_tabella-figura titolo"/>
    <w:basedOn w:val="Normale"/>
    <w:next w:val="Normale"/>
    <w:uiPriority w:val="99"/>
    <w:rsid w:val="004C1120"/>
    <w:pPr>
      <w:tabs>
        <w:tab w:val="right" w:pos="7938"/>
      </w:tabs>
      <w:autoSpaceDE w:val="0"/>
      <w:autoSpaceDN w:val="0"/>
      <w:adjustRightInd w:val="0"/>
      <w:spacing w:before="40" w:after="40"/>
      <w:jc w:val="both"/>
    </w:pPr>
    <w:rPr>
      <w:rFonts w:ascii="Arial Narrow" w:eastAsia="Times New Roman" w:hAnsi="Arial Narrow" w:cs="Arial"/>
      <w:b/>
      <w:iCs/>
      <w:noProof/>
      <w:color w:val="008080"/>
      <w:sz w:val="21"/>
      <w:szCs w:val="20"/>
    </w:rPr>
  </w:style>
  <w:style w:type="paragraph" w:customStyle="1" w:styleId="054tabella-figuranote">
    <w:name w:val="054_tabella-figura note"/>
    <w:basedOn w:val="Normale"/>
    <w:link w:val="054tabella-figuranoteCarattereCarattere"/>
    <w:uiPriority w:val="99"/>
    <w:rsid w:val="004C1120"/>
    <w:pPr>
      <w:spacing w:before="20" w:after="20"/>
      <w:ind w:left="227" w:hanging="227"/>
      <w:jc w:val="both"/>
    </w:pPr>
    <w:rPr>
      <w:rFonts w:ascii="Arial Narrow" w:eastAsia="Times New Roman" w:hAnsi="Arial Narrow" w:cs="Arial"/>
      <w:iCs/>
      <w:sz w:val="15"/>
      <w:szCs w:val="19"/>
    </w:rPr>
  </w:style>
  <w:style w:type="character" w:customStyle="1" w:styleId="054tabella-figuranoteCarattereCarattere">
    <w:name w:val="054_tabella-figura note Carattere Carattere"/>
    <w:link w:val="054tabella-figuranote"/>
    <w:uiPriority w:val="99"/>
    <w:locked/>
    <w:rsid w:val="004C1120"/>
    <w:rPr>
      <w:rFonts w:ascii="Arial Narrow" w:eastAsia="Times New Roman" w:hAnsi="Arial Narrow" w:cs="Arial"/>
      <w:iCs/>
      <w:sz w:val="15"/>
      <w:szCs w:val="19"/>
    </w:rPr>
  </w:style>
  <w:style w:type="paragraph" w:customStyle="1" w:styleId="StilePALLINO">
    <w:name w:val="StilePALLINO"/>
    <w:basedOn w:val="Normale"/>
    <w:rsid w:val="004C1120"/>
    <w:pPr>
      <w:numPr>
        <w:numId w:val="1"/>
      </w:num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052tabella-figurasottotitolo">
    <w:name w:val="052_tabella-figura sottotitolo"/>
    <w:basedOn w:val="Normale"/>
    <w:uiPriority w:val="99"/>
    <w:rsid w:val="003C7795"/>
    <w:pPr>
      <w:tabs>
        <w:tab w:val="left" w:pos="567"/>
        <w:tab w:val="right" w:pos="7938"/>
      </w:tabs>
      <w:autoSpaceDE w:val="0"/>
      <w:autoSpaceDN w:val="0"/>
      <w:adjustRightInd w:val="0"/>
      <w:spacing w:after="40"/>
    </w:pPr>
    <w:rPr>
      <w:rFonts w:ascii="Arial Narrow" w:eastAsia="Times New Roman" w:hAnsi="Arial Narrow" w:cs="Arial"/>
      <w:iCs/>
      <w:noProof/>
      <w:color w:val="008080"/>
      <w:sz w:val="21"/>
      <w:szCs w:val="20"/>
    </w:rPr>
  </w:style>
  <w:style w:type="table" w:styleId="Grigliatabella">
    <w:name w:val="Table Grid"/>
    <w:basedOn w:val="Tabellanormale"/>
    <w:uiPriority w:val="39"/>
    <w:rsid w:val="003C779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aliases w:val="Rimando nota a piè di pagina_relazione,Footnote Reference Superscript"/>
    <w:uiPriority w:val="99"/>
    <w:qFormat/>
    <w:rsid w:val="003C7795"/>
    <w:rPr>
      <w:rFonts w:cs="Times New Roman"/>
      <w:vertAlign w:val="superscript"/>
    </w:rPr>
  </w:style>
  <w:style w:type="paragraph" w:customStyle="1" w:styleId="014notapipagina">
    <w:name w:val="014_nota piè pagina"/>
    <w:basedOn w:val="Normale"/>
    <w:uiPriority w:val="99"/>
    <w:rsid w:val="003C7795"/>
    <w:pPr>
      <w:spacing w:after="60"/>
      <w:jc w:val="both"/>
    </w:pPr>
    <w:rPr>
      <w:rFonts w:ascii="Arial" w:eastAsia="Times New Roman" w:hAnsi="Arial" w:cs="Arial"/>
      <w:sz w:val="15"/>
      <w:szCs w:val="16"/>
    </w:rPr>
  </w:style>
  <w:style w:type="paragraph" w:styleId="NormaleWeb">
    <w:name w:val="Normal (Web)"/>
    <w:basedOn w:val="Normale"/>
    <w:uiPriority w:val="99"/>
    <w:unhideWhenUsed/>
    <w:rsid w:val="003C77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3C7795"/>
  </w:style>
  <w:style w:type="paragraph" w:customStyle="1" w:styleId="013titolosottoparagrafo">
    <w:name w:val="013_titolo sottoparagrafo"/>
    <w:basedOn w:val="Normale"/>
    <w:uiPriority w:val="99"/>
    <w:rsid w:val="00E621A7"/>
    <w:pPr>
      <w:spacing w:before="240" w:after="120"/>
    </w:pPr>
    <w:rPr>
      <w:rFonts w:ascii="Arial" w:eastAsia="Times New Roman" w:hAnsi="Arial" w:cs="Arial"/>
      <w:b/>
      <w:bCs/>
      <w:szCs w:val="20"/>
    </w:rPr>
  </w:style>
  <w:style w:type="character" w:customStyle="1" w:styleId="01testoCarattere">
    <w:name w:val="01_testo Carattere"/>
    <w:link w:val="01testo"/>
    <w:uiPriority w:val="99"/>
    <w:locked/>
    <w:rsid w:val="002671F7"/>
    <w:rPr>
      <w:rFonts w:ascii="Arial" w:eastAsiaTheme="minorEastAsia" w:hAnsi="Arial" w:cs="Arial"/>
      <w:iCs/>
      <w:sz w:val="20"/>
      <w:szCs w:val="20"/>
      <w:lang w:val="en-GB" w:eastAsia="it-IT"/>
    </w:rPr>
  </w:style>
  <w:style w:type="paragraph" w:customStyle="1" w:styleId="01testo">
    <w:name w:val="01_testo"/>
    <w:basedOn w:val="Normale"/>
    <w:link w:val="01testoCarattere"/>
    <w:uiPriority w:val="99"/>
    <w:qFormat/>
    <w:rsid w:val="002671F7"/>
    <w:pPr>
      <w:spacing w:after="60"/>
      <w:jc w:val="both"/>
    </w:pPr>
    <w:rPr>
      <w:rFonts w:ascii="Arial" w:eastAsiaTheme="minorEastAsia" w:hAnsi="Arial" w:cs="Arial"/>
      <w:iCs/>
      <w:sz w:val="20"/>
      <w:szCs w:val="20"/>
      <w:lang w:val="en-GB" w:eastAsia="it-I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unhideWhenUsed/>
    <w:rsid w:val="00C526C2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526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471A1E"/>
    <w:rPr>
      <w:rFonts w:ascii="Times New Roman" w:eastAsia="Calibri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71A1E"/>
    <w:rPr>
      <w:rFonts w:ascii="Times New Roman" w:eastAsia="Calibri" w:hAnsi="Times New Roman" w:cs="Times New Roman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04224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9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996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108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08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08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8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81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10810"/>
  </w:style>
  <w:style w:type="character" w:styleId="Enfasicorsivo">
    <w:name w:val="Emphasis"/>
    <w:basedOn w:val="Carpredefinitoparagrafo"/>
    <w:uiPriority w:val="20"/>
    <w:qFormat/>
    <w:rsid w:val="00635F46"/>
    <w:rPr>
      <w:i/>
      <w:iCs/>
    </w:rPr>
  </w:style>
  <w:style w:type="table" w:styleId="Grigliatab2">
    <w:name w:val="Grid Table 2"/>
    <w:basedOn w:val="Tabellanormale"/>
    <w:uiPriority w:val="47"/>
    <w:rsid w:val="00354B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semplice-2">
    <w:name w:val="Plain Table 2"/>
    <w:basedOn w:val="Tabellanormale"/>
    <w:uiPriority w:val="42"/>
    <w:rsid w:val="00354B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5">
    <w:name w:val="Plain Table 5"/>
    <w:basedOn w:val="Tabellanormale"/>
    <w:uiPriority w:val="45"/>
    <w:rsid w:val="00354B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-1">
    <w:name w:val="Plain Table 1"/>
    <w:basedOn w:val="Tabellanormale"/>
    <w:uiPriority w:val="41"/>
    <w:rsid w:val="00354B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4">
    <w:name w:val="Plain Table 4"/>
    <w:basedOn w:val="Tabellanormale"/>
    <w:uiPriority w:val="44"/>
    <w:rsid w:val="00354B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1chiara">
    <w:name w:val="Grid Table 1 Light"/>
    <w:basedOn w:val="Tabellanormale"/>
    <w:uiPriority w:val="46"/>
    <w:rsid w:val="00354B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1403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1403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14031"/>
    <w:rPr>
      <w:vertAlign w:val="superscript"/>
    </w:rPr>
  </w:style>
  <w:style w:type="paragraph" w:customStyle="1" w:styleId="first-token">
    <w:name w:val="first-token"/>
    <w:basedOn w:val="Normale"/>
    <w:rsid w:val="0020439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6119B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Corpotesto1">
    <w:name w:val="Corpo testo1"/>
    <w:basedOn w:val="Normale"/>
    <w:rsid w:val="00D92723"/>
    <w:pPr>
      <w:jc w:val="both"/>
    </w:pPr>
    <w:rPr>
      <w:rFonts w:ascii="Times New Roman" w:eastAsia="Times New Roman" w:hAnsi="Times New Roman" w:cs="Times New Roman"/>
      <w:b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C13C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C13C8"/>
  </w:style>
  <w:style w:type="paragraph" w:customStyle="1" w:styleId="atext">
    <w:name w:val="atext"/>
    <w:basedOn w:val="Normale"/>
    <w:rsid w:val="00C017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object">
    <w:name w:val="object"/>
    <w:basedOn w:val="Carpredefinitoparagrafo"/>
    <w:rsid w:val="00E0245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9C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7747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2938E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58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3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www.istat.it/comunicato-stampa/fatturato-dellindustria-e-dei-servizi-agosto-2025/" TargetMode="External"/><Relationship Id="rId26" Type="http://schemas.openxmlformats.org/officeDocument/2006/relationships/hyperlink" Target="https://www.istat.it/comunicato-stampa/fiducia-dei-consumatori-e-delle-imprese-ottobre-2025/" TargetMode="External"/><Relationship Id="rId39" Type="http://schemas.openxmlformats.org/officeDocument/2006/relationships/chart" Target="charts/chart9.xml"/><Relationship Id="rId21" Type="http://schemas.openxmlformats.org/officeDocument/2006/relationships/chart" Target="charts/chart4.xml"/><Relationship Id="rId34" Type="http://schemas.openxmlformats.org/officeDocument/2006/relationships/hyperlink" Target="https://www.istat.it/comunicato-stampa/prezzi-alla-produzione-dellindustria-e-delle-costruzioni-settembre-2025/" TargetMode="External"/><Relationship Id="rId42" Type="http://schemas.openxmlformats.org/officeDocument/2006/relationships/chart" Target="charts/chart12.xm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tat.it/comunicato-stampa/produzione-nelle-costruzioni-agosto-2025/" TargetMode="External"/><Relationship Id="rId29" Type="http://schemas.openxmlformats.org/officeDocument/2006/relationships/chart" Target="charts/chart5.xml"/><Relationship Id="rId11" Type="http://schemas.openxmlformats.org/officeDocument/2006/relationships/image" Target="media/image1.png"/><Relationship Id="rId24" Type="http://schemas.openxmlformats.org/officeDocument/2006/relationships/hyperlink" Target="https://www.istat.it/comunicato-stampa/occupati-e-disoccupati-dati-provvisori-settembre-2025/" TargetMode="External"/><Relationship Id="rId32" Type="http://schemas.openxmlformats.org/officeDocument/2006/relationships/hyperlink" Target="https://www.istat.it/comunicato-stampa/prezzi-al-consumo-dati-provvisori-ottobre-2025/" TargetMode="External"/><Relationship Id="rId37" Type="http://schemas.openxmlformats.org/officeDocument/2006/relationships/chart" Target="charts/chart7.xml"/><Relationship Id="rId40" Type="http://schemas.openxmlformats.org/officeDocument/2006/relationships/chart" Target="charts/chart10.xm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stat.it/comunicato-stampa/produzione-industriale-settembre-2025/" TargetMode="External"/><Relationship Id="rId23" Type="http://schemas.openxmlformats.org/officeDocument/2006/relationships/hyperlink" Target="https://www.istat.it/comunicato-stampa/commercio-estero-extra-ue-settembre-2025/" TargetMode="External"/><Relationship Id="rId28" Type="http://schemas.openxmlformats.org/officeDocument/2006/relationships/hyperlink" Target="https://www.istat.it/comunicato-stampa/contratti-collettivi-e-retribuzioni-contrattuali-iii-trimestre-2025/" TargetMode="External"/><Relationship Id="rId36" Type="http://schemas.openxmlformats.org/officeDocument/2006/relationships/image" Target="media/image2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stat.it/comunicato-stampa/fiducia-dei-consumatori-e-delle-imprese-ottobre-2025/" TargetMode="External"/><Relationship Id="rId31" Type="http://schemas.openxmlformats.org/officeDocument/2006/relationships/hyperlink" Target="https://www.istat.it/comunicato-stampa/prezzi-al-consumo-dati-provvisori-ottobre-2025/" TargetMode="External"/><Relationship Id="rId44" Type="http://schemas.openxmlformats.org/officeDocument/2006/relationships/hyperlink" Target="mailto:cvicarelli@istat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tat.it/comunicato-stampa/stima-preliminare-del-pil-iii-trimestre-2025/" TargetMode="External"/><Relationship Id="rId22" Type="http://schemas.openxmlformats.org/officeDocument/2006/relationships/hyperlink" Target="https://www.istat.it/comunicato-stampa/commercio-con-lestero-e-prezzi-allimport-agosto-2025/" TargetMode="External"/><Relationship Id="rId27" Type="http://schemas.openxmlformats.org/officeDocument/2006/relationships/hyperlink" Target="https://www.istat.it/comunicato-stampa/commercio-al-dettaglio-settembre-2025/" TargetMode="External"/><Relationship Id="rId30" Type="http://schemas.openxmlformats.org/officeDocument/2006/relationships/chart" Target="charts/chart6.xml"/><Relationship Id="rId35" Type="http://schemas.openxmlformats.org/officeDocument/2006/relationships/hyperlink" Target="https://www.istat.it/comunicato-stampa/fiducia-dei-consumatori-e-delle-imprese-ottobre-2025/" TargetMode="External"/><Relationship Id="rId43" Type="http://schemas.openxmlformats.org/officeDocument/2006/relationships/hyperlink" Target="mailto:rdesantis@istat.it" TargetMode="Externa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www.istat.it/comunicato-stampa/permessi-di-costruire-ii-trimestre-2025/" TargetMode="External"/><Relationship Id="rId25" Type="http://schemas.openxmlformats.org/officeDocument/2006/relationships/hyperlink" Target="https://www.istat.it/comunicato-stampa/conto-trimestrale-ap-reddito-famiglie-profitti-societa-ii-trimestre-2025/" TargetMode="External"/><Relationship Id="rId33" Type="http://schemas.openxmlformats.org/officeDocument/2006/relationships/hyperlink" Target="https://www.istat.it/comunicato-stampa/commercio-con-lestero-e-prezzi-allimport-agosto-2025/" TargetMode="External"/><Relationship Id="rId38" Type="http://schemas.openxmlformats.org/officeDocument/2006/relationships/chart" Target="charts/chart8.xml"/><Relationship Id="rId46" Type="http://schemas.openxmlformats.org/officeDocument/2006/relationships/footer" Target="footer1.xml"/><Relationship Id="rId20" Type="http://schemas.openxmlformats.org/officeDocument/2006/relationships/chart" Target="charts/chart3.xml"/><Relationship Id="rId41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stampa@istat.it" TargetMode="External"/><Relationship Id="rId2" Type="http://schemas.openxmlformats.org/officeDocument/2006/relationships/hyperlink" Target="https://contact.istat.it/s/?language=it" TargetMode="External"/><Relationship Id="rId1" Type="http://schemas.openxmlformats.org/officeDocument/2006/relationships/hyperlink" Target="http://www.istat.it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f.org/en/Blogs/Articles/2021/06/24/four-facts-about-soaring-consumer-food-pric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Nas-balbo\diqr-sep\NOTA\N_2025_05_novembre\figure_nota_nov_2025\fig_1-2%20nota_nov%2025\FIGURA_1_N_5_2025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rgiuseppe.cossu\Desktop\figure%20focus%20%20agg%203%20nov%20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Foglio_di_lavoro_di_Microsoft_Excel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glio_di_lavoro_di_Microsoft_Excel1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Nas-balbo\diqr-sep\NOTA\N_2025_05_novembre\figure_nota_nov_2025\fig_1-2%20nota_nov%2025\FIGURA_2_N_5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Nas-balbo\diqr-sep\NOTA\N_2025_05_novembre\figure_nota_nov_2025\fig%203%20pil_nota%20nov_25\fig_3_pil_nota_nov_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Nas-balbo\diqr-sep\NOTA\N_2025_05_novembre\figure_nota_nov_2025\Figura%20commercio%20estero%20per%20nota%20nov%2025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Nas-balbo\diqr-sep\NOTA\N_2025_05_novembre\figure_nov_2025\fig_5_nov_25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Nas-balbo\diqr-sep\NOTA\N_2025_05_novembre\figure_nota_nov_2025\fig_6%20prezzi%20nov%2025\fig%206%20prezzi%20nota%20nov%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rgiuseppe.cossu\Desktop\figure%20focus%20%205%20nov%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rgiuseppe.cossu\Desktop\figure%20focus%20%20agg%203%20nov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ergiuseppe.cossu\Desktop\figure%20focus%20nov%2025%20rev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247682411273349E-2"/>
          <c:y val="0.15923013125503155"/>
          <c:w val="0.83604343084423915"/>
          <c:h val="0.65026134985923023"/>
        </c:manualLayout>
      </c:layout>
      <c:lineChart>
        <c:grouping val="standard"/>
        <c:varyColors val="0"/>
        <c:ser>
          <c:idx val="2"/>
          <c:order val="0"/>
          <c:tx>
            <c:strRef>
              <c:f>'fig 1 ita'!$D$1</c:f>
              <c:strCache>
                <c:ptCount val="1"/>
                <c:pt idx="0">
                  <c:v>Produzione industriale mondiale</c:v>
                </c:pt>
              </c:strCache>
            </c:strRef>
          </c:tx>
          <c:spPr>
            <a:ln w="19050">
              <a:solidFill>
                <a:srgbClr val="004172"/>
              </a:solidFill>
            </a:ln>
          </c:spPr>
          <c:marker>
            <c:symbol val="none"/>
          </c:marker>
          <c:cat>
            <c:multiLvlStrRef>
              <c:f>'fig 1 ita'!$A$2:$B$21</c:f>
              <c:multiLvlStrCache>
                <c:ptCount val="20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1 ita'!$D$2:$D$21</c:f>
              <c:numCache>
                <c:formatCode>0.0</c:formatCode>
                <c:ptCount val="20"/>
                <c:pt idx="0">
                  <c:v>102.777022627672</c:v>
                </c:pt>
                <c:pt idx="1">
                  <c:v>103.481802552997</c:v>
                </c:pt>
                <c:pt idx="2">
                  <c:v>102.908672188683</c:v>
                </c:pt>
                <c:pt idx="3">
                  <c:v>103.50810298087301</c:v>
                </c:pt>
                <c:pt idx="4">
                  <c:v>103.64355493919901</c:v>
                </c:pt>
                <c:pt idx="5">
                  <c:v>103.621073311573</c:v>
                </c:pt>
                <c:pt idx="6">
                  <c:v>103.749293655237</c:v>
                </c:pt>
                <c:pt idx="7">
                  <c:v>104.055052179226</c:v>
                </c:pt>
                <c:pt idx="8">
                  <c:v>103.909439618078</c:v>
                </c:pt>
                <c:pt idx="9">
                  <c:v>104.27843465513899</c:v>
                </c:pt>
                <c:pt idx="10">
                  <c:v>104.194536134873</c:v>
                </c:pt>
                <c:pt idx="11">
                  <c:v>104.65016786032299</c:v>
                </c:pt>
                <c:pt idx="12">
                  <c:v>104.403532525081</c:v>
                </c:pt>
                <c:pt idx="13">
                  <c:v>105.15159619011401</c:v>
                </c:pt>
                <c:pt idx="14">
                  <c:v>105.393546353236</c:v>
                </c:pt>
                <c:pt idx="15">
                  <c:v>105.516072041032</c:v>
                </c:pt>
                <c:pt idx="16">
                  <c:v>105.74195697907599</c:v>
                </c:pt>
                <c:pt idx="17">
                  <c:v>106.037589929945</c:v>
                </c:pt>
                <c:pt idx="18">
                  <c:v>106.49574479243201</c:v>
                </c:pt>
                <c:pt idx="19">
                  <c:v>106.352665638701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0-47FB-4605-A5F6-767287A5C86A}"/>
            </c:ext>
          </c:extLst>
        </c:ser>
        <c:ser>
          <c:idx val="1"/>
          <c:order val="1"/>
          <c:tx>
            <c:strRef>
              <c:f>'fig 1 ita'!$C$1</c:f>
              <c:strCache>
                <c:ptCount val="1"/>
                <c:pt idx="0">
                  <c:v>Commercio mondiale merci </c:v>
                </c:pt>
              </c:strCache>
            </c:strRef>
          </c:tx>
          <c:spPr>
            <a:ln w="19050">
              <a:solidFill>
                <a:srgbClr val="00817F"/>
              </a:solidFill>
            </a:ln>
          </c:spPr>
          <c:marker>
            <c:symbol val="none"/>
          </c:marker>
          <c:cat>
            <c:multiLvlStrRef>
              <c:f>'fig 1 ita'!$A$2:$B$21</c:f>
              <c:multiLvlStrCache>
                <c:ptCount val="20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1 ita'!$C$2:$C$21</c:f>
              <c:numCache>
                <c:formatCode>0.0</c:formatCode>
                <c:ptCount val="20"/>
                <c:pt idx="0">
                  <c:v>103.133375232586</c:v>
                </c:pt>
                <c:pt idx="1">
                  <c:v>104.462465986897</c:v>
                </c:pt>
                <c:pt idx="2">
                  <c:v>103.418484531846</c:v>
                </c:pt>
                <c:pt idx="3">
                  <c:v>104.89549492292601</c:v>
                </c:pt>
                <c:pt idx="4">
                  <c:v>104.62311381390001</c:v>
                </c:pt>
                <c:pt idx="5">
                  <c:v>105.381127171815</c:v>
                </c:pt>
                <c:pt idx="6">
                  <c:v>104.922061569425</c:v>
                </c:pt>
                <c:pt idx="7">
                  <c:v>106.385626033647</c:v>
                </c:pt>
                <c:pt idx="8">
                  <c:v>105.791843228731</c:v>
                </c:pt>
                <c:pt idx="9">
                  <c:v>106.08318656771</c:v>
                </c:pt>
                <c:pt idx="10">
                  <c:v>106.398155303053</c:v>
                </c:pt>
                <c:pt idx="11">
                  <c:v>107.05258952783799</c:v>
                </c:pt>
                <c:pt idx="12">
                  <c:v>107.617993364534</c:v>
                </c:pt>
                <c:pt idx="13">
                  <c:v>108.098149760407</c:v>
                </c:pt>
                <c:pt idx="14">
                  <c:v>111.19573310248499</c:v>
                </c:pt>
                <c:pt idx="15">
                  <c:v>110.120469921085</c:v>
                </c:pt>
                <c:pt idx="16">
                  <c:v>109.653674477975</c:v>
                </c:pt>
                <c:pt idx="17">
                  <c:v>109.109646550557</c:v>
                </c:pt>
                <c:pt idx="18">
                  <c:v>110.776079221806</c:v>
                </c:pt>
                <c:pt idx="19">
                  <c:v>110.340077339773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FB-4605-A5F6-767287A5C8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38237616"/>
        <c:axId val="1"/>
        <c:extLst/>
      </c:lineChart>
      <c:catAx>
        <c:axId val="1938237616"/>
        <c:scaling>
          <c:orientation val="minMax"/>
        </c:scaling>
        <c:delete val="0"/>
        <c:axPos val="b"/>
        <c:majorGridlines>
          <c:spPr>
            <a:ln w="3175"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vert="horz"/>
          <a:lstStyle/>
          <a:p>
            <a:pPr>
              <a:defRPr sz="750" b="0"/>
            </a:pPr>
            <a:endParaRPr lang="it-IT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  <c:max val="112"/>
          <c:min val="10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 w="9525"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vert="horz"/>
          <a:lstStyle/>
          <a:p>
            <a:pPr>
              <a:defRPr sz="750"/>
            </a:pPr>
            <a:endParaRPr lang="it-IT"/>
          </a:p>
        </c:txPr>
        <c:crossAx val="1938237616"/>
        <c:crossesAt val="1"/>
        <c:crossBetween val="between"/>
        <c:majorUnit val="4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05"/>
          <c:y val="1.2714558169103624E-2"/>
          <c:w val="0.9"/>
          <c:h val="9.1608391608391612E-2"/>
        </c:manualLayout>
      </c:layout>
      <c:overlay val="0"/>
      <c:spPr>
        <a:noFill/>
        <a:ln w="25400">
          <a:noFill/>
        </a:ln>
      </c:spPr>
      <c:txPr>
        <a:bodyPr rot="0" vert="horz"/>
        <a:lstStyle/>
        <a:p>
          <a:pPr>
            <a:defRPr sz="750"/>
          </a:pPr>
          <a:endParaRPr lang="it-IT"/>
        </a:p>
      </c:txPr>
    </c:legend>
    <c:plotVisOnly val="1"/>
    <c:dispBlanksAs val="gap"/>
    <c:showDLblsOverMax val="0"/>
  </c:chart>
  <c:spPr>
    <a:solidFill>
      <a:sysClr val="window" lastClr="FFFFFF"/>
    </a:solidFill>
    <a:ln w="9525">
      <a:noFill/>
    </a:ln>
  </c:spPr>
  <c:txPr>
    <a:bodyPr/>
    <a:lstStyle/>
    <a:p>
      <a:pPr>
        <a:defRPr sz="800" baseline="0">
          <a:latin typeface="Arial Narrow" panose="020B0606020202030204" pitchFamily="34" charset="0"/>
        </a:defRPr>
      </a:pPr>
      <a:endParaRPr lang="it-IT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99602514555654E-2"/>
          <c:y val="0.15321014893720464"/>
          <c:w val="0.91764003190542398"/>
          <c:h val="0.64418153993614657"/>
        </c:manualLayout>
      </c:layout>
      <c:lineChart>
        <c:grouping val="standard"/>
        <c:varyColors val="0"/>
        <c:ser>
          <c:idx val="3"/>
          <c:order val="3"/>
          <c:tx>
            <c:strRef>
              <c:f>'fig 5 prezzi input agricoli'!$F$29</c:f>
              <c:strCache>
                <c:ptCount val="1"/>
                <c:pt idx="0">
                  <c:v>Consumi intermedi (Totale)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agricoli'!$F$30:$F$51</c:f>
              <c:numCache>
                <c:formatCode>#,##0.00</c:formatCode>
                <c:ptCount val="22"/>
                <c:pt idx="0">
                  <c:v>100.5</c:v>
                </c:pt>
                <c:pt idx="1">
                  <c:v>98.8</c:v>
                </c:pt>
                <c:pt idx="2">
                  <c:v>99.4</c:v>
                </c:pt>
                <c:pt idx="3">
                  <c:v>101.3</c:v>
                </c:pt>
                <c:pt idx="4">
                  <c:v>105.9</c:v>
                </c:pt>
                <c:pt idx="5">
                  <c:v>109.1</c:v>
                </c:pt>
                <c:pt idx="6">
                  <c:v>110.8</c:v>
                </c:pt>
                <c:pt idx="7">
                  <c:v>118.2</c:v>
                </c:pt>
                <c:pt idx="8">
                  <c:v>131.19999999999999</c:v>
                </c:pt>
                <c:pt idx="9">
                  <c:v>141.1</c:v>
                </c:pt>
                <c:pt idx="10">
                  <c:v>145.4</c:v>
                </c:pt>
                <c:pt idx="11">
                  <c:v>154.6</c:v>
                </c:pt>
                <c:pt idx="12">
                  <c:v>146.80000000000001</c:v>
                </c:pt>
                <c:pt idx="13">
                  <c:v>137.5</c:v>
                </c:pt>
                <c:pt idx="14">
                  <c:v>133.9</c:v>
                </c:pt>
                <c:pt idx="15">
                  <c:v>132.19999999999999</c:v>
                </c:pt>
                <c:pt idx="16">
                  <c:v>130.80000000000001</c:v>
                </c:pt>
                <c:pt idx="17">
                  <c:v>128.5</c:v>
                </c:pt>
                <c:pt idx="18">
                  <c:v>128.19999999999999</c:v>
                </c:pt>
                <c:pt idx="19">
                  <c:v>128.69999999999999</c:v>
                </c:pt>
                <c:pt idx="20">
                  <c:v>130.9</c:v>
                </c:pt>
                <c:pt idx="21">
                  <c:v>128.6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E7-45F6-B183-22750DED4565}"/>
            </c:ext>
          </c:extLst>
        </c:ser>
        <c:ser>
          <c:idx val="4"/>
          <c:order val="4"/>
          <c:tx>
            <c:strRef>
              <c:f>'fig 5 prezzi input agricoli'!$G$29</c:f>
              <c:strCache>
                <c:ptCount val="1"/>
                <c:pt idx="0">
                  <c:v>Sementi</c:v>
                </c:pt>
              </c:strCache>
            </c:strRef>
          </c:tx>
          <c:spPr>
            <a:ln w="28575" cap="rnd">
              <a:solidFill>
                <a:schemeClr val="bg1">
                  <a:lumMod val="8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agricoli'!$G$30:$G$51</c:f>
              <c:numCache>
                <c:formatCode>#,##0.00</c:formatCode>
                <c:ptCount val="22"/>
                <c:pt idx="0">
                  <c:v>96.5</c:v>
                </c:pt>
                <c:pt idx="1">
                  <c:v>100.3</c:v>
                </c:pt>
                <c:pt idx="2">
                  <c:v>100.8</c:v>
                </c:pt>
                <c:pt idx="3">
                  <c:v>102.3</c:v>
                </c:pt>
                <c:pt idx="4">
                  <c:v>102.7</c:v>
                </c:pt>
                <c:pt idx="5">
                  <c:v>102.8</c:v>
                </c:pt>
                <c:pt idx="6">
                  <c:v>104.1</c:v>
                </c:pt>
                <c:pt idx="7">
                  <c:v>109.9</c:v>
                </c:pt>
                <c:pt idx="8">
                  <c:v>114</c:v>
                </c:pt>
                <c:pt idx="9">
                  <c:v>116.1</c:v>
                </c:pt>
                <c:pt idx="10">
                  <c:v>124.5</c:v>
                </c:pt>
                <c:pt idx="11">
                  <c:v>127.7</c:v>
                </c:pt>
                <c:pt idx="12">
                  <c:v>132.9</c:v>
                </c:pt>
                <c:pt idx="13">
                  <c:v>134.1</c:v>
                </c:pt>
                <c:pt idx="14">
                  <c:v>134.1</c:v>
                </c:pt>
                <c:pt idx="15">
                  <c:v>133</c:v>
                </c:pt>
                <c:pt idx="16">
                  <c:v>138.1</c:v>
                </c:pt>
                <c:pt idx="17">
                  <c:v>139.4</c:v>
                </c:pt>
                <c:pt idx="18">
                  <c:v>139.5</c:v>
                </c:pt>
                <c:pt idx="19">
                  <c:v>140.1</c:v>
                </c:pt>
                <c:pt idx="20">
                  <c:v>141.4</c:v>
                </c:pt>
                <c:pt idx="21">
                  <c:v>143.69999999999999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E7-45F6-B183-22750DED4565}"/>
            </c:ext>
          </c:extLst>
        </c:ser>
        <c:ser>
          <c:idx val="5"/>
          <c:order val="5"/>
          <c:tx>
            <c:strRef>
              <c:f>'fig 5 prezzi input agricoli'!$H$29</c:f>
              <c:strCache>
                <c:ptCount val="1"/>
                <c:pt idx="0">
                  <c:v>Energia e lubrificanti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agricoli'!$H$30:$H$51</c:f>
              <c:numCache>
                <c:formatCode>#,##0.00</c:formatCode>
                <c:ptCount val="22"/>
                <c:pt idx="0">
                  <c:v>108.9</c:v>
                </c:pt>
                <c:pt idx="1">
                  <c:v>94</c:v>
                </c:pt>
                <c:pt idx="2">
                  <c:v>97.1</c:v>
                </c:pt>
                <c:pt idx="3">
                  <c:v>100</c:v>
                </c:pt>
                <c:pt idx="4">
                  <c:v>106.9</c:v>
                </c:pt>
                <c:pt idx="5">
                  <c:v>111.6</c:v>
                </c:pt>
                <c:pt idx="6">
                  <c:v>116</c:v>
                </c:pt>
                <c:pt idx="7">
                  <c:v>130.1</c:v>
                </c:pt>
                <c:pt idx="8">
                  <c:v>164.4</c:v>
                </c:pt>
                <c:pt idx="9">
                  <c:v>182.8</c:v>
                </c:pt>
                <c:pt idx="10">
                  <c:v>193.3</c:v>
                </c:pt>
                <c:pt idx="11">
                  <c:v>248.1</c:v>
                </c:pt>
                <c:pt idx="12">
                  <c:v>210.2</c:v>
                </c:pt>
                <c:pt idx="13">
                  <c:v>171.5</c:v>
                </c:pt>
                <c:pt idx="14">
                  <c:v>170.9</c:v>
                </c:pt>
                <c:pt idx="15">
                  <c:v>167.5</c:v>
                </c:pt>
                <c:pt idx="16">
                  <c:v>162.30000000000001</c:v>
                </c:pt>
                <c:pt idx="17">
                  <c:v>151</c:v>
                </c:pt>
                <c:pt idx="18">
                  <c:v>153.1</c:v>
                </c:pt>
                <c:pt idx="19">
                  <c:v>150.69999999999999</c:v>
                </c:pt>
                <c:pt idx="20">
                  <c:v>159.30000000000001</c:v>
                </c:pt>
                <c:pt idx="21">
                  <c:v>146.4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E7-45F6-B183-22750DED4565}"/>
            </c:ext>
          </c:extLst>
        </c:ser>
        <c:ser>
          <c:idx val="6"/>
          <c:order val="6"/>
          <c:tx>
            <c:strRef>
              <c:f>'fig 5 prezzi input agricoli'!$I$29</c:f>
              <c:strCache>
                <c:ptCount val="1"/>
                <c:pt idx="0">
                  <c:v>Concimi e ammendanti</c:v>
                </c:pt>
              </c:strCache>
            </c:strRef>
          </c:tx>
          <c:spPr>
            <a:ln w="2857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agricoli'!$I$30:$I$51</c:f>
              <c:numCache>
                <c:formatCode>#,##0.00</c:formatCode>
                <c:ptCount val="22"/>
                <c:pt idx="0">
                  <c:v>100.9</c:v>
                </c:pt>
                <c:pt idx="1">
                  <c:v>100.4</c:v>
                </c:pt>
                <c:pt idx="2">
                  <c:v>99.7</c:v>
                </c:pt>
                <c:pt idx="3">
                  <c:v>99.1</c:v>
                </c:pt>
                <c:pt idx="4">
                  <c:v>103.8</c:v>
                </c:pt>
                <c:pt idx="5">
                  <c:v>109.2</c:v>
                </c:pt>
                <c:pt idx="6">
                  <c:v>117.9</c:v>
                </c:pt>
                <c:pt idx="7">
                  <c:v>150.69999999999999</c:v>
                </c:pt>
                <c:pt idx="8">
                  <c:v>181.3</c:v>
                </c:pt>
                <c:pt idx="9">
                  <c:v>197.8</c:v>
                </c:pt>
                <c:pt idx="10">
                  <c:v>204.6</c:v>
                </c:pt>
                <c:pt idx="11">
                  <c:v>207.7</c:v>
                </c:pt>
                <c:pt idx="12">
                  <c:v>182.4</c:v>
                </c:pt>
                <c:pt idx="13">
                  <c:v>169.6</c:v>
                </c:pt>
                <c:pt idx="14">
                  <c:v>159.30000000000001</c:v>
                </c:pt>
                <c:pt idx="15">
                  <c:v>152.80000000000001</c:v>
                </c:pt>
                <c:pt idx="16">
                  <c:v>146.19999999999999</c:v>
                </c:pt>
                <c:pt idx="17">
                  <c:v>143</c:v>
                </c:pt>
                <c:pt idx="18">
                  <c:v>141.4</c:v>
                </c:pt>
                <c:pt idx="19">
                  <c:v>141.30000000000001</c:v>
                </c:pt>
                <c:pt idx="20">
                  <c:v>144.4</c:v>
                </c:pt>
                <c:pt idx="21">
                  <c:v>144.1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3E7-45F6-B183-22750DED4565}"/>
            </c:ext>
          </c:extLst>
        </c:ser>
        <c:ser>
          <c:idx val="7"/>
          <c:order val="7"/>
          <c:tx>
            <c:strRef>
              <c:f>'fig 5 prezzi input agricoli'!$J$29</c:f>
              <c:strCache>
                <c:ptCount val="1"/>
                <c:pt idx="0">
                  <c:v>Antiparassitari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agricoli'!$J$30:$J$51</c:f>
              <c:numCache>
                <c:formatCode>#,##0.00</c:formatCode>
                <c:ptCount val="22"/>
                <c:pt idx="0">
                  <c:v>100.2</c:v>
                </c:pt>
                <c:pt idx="1">
                  <c:v>99.9</c:v>
                </c:pt>
                <c:pt idx="2">
                  <c:v>100</c:v>
                </c:pt>
                <c:pt idx="3">
                  <c:v>99.9</c:v>
                </c:pt>
                <c:pt idx="4">
                  <c:v>100</c:v>
                </c:pt>
                <c:pt idx="5">
                  <c:v>100.7</c:v>
                </c:pt>
                <c:pt idx="6">
                  <c:v>101.4</c:v>
                </c:pt>
                <c:pt idx="7">
                  <c:v>104.9</c:v>
                </c:pt>
                <c:pt idx="8">
                  <c:v>108.9</c:v>
                </c:pt>
                <c:pt idx="9">
                  <c:v>112.6</c:v>
                </c:pt>
                <c:pt idx="10">
                  <c:v>114.7</c:v>
                </c:pt>
                <c:pt idx="11">
                  <c:v>116.8</c:v>
                </c:pt>
                <c:pt idx="12">
                  <c:v>121.7</c:v>
                </c:pt>
                <c:pt idx="13">
                  <c:v>121.9</c:v>
                </c:pt>
                <c:pt idx="14">
                  <c:v>121.5</c:v>
                </c:pt>
                <c:pt idx="15">
                  <c:v>121.5</c:v>
                </c:pt>
                <c:pt idx="16">
                  <c:v>122.6</c:v>
                </c:pt>
                <c:pt idx="17">
                  <c:v>122.6</c:v>
                </c:pt>
                <c:pt idx="18">
                  <c:v>122.5</c:v>
                </c:pt>
                <c:pt idx="19">
                  <c:v>122.5</c:v>
                </c:pt>
                <c:pt idx="20">
                  <c:v>124.4</c:v>
                </c:pt>
                <c:pt idx="21">
                  <c:v>122.8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3E7-45F6-B183-22750DED4565}"/>
            </c:ext>
          </c:extLst>
        </c:ser>
        <c:ser>
          <c:idx val="9"/>
          <c:order val="9"/>
          <c:tx>
            <c:strRef>
              <c:f>'fig 5 prezzi input agricoli'!$L$29</c:f>
              <c:strCache>
                <c:ptCount val="1"/>
                <c:pt idx="0">
                  <c:v>Mangimi</c:v>
                </c:pt>
              </c:strCache>
            </c:strRef>
          </c:tx>
          <c:spPr>
            <a:ln w="28575" cap="rnd">
              <a:solidFill>
                <a:srgbClr val="00817F"/>
              </a:solidFill>
              <a:round/>
            </a:ln>
            <a:effectLst/>
          </c:spPr>
          <c:marker>
            <c:symbol val="none"/>
          </c:marker>
          <c:dPt>
            <c:idx val="7"/>
            <c:marker>
              <c:symbol val="none"/>
            </c:marker>
            <c:bubble3D val="0"/>
            <c:spPr>
              <a:ln w="28575" cap="rnd">
                <a:solidFill>
                  <a:schemeClr val="bg1">
                    <a:lumMod val="6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0-053B-4692-A527-13C54F580AC4}"/>
              </c:ext>
            </c:extLst>
          </c:dPt>
          <c:cat>
            <c:multiLvlStrRef>
              <c:f>'fig 5 prezzi input agricoli'!$A$30:$B$51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5 prezzi input agricoli'!$L$30:$L$51</c:f>
              <c:numCache>
                <c:formatCode>#,##0.00</c:formatCode>
                <c:ptCount val="22"/>
                <c:pt idx="0">
                  <c:v>98.8</c:v>
                </c:pt>
                <c:pt idx="1">
                  <c:v>99.5</c:v>
                </c:pt>
                <c:pt idx="2">
                  <c:v>99.3</c:v>
                </c:pt>
                <c:pt idx="3">
                  <c:v>102.5</c:v>
                </c:pt>
                <c:pt idx="4">
                  <c:v>110.7</c:v>
                </c:pt>
                <c:pt idx="5">
                  <c:v>115.7</c:v>
                </c:pt>
                <c:pt idx="6">
                  <c:v>115.7</c:v>
                </c:pt>
                <c:pt idx="7">
                  <c:v>120.9</c:v>
                </c:pt>
                <c:pt idx="8">
                  <c:v>132.5</c:v>
                </c:pt>
                <c:pt idx="9">
                  <c:v>146.19999999999999</c:v>
                </c:pt>
                <c:pt idx="10">
                  <c:v>149</c:v>
                </c:pt>
                <c:pt idx="11">
                  <c:v>149.19999999999999</c:v>
                </c:pt>
                <c:pt idx="12">
                  <c:v>146.30000000000001</c:v>
                </c:pt>
                <c:pt idx="13">
                  <c:v>138.4</c:v>
                </c:pt>
                <c:pt idx="14">
                  <c:v>130.4</c:v>
                </c:pt>
                <c:pt idx="15">
                  <c:v>127.9</c:v>
                </c:pt>
                <c:pt idx="16">
                  <c:v>126.4</c:v>
                </c:pt>
                <c:pt idx="17">
                  <c:v>124.9</c:v>
                </c:pt>
                <c:pt idx="18">
                  <c:v>123.4</c:v>
                </c:pt>
                <c:pt idx="19">
                  <c:v>125.2</c:v>
                </c:pt>
                <c:pt idx="20">
                  <c:v>125.9</c:v>
                </c:pt>
                <c:pt idx="21">
                  <c:v>124.4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3E7-45F6-B183-22750DED45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668575"/>
        <c:axId val="2125678975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'fig 5 prezzi input agricoli'!$C$29</c15:sqref>
                        </c15:formulaRef>
                      </c:ext>
                    </c:extLst>
                    <c:strCache>
                      <c:ptCount val="1"/>
                      <c:pt idx="0">
                        <c:v>Produzione agricola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>
                      <c:ext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'fig 5 prezzi input agricoli'!$C$30:$C$51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101.4</c:v>
                      </c:pt>
                      <c:pt idx="1">
                        <c:v>98.3</c:v>
                      </c:pt>
                      <c:pt idx="2">
                        <c:v>99.1</c:v>
                      </c:pt>
                      <c:pt idx="3">
                        <c:v>101.1</c:v>
                      </c:pt>
                      <c:pt idx="4">
                        <c:v>102.7</c:v>
                      </c:pt>
                      <c:pt idx="5">
                        <c:v>104</c:v>
                      </c:pt>
                      <c:pt idx="6">
                        <c:v>107.8</c:v>
                      </c:pt>
                      <c:pt idx="7">
                        <c:v>116.6</c:v>
                      </c:pt>
                      <c:pt idx="8">
                        <c:v>126.9</c:v>
                      </c:pt>
                      <c:pt idx="9">
                        <c:v>127.1</c:v>
                      </c:pt>
                      <c:pt idx="10">
                        <c:v>130.30000000000001</c:v>
                      </c:pt>
                      <c:pt idx="11">
                        <c:v>133.19999999999999</c:v>
                      </c:pt>
                      <c:pt idx="12">
                        <c:v>132.4</c:v>
                      </c:pt>
                      <c:pt idx="13">
                        <c:v>130</c:v>
                      </c:pt>
                      <c:pt idx="14">
                        <c:v>130.9</c:v>
                      </c:pt>
                      <c:pt idx="15">
                        <c:v>134.30000000000001</c:v>
                      </c:pt>
                      <c:pt idx="16">
                        <c:v>131.80000000000001</c:v>
                      </c:pt>
                      <c:pt idx="17">
                        <c:v>130.9</c:v>
                      </c:pt>
                      <c:pt idx="18">
                        <c:v>130.6</c:v>
                      </c:pt>
                      <c:pt idx="19">
                        <c:v>140.30000000000001</c:v>
                      </c:pt>
                      <c:pt idx="20">
                        <c:v>138</c:v>
                      </c:pt>
                      <c:pt idx="21">
                        <c:v>138.19999999999999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83E7-45F6-B183-22750DED4565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agricoli'!$D$29</c15:sqref>
                        </c15:formulaRef>
                      </c:ext>
                    </c:extLst>
                    <c:strCache>
                      <c:ptCount val="1"/>
                      <c:pt idx="0">
                        <c:v>Consumi intermedi ed investimenti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agricoli'!$D$30:$D$51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100.4</c:v>
                      </c:pt>
                      <c:pt idx="1">
                        <c:v>99.1</c:v>
                      </c:pt>
                      <c:pt idx="2">
                        <c:v>99.6</c:v>
                      </c:pt>
                      <c:pt idx="3">
                        <c:v>101</c:v>
                      </c:pt>
                      <c:pt idx="4">
                        <c:v>104.8</c:v>
                      </c:pt>
                      <c:pt idx="5">
                        <c:v>107.4</c:v>
                      </c:pt>
                      <c:pt idx="6">
                        <c:v>109</c:v>
                      </c:pt>
                      <c:pt idx="7">
                        <c:v>114.8</c:v>
                      </c:pt>
                      <c:pt idx="8">
                        <c:v>125.7</c:v>
                      </c:pt>
                      <c:pt idx="9">
                        <c:v>133.80000000000001</c:v>
                      </c:pt>
                      <c:pt idx="10">
                        <c:v>137.19999999999999</c:v>
                      </c:pt>
                      <c:pt idx="11">
                        <c:v>144.30000000000001</c:v>
                      </c:pt>
                      <c:pt idx="12">
                        <c:v>139</c:v>
                      </c:pt>
                      <c:pt idx="13">
                        <c:v>132.5</c:v>
                      </c:pt>
                      <c:pt idx="14">
                        <c:v>130.19999999999999</c:v>
                      </c:pt>
                      <c:pt idx="15">
                        <c:v>129.19999999999999</c:v>
                      </c:pt>
                      <c:pt idx="16">
                        <c:v>128.1</c:v>
                      </c:pt>
                      <c:pt idx="17">
                        <c:v>126.3</c:v>
                      </c:pt>
                      <c:pt idx="18">
                        <c:v>126.1</c:v>
                      </c:pt>
                      <c:pt idx="19">
                        <c:v>126.4</c:v>
                      </c:pt>
                      <c:pt idx="20">
                        <c:v>128.6</c:v>
                      </c:pt>
                      <c:pt idx="21">
                        <c:v>127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3E7-45F6-B183-22750DED4565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agricoli'!$E$29</c15:sqref>
                        </c15:formulaRef>
                      </c:ext>
                    </c:extLst>
                    <c:strCache>
                      <c:ptCount val="1"/>
                      <c:pt idx="0">
                        <c:v>Investimenti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agricoli'!$E$30:$E$51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100</c:v>
                      </c:pt>
                      <c:pt idx="1">
                        <c:v>99.8</c:v>
                      </c:pt>
                      <c:pt idx="2">
                        <c:v>100</c:v>
                      </c:pt>
                      <c:pt idx="3">
                        <c:v>100.2</c:v>
                      </c:pt>
                      <c:pt idx="4">
                        <c:v>101.3</c:v>
                      </c:pt>
                      <c:pt idx="5">
                        <c:v>102.5</c:v>
                      </c:pt>
                      <c:pt idx="6">
                        <c:v>103.9</c:v>
                      </c:pt>
                      <c:pt idx="7">
                        <c:v>104.8</c:v>
                      </c:pt>
                      <c:pt idx="8">
                        <c:v>109.2</c:v>
                      </c:pt>
                      <c:pt idx="9">
                        <c:v>112.1</c:v>
                      </c:pt>
                      <c:pt idx="10">
                        <c:v>112.9</c:v>
                      </c:pt>
                      <c:pt idx="11">
                        <c:v>113.4</c:v>
                      </c:pt>
                      <c:pt idx="12">
                        <c:v>115.5</c:v>
                      </c:pt>
                      <c:pt idx="13">
                        <c:v>117.5</c:v>
                      </c:pt>
                      <c:pt idx="14">
                        <c:v>118.8</c:v>
                      </c:pt>
                      <c:pt idx="15">
                        <c:v>120.2</c:v>
                      </c:pt>
                      <c:pt idx="16">
                        <c:v>119.9</c:v>
                      </c:pt>
                      <c:pt idx="17">
                        <c:v>119.8</c:v>
                      </c:pt>
                      <c:pt idx="18">
                        <c:v>119.7</c:v>
                      </c:pt>
                      <c:pt idx="19">
                        <c:v>119.6</c:v>
                      </c:pt>
                      <c:pt idx="20">
                        <c:v>121.8</c:v>
                      </c:pt>
                      <c:pt idx="21">
                        <c:v>122.3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3E7-45F6-B183-22750DED4565}"/>
                  </c:ext>
                </c:extLst>
              </c15:ser>
            </c15:filteredLineSeries>
            <c15:filteredLine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agricoli'!$K$29</c15:sqref>
                        </c15:formulaRef>
                      </c:ext>
                    </c:extLst>
                    <c:strCache>
                      <c:ptCount val="1"/>
                      <c:pt idx="0">
                        <c:v>Spese veterinarie</c:v>
                      </c:pt>
                    </c:strCache>
                  </c:strRef>
                </c:tx>
                <c:spPr>
                  <a:ln w="28575" cap="rnd">
                    <a:solidFill>
                      <a:schemeClr val="accent3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agricoli'!$K$30:$K$51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98.4</c:v>
                      </c:pt>
                      <c:pt idx="1">
                        <c:v>99.3</c:v>
                      </c:pt>
                      <c:pt idx="2">
                        <c:v>101.1</c:v>
                      </c:pt>
                      <c:pt idx="3">
                        <c:v>101.2</c:v>
                      </c:pt>
                      <c:pt idx="4">
                        <c:v>101.6</c:v>
                      </c:pt>
                      <c:pt idx="5">
                        <c:v>101.5</c:v>
                      </c:pt>
                      <c:pt idx="6">
                        <c:v>102.5</c:v>
                      </c:pt>
                      <c:pt idx="7">
                        <c:v>104.2</c:v>
                      </c:pt>
                      <c:pt idx="8">
                        <c:v>104.4</c:v>
                      </c:pt>
                      <c:pt idx="9">
                        <c:v>104.7</c:v>
                      </c:pt>
                      <c:pt idx="10">
                        <c:v>105.8</c:v>
                      </c:pt>
                      <c:pt idx="11">
                        <c:v>107.2</c:v>
                      </c:pt>
                      <c:pt idx="12">
                        <c:v>107.2</c:v>
                      </c:pt>
                      <c:pt idx="13">
                        <c:v>107.4</c:v>
                      </c:pt>
                      <c:pt idx="14">
                        <c:v>109.7</c:v>
                      </c:pt>
                      <c:pt idx="15">
                        <c:v>112.2</c:v>
                      </c:pt>
                      <c:pt idx="16">
                        <c:v>114.5</c:v>
                      </c:pt>
                      <c:pt idx="17">
                        <c:v>113.8</c:v>
                      </c:pt>
                      <c:pt idx="18">
                        <c:v>115.3</c:v>
                      </c:pt>
                      <c:pt idx="19">
                        <c:v>118.4</c:v>
                      </c:pt>
                      <c:pt idx="20">
                        <c:v>119.6</c:v>
                      </c:pt>
                      <c:pt idx="21">
                        <c:v>119.5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3E7-45F6-B183-22750DED4565}"/>
                  </c:ext>
                </c:extLst>
              </c15:ser>
            </c15:filteredLineSeries>
            <c15:filteredLine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agricoli'!$M$29</c15:sqref>
                        </c15:formulaRef>
                      </c:ext>
                    </c:extLst>
                    <c:strCache>
                      <c:ptCount val="1"/>
                      <c:pt idx="0">
                        <c:v>Manutenzione e rip. macchine</c:v>
                      </c:pt>
                    </c:strCache>
                  </c:strRef>
                </c:tx>
                <c:spPr>
                  <a:ln w="28575" cap="rnd">
                    <a:solidFill>
                      <a:schemeClr val="accent5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agricoli'!$M$30:$M$51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99.6</c:v>
                      </c:pt>
                      <c:pt idx="1">
                        <c:v>99.9</c:v>
                      </c:pt>
                      <c:pt idx="2">
                        <c:v>100</c:v>
                      </c:pt>
                      <c:pt idx="3">
                        <c:v>100.6</c:v>
                      </c:pt>
                      <c:pt idx="4">
                        <c:v>100.8</c:v>
                      </c:pt>
                      <c:pt idx="5">
                        <c:v>101.1</c:v>
                      </c:pt>
                      <c:pt idx="6">
                        <c:v>101.6</c:v>
                      </c:pt>
                      <c:pt idx="7">
                        <c:v>102.1</c:v>
                      </c:pt>
                      <c:pt idx="8">
                        <c:v>103.4</c:v>
                      </c:pt>
                      <c:pt idx="9">
                        <c:v>104.9</c:v>
                      </c:pt>
                      <c:pt idx="10">
                        <c:v>106.1</c:v>
                      </c:pt>
                      <c:pt idx="11">
                        <c:v>107.7</c:v>
                      </c:pt>
                      <c:pt idx="12">
                        <c:v>109.1</c:v>
                      </c:pt>
                      <c:pt idx="13">
                        <c:v>110.3</c:v>
                      </c:pt>
                      <c:pt idx="14">
                        <c:v>111.2</c:v>
                      </c:pt>
                      <c:pt idx="15">
                        <c:v>112.1</c:v>
                      </c:pt>
                      <c:pt idx="16">
                        <c:v>113.2</c:v>
                      </c:pt>
                      <c:pt idx="17">
                        <c:v>114</c:v>
                      </c:pt>
                      <c:pt idx="18">
                        <c:v>114.6</c:v>
                      </c:pt>
                      <c:pt idx="19">
                        <c:v>115.4</c:v>
                      </c:pt>
                      <c:pt idx="20">
                        <c:v>116.3</c:v>
                      </c:pt>
                      <c:pt idx="21">
                        <c:v>117.4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3E7-45F6-B183-22750DED4565}"/>
                  </c:ext>
                </c:extLst>
              </c15:ser>
            </c15:filteredLineSeries>
            <c15:filteredLine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agricoli'!$N$29</c15:sqref>
                        </c15:formulaRef>
                      </c:ext>
                    </c:extLst>
                    <c:strCache>
                      <c:ptCount val="1"/>
                      <c:pt idx="0">
                        <c:v>Manutenzione e rip. fabbricati</c:v>
                      </c:pt>
                    </c:strCache>
                  </c:strRef>
                </c:tx>
                <c:spPr>
                  <a:ln w="28575" cap="rnd">
                    <a:solidFill>
                      <a:schemeClr val="accent6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agricoli'!$A$30:$B$51</c15:sqref>
                        </c15:formulaRef>
                      </c:ext>
                    </c:extLst>
                    <c:multiLvlStrCache>
                      <c:ptCount val="22"/>
                      <c:lvl>
                        <c:pt idx="0">
                          <c:v>I</c:v>
                        </c:pt>
                        <c:pt idx="1">
                          <c:v>II</c:v>
                        </c:pt>
                        <c:pt idx="2">
                          <c:v>III</c:v>
                        </c:pt>
                        <c:pt idx="3">
                          <c:v>IV</c:v>
                        </c:pt>
                        <c:pt idx="4">
                          <c:v>I</c:v>
                        </c:pt>
                        <c:pt idx="5">
                          <c:v>II</c:v>
                        </c:pt>
                        <c:pt idx="6">
                          <c:v>III</c:v>
                        </c:pt>
                        <c:pt idx="7">
                          <c:v>IV</c:v>
                        </c:pt>
                        <c:pt idx="8">
                          <c:v>I</c:v>
                        </c:pt>
                        <c:pt idx="9">
                          <c:v>II</c:v>
                        </c:pt>
                        <c:pt idx="10">
                          <c:v>III</c:v>
                        </c:pt>
                        <c:pt idx="11">
                          <c:v>IV</c:v>
                        </c:pt>
                        <c:pt idx="12">
                          <c:v>I</c:v>
                        </c:pt>
                        <c:pt idx="13">
                          <c:v>II</c:v>
                        </c:pt>
                        <c:pt idx="14">
                          <c:v>III</c:v>
                        </c:pt>
                        <c:pt idx="15">
                          <c:v>IV</c:v>
                        </c:pt>
                        <c:pt idx="16">
                          <c:v>I</c:v>
                        </c:pt>
                        <c:pt idx="17">
                          <c:v>II</c:v>
                        </c:pt>
                        <c:pt idx="18">
                          <c:v>III</c:v>
                        </c:pt>
                        <c:pt idx="19">
                          <c:v>IV</c:v>
                        </c:pt>
                        <c:pt idx="20">
                          <c:v>I</c:v>
                        </c:pt>
                        <c:pt idx="21">
                          <c:v>II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5 prezzi input agricoli'!$N$30:$N$51</c15:sqref>
                        </c15:formulaRef>
                      </c:ext>
                    </c:extLst>
                    <c:numCache>
                      <c:formatCode>#,##0.00</c:formatCode>
                      <c:ptCount val="22"/>
                      <c:pt idx="0">
                        <c:v>99.6</c:v>
                      </c:pt>
                      <c:pt idx="1">
                        <c:v>99.7</c:v>
                      </c:pt>
                      <c:pt idx="2">
                        <c:v>99.9</c:v>
                      </c:pt>
                      <c:pt idx="3">
                        <c:v>100.7</c:v>
                      </c:pt>
                      <c:pt idx="4">
                        <c:v>100.8</c:v>
                      </c:pt>
                      <c:pt idx="5">
                        <c:v>101</c:v>
                      </c:pt>
                      <c:pt idx="6">
                        <c:v>101.3</c:v>
                      </c:pt>
                      <c:pt idx="7">
                        <c:v>101.7</c:v>
                      </c:pt>
                      <c:pt idx="8">
                        <c:v>102.5</c:v>
                      </c:pt>
                      <c:pt idx="9">
                        <c:v>104.1</c:v>
                      </c:pt>
                      <c:pt idx="10">
                        <c:v>104.8</c:v>
                      </c:pt>
                      <c:pt idx="11">
                        <c:v>105.5</c:v>
                      </c:pt>
                      <c:pt idx="12">
                        <c:v>106.3</c:v>
                      </c:pt>
                      <c:pt idx="13">
                        <c:v>106.9</c:v>
                      </c:pt>
                      <c:pt idx="14">
                        <c:v>107.9</c:v>
                      </c:pt>
                      <c:pt idx="15">
                        <c:v>108.9</c:v>
                      </c:pt>
                      <c:pt idx="16">
                        <c:v>109.3</c:v>
                      </c:pt>
                      <c:pt idx="17">
                        <c:v>110</c:v>
                      </c:pt>
                      <c:pt idx="18">
                        <c:v>110.3</c:v>
                      </c:pt>
                      <c:pt idx="19">
                        <c:v>110.5</c:v>
                      </c:pt>
                      <c:pt idx="20">
                        <c:v>111.7</c:v>
                      </c:pt>
                      <c:pt idx="21">
                        <c:v>113.1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83E7-45F6-B183-22750DED4565}"/>
                  </c:ext>
                </c:extLst>
              </c15:ser>
            </c15:filteredLineSeries>
          </c:ext>
        </c:extLst>
      </c:lineChart>
      <c:catAx>
        <c:axId val="2125668575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78975"/>
        <c:crosses val="autoZero"/>
        <c:auto val="1"/>
        <c:lblAlgn val="ctr"/>
        <c:lblOffset val="100"/>
        <c:noMultiLvlLbl val="0"/>
      </c:catAx>
      <c:valAx>
        <c:axId val="2125678975"/>
        <c:scaling>
          <c:orientation val="minMax"/>
          <c:max val="250"/>
          <c:min val="9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tx1">
                <a:lumMod val="50000"/>
                <a:lumOff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68575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4196585116478358E-2"/>
          <c:y val="2.6377142433790895E-2"/>
          <c:w val="0.96422654320987644"/>
          <c:h val="8.81338744741588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it-I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9151791639529957E-2"/>
          <c:y val="0.12208447182282411"/>
          <c:w val="0.91626813014504127"/>
          <c:h val="0.6733498947738854"/>
        </c:manualLayout>
      </c:layout>
      <c:lineChart>
        <c:grouping val="standard"/>
        <c:varyColors val="0"/>
        <c:ser>
          <c:idx val="5"/>
          <c:order val="0"/>
          <c:tx>
            <c:strRef>
              <c:f>'fig 6 costi e margini'!$C$27</c:f>
              <c:strCache>
                <c:ptCount val="1"/>
                <c:pt idx="0">
                  <c:v>Deflatore output</c:v>
                </c:pt>
              </c:strCache>
            </c:strRef>
          </c:tx>
          <c:spPr>
            <a:ln w="28575" cap="rnd">
              <a:solidFill>
                <a:srgbClr val="00817F"/>
              </a:solidFill>
              <a:round/>
            </a:ln>
            <a:effectLst/>
          </c:spPr>
          <c:marker>
            <c:symbol val="none"/>
          </c:marker>
          <c:cat>
            <c:multiLvlStrRef>
              <c:f>'fig 6 costi e margini'!$A$28:$B$49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6 costi e margini'!$C$28:$C$49</c:f>
              <c:numCache>
                <c:formatCode>#,##0</c:formatCode>
                <c:ptCount val="22"/>
                <c:pt idx="0">
                  <c:v>101.6</c:v>
                </c:pt>
                <c:pt idx="1">
                  <c:v>99.2</c:v>
                </c:pt>
                <c:pt idx="2">
                  <c:v>98.7</c:v>
                </c:pt>
                <c:pt idx="3">
                  <c:v>100.5</c:v>
                </c:pt>
                <c:pt idx="4">
                  <c:v>102.4</c:v>
                </c:pt>
                <c:pt idx="5">
                  <c:v>104.5</c:v>
                </c:pt>
                <c:pt idx="6">
                  <c:v>107.5</c:v>
                </c:pt>
                <c:pt idx="7">
                  <c:v>115.4</c:v>
                </c:pt>
                <c:pt idx="8">
                  <c:v>122.8</c:v>
                </c:pt>
                <c:pt idx="9">
                  <c:v>124</c:v>
                </c:pt>
                <c:pt idx="10">
                  <c:v>127.4</c:v>
                </c:pt>
                <c:pt idx="11">
                  <c:v>129.9</c:v>
                </c:pt>
                <c:pt idx="12">
                  <c:v>128.5</c:v>
                </c:pt>
                <c:pt idx="13">
                  <c:v>127.8</c:v>
                </c:pt>
                <c:pt idx="14">
                  <c:v>129.19999999999999</c:v>
                </c:pt>
                <c:pt idx="15">
                  <c:v>131.6</c:v>
                </c:pt>
                <c:pt idx="16">
                  <c:v>128.69999999999999</c:v>
                </c:pt>
                <c:pt idx="17">
                  <c:v>129.80000000000001</c:v>
                </c:pt>
                <c:pt idx="18">
                  <c:v>130.4</c:v>
                </c:pt>
                <c:pt idx="19">
                  <c:v>138.4</c:v>
                </c:pt>
                <c:pt idx="20">
                  <c:v>137.30000000000001</c:v>
                </c:pt>
                <c:pt idx="21">
                  <c:v>138.69999999999999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11-4284-AD44-7C14EDC492C6}"/>
            </c:ext>
          </c:extLst>
        </c:ser>
        <c:ser>
          <c:idx val="1"/>
          <c:order val="1"/>
          <c:tx>
            <c:strRef>
              <c:f>'fig 6 costi e margini'!$D$27</c:f>
              <c:strCache>
                <c:ptCount val="1"/>
                <c:pt idx="0">
                  <c:v>Deflatore input</c:v>
                </c:pt>
              </c:strCache>
            </c:strRef>
          </c:tx>
          <c:spPr>
            <a:ln w="28575" cap="rnd">
              <a:solidFill>
                <a:srgbClr val="A6A6A6"/>
              </a:solidFill>
              <a:round/>
            </a:ln>
            <a:effectLst/>
          </c:spPr>
          <c:marker>
            <c:symbol val="none"/>
          </c:marker>
          <c:cat>
            <c:multiLvlStrRef>
              <c:f>'fig 6 costi e margini'!$A$28:$B$49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6 costi e margini'!$D$28:$D$49</c:f>
              <c:numCache>
                <c:formatCode>#,##0</c:formatCode>
                <c:ptCount val="22"/>
                <c:pt idx="0">
                  <c:v>101.6</c:v>
                </c:pt>
                <c:pt idx="1">
                  <c:v>98.7</c:v>
                </c:pt>
                <c:pt idx="2">
                  <c:v>99.4</c:v>
                </c:pt>
                <c:pt idx="3">
                  <c:v>100.3</c:v>
                </c:pt>
                <c:pt idx="4">
                  <c:v>102.3</c:v>
                </c:pt>
                <c:pt idx="5">
                  <c:v>105.9</c:v>
                </c:pt>
                <c:pt idx="6">
                  <c:v>109.2</c:v>
                </c:pt>
                <c:pt idx="7">
                  <c:v>118.7</c:v>
                </c:pt>
                <c:pt idx="8">
                  <c:v>131</c:v>
                </c:pt>
                <c:pt idx="9">
                  <c:v>136.69999999999999</c:v>
                </c:pt>
                <c:pt idx="10">
                  <c:v>142.30000000000001</c:v>
                </c:pt>
                <c:pt idx="11">
                  <c:v>144</c:v>
                </c:pt>
                <c:pt idx="12">
                  <c:v>138</c:v>
                </c:pt>
                <c:pt idx="13">
                  <c:v>134.4</c:v>
                </c:pt>
                <c:pt idx="14">
                  <c:v>132.1</c:v>
                </c:pt>
                <c:pt idx="15">
                  <c:v>131</c:v>
                </c:pt>
                <c:pt idx="16">
                  <c:v>125.7</c:v>
                </c:pt>
                <c:pt idx="17">
                  <c:v>124</c:v>
                </c:pt>
                <c:pt idx="18">
                  <c:v>122.4</c:v>
                </c:pt>
                <c:pt idx="19">
                  <c:v>126.5</c:v>
                </c:pt>
                <c:pt idx="20">
                  <c:v>127.4</c:v>
                </c:pt>
                <c:pt idx="21">
                  <c:v>127.4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11-4284-AD44-7C14EDC492C6}"/>
            </c:ext>
          </c:extLst>
        </c:ser>
        <c:ser>
          <c:idx val="3"/>
          <c:order val="2"/>
          <c:tx>
            <c:strRef>
              <c:f>'fig 6 costi e margini'!$E$27</c:f>
              <c:strCache>
                <c:ptCount val="1"/>
                <c:pt idx="0">
                  <c:v>Margini unitari</c:v>
                </c:pt>
              </c:strCache>
            </c:strRef>
          </c:tx>
          <c:spPr>
            <a:ln w="28575" cap="rnd">
              <a:solidFill>
                <a:srgbClr val="004172"/>
              </a:solidFill>
              <a:round/>
            </a:ln>
            <a:effectLst/>
          </c:spPr>
          <c:marker>
            <c:symbol val="none"/>
          </c:marker>
          <c:cat>
            <c:multiLvlStrRef>
              <c:f>'fig 6 costi e margini'!$A$28:$B$49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6 costi e margini'!$E$28:$E$49</c:f>
              <c:numCache>
                <c:formatCode>#,##0</c:formatCode>
                <c:ptCount val="22"/>
                <c:pt idx="0">
                  <c:v>100.7</c:v>
                </c:pt>
                <c:pt idx="1">
                  <c:v>101</c:v>
                </c:pt>
                <c:pt idx="2">
                  <c:v>99.4</c:v>
                </c:pt>
                <c:pt idx="3">
                  <c:v>98.9</c:v>
                </c:pt>
                <c:pt idx="4">
                  <c:v>98.6</c:v>
                </c:pt>
                <c:pt idx="5">
                  <c:v>98.7</c:v>
                </c:pt>
                <c:pt idx="6">
                  <c:v>99.5</c:v>
                </c:pt>
                <c:pt idx="7">
                  <c:v>102.4</c:v>
                </c:pt>
                <c:pt idx="8">
                  <c:v>103.2</c:v>
                </c:pt>
                <c:pt idx="9">
                  <c:v>99.1</c:v>
                </c:pt>
                <c:pt idx="10">
                  <c:v>100.9</c:v>
                </c:pt>
                <c:pt idx="11">
                  <c:v>103.3</c:v>
                </c:pt>
                <c:pt idx="12">
                  <c:v>101.5</c:v>
                </c:pt>
                <c:pt idx="13">
                  <c:v>101.9</c:v>
                </c:pt>
                <c:pt idx="14">
                  <c:v>101.7</c:v>
                </c:pt>
                <c:pt idx="15">
                  <c:v>104.6</c:v>
                </c:pt>
                <c:pt idx="16">
                  <c:v>107.7</c:v>
                </c:pt>
                <c:pt idx="17">
                  <c:v>109.8</c:v>
                </c:pt>
                <c:pt idx="18">
                  <c:v>112.4</c:v>
                </c:pt>
                <c:pt idx="19">
                  <c:v>114</c:v>
                </c:pt>
                <c:pt idx="20">
                  <c:v>113.5</c:v>
                </c:pt>
                <c:pt idx="21">
                  <c:v>114.4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411-4284-AD44-7C14EDC492C6}"/>
            </c:ext>
          </c:extLst>
        </c:ser>
        <c:ser>
          <c:idx val="4"/>
          <c:order val="3"/>
          <c:tx>
            <c:strRef>
              <c:f>'fig 6 costi e margini'!$F$27</c:f>
              <c:strCache>
                <c:ptCount val="1"/>
                <c:pt idx="0">
                  <c:v>Costi unitari del lavoro</c:v>
                </c:pt>
              </c:strCache>
            </c:strRef>
          </c:tx>
          <c:spPr>
            <a:ln w="28575" cap="rnd">
              <a:solidFill>
                <a:srgbClr val="00817F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'fig 6 costi e margini'!$A$28:$B$49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6 costi e margini'!$F$28:$F$49</c:f>
              <c:numCache>
                <c:formatCode>#,##0</c:formatCode>
                <c:ptCount val="22"/>
                <c:pt idx="0">
                  <c:v>99.5</c:v>
                </c:pt>
                <c:pt idx="1">
                  <c:v>96.4</c:v>
                </c:pt>
                <c:pt idx="2">
                  <c:v>100.3</c:v>
                </c:pt>
                <c:pt idx="3">
                  <c:v>103.9</c:v>
                </c:pt>
                <c:pt idx="4">
                  <c:v>104.4</c:v>
                </c:pt>
                <c:pt idx="5">
                  <c:v>105.1</c:v>
                </c:pt>
                <c:pt idx="6">
                  <c:v>105.5</c:v>
                </c:pt>
                <c:pt idx="7">
                  <c:v>104.9</c:v>
                </c:pt>
                <c:pt idx="8">
                  <c:v>109.2</c:v>
                </c:pt>
                <c:pt idx="9">
                  <c:v>114.9</c:v>
                </c:pt>
                <c:pt idx="10">
                  <c:v>112.9</c:v>
                </c:pt>
                <c:pt idx="11">
                  <c:v>109.7</c:v>
                </c:pt>
                <c:pt idx="12">
                  <c:v>113.2</c:v>
                </c:pt>
                <c:pt idx="13">
                  <c:v>114.6</c:v>
                </c:pt>
                <c:pt idx="14">
                  <c:v>118.5</c:v>
                </c:pt>
                <c:pt idx="15">
                  <c:v>118.3</c:v>
                </c:pt>
                <c:pt idx="16">
                  <c:v>113.8</c:v>
                </c:pt>
                <c:pt idx="17">
                  <c:v>112</c:v>
                </c:pt>
                <c:pt idx="18">
                  <c:v>109.5</c:v>
                </c:pt>
                <c:pt idx="19">
                  <c:v>116</c:v>
                </c:pt>
                <c:pt idx="20">
                  <c:v>115.2</c:v>
                </c:pt>
                <c:pt idx="21">
                  <c:v>115.4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411-4284-AD44-7C14EDC492C6}"/>
            </c:ext>
          </c:extLst>
        </c:ser>
        <c:ser>
          <c:idx val="0"/>
          <c:order val="4"/>
          <c:tx>
            <c:strRef>
              <c:f>'fig 6 costi e margini'!$G$27</c:f>
              <c:strCache>
                <c:ptCount val="1"/>
                <c:pt idx="0">
                  <c:v>Costi unitari variabili</c:v>
                </c:pt>
              </c:strCache>
            </c:strRef>
          </c:tx>
          <c:spPr>
            <a:ln w="28575" cap="rnd">
              <a:solidFill>
                <a:srgbClr val="004172"/>
              </a:solidFill>
              <a:prstDash val="sysDot"/>
              <a:round/>
            </a:ln>
            <a:effectLst/>
          </c:spPr>
          <c:marker>
            <c:symbol val="none"/>
          </c:marker>
          <c:cat>
            <c:multiLvlStrRef>
              <c:f>'fig 6 costi e margini'!$A$28:$B$49</c:f>
              <c:multiLvlStrCache>
                <c:ptCount val="2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'fig 6 costi e margini'!$G$28:$G$49</c:f>
              <c:numCache>
                <c:formatCode>#,##0</c:formatCode>
                <c:ptCount val="22"/>
                <c:pt idx="0">
                  <c:v>100.8</c:v>
                </c:pt>
                <c:pt idx="1">
                  <c:v>98.2</c:v>
                </c:pt>
                <c:pt idx="2">
                  <c:v>99.3</c:v>
                </c:pt>
                <c:pt idx="3">
                  <c:v>101.7</c:v>
                </c:pt>
                <c:pt idx="4">
                  <c:v>103.8</c:v>
                </c:pt>
                <c:pt idx="5">
                  <c:v>105.9</c:v>
                </c:pt>
                <c:pt idx="6">
                  <c:v>108.1</c:v>
                </c:pt>
                <c:pt idx="7">
                  <c:v>112.6</c:v>
                </c:pt>
                <c:pt idx="8">
                  <c:v>119</c:v>
                </c:pt>
                <c:pt idx="9">
                  <c:v>125.1</c:v>
                </c:pt>
                <c:pt idx="10">
                  <c:v>126.3</c:v>
                </c:pt>
                <c:pt idx="11">
                  <c:v>125.8</c:v>
                </c:pt>
                <c:pt idx="12">
                  <c:v>126.6</c:v>
                </c:pt>
                <c:pt idx="13">
                  <c:v>125.4</c:v>
                </c:pt>
                <c:pt idx="14">
                  <c:v>127</c:v>
                </c:pt>
                <c:pt idx="15">
                  <c:v>125.8</c:v>
                </c:pt>
                <c:pt idx="16">
                  <c:v>119.6</c:v>
                </c:pt>
                <c:pt idx="17">
                  <c:v>118.2</c:v>
                </c:pt>
                <c:pt idx="18">
                  <c:v>116</c:v>
                </c:pt>
                <c:pt idx="19">
                  <c:v>121.4</c:v>
                </c:pt>
                <c:pt idx="20">
                  <c:v>121</c:v>
                </c:pt>
                <c:pt idx="21">
                  <c:v>121.3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0411-4284-AD44-7C14EDC492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8487088"/>
        <c:axId val="858485008"/>
      </c:lineChart>
      <c:catAx>
        <c:axId val="85848708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858485008"/>
        <c:crossesAt val="100"/>
        <c:auto val="1"/>
        <c:lblAlgn val="ctr"/>
        <c:lblOffset val="100"/>
        <c:tickLblSkip val="1"/>
        <c:noMultiLvlLbl val="0"/>
      </c:catAx>
      <c:valAx>
        <c:axId val="858485008"/>
        <c:scaling>
          <c:orientation val="minMax"/>
          <c:max val="150"/>
          <c:min val="9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 w="9525"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8584870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2244572917213263E-2"/>
          <c:y val="3.3575118017627977E-3"/>
          <c:w val="0.95083277958639068"/>
          <c:h val="9.48502872013094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ysClr val="window" lastClr="FFFFFF">
          <a:lumMod val="85000"/>
        </a:sysClr>
      </a:solidFill>
      <a:round/>
    </a:ln>
    <a:effectLst/>
    <a:extLst/>
  </c:spPr>
  <c:txPr>
    <a:bodyPr/>
    <a:lstStyle/>
    <a:p>
      <a:pPr>
        <a:defRPr sz="800">
          <a:solidFill>
            <a:srgbClr val="000000"/>
          </a:solidFill>
          <a:latin typeface="Arial Narrow" panose="020B0606020202030204" pitchFamily="34" charset="0"/>
        </a:defRPr>
      </a:pPr>
      <a:endParaRPr lang="it-IT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98406635178854E-2"/>
          <c:y val="0.11429177602799651"/>
          <c:w val="0.9333555557789831"/>
          <c:h val="0.73979965004374448"/>
        </c:manualLayout>
      </c:layout>
      <c:lineChart>
        <c:grouping val="standard"/>
        <c:varyColors val="0"/>
        <c:ser>
          <c:idx val="0"/>
          <c:order val="0"/>
          <c:tx>
            <c:strRef>
              <c:f>'fig 7 food price monitoring'!$B$29</c:f>
              <c:strCache>
                <c:ptCount val="1"/>
                <c:pt idx="0">
                  <c:v>Prezzi commodities agricole</c:v>
                </c:pt>
              </c:strCache>
            </c:strRef>
          </c:tx>
          <c:spPr>
            <a:ln w="28575" cap="rnd">
              <a:solidFill>
                <a:srgbClr val="00817F"/>
              </a:solidFill>
              <a:round/>
            </a:ln>
            <a:effectLst/>
          </c:spPr>
          <c:marker>
            <c:symbol val="none"/>
          </c:marker>
          <c:cat>
            <c:numRef>
              <c:f>'fig 7 food price monitoring'!$C$28:$CE$28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7 food price monitoring'!$C$29:$CE$29</c:f>
              <c:numCache>
                <c:formatCode>0.0</c:formatCode>
                <c:ptCount val="81"/>
                <c:pt idx="0">
                  <c:v>98.412698412698418</c:v>
                </c:pt>
                <c:pt idx="1">
                  <c:v>98.319327731092443</c:v>
                </c:pt>
                <c:pt idx="2">
                  <c:v>98.132586367880478</c:v>
                </c:pt>
                <c:pt idx="3">
                  <c:v>97.945845004668541</c:v>
                </c:pt>
                <c:pt idx="4">
                  <c:v>98.225957049486468</c:v>
                </c:pt>
                <c:pt idx="5">
                  <c:v>99.066293183940246</c:v>
                </c:pt>
                <c:pt idx="6">
                  <c:v>100.28011204481795</c:v>
                </c:pt>
                <c:pt idx="7">
                  <c:v>101.30718954248366</c:v>
                </c:pt>
                <c:pt idx="8">
                  <c:v>102.05415499533146</c:v>
                </c:pt>
                <c:pt idx="9">
                  <c:v>102.42763772175539</c:v>
                </c:pt>
                <c:pt idx="10">
                  <c:v>102.42763772175539</c:v>
                </c:pt>
                <c:pt idx="11">
                  <c:v>101.86741363211951</c:v>
                </c:pt>
                <c:pt idx="12">
                  <c:v>100.93370681605975</c:v>
                </c:pt>
                <c:pt idx="13">
                  <c:v>99.813258636788063</c:v>
                </c:pt>
                <c:pt idx="14">
                  <c:v>98.599439775910369</c:v>
                </c:pt>
                <c:pt idx="15">
                  <c:v>97.292250233426714</c:v>
                </c:pt>
                <c:pt idx="16">
                  <c:v>96.54528478057891</c:v>
                </c:pt>
                <c:pt idx="17">
                  <c:v>96.451914098972921</c:v>
                </c:pt>
                <c:pt idx="18">
                  <c:v>96.918767507002798</c:v>
                </c:pt>
                <c:pt idx="19">
                  <c:v>97.57236227824464</c:v>
                </c:pt>
                <c:pt idx="20">
                  <c:v>98.132586367880478</c:v>
                </c:pt>
                <c:pt idx="21">
                  <c:v>98.87955182072831</c:v>
                </c:pt>
                <c:pt idx="22">
                  <c:v>99.533146591970123</c:v>
                </c:pt>
                <c:pt idx="23">
                  <c:v>100.09337068160598</c:v>
                </c:pt>
                <c:pt idx="24">
                  <c:v>100.65359477124183</c:v>
                </c:pt>
                <c:pt idx="25">
                  <c:v>101.1204481792717</c:v>
                </c:pt>
                <c:pt idx="26">
                  <c:v>101.49393090569563</c:v>
                </c:pt>
                <c:pt idx="27">
                  <c:v>101.77404295051356</c:v>
                </c:pt>
                <c:pt idx="28">
                  <c:v>102.24089635854344</c:v>
                </c:pt>
                <c:pt idx="29">
                  <c:v>103.08123249299722</c:v>
                </c:pt>
                <c:pt idx="30">
                  <c:v>104.20168067226892</c:v>
                </c:pt>
                <c:pt idx="31">
                  <c:v>105.88235294117648</c:v>
                </c:pt>
                <c:pt idx="32">
                  <c:v>108.21661998132588</c:v>
                </c:pt>
                <c:pt idx="33">
                  <c:v>111.20448179271709</c:v>
                </c:pt>
                <c:pt idx="34">
                  <c:v>114.65919701213818</c:v>
                </c:pt>
                <c:pt idx="35">
                  <c:v>118.4873949579832</c:v>
                </c:pt>
                <c:pt idx="36">
                  <c:v>122.87581699346406</c:v>
                </c:pt>
                <c:pt idx="37">
                  <c:v>125.58356676003734</c:v>
                </c:pt>
                <c:pt idx="38">
                  <c:v>126.23716153127917</c:v>
                </c:pt>
                <c:pt idx="39">
                  <c:v>125.11671335200747</c:v>
                </c:pt>
                <c:pt idx="40">
                  <c:v>124.83660130718954</c:v>
                </c:pt>
                <c:pt idx="41">
                  <c:v>125.39682539682542</c:v>
                </c:pt>
                <c:pt idx="42">
                  <c:v>126.89075630252103</c:v>
                </c:pt>
                <c:pt idx="43">
                  <c:v>128.29131652661064</c:v>
                </c:pt>
                <c:pt idx="44">
                  <c:v>129.50513538748834</c:v>
                </c:pt>
                <c:pt idx="45">
                  <c:v>130.62558356676004</c:v>
                </c:pt>
                <c:pt idx="46">
                  <c:v>131.27917833800186</c:v>
                </c:pt>
                <c:pt idx="47">
                  <c:v>131.37254901960785</c:v>
                </c:pt>
                <c:pt idx="48">
                  <c:v>130.99906629318397</c:v>
                </c:pt>
                <c:pt idx="49">
                  <c:v>130.43884220354809</c:v>
                </c:pt>
                <c:pt idx="50">
                  <c:v>129.50513538748834</c:v>
                </c:pt>
                <c:pt idx="51">
                  <c:v>128.47805788982259</c:v>
                </c:pt>
                <c:pt idx="52">
                  <c:v>127.82446311858078</c:v>
                </c:pt>
                <c:pt idx="53">
                  <c:v>127.6377217553688</c:v>
                </c:pt>
                <c:pt idx="54">
                  <c:v>127.91783380018676</c:v>
                </c:pt>
                <c:pt idx="55">
                  <c:v>128.66479925303454</c:v>
                </c:pt>
                <c:pt idx="56">
                  <c:v>129.9719887955182</c:v>
                </c:pt>
                <c:pt idx="57">
                  <c:v>131.83940242763771</c:v>
                </c:pt>
                <c:pt idx="58">
                  <c:v>132.58636788048554</c:v>
                </c:pt>
                <c:pt idx="59">
                  <c:v>132.11951447245565</c:v>
                </c:pt>
                <c:pt idx="60">
                  <c:v>130.53221288515408</c:v>
                </c:pt>
                <c:pt idx="61">
                  <c:v>129.50513538748834</c:v>
                </c:pt>
                <c:pt idx="62">
                  <c:v>129.13165266106444</c:v>
                </c:pt>
                <c:pt idx="63">
                  <c:v>129.31839402427639</c:v>
                </c:pt>
                <c:pt idx="64">
                  <c:v>129.03828197945845</c:v>
                </c:pt>
                <c:pt idx="65">
                  <c:v>128.19794584500468</c:v>
                </c:pt>
                <c:pt idx="66">
                  <c:v>126.984126984127</c:v>
                </c:pt>
                <c:pt idx="67">
                  <c:v>127.82446311858078</c:v>
                </c:pt>
                <c:pt idx="68">
                  <c:v>130.81232492997199</c:v>
                </c:pt>
                <c:pt idx="69">
                  <c:v>136.22782446311859</c:v>
                </c:pt>
                <c:pt idx="70">
                  <c:v>139.02894491129786</c:v>
                </c:pt>
                <c:pt idx="71">
                  <c:v>139.12231559290385</c:v>
                </c:pt>
                <c:pt idx="72">
                  <c:v>136.6013071895425</c:v>
                </c:pt>
                <c:pt idx="73">
                  <c:v>135.3874883286648</c:v>
                </c:pt>
                <c:pt idx="74">
                  <c:v>135.57422969187675</c:v>
                </c:pt>
                <c:pt idx="75">
                  <c:v>137.06816059757239</c:v>
                </c:pt>
                <c:pt idx="76">
                  <c:v>136.69467787114846</c:v>
                </c:pt>
                <c:pt idx="77">
                  <c:v>134.36041083099909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7D2-44B1-9122-42D852C46F06}"/>
            </c:ext>
          </c:extLst>
        </c:ser>
        <c:ser>
          <c:idx val="2"/>
          <c:order val="2"/>
          <c:tx>
            <c:strRef>
              <c:f>'fig 7 food price monitoring'!$B$31</c:f>
              <c:strCache>
                <c:ptCount val="1"/>
                <c:pt idx="0">
                  <c:v>Prezzi prod. industriale - mercato interno</c:v>
                </c:pt>
              </c:strCache>
            </c:strRef>
          </c:tx>
          <c:spPr>
            <a:ln w="28575" cap="rnd">
              <a:solidFill>
                <a:schemeClr val="tx2">
                  <a:lumMod val="90000"/>
                  <a:lumOff val="1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'fig 7 food price monitoring'!$C$28:$CE$28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7 food price monitoring'!$C$31:$CE$31</c:f>
              <c:numCache>
                <c:formatCode>0.0</c:formatCode>
                <c:ptCount val="81"/>
                <c:pt idx="0">
                  <c:v>99.609756097560975</c:v>
                </c:pt>
                <c:pt idx="1">
                  <c:v>99.219512195121951</c:v>
                </c:pt>
                <c:pt idx="2">
                  <c:v>98.926829268292693</c:v>
                </c:pt>
                <c:pt idx="3">
                  <c:v>99.317073170731703</c:v>
                </c:pt>
                <c:pt idx="4">
                  <c:v>99.512195121951223</c:v>
                </c:pt>
                <c:pt idx="5">
                  <c:v>99.609756097560975</c:v>
                </c:pt>
                <c:pt idx="6">
                  <c:v>99.609756097560975</c:v>
                </c:pt>
                <c:pt idx="7">
                  <c:v>100.29268292682927</c:v>
                </c:pt>
                <c:pt idx="8">
                  <c:v>100.58536585365854</c:v>
                </c:pt>
                <c:pt idx="9">
                  <c:v>100.8780487804878</c:v>
                </c:pt>
                <c:pt idx="10">
                  <c:v>100.97560975609755</c:v>
                </c:pt>
                <c:pt idx="11">
                  <c:v>101.17073170731707</c:v>
                </c:pt>
                <c:pt idx="12">
                  <c:v>101.85365853658537</c:v>
                </c:pt>
                <c:pt idx="13">
                  <c:v>101.65853658536585</c:v>
                </c:pt>
                <c:pt idx="14">
                  <c:v>101.5609756097561</c:v>
                </c:pt>
                <c:pt idx="15">
                  <c:v>101.36585365853659</c:v>
                </c:pt>
                <c:pt idx="16">
                  <c:v>100.78048780487805</c:v>
                </c:pt>
                <c:pt idx="17">
                  <c:v>100.6829268292683</c:v>
                </c:pt>
                <c:pt idx="18">
                  <c:v>100</c:v>
                </c:pt>
                <c:pt idx="19">
                  <c:v>100.8780487804878</c:v>
                </c:pt>
                <c:pt idx="20">
                  <c:v>101.07317073170732</c:v>
                </c:pt>
                <c:pt idx="21">
                  <c:v>101.17073170731707</c:v>
                </c:pt>
                <c:pt idx="22">
                  <c:v>101.46341463414635</c:v>
                </c:pt>
                <c:pt idx="23">
                  <c:v>101.36585365853659</c:v>
                </c:pt>
                <c:pt idx="24">
                  <c:v>101.85365853658537</c:v>
                </c:pt>
                <c:pt idx="25">
                  <c:v>102.2439024390244</c:v>
                </c:pt>
                <c:pt idx="26">
                  <c:v>102.92682926829269</c:v>
                </c:pt>
                <c:pt idx="27">
                  <c:v>103.21951219512195</c:v>
                </c:pt>
                <c:pt idx="28">
                  <c:v>103.80487804878049</c:v>
                </c:pt>
                <c:pt idx="29">
                  <c:v>104.39024390243902</c:v>
                </c:pt>
                <c:pt idx="30">
                  <c:v>104.39024390243902</c:v>
                </c:pt>
                <c:pt idx="31">
                  <c:v>105.17073170731707</c:v>
                </c:pt>
                <c:pt idx="32">
                  <c:v>106.04878048780489</c:v>
                </c:pt>
                <c:pt idx="33">
                  <c:v>106.43902439024389</c:v>
                </c:pt>
                <c:pt idx="34">
                  <c:v>107.31707317073172</c:v>
                </c:pt>
                <c:pt idx="35">
                  <c:v>108.87804878048779</c:v>
                </c:pt>
                <c:pt idx="36">
                  <c:v>111.31707317073169</c:v>
                </c:pt>
                <c:pt idx="37">
                  <c:v>112.29268292682926</c:v>
                </c:pt>
                <c:pt idx="38">
                  <c:v>115.41463414634146</c:v>
                </c:pt>
                <c:pt idx="39">
                  <c:v>118.82926829268293</c:v>
                </c:pt>
                <c:pt idx="40">
                  <c:v>119.90243902439023</c:v>
                </c:pt>
                <c:pt idx="41">
                  <c:v>120.78048780487805</c:v>
                </c:pt>
                <c:pt idx="42">
                  <c:v>121.7560975609756</c:v>
                </c:pt>
                <c:pt idx="43">
                  <c:v>123.41463414634146</c:v>
                </c:pt>
                <c:pt idx="44">
                  <c:v>125.56097560975607</c:v>
                </c:pt>
                <c:pt idx="45">
                  <c:v>127.1219512195122</c:v>
                </c:pt>
                <c:pt idx="46">
                  <c:v>128.58536585365854</c:v>
                </c:pt>
                <c:pt idx="47">
                  <c:v>129.26829268292684</c:v>
                </c:pt>
                <c:pt idx="48">
                  <c:v>129.65853658536585</c:v>
                </c:pt>
                <c:pt idx="49">
                  <c:v>129.65853658536585</c:v>
                </c:pt>
                <c:pt idx="50">
                  <c:v>130.04878048780489</c:v>
                </c:pt>
                <c:pt idx="51">
                  <c:v>130.14634146341464</c:v>
                </c:pt>
                <c:pt idx="52">
                  <c:v>128.8780487804878</c:v>
                </c:pt>
                <c:pt idx="53">
                  <c:v>128.19512195121951</c:v>
                </c:pt>
                <c:pt idx="54">
                  <c:v>127.70731707317073</c:v>
                </c:pt>
                <c:pt idx="55">
                  <c:v>127.90243902439025</c:v>
                </c:pt>
                <c:pt idx="56">
                  <c:v>127.99999999999999</c:v>
                </c:pt>
                <c:pt idx="57">
                  <c:v>127.80487804878049</c:v>
                </c:pt>
                <c:pt idx="58">
                  <c:v>127.51219512195119</c:v>
                </c:pt>
                <c:pt idx="59">
                  <c:v>127.80487804878049</c:v>
                </c:pt>
                <c:pt idx="60">
                  <c:v>127.70731707317073</c:v>
                </c:pt>
                <c:pt idx="61">
                  <c:v>126.73170731707317</c:v>
                </c:pt>
                <c:pt idx="62">
                  <c:v>127.02439024390242</c:v>
                </c:pt>
                <c:pt idx="63">
                  <c:v>126.63414634146342</c:v>
                </c:pt>
                <c:pt idx="64">
                  <c:v>126.82926829268293</c:v>
                </c:pt>
                <c:pt idx="65">
                  <c:v>127.02439024390242</c:v>
                </c:pt>
                <c:pt idx="66">
                  <c:v>126.92682926829268</c:v>
                </c:pt>
                <c:pt idx="67">
                  <c:v>127.41463414634147</c:v>
                </c:pt>
                <c:pt idx="68">
                  <c:v>128.58536585365854</c:v>
                </c:pt>
                <c:pt idx="69">
                  <c:v>129.46341463414632</c:v>
                </c:pt>
                <c:pt idx="70">
                  <c:v>129.7560975609756</c:v>
                </c:pt>
                <c:pt idx="71">
                  <c:v>129.65853658536585</c:v>
                </c:pt>
                <c:pt idx="72">
                  <c:v>129.36585365853659</c:v>
                </c:pt>
                <c:pt idx="73">
                  <c:v>128.6829268292683</c:v>
                </c:pt>
                <c:pt idx="74">
                  <c:v>129.46341463414632</c:v>
                </c:pt>
                <c:pt idx="75">
                  <c:v>130.2439024390244</c:v>
                </c:pt>
                <c:pt idx="76">
                  <c:v>129.85365853658536</c:v>
                </c:pt>
                <c:pt idx="77">
                  <c:v>129.5609756097561</c:v>
                </c:pt>
                <c:pt idx="78">
                  <c:v>129.36585365853659</c:v>
                </c:pt>
                <c:pt idx="79">
                  <c:v>130.53658536585365</c:v>
                </c:pt>
                <c:pt idx="80">
                  <c:v>130.34146341463415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7D2-44B1-9122-42D852C46F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668575"/>
        <c:axId val="2125678975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'fig 7 food price monitoring'!$B$30</c15:sqref>
                        </c15:formulaRef>
                      </c:ext>
                    </c:extLst>
                    <c:strCache>
                      <c:ptCount val="1"/>
                      <c:pt idx="0">
                        <c:v>Prezzi al consumo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prstDash val="sysDash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'fig 7 food price monitoring'!$C$28:$CE$28</c15:sqref>
                        </c15:formulaRef>
                      </c:ext>
                    </c:extLst>
                    <c:numCache>
                      <c:formatCode>General</c:formatCode>
                      <c:ptCount val="81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'fig 7 food price monitoring'!$C$30:$CE$30</c15:sqref>
                        </c15:formulaRef>
                      </c:ext>
                    </c:extLst>
                    <c:numCache>
                      <c:formatCode>0.0</c:formatCode>
                      <c:ptCount val="81"/>
                      <c:pt idx="0">
                        <c:v>100.28735632183907</c:v>
                      </c:pt>
                      <c:pt idx="1">
                        <c:v>100.67049808429118</c:v>
                      </c:pt>
                      <c:pt idx="2">
                        <c:v>100</c:v>
                      </c:pt>
                      <c:pt idx="3">
                        <c:v>99.616858237547888</c:v>
                      </c:pt>
                      <c:pt idx="4">
                        <c:v>100.57471264367817</c:v>
                      </c:pt>
                      <c:pt idx="5">
                        <c:v>100.09578544061301</c:v>
                      </c:pt>
                      <c:pt idx="6">
                        <c:v>99.808429118773944</c:v>
                      </c:pt>
                      <c:pt idx="7">
                        <c:v>99.904214559386958</c:v>
                      </c:pt>
                      <c:pt idx="8">
                        <c:v>99.52107279693486</c:v>
                      </c:pt>
                      <c:pt idx="9">
                        <c:v>99.616858237547888</c:v>
                      </c:pt>
                      <c:pt idx="10">
                        <c:v>100.19157088122603</c:v>
                      </c:pt>
                      <c:pt idx="11">
                        <c:v>100.19157088122603</c:v>
                      </c:pt>
                      <c:pt idx="12">
                        <c:v>101.14942528735631</c:v>
                      </c:pt>
                      <c:pt idx="13">
                        <c:v>101.24521072796935</c:v>
                      </c:pt>
                      <c:pt idx="14">
                        <c:v>101.53256704980842</c:v>
                      </c:pt>
                      <c:pt idx="15">
                        <c:v>102.87356321839081</c:v>
                      </c:pt>
                      <c:pt idx="16">
                        <c:v>103.44827586206895</c:v>
                      </c:pt>
                      <c:pt idx="17">
                        <c:v>102.77777777777777</c:v>
                      </c:pt>
                      <c:pt idx="18">
                        <c:v>101.34099616858236</c:v>
                      </c:pt>
                      <c:pt idx="19">
                        <c:v>101.05363984674329</c:v>
                      </c:pt>
                      <c:pt idx="20">
                        <c:v>100.86206896551724</c:v>
                      </c:pt>
                      <c:pt idx="21">
                        <c:v>101.24521072796935</c:v>
                      </c:pt>
                      <c:pt idx="22">
                        <c:v>101.81992337164749</c:v>
                      </c:pt>
                      <c:pt idx="23">
                        <c:v>101.05363984674329</c:v>
                      </c:pt>
                      <c:pt idx="24">
                        <c:v>101.72413793103448</c:v>
                      </c:pt>
                      <c:pt idx="25">
                        <c:v>101.43678160919541</c:v>
                      </c:pt>
                      <c:pt idx="26">
                        <c:v>101.53256704980842</c:v>
                      </c:pt>
                      <c:pt idx="27">
                        <c:v>102.20306513409963</c:v>
                      </c:pt>
                      <c:pt idx="28">
                        <c:v>102.58620689655172</c:v>
                      </c:pt>
                      <c:pt idx="29">
                        <c:v>102.20306513409963</c:v>
                      </c:pt>
                      <c:pt idx="30">
                        <c:v>101.43678160919541</c:v>
                      </c:pt>
                      <c:pt idx="31">
                        <c:v>101.91570881226053</c:v>
                      </c:pt>
                      <c:pt idx="32">
                        <c:v>102.01149425287355</c:v>
                      </c:pt>
                      <c:pt idx="33">
                        <c:v>102.39463601532567</c:v>
                      </c:pt>
                      <c:pt idx="34">
                        <c:v>103.35249042145594</c:v>
                      </c:pt>
                      <c:pt idx="35">
                        <c:v>104.11877394636015</c:v>
                      </c:pt>
                      <c:pt idx="36">
                        <c:v>105.65134099616857</c:v>
                      </c:pt>
                      <c:pt idx="37">
                        <c:v>106.70498084291187</c:v>
                      </c:pt>
                      <c:pt idx="38">
                        <c:v>107.66283524904215</c:v>
                      </c:pt>
                      <c:pt idx="39">
                        <c:v>109.09961685823755</c:v>
                      </c:pt>
                      <c:pt idx="40">
                        <c:v>110.53639846743295</c:v>
                      </c:pt>
                      <c:pt idx="41">
                        <c:v>111.7816091954023</c:v>
                      </c:pt>
                      <c:pt idx="42">
                        <c:v>111.87739463601531</c:v>
                      </c:pt>
                      <c:pt idx="43">
                        <c:v>112.83524904214559</c:v>
                      </c:pt>
                      <c:pt idx="44">
                        <c:v>114.272030651341</c:v>
                      </c:pt>
                      <c:pt idx="45">
                        <c:v>116.57088122605363</c:v>
                      </c:pt>
                      <c:pt idx="46">
                        <c:v>117.62452107279692</c:v>
                      </c:pt>
                      <c:pt idx="47">
                        <c:v>118.00766283524904</c:v>
                      </c:pt>
                      <c:pt idx="48">
                        <c:v>118.96551724137932</c:v>
                      </c:pt>
                      <c:pt idx="49">
                        <c:v>121.07279693486591</c:v>
                      </c:pt>
                      <c:pt idx="50">
                        <c:v>122.03065134099617</c:v>
                      </c:pt>
                      <c:pt idx="51">
                        <c:v>122.41379310344827</c:v>
                      </c:pt>
                      <c:pt idx="52">
                        <c:v>123.65900383141761</c:v>
                      </c:pt>
                      <c:pt idx="53">
                        <c:v>124.13793103448273</c:v>
                      </c:pt>
                      <c:pt idx="54">
                        <c:v>124.13793103448273</c:v>
                      </c:pt>
                      <c:pt idx="55">
                        <c:v>124.32950191570882</c:v>
                      </c:pt>
                      <c:pt idx="56">
                        <c:v>124.42528735632183</c:v>
                      </c:pt>
                      <c:pt idx="57">
                        <c:v>124.32950191570882</c:v>
                      </c:pt>
                      <c:pt idx="58">
                        <c:v>124.80842911877394</c:v>
                      </c:pt>
                      <c:pt idx="59">
                        <c:v>125.19157088122603</c:v>
                      </c:pt>
                      <c:pt idx="60">
                        <c:v>126.14942528735631</c:v>
                      </c:pt>
                      <c:pt idx="61">
                        <c:v>125.86206896551724</c:v>
                      </c:pt>
                      <c:pt idx="62">
                        <c:v>125.67049808429115</c:v>
                      </c:pt>
                      <c:pt idx="63">
                        <c:v>125.67049808429115</c:v>
                      </c:pt>
                      <c:pt idx="64">
                        <c:v>126.24521072796935</c:v>
                      </c:pt>
                      <c:pt idx="65">
                        <c:v>126.05363984674329</c:v>
                      </c:pt>
                      <c:pt idx="66">
                        <c:v>125.19157088122603</c:v>
                      </c:pt>
                      <c:pt idx="67">
                        <c:v>125.2873563218391</c:v>
                      </c:pt>
                      <c:pt idx="68">
                        <c:v>125.67049808429115</c:v>
                      </c:pt>
                      <c:pt idx="69">
                        <c:v>127.29885057471265</c:v>
                      </c:pt>
                      <c:pt idx="70">
                        <c:v>128.16091954022988</c:v>
                      </c:pt>
                      <c:pt idx="71">
                        <c:v>127.39463601532566</c:v>
                      </c:pt>
                      <c:pt idx="72">
                        <c:v>128.44827586206895</c:v>
                      </c:pt>
                      <c:pt idx="73">
                        <c:v>128.35249042145594</c:v>
                      </c:pt>
                      <c:pt idx="74">
                        <c:v>128.35249042145594</c:v>
                      </c:pt>
                      <c:pt idx="75">
                        <c:v>129.21455938697318</c:v>
                      </c:pt>
                      <c:pt idx="76">
                        <c:v>129.78927203065135</c:v>
                      </c:pt>
                      <c:pt idx="77">
                        <c:v>129.69348659003833</c:v>
                      </c:pt>
                      <c:pt idx="78">
                        <c:v>129.69348659003833</c:v>
                      </c:pt>
                      <c:pt idx="79">
                        <c:v>129.88505747126436</c:v>
                      </c:pt>
                      <c:pt idx="80">
                        <c:v>129.88505747126436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27D2-44B1-9122-42D852C46F06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7 food price monitoring'!$B$32</c15:sqref>
                        </c15:formulaRef>
                      </c:ext>
                    </c:extLst>
                    <c:strCache>
                      <c:ptCount val="1"/>
                      <c:pt idx="0">
                        <c:v>Prezzi all'import</c:v>
                      </c:pt>
                    </c:strCache>
                  </c:strRef>
                </c:tx>
                <c:spPr>
                  <a:ln w="28575" cap="rnd">
                    <a:solidFill>
                      <a:schemeClr val="accent1">
                        <a:lumMod val="60000"/>
                      </a:schemeClr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7 food price monitoring'!$C$28:$CE$28</c15:sqref>
                        </c15:formulaRef>
                      </c:ext>
                    </c:extLst>
                    <c:numCache>
                      <c:formatCode>General</c:formatCode>
                      <c:ptCount val="81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7 food price monitoring'!$C$32:$CE$32</c15:sqref>
                        </c15:formulaRef>
                      </c:ext>
                    </c:extLst>
                    <c:numCache>
                      <c:formatCode>0.0</c:formatCode>
                      <c:ptCount val="81"/>
                      <c:pt idx="0">
                        <c:v>99.050332383665719</c:v>
                      </c:pt>
                      <c:pt idx="1">
                        <c:v>99.430199430199437</c:v>
                      </c:pt>
                      <c:pt idx="2">
                        <c:v>99.335232668565993</c:v>
                      </c:pt>
                      <c:pt idx="3">
                        <c:v>100.18993352326686</c:v>
                      </c:pt>
                      <c:pt idx="4">
                        <c:v>100.28490028490029</c:v>
                      </c:pt>
                      <c:pt idx="5">
                        <c:v>100</c:v>
                      </c:pt>
                      <c:pt idx="6">
                        <c:v>99.145299145299148</c:v>
                      </c:pt>
                      <c:pt idx="7">
                        <c:v>99.335232668565993</c:v>
                      </c:pt>
                      <c:pt idx="8">
                        <c:v>99.430199430199437</c:v>
                      </c:pt>
                      <c:pt idx="9">
                        <c:v>100.09496676163343</c:v>
                      </c:pt>
                      <c:pt idx="10">
                        <c:v>100.85470085470085</c:v>
                      </c:pt>
                      <c:pt idx="11">
                        <c:v>102.27920227920228</c:v>
                      </c:pt>
                      <c:pt idx="12">
                        <c:v>102.56410256410258</c:v>
                      </c:pt>
                      <c:pt idx="13">
                        <c:v>102.94396961063627</c:v>
                      </c:pt>
                      <c:pt idx="14">
                        <c:v>103.22886989553656</c:v>
                      </c:pt>
                      <c:pt idx="15">
                        <c:v>102.75403608736941</c:v>
                      </c:pt>
                      <c:pt idx="16">
                        <c:v>101.23456790123457</c:v>
                      </c:pt>
                      <c:pt idx="17">
                        <c:v>101.04463437796771</c:v>
                      </c:pt>
                      <c:pt idx="18">
                        <c:v>99.335232668565993</c:v>
                      </c:pt>
                      <c:pt idx="19">
                        <c:v>98.765432098765444</c:v>
                      </c:pt>
                      <c:pt idx="20">
                        <c:v>98.480531813865156</c:v>
                      </c:pt>
                      <c:pt idx="21">
                        <c:v>98.195631528964867</c:v>
                      </c:pt>
                      <c:pt idx="22">
                        <c:v>97.150997150997156</c:v>
                      </c:pt>
                      <c:pt idx="23">
                        <c:v>97.62583095916429</c:v>
                      </c:pt>
                      <c:pt idx="24">
                        <c:v>99.240265906932578</c:v>
                      </c:pt>
                      <c:pt idx="25">
                        <c:v>100.28490028490029</c:v>
                      </c:pt>
                      <c:pt idx="26">
                        <c:v>102.84900284900284</c:v>
                      </c:pt>
                      <c:pt idx="27">
                        <c:v>104.653371320038</c:v>
                      </c:pt>
                      <c:pt idx="28">
                        <c:v>105.318138651472</c:v>
                      </c:pt>
                      <c:pt idx="29">
                        <c:v>104.46343779677115</c:v>
                      </c:pt>
                      <c:pt idx="30">
                        <c:v>104.74833808167141</c:v>
                      </c:pt>
                      <c:pt idx="31">
                        <c:v>106.07787274453942</c:v>
                      </c:pt>
                      <c:pt idx="32">
                        <c:v>106.74264007597343</c:v>
                      </c:pt>
                      <c:pt idx="33">
                        <c:v>107.97720797720798</c:v>
                      </c:pt>
                      <c:pt idx="34">
                        <c:v>110.63627730294397</c:v>
                      </c:pt>
                      <c:pt idx="35">
                        <c:v>113.96011396011396</c:v>
                      </c:pt>
                      <c:pt idx="36">
                        <c:v>116.7141500474834</c:v>
                      </c:pt>
                      <c:pt idx="37">
                        <c:v>118.89838556505224</c:v>
                      </c:pt>
                      <c:pt idx="38">
                        <c:v>122.60208926875593</c:v>
                      </c:pt>
                      <c:pt idx="39">
                        <c:v>128.39506172839506</c:v>
                      </c:pt>
                      <c:pt idx="40">
                        <c:v>129.72459639126305</c:v>
                      </c:pt>
                      <c:pt idx="41">
                        <c:v>131.14909781576446</c:v>
                      </c:pt>
                      <c:pt idx="42">
                        <c:v>132.66856600189934</c:v>
                      </c:pt>
                      <c:pt idx="43">
                        <c:v>133.04843304843305</c:v>
                      </c:pt>
                      <c:pt idx="44">
                        <c:v>136.84710351377018</c:v>
                      </c:pt>
                      <c:pt idx="45">
                        <c:v>138.08167141500476</c:v>
                      </c:pt>
                      <c:pt idx="46">
                        <c:v>139.03133903133903</c:v>
                      </c:pt>
                      <c:pt idx="47">
                        <c:v>137.32193732193733</c:v>
                      </c:pt>
                      <c:pt idx="48">
                        <c:v>139.03133903133903</c:v>
                      </c:pt>
                      <c:pt idx="49">
                        <c:v>139.31623931623932</c:v>
                      </c:pt>
                      <c:pt idx="50">
                        <c:v>139.60113960113961</c:v>
                      </c:pt>
                      <c:pt idx="51">
                        <c:v>140.17094017094016</c:v>
                      </c:pt>
                      <c:pt idx="52">
                        <c:v>138.65147198480531</c:v>
                      </c:pt>
                      <c:pt idx="53">
                        <c:v>137.70180436847104</c:v>
                      </c:pt>
                      <c:pt idx="54">
                        <c:v>135.51756885090219</c:v>
                      </c:pt>
                      <c:pt idx="55">
                        <c:v>133.90313390313392</c:v>
                      </c:pt>
                      <c:pt idx="56">
                        <c:v>134.37796771130104</c:v>
                      </c:pt>
                      <c:pt idx="57">
                        <c:v>135.42260208926876</c:v>
                      </c:pt>
                      <c:pt idx="58">
                        <c:v>135.70750237416905</c:v>
                      </c:pt>
                      <c:pt idx="59">
                        <c:v>135.61253561253562</c:v>
                      </c:pt>
                      <c:pt idx="60">
                        <c:v>135.70750237416905</c:v>
                      </c:pt>
                      <c:pt idx="61">
                        <c:v>136.94207027540358</c:v>
                      </c:pt>
                      <c:pt idx="62">
                        <c:v>138.36657169990502</c:v>
                      </c:pt>
                      <c:pt idx="63">
                        <c:v>137.70180436847104</c:v>
                      </c:pt>
                      <c:pt idx="64">
                        <c:v>138.65147198480531</c:v>
                      </c:pt>
                      <c:pt idx="65">
                        <c:v>137.41690408357076</c:v>
                      </c:pt>
                      <c:pt idx="66">
                        <c:v>138.84140550807217</c:v>
                      </c:pt>
                      <c:pt idx="67">
                        <c:v>138.27160493827159</c:v>
                      </c:pt>
                      <c:pt idx="68">
                        <c:v>141.12060778727445</c:v>
                      </c:pt>
                      <c:pt idx="69">
                        <c:v>141.40550807217477</c:v>
                      </c:pt>
                      <c:pt idx="70">
                        <c:v>142.92497625830961</c:v>
                      </c:pt>
                      <c:pt idx="71">
                        <c:v>144.15954415954417</c:v>
                      </c:pt>
                      <c:pt idx="72">
                        <c:v>149.76258309591643</c:v>
                      </c:pt>
                      <c:pt idx="73">
                        <c:v>150.90218423551758</c:v>
                      </c:pt>
                      <c:pt idx="74">
                        <c:v>154.0360873694207</c:v>
                      </c:pt>
                      <c:pt idx="75">
                        <c:v>153.0864197530864</c:v>
                      </c:pt>
                      <c:pt idx="76">
                        <c:v>152.61158594491928</c:v>
                      </c:pt>
                      <c:pt idx="77">
                        <c:v>154.0360873694207</c:v>
                      </c:pt>
                      <c:pt idx="78">
                        <c:v>152.32668566001902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7D2-44B1-9122-42D852C46F06}"/>
                  </c:ext>
                </c:extLst>
              </c15:ser>
            </c15:filteredLineSeries>
          </c:ext>
        </c:extLst>
      </c:lineChart>
      <c:catAx>
        <c:axId val="2125668575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78975"/>
        <c:crosses val="autoZero"/>
        <c:auto val="1"/>
        <c:lblAlgn val="ctr"/>
        <c:lblOffset val="100"/>
        <c:tickLblSkip val="1"/>
        <c:noMultiLvlLbl val="0"/>
      </c:catAx>
      <c:valAx>
        <c:axId val="2125678975"/>
        <c:scaling>
          <c:orientation val="minMax"/>
          <c:max val="140"/>
          <c:min val="9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68575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1876577258704075E-2"/>
          <c:y val="3.6027996500437452E-3"/>
          <c:w val="0.92082411631933003"/>
          <c:h val="0.10010848643919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56617540933655E-2"/>
          <c:y val="0.15597477946835589"/>
          <c:w val="0.86970734126984128"/>
          <c:h val="0.61824166716002604"/>
        </c:manualLayout>
      </c:layout>
      <c:lineChart>
        <c:grouping val="standard"/>
        <c:varyColors val="0"/>
        <c:ser>
          <c:idx val="1"/>
          <c:order val="0"/>
          <c:tx>
            <c:strRef>
              <c:f>'fig 2 ita'!$C$1</c:f>
              <c:strCache>
                <c:ptCount val="1"/>
                <c:pt idx="0">
                  <c:v>Italia</c:v>
                </c:pt>
              </c:strCache>
            </c:strRef>
          </c:tx>
          <c:spPr>
            <a:ln w="19050">
              <a:solidFill>
                <a:srgbClr val="004172"/>
              </a:solidFill>
            </a:ln>
          </c:spPr>
          <c:marker>
            <c:symbol val="none"/>
          </c:marker>
          <c:cat>
            <c:multiLvlStrRef>
              <c:f>'fig 2 ita'!$A$2:$B$23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2 ita'!$C$2:$C$23</c:f>
              <c:numCache>
                <c:formatCode>0.0</c:formatCode>
                <c:ptCount val="22"/>
                <c:pt idx="0">
                  <c:v>100.9</c:v>
                </c:pt>
                <c:pt idx="1">
                  <c:v>99.3</c:v>
                </c:pt>
                <c:pt idx="2">
                  <c:v>100.9</c:v>
                </c:pt>
                <c:pt idx="3">
                  <c:v>99.6</c:v>
                </c:pt>
                <c:pt idx="4">
                  <c:v>101.2</c:v>
                </c:pt>
                <c:pt idx="5">
                  <c:v>100.7</c:v>
                </c:pt>
                <c:pt idx="6">
                  <c:v>100.3</c:v>
                </c:pt>
                <c:pt idx="7">
                  <c:v>99.8</c:v>
                </c:pt>
                <c:pt idx="8">
                  <c:v>98.1</c:v>
                </c:pt>
                <c:pt idx="9">
                  <c:v>97.5</c:v>
                </c:pt>
                <c:pt idx="10">
                  <c:v>99.1</c:v>
                </c:pt>
                <c:pt idx="11">
                  <c:v>98.2</c:v>
                </c:pt>
                <c:pt idx="12">
                  <c:v>99.9</c:v>
                </c:pt>
                <c:pt idx="13">
                  <c:v>99.6</c:v>
                </c:pt>
                <c:pt idx="14">
                  <c:v>97.7</c:v>
                </c:pt>
                <c:pt idx="15">
                  <c:v>95.9</c:v>
                </c:pt>
                <c:pt idx="16">
                  <c:v>98.7</c:v>
                </c:pt>
                <c:pt idx="17">
                  <c:v>99</c:v>
                </c:pt>
                <c:pt idx="18">
                  <c:v>99.4</c:v>
                </c:pt>
                <c:pt idx="19">
                  <c:v>98.4</c:v>
                </c:pt>
                <c:pt idx="20">
                  <c:v>99.1</c:v>
                </c:pt>
                <c:pt idx="21">
                  <c:v>100.5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30-4EC9-9788-9387AB0D1316}"/>
            </c:ext>
          </c:extLst>
        </c:ser>
        <c:ser>
          <c:idx val="2"/>
          <c:order val="1"/>
          <c:tx>
            <c:strRef>
              <c:f>'fig 2 ita'!$D$1</c:f>
              <c:strCache>
                <c:ptCount val="1"/>
                <c:pt idx="0">
                  <c:v>Area euro</c:v>
                </c:pt>
              </c:strCache>
            </c:strRef>
          </c:tx>
          <c:spPr>
            <a:ln w="19050">
              <a:solidFill>
                <a:srgbClr val="00817F"/>
              </a:solidFill>
            </a:ln>
          </c:spPr>
          <c:marker>
            <c:symbol val="none"/>
          </c:marker>
          <c:cat>
            <c:multiLvlStrRef>
              <c:f>'fig 2 ita'!$A$2:$B$23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2 ita'!$D$2:$D$23</c:f>
              <c:numCache>
                <c:formatCode>0.0</c:formatCode>
                <c:ptCount val="22"/>
                <c:pt idx="0">
                  <c:v>96.1</c:v>
                </c:pt>
                <c:pt idx="1">
                  <c:v>95.5</c:v>
                </c:pt>
                <c:pt idx="2">
                  <c:v>96.3</c:v>
                </c:pt>
                <c:pt idx="3">
                  <c:v>95.6</c:v>
                </c:pt>
                <c:pt idx="4">
                  <c:v>96.7</c:v>
                </c:pt>
                <c:pt idx="5">
                  <c:v>95.7</c:v>
                </c:pt>
                <c:pt idx="6">
                  <c:v>94.8</c:v>
                </c:pt>
                <c:pt idx="7">
                  <c:v>94</c:v>
                </c:pt>
                <c:pt idx="8">
                  <c:v>94</c:v>
                </c:pt>
                <c:pt idx="9">
                  <c:v>93.9</c:v>
                </c:pt>
                <c:pt idx="10">
                  <c:v>95.7</c:v>
                </c:pt>
                <c:pt idx="11">
                  <c:v>93.5</c:v>
                </c:pt>
                <c:pt idx="12">
                  <c:v>95.2</c:v>
                </c:pt>
                <c:pt idx="13">
                  <c:v>96.2</c:v>
                </c:pt>
                <c:pt idx="14">
                  <c:v>95.2</c:v>
                </c:pt>
                <c:pt idx="15">
                  <c:v>93.9</c:v>
                </c:pt>
                <c:pt idx="16">
                  <c:v>95</c:v>
                </c:pt>
                <c:pt idx="17">
                  <c:v>94.2</c:v>
                </c:pt>
                <c:pt idx="18">
                  <c:v>95.8</c:v>
                </c:pt>
                <c:pt idx="19">
                  <c:v>95.4</c:v>
                </c:pt>
                <c:pt idx="20">
                  <c:v>95.6</c:v>
                </c:pt>
                <c:pt idx="21">
                  <c:v>96.8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30-4EC9-9788-9387AB0D1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11779872"/>
        <c:axId val="-1811784224"/>
      </c:lineChart>
      <c:catAx>
        <c:axId val="-1811779872"/>
        <c:scaling>
          <c:orientation val="minMax"/>
        </c:scaling>
        <c:delete val="0"/>
        <c:axPos val="b"/>
        <c:majorGridlines>
          <c:spPr>
            <a:ln w="3175"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low"/>
        <c:spPr>
          <a:ln w="9525">
            <a:solidFill>
              <a:sysClr val="window" lastClr="FFFFFF">
                <a:lumMod val="65000"/>
              </a:sysClr>
            </a:solidFill>
          </a:ln>
        </c:spPr>
        <c:txPr>
          <a:bodyPr/>
          <a:lstStyle/>
          <a:p>
            <a:pPr>
              <a:defRPr sz="750"/>
            </a:pPr>
            <a:endParaRPr lang="it-IT"/>
          </a:p>
        </c:txPr>
        <c:crossAx val="-1811784224"/>
        <c:crosses val="autoZero"/>
        <c:auto val="1"/>
        <c:lblAlgn val="ctr"/>
        <c:lblOffset val="100"/>
        <c:tickLblSkip val="1"/>
        <c:noMultiLvlLbl val="0"/>
      </c:catAx>
      <c:valAx>
        <c:axId val="-1811784224"/>
        <c:scaling>
          <c:orientation val="minMax"/>
          <c:max val="105"/>
          <c:min val="90"/>
        </c:scaling>
        <c:delete val="0"/>
        <c:axPos val="l"/>
        <c:majorGridlines>
          <c:spPr>
            <a:ln w="3175"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txPr>
          <a:bodyPr/>
          <a:lstStyle/>
          <a:p>
            <a:pPr>
              <a:defRPr sz="750"/>
            </a:pPr>
            <a:endParaRPr lang="it-IT"/>
          </a:p>
        </c:txPr>
        <c:crossAx val="-1811779872"/>
        <c:crosses val="autoZero"/>
        <c:crossBetween val="between"/>
        <c:majorUnit val="5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10700884219748685"/>
          <c:y val="4.4187795751649541E-3"/>
          <c:w val="0.70696645940429625"/>
          <c:h val="8.5536635388564514E-2"/>
        </c:manualLayout>
      </c:layout>
      <c:overlay val="0"/>
      <c:txPr>
        <a:bodyPr/>
        <a:lstStyle/>
        <a:p>
          <a:pPr>
            <a:defRPr sz="750"/>
          </a:pPr>
          <a:endParaRPr lang="it-I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00" b="0" i="0" baseline="0">
          <a:latin typeface="Arial Narrow"/>
          <a:ea typeface="Arial Narrow"/>
          <a:cs typeface="Arial Narrow"/>
        </a:defRPr>
      </a:pPr>
      <a:endParaRPr lang="it-IT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92156862745098E-2"/>
          <c:y val="0.11151060429725861"/>
          <c:w val="0.87778735424390542"/>
          <c:h val="0.70890528712766321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'figura 3  new'!$C$1</c:f>
              <c:strCache>
                <c:ptCount val="1"/>
                <c:pt idx="0">
                  <c:v>Germania</c:v>
                </c:pt>
              </c:strCache>
            </c:strRef>
          </c:tx>
          <c:spPr>
            <a:solidFill>
              <a:srgbClr val="00817F"/>
            </a:solidFill>
            <a:ln>
              <a:noFill/>
            </a:ln>
            <a:effectLst/>
          </c:spPr>
          <c:invertIfNegative val="0"/>
          <c:cat>
            <c:multiLvlStrRef>
              <c:f>'figura 3  new'!$A$2:$B$8</c:f>
              <c:multiLvlStrCache>
                <c:ptCount val="7"/>
                <c:lvl>
                  <c:pt idx="0">
                    <c:v>T1</c:v>
                  </c:pt>
                  <c:pt idx="1">
                    <c:v>T2</c:v>
                  </c:pt>
                  <c:pt idx="2">
                    <c:v>T3</c:v>
                  </c:pt>
                  <c:pt idx="3">
                    <c:v>T4</c:v>
                  </c:pt>
                  <c:pt idx="4">
                    <c:v>T1</c:v>
                  </c:pt>
                  <c:pt idx="5">
                    <c:v>T2</c:v>
                  </c:pt>
                  <c:pt idx="6">
                    <c:v>T3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'figura 3  new'!$C$2:$C$8</c:f>
              <c:numCache>
                <c:formatCode>#,##0.##########</c:formatCode>
                <c:ptCount val="7"/>
                <c:pt idx="0">
                  <c:v>-0.1</c:v>
                </c:pt>
                <c:pt idx="1">
                  <c:v>-0.3</c:v>
                </c:pt>
                <c:pt idx="2" formatCode="#,##0.0">
                  <c:v>0</c:v>
                </c:pt>
                <c:pt idx="3">
                  <c:v>0.2</c:v>
                </c:pt>
                <c:pt idx="4">
                  <c:v>0.3</c:v>
                </c:pt>
                <c:pt idx="5">
                  <c:v>-0.2</c:v>
                </c:pt>
                <c:pt idx="6" formatCode="#,##0.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AA-4219-A68E-A888E7AC0FDF}"/>
            </c:ext>
          </c:extLst>
        </c:ser>
        <c:ser>
          <c:idx val="5"/>
          <c:order val="1"/>
          <c:tx>
            <c:strRef>
              <c:f>'figura 3  new'!$D$1</c:f>
              <c:strCache>
                <c:ptCount val="1"/>
                <c:pt idx="0">
                  <c:v>Spagna</c:v>
                </c:pt>
              </c:strCache>
            </c:strRef>
          </c:tx>
          <c:spPr>
            <a:solidFill>
              <a:srgbClr val="00B4B0"/>
            </a:solidFill>
            <a:ln>
              <a:noFill/>
            </a:ln>
            <a:effectLst/>
          </c:spPr>
          <c:invertIfNegative val="0"/>
          <c:cat>
            <c:multiLvlStrRef>
              <c:f>'figura 3  new'!$A$2:$B$8</c:f>
              <c:multiLvlStrCache>
                <c:ptCount val="7"/>
                <c:lvl>
                  <c:pt idx="0">
                    <c:v>T1</c:v>
                  </c:pt>
                  <c:pt idx="1">
                    <c:v>T2</c:v>
                  </c:pt>
                  <c:pt idx="2">
                    <c:v>T3</c:v>
                  </c:pt>
                  <c:pt idx="3">
                    <c:v>T4</c:v>
                  </c:pt>
                  <c:pt idx="4">
                    <c:v>T1</c:v>
                  </c:pt>
                  <c:pt idx="5">
                    <c:v>T2</c:v>
                  </c:pt>
                  <c:pt idx="6">
                    <c:v>T3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'figura 3  new'!$D$2:$D$8</c:f>
              <c:numCache>
                <c:formatCode>#,##0.##########</c:formatCode>
                <c:ptCount val="7"/>
                <c:pt idx="0">
                  <c:v>1.1000000000000001</c:v>
                </c:pt>
                <c:pt idx="1">
                  <c:v>0.9</c:v>
                </c:pt>
                <c:pt idx="2">
                  <c:v>0.8</c:v>
                </c:pt>
                <c:pt idx="3">
                  <c:v>0.8</c:v>
                </c:pt>
                <c:pt idx="4">
                  <c:v>0.6</c:v>
                </c:pt>
                <c:pt idx="5">
                  <c:v>0.8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AA-4219-A68E-A888E7AC0FDF}"/>
            </c:ext>
          </c:extLst>
        </c:ser>
        <c:ser>
          <c:idx val="1"/>
          <c:order val="2"/>
          <c:tx>
            <c:strRef>
              <c:f>'figura 3  new'!$E$1</c:f>
              <c:strCache>
                <c:ptCount val="1"/>
                <c:pt idx="0">
                  <c:v>Francia </c:v>
                </c:pt>
              </c:strCache>
            </c:strRef>
          </c:tx>
          <c:spPr>
            <a:solidFill>
              <a:srgbClr val="00DAD5"/>
            </a:solidFill>
            <a:ln>
              <a:noFill/>
            </a:ln>
            <a:effectLst/>
          </c:spPr>
          <c:invertIfNegative val="0"/>
          <c:cat>
            <c:multiLvlStrRef>
              <c:f>'figura 3  new'!$A$2:$B$8</c:f>
              <c:multiLvlStrCache>
                <c:ptCount val="7"/>
                <c:lvl>
                  <c:pt idx="0">
                    <c:v>T1</c:v>
                  </c:pt>
                  <c:pt idx="1">
                    <c:v>T2</c:v>
                  </c:pt>
                  <c:pt idx="2">
                    <c:v>T3</c:v>
                  </c:pt>
                  <c:pt idx="3">
                    <c:v>T4</c:v>
                  </c:pt>
                  <c:pt idx="4">
                    <c:v>T1</c:v>
                  </c:pt>
                  <c:pt idx="5">
                    <c:v>T2</c:v>
                  </c:pt>
                  <c:pt idx="6">
                    <c:v>T3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'figura 3  new'!$E$2:$E$8</c:f>
              <c:numCache>
                <c:formatCode>#,##0.##########</c:formatCode>
                <c:ptCount val="7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 formatCode="#,##0.0">
                  <c:v>0</c:v>
                </c:pt>
                <c:pt idx="4">
                  <c:v>0.1</c:v>
                </c:pt>
                <c:pt idx="5">
                  <c:v>0.3</c:v>
                </c:pt>
                <c:pt idx="6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AA-4219-A68E-A888E7AC0FDF}"/>
            </c:ext>
          </c:extLst>
        </c:ser>
        <c:ser>
          <c:idx val="2"/>
          <c:order val="3"/>
          <c:tx>
            <c:strRef>
              <c:f>'figura 3  new'!$F$1</c:f>
              <c:strCache>
                <c:ptCount val="1"/>
                <c:pt idx="0">
                  <c:v>Italia</c:v>
                </c:pt>
              </c:strCache>
            </c:strRef>
          </c:tx>
          <c:spPr>
            <a:solidFill>
              <a:srgbClr val="A6A6A6"/>
            </a:solidFill>
            <a:ln>
              <a:noFill/>
            </a:ln>
            <a:effectLst/>
          </c:spPr>
          <c:invertIfNegative val="0"/>
          <c:cat>
            <c:multiLvlStrRef>
              <c:f>'figura 3  new'!$A$2:$B$8</c:f>
              <c:multiLvlStrCache>
                <c:ptCount val="7"/>
                <c:lvl>
                  <c:pt idx="0">
                    <c:v>T1</c:v>
                  </c:pt>
                  <c:pt idx="1">
                    <c:v>T2</c:v>
                  </c:pt>
                  <c:pt idx="2">
                    <c:v>T3</c:v>
                  </c:pt>
                  <c:pt idx="3">
                    <c:v>T4</c:v>
                  </c:pt>
                  <c:pt idx="4">
                    <c:v>T1</c:v>
                  </c:pt>
                  <c:pt idx="5">
                    <c:v>T2</c:v>
                  </c:pt>
                  <c:pt idx="6">
                    <c:v>T3</c:v>
                  </c:pt>
                </c:lvl>
                <c:lvl>
                  <c:pt idx="0">
                    <c:v>2024</c:v>
                  </c:pt>
                  <c:pt idx="4">
                    <c:v>2025</c:v>
                  </c:pt>
                </c:lvl>
              </c:multiLvlStrCache>
            </c:multiLvlStrRef>
          </c:cat>
          <c:val>
            <c:numRef>
              <c:f>'figura 3  new'!$F$2:$F$8</c:f>
              <c:numCache>
                <c:formatCode>#,##0.##########</c:formatCode>
                <c:ptCount val="7"/>
                <c:pt idx="0">
                  <c:v>0.1</c:v>
                </c:pt>
                <c:pt idx="1">
                  <c:v>0.2</c:v>
                </c:pt>
                <c:pt idx="2" formatCode="#,##0.0">
                  <c:v>0</c:v>
                </c:pt>
                <c:pt idx="3">
                  <c:v>0.2</c:v>
                </c:pt>
                <c:pt idx="4">
                  <c:v>0.3</c:v>
                </c:pt>
                <c:pt idx="5">
                  <c:v>-0.1</c:v>
                </c:pt>
                <c:pt idx="6" formatCode="#,##0.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AA-4219-A68E-A888E7AC0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952336"/>
        <c:axId val="170952896"/>
      </c:barChart>
      <c:catAx>
        <c:axId val="17095233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General" sourceLinked="0"/>
        <c:majorTickMark val="none"/>
        <c:minorTickMark val="out"/>
        <c:tickLblPos val="low"/>
        <c:spPr>
          <a:noFill/>
          <a:ln w="9525" cap="flat" cmpd="sng" algn="ctr">
            <a:solidFill>
              <a:srgbClr val="808080"/>
            </a:solidFill>
            <a:prstDash val="solid"/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70952896"/>
        <c:crosses val="autoZero"/>
        <c:auto val="1"/>
        <c:lblAlgn val="ctr"/>
        <c:lblOffset val="100"/>
        <c:noMultiLvlLbl val="0"/>
      </c:catAx>
      <c:valAx>
        <c:axId val="170952896"/>
        <c:scaling>
          <c:orientation val="minMax"/>
          <c:max val="1.2"/>
          <c:min val="-0.4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#,##0.0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170952336"/>
        <c:crosses val="autoZero"/>
        <c:crossBetween val="between"/>
        <c:majorUnit val="0.4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2826835153670308"/>
          <c:y val="0"/>
          <c:w val="0.55152781305562615"/>
          <c:h val="9.24014107085604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sz="740" baseline="0">
          <a:latin typeface="Arial Narrow" panose="020B0606020202030204" pitchFamily="34" charset="0"/>
        </a:defRPr>
      </a:pPr>
      <a:endParaRPr lang="it-IT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787918871252204E-2"/>
          <c:y val="0.1218088650718422"/>
          <c:w val="0.89090211640211636"/>
          <c:h val="0.70940517864349195"/>
        </c:manualLayout>
      </c:layout>
      <c:barChart>
        <c:barDir val="col"/>
        <c:grouping val="clustered"/>
        <c:varyColors val="0"/>
        <c:ser>
          <c:idx val="3"/>
          <c:order val="0"/>
          <c:spPr>
            <a:solidFill>
              <a:srgbClr val="00817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40" b="0" i="0" u="none" strike="noStrike" kern="1200" baseline="0">
                    <a:solidFill>
                      <a:srgbClr val="000000"/>
                    </a:solidFill>
                    <a:latin typeface="Arial Narrow" panose="020B0606020202030204" pitchFamily="34" charset="0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 nota nov 25'!$B$7:$B$19</c:f>
              <c:strCache>
                <c:ptCount val="13"/>
                <c:pt idx="0">
                  <c:v>CF</c:v>
                </c:pt>
                <c:pt idx="1">
                  <c:v>CA</c:v>
                </c:pt>
                <c:pt idx="2">
                  <c:v>CH</c:v>
                </c:pt>
                <c:pt idx="3">
                  <c:v>CL</c:v>
                </c:pt>
                <c:pt idx="4">
                  <c:v>CC</c:v>
                </c:pt>
                <c:pt idx="5">
                  <c:v>CE</c:v>
                </c:pt>
                <c:pt idx="6">
                  <c:v>CG</c:v>
                </c:pt>
                <c:pt idx="7">
                  <c:v>CJ</c:v>
                </c:pt>
                <c:pt idx="8">
                  <c:v>CK</c:v>
                </c:pt>
                <c:pt idx="9">
                  <c:v>CB</c:v>
                </c:pt>
                <c:pt idx="10">
                  <c:v>CI</c:v>
                </c:pt>
                <c:pt idx="11">
                  <c:v>CM</c:v>
                </c:pt>
                <c:pt idx="12">
                  <c:v>CD</c:v>
                </c:pt>
              </c:strCache>
            </c:strRef>
          </c:cat>
          <c:val>
            <c:numRef>
              <c:f>'fig nota nov 25'!$C$7:$C$19</c:f>
              <c:numCache>
                <c:formatCode>#,##0.0</c:formatCode>
                <c:ptCount val="13"/>
                <c:pt idx="0">
                  <c:v>34.765221908655292</c:v>
                </c:pt>
                <c:pt idx="1">
                  <c:v>4.8167394361129112</c:v>
                </c:pt>
                <c:pt idx="2">
                  <c:v>4.8030392813642777</c:v>
                </c:pt>
                <c:pt idx="3">
                  <c:v>3.4242569115165082</c:v>
                </c:pt>
                <c:pt idx="4">
                  <c:v>-0.49308887476725261</c:v>
                </c:pt>
                <c:pt idx="5">
                  <c:v>-0.79723144097499699</c:v>
                </c:pt>
                <c:pt idx="6">
                  <c:v>-1.183751155245119</c:v>
                </c:pt>
                <c:pt idx="7">
                  <c:v>-1.7933485681142258</c:v>
                </c:pt>
                <c:pt idx="8">
                  <c:v>-1.9139502996329583</c:v>
                </c:pt>
                <c:pt idx="9">
                  <c:v>-3.3734495533432494</c:v>
                </c:pt>
                <c:pt idx="10">
                  <c:v>-5.0765812434548252</c:v>
                </c:pt>
                <c:pt idx="11">
                  <c:v>-5.8520852950396716</c:v>
                </c:pt>
                <c:pt idx="12">
                  <c:v>-15.61754611228136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69-4337-B6A6-EBE0792B9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899279"/>
        <c:axId val="1"/>
        <c:extLst/>
      </c:barChart>
      <c:catAx>
        <c:axId val="1356899279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rgbClr val="A6A6A6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Times New Roman"/>
                <a:cs typeface="Times New Roman"/>
              </a:defRPr>
            </a:pPr>
            <a:endParaRPr lang="it-IT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5"/>
          <c:min val="-2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A6A6A6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Times New Roman"/>
                <a:cs typeface="Times New Roman"/>
              </a:defRPr>
            </a:pPr>
            <a:endParaRPr lang="it-IT"/>
          </a:p>
        </c:txPr>
        <c:crossAx val="1356899279"/>
        <c:crosses val="autoZero"/>
        <c:crossBetween val="between"/>
        <c:majorUnit val="5"/>
      </c:valAx>
      <c:spPr>
        <a:noFill/>
        <a:ln w="12700">
          <a:noFill/>
          <a:prstDash val="solid"/>
        </a:ln>
        <a:effectLst/>
      </c:spPr>
    </c:plotArea>
    <c:plotVisOnly val="1"/>
    <c:dispBlanksAs val="gap"/>
    <c:showDLblsOverMax val="0"/>
  </c:chart>
  <c:spPr>
    <a:noFill/>
    <a:ln w="3175" cap="flat" cmpd="sng" algn="ctr">
      <a:noFill/>
      <a:prstDash val="solid"/>
      <a:round/>
    </a:ln>
    <a:effectLst/>
  </c:spPr>
  <c:txPr>
    <a:bodyPr/>
    <a:lstStyle/>
    <a:p>
      <a:pPr>
        <a:defRPr sz="740" b="0" i="0" u="none" strike="noStrike" baseline="0">
          <a:solidFill>
            <a:srgbClr val="000000"/>
          </a:solidFill>
          <a:latin typeface="Arial Narrow" panose="020B0606020202030204" pitchFamily="34" charset="0"/>
          <a:ea typeface="Times New Roman"/>
          <a:cs typeface="Times New Roman"/>
        </a:defRPr>
      </a:pPr>
      <a:endParaRPr lang="it-IT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5236075949159778E-2"/>
          <c:y val="0.16709343994539386"/>
          <c:w val="0.84606330176396349"/>
          <c:h val="0.66359815704151537"/>
        </c:manualLayout>
      </c:layout>
      <c:lineChart>
        <c:grouping val="standard"/>
        <c:varyColors val="0"/>
        <c:ser>
          <c:idx val="2"/>
          <c:order val="0"/>
          <c:tx>
            <c:strRef>
              <c:f>'fig nov 25'!$C$1</c:f>
              <c:strCache>
                <c:ptCount val="1"/>
                <c:pt idx="0">
                  <c:v>Dipendenti permanenti</c:v>
                </c:pt>
              </c:strCache>
            </c:strRef>
          </c:tx>
          <c:spPr>
            <a:ln w="19050">
              <a:solidFill>
                <a:sysClr val="windowText" lastClr="000000">
                  <a:lumMod val="50000"/>
                  <a:lumOff val="50000"/>
                </a:sysClr>
              </a:solidFill>
              <a:prstDash val="sysDash"/>
            </a:ln>
          </c:spPr>
          <c:marker>
            <c:symbol val="none"/>
          </c:marker>
          <c:cat>
            <c:multiLvlStrRef>
              <c:f>'fig nov 25'!$A$2:$B$22</c:f>
              <c:multiLvlStrCache>
                <c:ptCount val="21"/>
                <c:lvl>
                  <c:pt idx="0">
                    <c:v>gen</c:v>
                  </c:pt>
                  <c:pt idx="2">
                    <c:v>mar</c:v>
                  </c:pt>
                  <c:pt idx="4">
                    <c:v>mag</c:v>
                  </c:pt>
                  <c:pt idx="6">
                    <c:v>lug</c:v>
                  </c:pt>
                  <c:pt idx="8">
                    <c:v>set</c:v>
                  </c:pt>
                  <c:pt idx="10">
                    <c:v>nov</c:v>
                  </c:pt>
                  <c:pt idx="12">
                    <c:v>gen</c:v>
                  </c:pt>
                  <c:pt idx="14">
                    <c:v>mar</c:v>
                  </c:pt>
                  <c:pt idx="16">
                    <c:v>mag</c:v>
                  </c:pt>
                  <c:pt idx="18">
                    <c:v>lug</c:v>
                  </c:pt>
                  <c:pt idx="20">
                    <c:v>set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nov 25'!$C$2:$C$22</c:f>
              <c:numCache>
                <c:formatCode>0.0</c:formatCode>
                <c:ptCount val="21"/>
                <c:pt idx="0">
                  <c:v>106.94065753914575</c:v>
                </c:pt>
                <c:pt idx="1">
                  <c:v>107.99483880942964</c:v>
                </c:pt>
                <c:pt idx="2">
                  <c:v>107.78042457167068</c:v>
                </c:pt>
                <c:pt idx="3">
                  <c:v>108.70452203221257</c:v>
                </c:pt>
                <c:pt idx="4">
                  <c:v>108.96441807798102</c:v>
                </c:pt>
                <c:pt idx="5">
                  <c:v>109.10469269139855</c:v>
                </c:pt>
                <c:pt idx="6">
                  <c:v>109.34314120298249</c:v>
                </c:pt>
                <c:pt idx="7">
                  <c:v>110.13182521961502</c:v>
                </c:pt>
                <c:pt idx="8">
                  <c:v>109.54204179224145</c:v>
                </c:pt>
                <c:pt idx="9">
                  <c:v>109.83807751020494</c:v>
                </c:pt>
                <c:pt idx="10">
                  <c:v>110.26899710333251</c:v>
                </c:pt>
                <c:pt idx="11">
                  <c:v>111.02619893699143</c:v>
                </c:pt>
                <c:pt idx="12">
                  <c:v>111.24539966148674</c:v>
                </c:pt>
                <c:pt idx="13">
                  <c:v>111.17790680383304</c:v>
                </c:pt>
                <c:pt idx="14">
                  <c:v>111.65774361247162</c:v>
                </c:pt>
                <c:pt idx="15">
                  <c:v>111.01433116562249</c:v>
                </c:pt>
                <c:pt idx="16">
                  <c:v>111.15880838228793</c:v>
                </c:pt>
                <c:pt idx="17">
                  <c:v>111.68729083272201</c:v>
                </c:pt>
                <c:pt idx="18">
                  <c:v>111.82043663610666</c:v>
                </c:pt>
                <c:pt idx="19">
                  <c:v>111.71660721531418</c:v>
                </c:pt>
                <c:pt idx="20">
                  <c:v>112.37313667262374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19B-462D-A078-A80552F2A875}"/>
            </c:ext>
          </c:extLst>
        </c:ser>
        <c:ser>
          <c:idx val="1"/>
          <c:order val="1"/>
          <c:tx>
            <c:strRef>
              <c:f>'fig nov 25'!$D$1</c:f>
              <c:strCache>
                <c:ptCount val="1"/>
                <c:pt idx="0">
                  <c:v>Dipendenti a termine</c:v>
                </c:pt>
              </c:strCache>
            </c:strRef>
          </c:tx>
          <c:spPr>
            <a:ln w="19050">
              <a:solidFill>
                <a:srgbClr val="008080"/>
              </a:solidFill>
              <a:prstDash val="solid"/>
            </a:ln>
          </c:spPr>
          <c:marker>
            <c:symbol val="none"/>
          </c:marker>
          <c:cat>
            <c:multiLvlStrRef>
              <c:f>'fig nov 25'!$A$2:$B$22</c:f>
              <c:multiLvlStrCache>
                <c:ptCount val="21"/>
                <c:lvl>
                  <c:pt idx="0">
                    <c:v>gen</c:v>
                  </c:pt>
                  <c:pt idx="2">
                    <c:v>mar</c:v>
                  </c:pt>
                  <c:pt idx="4">
                    <c:v>mag</c:v>
                  </c:pt>
                  <c:pt idx="6">
                    <c:v>lug</c:v>
                  </c:pt>
                  <c:pt idx="8">
                    <c:v>set</c:v>
                  </c:pt>
                  <c:pt idx="10">
                    <c:v>nov</c:v>
                  </c:pt>
                  <c:pt idx="12">
                    <c:v>gen</c:v>
                  </c:pt>
                  <c:pt idx="14">
                    <c:v>mar</c:v>
                  </c:pt>
                  <c:pt idx="16">
                    <c:v>mag</c:v>
                  </c:pt>
                  <c:pt idx="18">
                    <c:v>lug</c:v>
                  </c:pt>
                  <c:pt idx="20">
                    <c:v>set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nov 25'!$D$2:$D$22</c:f>
              <c:numCache>
                <c:formatCode>0.0</c:formatCode>
                <c:ptCount val="21"/>
                <c:pt idx="0">
                  <c:v>99.854327813667666</c:v>
                </c:pt>
                <c:pt idx="1">
                  <c:v>97.449475682626058</c:v>
                </c:pt>
                <c:pt idx="2">
                  <c:v>99.247051344579972</c:v>
                </c:pt>
                <c:pt idx="3">
                  <c:v>97.585600691911225</c:v>
                </c:pt>
                <c:pt idx="4">
                  <c:v>96.898860384915935</c:v>
                </c:pt>
                <c:pt idx="5">
                  <c:v>97.284156350283524</c:v>
                </c:pt>
                <c:pt idx="6">
                  <c:v>95.008484780083833</c:v>
                </c:pt>
                <c:pt idx="7">
                  <c:v>95.265671218946494</c:v>
                </c:pt>
                <c:pt idx="8">
                  <c:v>96.136283936960993</c:v>
                </c:pt>
                <c:pt idx="9">
                  <c:v>93.920486641149964</c:v>
                </c:pt>
                <c:pt idx="10">
                  <c:v>92.884070897866522</c:v>
                </c:pt>
                <c:pt idx="11">
                  <c:v>91.172592576810743</c:v>
                </c:pt>
                <c:pt idx="12">
                  <c:v>92.100488357108205</c:v>
                </c:pt>
                <c:pt idx="13">
                  <c:v>91.907667626950683</c:v>
                </c:pt>
                <c:pt idx="14">
                  <c:v>89.435305783182343</c:v>
                </c:pt>
                <c:pt idx="15">
                  <c:v>90.105324134722309</c:v>
                </c:pt>
                <c:pt idx="16">
                  <c:v>89.832866819183494</c:v>
                </c:pt>
                <c:pt idx="17">
                  <c:v>87.173350362395411</c:v>
                </c:pt>
                <c:pt idx="18">
                  <c:v>87.652379106999206</c:v>
                </c:pt>
                <c:pt idx="19">
                  <c:v>86.186893188509544</c:v>
                </c:pt>
                <c:pt idx="20">
                  <c:v>85.188827384390208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19B-462D-A078-A80552F2A875}"/>
            </c:ext>
          </c:extLst>
        </c:ser>
        <c:ser>
          <c:idx val="0"/>
          <c:order val="2"/>
          <c:tx>
            <c:strRef>
              <c:f>'fig nov 25'!$E$1</c:f>
              <c:strCache>
                <c:ptCount val="1"/>
                <c:pt idx="0">
                  <c:v>Indipendenti</c:v>
                </c:pt>
              </c:strCache>
            </c:strRef>
          </c:tx>
          <c:spPr>
            <a:ln w="19050">
              <a:solidFill>
                <a:srgbClr val="00DAD5"/>
              </a:solidFill>
            </a:ln>
          </c:spPr>
          <c:marker>
            <c:symbol val="none"/>
          </c:marker>
          <c:cat>
            <c:multiLvlStrRef>
              <c:f>'fig nov 25'!$A$2:$B$22</c:f>
              <c:multiLvlStrCache>
                <c:ptCount val="21"/>
                <c:lvl>
                  <c:pt idx="0">
                    <c:v>gen</c:v>
                  </c:pt>
                  <c:pt idx="2">
                    <c:v>mar</c:v>
                  </c:pt>
                  <c:pt idx="4">
                    <c:v>mag</c:v>
                  </c:pt>
                  <c:pt idx="6">
                    <c:v>lug</c:v>
                  </c:pt>
                  <c:pt idx="8">
                    <c:v>set</c:v>
                  </c:pt>
                  <c:pt idx="10">
                    <c:v>nov</c:v>
                  </c:pt>
                  <c:pt idx="12">
                    <c:v>gen</c:v>
                  </c:pt>
                  <c:pt idx="14">
                    <c:v>mar</c:v>
                  </c:pt>
                  <c:pt idx="16">
                    <c:v>mag</c:v>
                  </c:pt>
                  <c:pt idx="18">
                    <c:v>lug</c:v>
                  </c:pt>
                  <c:pt idx="20">
                    <c:v>set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nov 25'!$E$2:$E$22</c:f>
              <c:numCache>
                <c:formatCode>0.0</c:formatCode>
                <c:ptCount val="21"/>
                <c:pt idx="0">
                  <c:v>103.01114754151577</c:v>
                </c:pt>
                <c:pt idx="1">
                  <c:v>102.63150366527172</c:v>
                </c:pt>
                <c:pt idx="2">
                  <c:v>103.65310520976278</c:v>
                </c:pt>
                <c:pt idx="3">
                  <c:v>103.50252179540389</c:v>
                </c:pt>
                <c:pt idx="4">
                  <c:v>102.655241551933</c:v>
                </c:pt>
                <c:pt idx="5">
                  <c:v>103.27571338943274</c:v>
                </c:pt>
                <c:pt idx="6">
                  <c:v>104.39297658828947</c:v>
                </c:pt>
                <c:pt idx="7">
                  <c:v>103.10997424743628</c:v>
                </c:pt>
                <c:pt idx="8">
                  <c:v>104.04962936096595</c:v>
                </c:pt>
                <c:pt idx="9">
                  <c:v>103.8641289355438</c:v>
                </c:pt>
                <c:pt idx="10">
                  <c:v>103.32860627022411</c:v>
                </c:pt>
                <c:pt idx="11">
                  <c:v>103.03281597139117</c:v>
                </c:pt>
                <c:pt idx="12">
                  <c:v>103.60246438488542</c:v>
                </c:pt>
                <c:pt idx="13">
                  <c:v>103.90872370039975</c:v>
                </c:pt>
                <c:pt idx="14">
                  <c:v>104.1407869035036</c:v>
                </c:pt>
                <c:pt idx="15">
                  <c:v>104.75969650401795</c:v>
                </c:pt>
                <c:pt idx="16">
                  <c:v>105.44415919154304</c:v>
                </c:pt>
                <c:pt idx="17">
                  <c:v>106.0006604678095</c:v>
                </c:pt>
                <c:pt idx="18">
                  <c:v>105.51985667456285</c:v>
                </c:pt>
                <c:pt idx="19">
                  <c:v>105.59934816169003</c:v>
                </c:pt>
                <c:pt idx="20">
                  <c:v>105.58851394675234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19B-462D-A078-A80552F2A875}"/>
            </c:ext>
          </c:extLst>
        </c:ser>
        <c:ser>
          <c:idx val="3"/>
          <c:order val="3"/>
          <c:tx>
            <c:strRef>
              <c:f>'fig nov 25'!$F$1</c:f>
              <c:strCache>
                <c:ptCount val="1"/>
                <c:pt idx="0">
                  <c:v>Totale occupati</c:v>
                </c:pt>
              </c:strCache>
            </c:strRef>
          </c:tx>
          <c:spPr>
            <a:ln>
              <a:solidFill>
                <a:srgbClr val="0E2841">
                  <a:lumMod val="90000"/>
                  <a:lumOff val="10000"/>
                </a:srgbClr>
              </a:solidFill>
            </a:ln>
          </c:spPr>
          <c:marker>
            <c:symbol val="none"/>
          </c:marker>
          <c:cat>
            <c:multiLvlStrRef>
              <c:f>'fig nov 25'!$A$2:$B$22</c:f>
              <c:multiLvlStrCache>
                <c:ptCount val="21"/>
                <c:lvl>
                  <c:pt idx="0">
                    <c:v>gen</c:v>
                  </c:pt>
                  <c:pt idx="2">
                    <c:v>mar</c:v>
                  </c:pt>
                  <c:pt idx="4">
                    <c:v>mag</c:v>
                  </c:pt>
                  <c:pt idx="6">
                    <c:v>lug</c:v>
                  </c:pt>
                  <c:pt idx="8">
                    <c:v>set</c:v>
                  </c:pt>
                  <c:pt idx="10">
                    <c:v>nov</c:v>
                  </c:pt>
                  <c:pt idx="12">
                    <c:v>gen</c:v>
                  </c:pt>
                  <c:pt idx="14">
                    <c:v>mar</c:v>
                  </c:pt>
                  <c:pt idx="16">
                    <c:v>mag</c:v>
                  </c:pt>
                  <c:pt idx="18">
                    <c:v>lug</c:v>
                  </c:pt>
                  <c:pt idx="20">
                    <c:v>set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 nov 25'!$F$2:$F$22</c:f>
              <c:numCache>
                <c:formatCode>0.0</c:formatCode>
                <c:ptCount val="21"/>
                <c:pt idx="0">
                  <c:v>105.17237962587431</c:v>
                </c:pt>
                <c:pt idx="1">
                  <c:v>105.469255398792</c:v>
                </c:pt>
                <c:pt idx="2">
                  <c:v>105.78319824737525</c:v>
                </c:pt>
                <c:pt idx="3">
                  <c:v>106.14058697992084</c:v>
                </c:pt>
                <c:pt idx="4">
                  <c:v>106.03701390811102</c:v>
                </c:pt>
                <c:pt idx="5">
                  <c:v>106.31368322121889</c:v>
                </c:pt>
                <c:pt idx="6">
                  <c:v>106.4215308217223</c:v>
                </c:pt>
                <c:pt idx="7">
                  <c:v>106.68922983239544</c:v>
                </c:pt>
                <c:pt idx="8">
                  <c:v>106.62113889606903</c:v>
                </c:pt>
                <c:pt idx="9">
                  <c:v>106.48955967983116</c:v>
                </c:pt>
                <c:pt idx="10">
                  <c:v>106.52094021879846</c:v>
                </c:pt>
                <c:pt idx="11">
                  <c:v>106.73117253666157</c:v>
                </c:pt>
                <c:pt idx="12">
                  <c:v>107.11791983194598</c:v>
                </c:pt>
                <c:pt idx="13">
                  <c:v>107.11602644631095</c:v>
                </c:pt>
                <c:pt idx="14">
                  <c:v>107.16282011986218</c:v>
                </c:pt>
                <c:pt idx="15">
                  <c:v>106.96385943264124</c:v>
                </c:pt>
                <c:pt idx="16">
                  <c:v>107.17284131783676</c:v>
                </c:pt>
                <c:pt idx="17">
                  <c:v>107.29829252717163</c:v>
                </c:pt>
                <c:pt idx="18">
                  <c:v>107.34164972796603</c:v>
                </c:pt>
                <c:pt idx="19">
                  <c:v>107.10312747953749</c:v>
                </c:pt>
                <c:pt idx="20">
                  <c:v>107.40144878809224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19B-462D-A078-A80552F2A8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3173408"/>
        <c:axId val="313173968"/>
      </c:lineChart>
      <c:catAx>
        <c:axId val="313173408"/>
        <c:scaling>
          <c:orientation val="minMax"/>
        </c:scaling>
        <c:delete val="0"/>
        <c:axPos val="b"/>
        <c:majorGridlines>
          <c:spPr>
            <a:ln w="3175"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txPr>
          <a:bodyPr/>
          <a:lstStyle/>
          <a:p>
            <a:pPr>
              <a:defRPr sz="750"/>
            </a:pPr>
            <a:endParaRPr lang="it-IT"/>
          </a:p>
        </c:txPr>
        <c:crossAx val="313173968"/>
        <c:crosses val="autoZero"/>
        <c:auto val="1"/>
        <c:lblAlgn val="ctr"/>
        <c:lblOffset val="100"/>
        <c:noMultiLvlLbl val="0"/>
      </c:catAx>
      <c:valAx>
        <c:axId val="313173968"/>
        <c:scaling>
          <c:orientation val="minMax"/>
          <c:max val="120"/>
          <c:min val="80"/>
        </c:scaling>
        <c:delete val="0"/>
        <c:axPos val="l"/>
        <c:majorGridlines>
          <c:spPr>
            <a:ln w="3175">
              <a:solidFill>
                <a:sysClr val="window" lastClr="FFFFFF">
                  <a:lumMod val="85000"/>
                </a:sys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txPr>
          <a:bodyPr/>
          <a:lstStyle/>
          <a:p>
            <a:pPr>
              <a:defRPr sz="750"/>
            </a:pPr>
            <a:endParaRPr lang="it-IT"/>
          </a:p>
        </c:txPr>
        <c:crossAx val="313173408"/>
        <c:crosses val="autoZero"/>
        <c:crossBetween val="between"/>
        <c:majorUnit val="10"/>
        <c:minorUnit val="0.5"/>
      </c:valAx>
      <c:spPr>
        <a:noFill/>
      </c:spPr>
    </c:plotArea>
    <c:legend>
      <c:legendPos val="t"/>
      <c:layout>
        <c:manualLayout>
          <c:xMode val="edge"/>
          <c:yMode val="edge"/>
          <c:x val="4.1605283210566424E-3"/>
          <c:y val="7.5809851499655139E-4"/>
          <c:w val="0.99583926386299892"/>
          <c:h val="0.13837680444354736"/>
        </c:manualLayout>
      </c:layout>
      <c:overlay val="0"/>
      <c:txPr>
        <a:bodyPr/>
        <a:lstStyle/>
        <a:p>
          <a:pPr>
            <a:defRPr sz="750"/>
          </a:pPr>
          <a:endParaRPr lang="it-IT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40" baseline="0">
          <a:latin typeface="Arial Narrow" pitchFamily="34" charset="0"/>
        </a:defRPr>
      </a:pPr>
      <a:endParaRPr lang="it-IT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4787918871252204E-2"/>
          <c:y val="0.16358802371925732"/>
          <c:w val="0.89090211640211636"/>
          <c:h val="0.66762613006707494"/>
        </c:manualLayout>
      </c:layout>
      <c:barChart>
        <c:barDir val="col"/>
        <c:grouping val="clustered"/>
        <c:varyColors val="0"/>
        <c:ser>
          <c:idx val="4"/>
          <c:order val="3"/>
          <c:tx>
            <c:strRef>
              <c:f>'figura nov 25 new'!$G$2</c:f>
              <c:strCache>
                <c:ptCount val="1"/>
                <c:pt idx="0">
                  <c:v>Beni energetici (dx)</c:v>
                </c:pt>
              </c:strCache>
            </c:strRef>
          </c:tx>
          <c:spPr>
            <a:solidFill>
              <a:srgbClr val="00817F"/>
            </a:solidFill>
            <a:ln>
              <a:noFill/>
            </a:ln>
            <a:effectLst/>
          </c:spPr>
          <c:invertIfNegative val="0"/>
          <c:cat>
            <c:strLit>
              <c:ptCount val="32"/>
              <c:pt idx="0">
                <c:v>#RIF! #RIF!</c:v>
              </c:pt>
              <c:pt idx="1">
                <c:v>#RIF! #RIF!</c:v>
              </c:pt>
              <c:pt idx="2">
                <c:v>#RIF! #RIF!</c:v>
              </c:pt>
              <c:pt idx="3">
                <c:v>#RIF! #RIF!</c:v>
              </c:pt>
              <c:pt idx="4">
                <c:v>#RIF! #RIF!</c:v>
              </c:pt>
              <c:pt idx="5">
                <c:v>#RIF! #RIF!</c:v>
              </c:pt>
              <c:pt idx="6">
                <c:v>#RIF! #RIF!</c:v>
              </c:pt>
              <c:pt idx="7">
                <c:v>#RIF! #RIF!</c:v>
              </c:pt>
              <c:pt idx="8">
                <c:v>#RIF! #RIF!</c:v>
              </c:pt>
              <c:pt idx="9">
                <c:v>#RIF! #RIF!</c:v>
              </c:pt>
              <c:pt idx="10">
                <c:v>#RIF! #RIF!</c:v>
              </c:pt>
              <c:pt idx="11">
                <c:v>#RIF! #RIF!</c:v>
              </c:pt>
              <c:pt idx="12">
                <c:v>#RIF! #RIF!</c:v>
              </c:pt>
              <c:pt idx="13">
                <c:v>#RIF! #RIF!</c:v>
              </c:pt>
              <c:pt idx="14">
                <c:v>#RIF! #RIF!</c:v>
              </c:pt>
              <c:pt idx="15">
                <c:v>#RIF! #RIF!</c:v>
              </c:pt>
              <c:pt idx="16">
                <c:v>#RIF! #RIF!</c:v>
              </c:pt>
              <c:pt idx="17">
                <c:v>#RIF! #RIF!</c:v>
              </c:pt>
              <c:pt idx="18">
                <c:v>#RIF! #RIF!</c:v>
              </c:pt>
              <c:pt idx="19">
                <c:v>#RIF! #RIF!</c:v>
              </c:pt>
              <c:pt idx="20">
                <c:v>#RIF! #RIF!</c:v>
              </c:pt>
              <c:pt idx="21">
                <c:v>#RIF! #RIF!</c:v>
              </c:pt>
              <c:pt idx="22">
                <c:v>#RIF! #RIF!</c:v>
              </c:pt>
              <c:pt idx="23">
                <c:v>#RIF! #RIF!</c:v>
              </c:pt>
              <c:pt idx="24">
                <c:v>#RIF! #RIF!</c:v>
              </c:pt>
              <c:pt idx="25">
                <c:v>#RIF! #RIF!</c:v>
              </c:pt>
              <c:pt idx="26">
                <c:v>#RIF! #RIF!</c:v>
              </c:pt>
              <c:pt idx="27">
                <c:v>#RIF! #RIF!</c:v>
              </c:pt>
              <c:pt idx="28">
                <c:v>#RIF! #RIF!</c:v>
              </c:pt>
              <c:pt idx="29">
                <c:v>#RIF! #RIF!</c:v>
              </c:pt>
              <c:pt idx="30">
                <c:v>#RIF! #RIF!</c:v>
              </c:pt>
              <c:pt idx="31">
                <c:v>#RIF! #RIF!</c:v>
              </c:pt>
            </c:strLit>
          </c:cat>
          <c:val>
            <c:numRef>
              <c:f>'figura nov 25 new'!$G$3:$G$24</c:f>
              <c:numCache>
                <c:formatCode>#,##0.##########</c:formatCode>
                <c:ptCount val="22"/>
                <c:pt idx="0">
                  <c:v>-20.5</c:v>
                </c:pt>
                <c:pt idx="1">
                  <c:v>-17.3</c:v>
                </c:pt>
                <c:pt idx="2">
                  <c:v>-10.8</c:v>
                </c:pt>
                <c:pt idx="3" formatCode="#,##0.0">
                  <c:v>-12.1</c:v>
                </c:pt>
                <c:pt idx="4" formatCode="General">
                  <c:v>-11.6</c:v>
                </c:pt>
                <c:pt idx="5" formatCode="General">
                  <c:v>-8.6</c:v>
                </c:pt>
                <c:pt idx="6" formatCode="General">
                  <c:v>-4</c:v>
                </c:pt>
                <c:pt idx="7" formatCode="General">
                  <c:v>-6.1</c:v>
                </c:pt>
                <c:pt idx="8" formatCode="General">
                  <c:v>-8.6999999999999993</c:v>
                </c:pt>
                <c:pt idx="9" formatCode="General">
                  <c:v>-9</c:v>
                </c:pt>
                <c:pt idx="10" formatCode="General">
                  <c:v>-5.5</c:v>
                </c:pt>
                <c:pt idx="11" formatCode="General">
                  <c:v>-2.8</c:v>
                </c:pt>
                <c:pt idx="12" formatCode="General">
                  <c:v>-0.7</c:v>
                </c:pt>
                <c:pt idx="13" formatCode="General">
                  <c:v>0.6</c:v>
                </c:pt>
                <c:pt idx="14" formatCode="General">
                  <c:v>2.6</c:v>
                </c:pt>
                <c:pt idx="15" formatCode="General">
                  <c:v>-0.8</c:v>
                </c:pt>
                <c:pt idx="16" formatCode="General">
                  <c:v>-2</c:v>
                </c:pt>
                <c:pt idx="17" formatCode="General">
                  <c:v>-2.1</c:v>
                </c:pt>
                <c:pt idx="18" formatCode="General">
                  <c:v>-3.4</c:v>
                </c:pt>
                <c:pt idx="19" formatCode="General">
                  <c:v>-4.8</c:v>
                </c:pt>
                <c:pt idx="20" formatCode="General">
                  <c:v>-3.7</c:v>
                </c:pt>
                <c:pt idx="21" formatCode="General">
                  <c:v>-4.5999999999999996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7C-40C8-8444-42C5627BA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59477080"/>
        <c:axId val="459472488"/>
      </c:barChart>
      <c:lineChart>
        <c:grouping val="standard"/>
        <c:varyColors val="0"/>
        <c:ser>
          <c:idx val="2"/>
          <c:order val="0"/>
          <c:tx>
            <c:strRef>
              <c:f>'figura nov 25 new'!$E$2</c:f>
              <c:strCache>
                <c:ptCount val="1"/>
                <c:pt idx="0">
                  <c:v>Servizi (sx)</c:v>
                </c:pt>
              </c:strCache>
            </c:strRef>
          </c:tx>
          <c:spPr>
            <a:ln w="19050" cap="rnd" cmpd="sng" algn="ctr">
              <a:solidFill>
                <a:sysClr val="window" lastClr="FFFFFF">
                  <a:lumMod val="65000"/>
                </a:sysClr>
              </a:solidFill>
              <a:prstDash val="solid"/>
              <a:round/>
            </a:ln>
            <a:effectLst/>
          </c:spPr>
          <c:marker>
            <c:symbol val="none"/>
          </c:marker>
          <c:cat>
            <c:multiLvlStrRef>
              <c:f>'figura nov 25 new'!$A$3:$B$24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'figura nov 25 new'!$E$3:$E$24</c:f>
              <c:numCache>
                <c:formatCode>#,##0.##########</c:formatCode>
                <c:ptCount val="22"/>
                <c:pt idx="0">
                  <c:v>2.9</c:v>
                </c:pt>
                <c:pt idx="1">
                  <c:v>2.9</c:v>
                </c:pt>
                <c:pt idx="2">
                  <c:v>3</c:v>
                </c:pt>
                <c:pt idx="3">
                  <c:v>2.9</c:v>
                </c:pt>
                <c:pt idx="4" formatCode="General">
                  <c:v>2.9</c:v>
                </c:pt>
                <c:pt idx="5" formatCode="General">
                  <c:v>2.8</c:v>
                </c:pt>
                <c:pt idx="6" formatCode="General">
                  <c:v>3</c:v>
                </c:pt>
                <c:pt idx="7" formatCode="General">
                  <c:v>3.2</c:v>
                </c:pt>
                <c:pt idx="8" formatCode="General">
                  <c:v>2.8</c:v>
                </c:pt>
                <c:pt idx="9" formatCode="General">
                  <c:v>2.7</c:v>
                </c:pt>
                <c:pt idx="10" formatCode="General">
                  <c:v>2.8</c:v>
                </c:pt>
                <c:pt idx="11" formatCode="General">
                  <c:v>2.6</c:v>
                </c:pt>
                <c:pt idx="12" formatCode="General">
                  <c:v>2.6</c:v>
                </c:pt>
                <c:pt idx="13" formatCode="General">
                  <c:v>2.4</c:v>
                </c:pt>
                <c:pt idx="14">
                  <c:v>2.5</c:v>
                </c:pt>
                <c:pt idx="15">
                  <c:v>3</c:v>
                </c:pt>
                <c:pt idx="16">
                  <c:v>2.6</c:v>
                </c:pt>
                <c:pt idx="17">
                  <c:v>2.7</c:v>
                </c:pt>
                <c:pt idx="18">
                  <c:v>2.6</c:v>
                </c:pt>
                <c:pt idx="19">
                  <c:v>2.7</c:v>
                </c:pt>
                <c:pt idx="20">
                  <c:v>2.6</c:v>
                </c:pt>
                <c:pt idx="2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C7C-40C8-8444-42C5627BA2C1}"/>
            </c:ext>
          </c:extLst>
        </c:ser>
        <c:ser>
          <c:idx val="0"/>
          <c:order val="1"/>
          <c:tx>
            <c:strRef>
              <c:f>'figura nov 25 new'!$D$2</c:f>
              <c:strCache>
                <c:ptCount val="1"/>
                <c:pt idx="0">
                  <c:v>Alimentari non lavorati (sx)</c:v>
                </c:pt>
              </c:strCache>
            </c:strRef>
          </c:tx>
          <c:spPr>
            <a:ln w="19050" cap="rnd" cmpd="sng" algn="ctr">
              <a:solidFill>
                <a:srgbClr val="004172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'figura nov 25 new'!$A$3:$B$24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'figura nov 25 new'!$D$3:$D$24</c:f>
              <c:numCache>
                <c:formatCode>#,##0.##########</c:formatCode>
                <c:ptCount val="22"/>
                <c:pt idx="0">
                  <c:v>7.5</c:v>
                </c:pt>
                <c:pt idx="1">
                  <c:v>4.4000000000000004</c:v>
                </c:pt>
                <c:pt idx="2">
                  <c:v>2.6</c:v>
                </c:pt>
                <c:pt idx="3" formatCode="#,##0.0">
                  <c:v>2.2000000000000002</c:v>
                </c:pt>
                <c:pt idx="4" formatCode="General">
                  <c:v>2.2000000000000002</c:v>
                </c:pt>
                <c:pt idx="5" formatCode="General">
                  <c:v>0.3</c:v>
                </c:pt>
                <c:pt idx="6" formatCode="General">
                  <c:v>-0.4</c:v>
                </c:pt>
                <c:pt idx="7" formatCode="General">
                  <c:v>-0.5</c:v>
                </c:pt>
                <c:pt idx="8" formatCode="General">
                  <c:v>0.3</c:v>
                </c:pt>
                <c:pt idx="9" formatCode="General">
                  <c:v>3.4</c:v>
                </c:pt>
                <c:pt idx="10" formatCode="General">
                  <c:v>3.8</c:v>
                </c:pt>
                <c:pt idx="11" formatCode="General">
                  <c:v>2.2999999999999998</c:v>
                </c:pt>
                <c:pt idx="12" formatCode="General">
                  <c:v>2.2000000000000002</c:v>
                </c:pt>
                <c:pt idx="13" formatCode="General">
                  <c:v>2.9</c:v>
                </c:pt>
                <c:pt idx="14" formatCode="General">
                  <c:v>3.3</c:v>
                </c:pt>
                <c:pt idx="15" formatCode="General">
                  <c:v>4.2</c:v>
                </c:pt>
                <c:pt idx="16" formatCode="General">
                  <c:v>3.5</c:v>
                </c:pt>
                <c:pt idx="17" formatCode="General">
                  <c:v>4.2</c:v>
                </c:pt>
                <c:pt idx="18" formatCode="General">
                  <c:v>5.0999999999999996</c:v>
                </c:pt>
                <c:pt idx="19" formatCode="General">
                  <c:v>5.6</c:v>
                </c:pt>
                <c:pt idx="20" formatCode="General">
                  <c:v>4.8</c:v>
                </c:pt>
                <c:pt idx="21" formatCode="General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7C-40C8-8444-42C5627BA2C1}"/>
            </c:ext>
          </c:extLst>
        </c:ser>
        <c:ser>
          <c:idx val="3"/>
          <c:order val="2"/>
          <c:tx>
            <c:strRef>
              <c:f>'figura nov 25 new'!$C$2</c:f>
              <c:strCache>
                <c:ptCount val="1"/>
                <c:pt idx="0">
                  <c:v>Alimentari lavorati (sx)</c:v>
                </c:pt>
              </c:strCache>
            </c:strRef>
          </c:tx>
          <c:spPr>
            <a:ln w="19050" cap="rnd" cmpd="sng" algn="ctr">
              <a:solidFill>
                <a:srgbClr val="004172"/>
              </a:solidFill>
              <a:prstDash val="solid"/>
              <a:round/>
            </a:ln>
            <a:effectLst/>
          </c:spPr>
          <c:marker>
            <c:symbol val="none"/>
          </c:marker>
          <c:cat>
            <c:multiLvlStrRef>
              <c:f>'figura nov 25 new'!$A$3:$B$24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'figura nov 25 new'!$C$3:$C$24</c:f>
              <c:numCache>
                <c:formatCode>#,##0.##########</c:formatCode>
                <c:ptCount val="22"/>
                <c:pt idx="0">
                  <c:v>4.5</c:v>
                </c:pt>
                <c:pt idx="1">
                  <c:v>3.4</c:v>
                </c:pt>
                <c:pt idx="2">
                  <c:v>2.8</c:v>
                </c:pt>
                <c:pt idx="3">
                  <c:v>2.5</c:v>
                </c:pt>
                <c:pt idx="4" formatCode="General">
                  <c:v>1.8</c:v>
                </c:pt>
                <c:pt idx="5" formatCode="General">
                  <c:v>2</c:v>
                </c:pt>
                <c:pt idx="6" formatCode="General">
                  <c:v>1.6</c:v>
                </c:pt>
                <c:pt idx="7" formatCode="General">
                  <c:v>1.5</c:v>
                </c:pt>
                <c:pt idx="8" formatCode="General">
                  <c:v>1.5</c:v>
                </c:pt>
                <c:pt idx="9" formatCode="General">
                  <c:v>1.7</c:v>
                </c:pt>
                <c:pt idx="10" formatCode="General">
                  <c:v>1.9</c:v>
                </c:pt>
                <c:pt idx="11" formatCode="General">
                  <c:v>1.7</c:v>
                </c:pt>
                <c:pt idx="12" formatCode="General">
                  <c:v>1.7</c:v>
                </c:pt>
                <c:pt idx="13" formatCode="General">
                  <c:v>1.9</c:v>
                </c:pt>
                <c:pt idx="14" formatCode="General">
                  <c:v>1.9</c:v>
                </c:pt>
                <c:pt idx="15" formatCode="General">
                  <c:v>2.2000000000000002</c:v>
                </c:pt>
                <c:pt idx="16" formatCode="General">
                  <c:v>2.7</c:v>
                </c:pt>
                <c:pt idx="17" formatCode="General">
                  <c:v>2.7</c:v>
                </c:pt>
                <c:pt idx="18" formatCode="General">
                  <c:v>2.8</c:v>
                </c:pt>
                <c:pt idx="19" formatCode="General">
                  <c:v>2.7</c:v>
                </c:pt>
                <c:pt idx="20" formatCode="General">
                  <c:v>2.7</c:v>
                </c:pt>
                <c:pt idx="21" formatCode="General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7C-40C8-8444-42C5627BA2C1}"/>
            </c:ext>
          </c:extLst>
        </c:ser>
        <c:ser>
          <c:idx val="1"/>
          <c:order val="4"/>
          <c:tx>
            <c:strRef>
              <c:f>'figura nov 25 new'!$F$2</c:f>
              <c:strCache>
                <c:ptCount val="1"/>
                <c:pt idx="0">
                  <c:v>Altri beni (sx)</c:v>
                </c:pt>
              </c:strCache>
            </c:strRef>
          </c:tx>
          <c:spPr>
            <a:ln w="19050" cap="rnd" cmpd="sng" algn="ctr">
              <a:solidFill>
                <a:srgbClr val="156082">
                  <a:lumMod val="40000"/>
                  <a:lumOff val="60000"/>
                </a:srgbClr>
              </a:solidFill>
              <a:prstDash val="solid"/>
              <a:round/>
            </a:ln>
            <a:effectLst/>
          </c:spPr>
          <c:marker>
            <c:symbol val="none"/>
          </c:marker>
          <c:cat>
            <c:multiLvlStrRef>
              <c:f>'figura nov 25 new'!$A$3:$B$24</c:f>
              <c:multiLvlStrCache>
                <c:ptCount val="22"/>
                <c:lvl>
                  <c:pt idx="1">
                    <c:v>feb</c:v>
                  </c:pt>
                  <c:pt idx="3">
                    <c:v>apr</c:v>
                  </c:pt>
                  <c:pt idx="5">
                    <c:v>giu</c:v>
                  </c:pt>
                  <c:pt idx="7">
                    <c:v>ago</c:v>
                  </c:pt>
                  <c:pt idx="9">
                    <c:v>ott</c:v>
                  </c:pt>
                  <c:pt idx="11">
                    <c:v>dic</c:v>
                  </c:pt>
                  <c:pt idx="13">
                    <c:v>feb</c:v>
                  </c:pt>
                  <c:pt idx="15">
                    <c:v>apr</c:v>
                  </c:pt>
                  <c:pt idx="17">
                    <c:v>giu</c:v>
                  </c:pt>
                  <c:pt idx="19">
                    <c:v>ago</c:v>
                  </c:pt>
                  <c:pt idx="21">
                    <c:v>ott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</c:lvl>
              </c:multiLvlStrCache>
            </c:multiLvlStrRef>
          </c:cat>
          <c:val>
            <c:numRef>
              <c:f>'figura nov 25 new'!$F$3:$F$24</c:f>
              <c:numCache>
                <c:formatCode>#,##0.##########</c:formatCode>
                <c:ptCount val="22"/>
                <c:pt idx="0">
                  <c:v>1.7</c:v>
                </c:pt>
                <c:pt idx="1">
                  <c:v>1.2</c:v>
                </c:pt>
                <c:pt idx="2">
                  <c:v>1</c:v>
                </c:pt>
                <c:pt idx="3">
                  <c:v>0.7</c:v>
                </c:pt>
                <c:pt idx="4" formatCode="General">
                  <c:v>0.6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0.1</c:v>
                </c:pt>
                <c:pt idx="8" formatCode="General">
                  <c:v>0.1</c:v>
                </c:pt>
                <c:pt idx="9" formatCode="General">
                  <c:v>0.1</c:v>
                </c:pt>
                <c:pt idx="10" formatCode="General">
                  <c:v>0.2</c:v>
                </c:pt>
                <c:pt idx="11" formatCode="General">
                  <c:v>-0.1</c:v>
                </c:pt>
                <c:pt idx="12" formatCode="General">
                  <c:v>0.1</c:v>
                </c:pt>
                <c:pt idx="13" formatCode="General">
                  <c:v>0.1</c:v>
                </c:pt>
                <c:pt idx="14">
                  <c:v>0.2</c:v>
                </c:pt>
                <c:pt idx="15">
                  <c:v>0.2</c:v>
                </c:pt>
                <c:pt idx="16">
                  <c:v>0.3</c:v>
                </c:pt>
                <c:pt idx="17">
                  <c:v>0.4</c:v>
                </c:pt>
                <c:pt idx="18">
                  <c:v>0.4</c:v>
                </c:pt>
                <c:pt idx="19">
                  <c:v>0.4</c:v>
                </c:pt>
                <c:pt idx="20">
                  <c:v>0.4</c:v>
                </c:pt>
                <c:pt idx="21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C7C-40C8-8444-42C5627BA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6899279"/>
        <c:axId val="1"/>
      </c:lineChart>
      <c:catAx>
        <c:axId val="1356899279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Times New Roman"/>
                <a:cs typeface="Times New Roman"/>
              </a:defRPr>
            </a:pPr>
            <a:endParaRPr lang="it-IT"/>
          </a:p>
        </c:txPr>
        <c:crossAx val="1"/>
        <c:crossesAt val="0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  <c:max val="8"/>
          <c:min val="-4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85000"/>
                </a:sysClr>
              </a:solidFill>
              <a:prstDash val="solid"/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Times New Roman"/>
                <a:cs typeface="Times New Roman"/>
              </a:defRPr>
            </a:pPr>
            <a:endParaRPr lang="it-IT"/>
          </a:p>
        </c:txPr>
        <c:crossAx val="1356899279"/>
        <c:crosses val="autoZero"/>
        <c:crossBetween val="between"/>
        <c:majorUnit val="4"/>
      </c:valAx>
      <c:valAx>
        <c:axId val="459472488"/>
        <c:scaling>
          <c:orientation val="minMax"/>
          <c:max val="50"/>
          <c:min val="-25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ysClr val="window" lastClr="FFFFFF">
                <a:lumMod val="65000"/>
              </a:sys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rgbClr val="000000"/>
                </a:solidFill>
                <a:latin typeface="Arial Narrow" panose="020B0606020202030204" pitchFamily="34" charset="0"/>
                <a:ea typeface="Times New Roman"/>
                <a:cs typeface="Times New Roman"/>
              </a:defRPr>
            </a:pPr>
            <a:endParaRPr lang="it-IT"/>
          </a:p>
        </c:txPr>
        <c:crossAx val="459477080"/>
        <c:crosses val="max"/>
        <c:crossBetween val="between"/>
        <c:majorUnit val="25"/>
      </c:valAx>
      <c:catAx>
        <c:axId val="459477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9472488"/>
        <c:crosses val="autoZero"/>
        <c:auto val="1"/>
        <c:lblAlgn val="ctr"/>
        <c:lblOffset val="100"/>
        <c:noMultiLvlLbl val="0"/>
      </c:catAx>
      <c:spPr>
        <a:noFill/>
        <a:ln w="12700">
          <a:noFill/>
          <a:prstDash val="solid"/>
        </a:ln>
        <a:effectLst/>
      </c:spPr>
    </c:plotArea>
    <c:legend>
      <c:legendPos val="t"/>
      <c:layout>
        <c:manualLayout>
          <c:xMode val="edge"/>
          <c:yMode val="edge"/>
          <c:x val="0"/>
          <c:y val="1.2345679012345678E-2"/>
          <c:w val="0.99520639088129115"/>
          <c:h val="0.15482455454329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rgbClr val="000000"/>
              </a:solidFill>
              <a:latin typeface="Arial Narrow" panose="020B0606020202030204" pitchFamily="34" charset="0"/>
              <a:ea typeface="Times New Roman"/>
              <a:cs typeface="Times New Roman"/>
            </a:defRPr>
          </a:pPr>
          <a:endParaRPr lang="it-IT"/>
        </a:p>
      </c:txPr>
    </c:legend>
    <c:plotVisOnly val="1"/>
    <c:dispBlanksAs val="gap"/>
    <c:showDLblsOverMax val="0"/>
  </c:chart>
  <c:spPr>
    <a:noFill/>
    <a:ln w="3175" cap="flat" cmpd="sng" algn="ctr">
      <a:noFill/>
      <a:prstDash val="solid"/>
      <a:round/>
    </a:ln>
    <a:effectLst/>
  </c:spPr>
  <c:txPr>
    <a:bodyPr/>
    <a:lstStyle/>
    <a:p>
      <a:pPr>
        <a:defRPr sz="740" b="0" i="0" u="none" strike="noStrike" baseline="0">
          <a:solidFill>
            <a:srgbClr val="000000"/>
          </a:solidFill>
          <a:latin typeface="Arial Narrow" panose="020B0606020202030204" pitchFamily="34" charset="0"/>
          <a:ea typeface="Times New Roman"/>
          <a:cs typeface="Times New Roman"/>
        </a:defRPr>
      </a:pPr>
      <a:endParaRPr lang="it-IT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99602514555654E-2"/>
          <c:y val="0.13859379015435477"/>
          <c:w val="0.91764003190542398"/>
          <c:h val="0.70994172626392882"/>
        </c:manualLayout>
      </c:layout>
      <c:lineChart>
        <c:grouping val="standard"/>
        <c:varyColors val="0"/>
        <c:ser>
          <c:idx val="3"/>
          <c:order val="0"/>
          <c:tx>
            <c:strRef>
              <c:f>'Fig 1 prezzi italia'!$C$37</c:f>
              <c:strCache>
                <c:ptCount val="1"/>
                <c:pt idx="0">
                  <c:v>Indice generale</c:v>
                </c:pt>
              </c:strCache>
            </c:strRef>
          </c:tx>
          <c:spPr>
            <a:ln w="28575" cap="rnd">
              <a:solidFill>
                <a:srgbClr val="A6A6A6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'Fig 1 prezzi italia'!$E$35:$CH$35</c:f>
              <c:numCache>
                <c:formatCode>General</c:formatCode>
                <c:ptCount val="82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1 prezzi italia'!$E$37:$CH$37</c:f>
              <c:numCache>
                <c:formatCode>#,##0.#</c:formatCode>
                <c:ptCount val="82"/>
                <c:pt idx="0">
                  <c:v>98.352713178294564</c:v>
                </c:pt>
                <c:pt idx="1">
                  <c:v>98.062015503875969</c:v>
                </c:pt>
                <c:pt idx="2">
                  <c:v>100.29069767441861</c:v>
                </c:pt>
                <c:pt idx="3">
                  <c:v>100.77519379844961</c:v>
                </c:pt>
                <c:pt idx="4">
                  <c:v>100.87209302325581</c:v>
                </c:pt>
                <c:pt idx="5">
                  <c:v>100.96899224806202</c:v>
                </c:pt>
                <c:pt idx="6">
                  <c:v>99.127906976744185</c:v>
                </c:pt>
                <c:pt idx="7">
                  <c:v>99.127906976744185</c:v>
                </c:pt>
                <c:pt idx="8">
                  <c:v>100.48449612403101</c:v>
                </c:pt>
                <c:pt idx="9">
                  <c:v>100.67829457364341</c:v>
                </c:pt>
                <c:pt idx="10">
                  <c:v>100.3875968992248</c:v>
                </c:pt>
                <c:pt idx="11">
                  <c:v>100.58139534883721</c:v>
                </c:pt>
                <c:pt idx="12">
                  <c:v>98.740310077519382</c:v>
                </c:pt>
                <c:pt idx="13">
                  <c:v>98.255813953488385</c:v>
                </c:pt>
                <c:pt idx="14">
                  <c:v>100.3875968992248</c:v>
                </c:pt>
                <c:pt idx="15">
                  <c:v>100.87209302325581</c:v>
                </c:pt>
                <c:pt idx="16">
                  <c:v>100.58139534883721</c:v>
                </c:pt>
                <c:pt idx="17">
                  <c:v>100.58139534883721</c:v>
                </c:pt>
                <c:pt idx="18">
                  <c:v>99.903100775193792</c:v>
                </c:pt>
                <c:pt idx="19">
                  <c:v>98.643410852713174</c:v>
                </c:pt>
                <c:pt idx="20">
                  <c:v>99.515503875968989</c:v>
                </c:pt>
                <c:pt idx="21">
                  <c:v>100.09689922480621</c:v>
                </c:pt>
                <c:pt idx="22">
                  <c:v>100.09689922480621</c:v>
                </c:pt>
                <c:pt idx="23">
                  <c:v>100.29069767441861</c:v>
                </c:pt>
                <c:pt idx="24">
                  <c:v>99.418604651162781</c:v>
                </c:pt>
                <c:pt idx="25">
                  <c:v>99.224806201550393</c:v>
                </c:pt>
                <c:pt idx="26">
                  <c:v>100.96899224806202</c:v>
                </c:pt>
                <c:pt idx="27">
                  <c:v>101.84108527131781</c:v>
                </c:pt>
                <c:pt idx="28">
                  <c:v>101.74418604651163</c:v>
                </c:pt>
                <c:pt idx="29">
                  <c:v>101.93798449612403</c:v>
                </c:pt>
                <c:pt idx="30">
                  <c:v>100.87209302325581</c:v>
                </c:pt>
                <c:pt idx="31">
                  <c:v>101.06589147286822</c:v>
                </c:pt>
                <c:pt idx="32">
                  <c:v>102.42248062015504</c:v>
                </c:pt>
                <c:pt idx="33">
                  <c:v>103.29457364341084</c:v>
                </c:pt>
                <c:pt idx="34">
                  <c:v>103.97286821705424</c:v>
                </c:pt>
                <c:pt idx="35">
                  <c:v>104.45736434108525</c:v>
                </c:pt>
                <c:pt idx="36">
                  <c:v>104.45736434108525</c:v>
                </c:pt>
                <c:pt idx="37">
                  <c:v>105.3294573643411</c:v>
                </c:pt>
                <c:pt idx="38">
                  <c:v>107.84883720930232</c:v>
                </c:pt>
                <c:pt idx="39">
                  <c:v>108.23643410852712</c:v>
                </c:pt>
                <c:pt idx="40">
                  <c:v>109.20542635658914</c:v>
                </c:pt>
                <c:pt idx="41">
                  <c:v>110.56201550387597</c:v>
                </c:pt>
                <c:pt idx="42">
                  <c:v>109.30232558139534</c:v>
                </c:pt>
                <c:pt idx="43">
                  <c:v>110.27131782945736</c:v>
                </c:pt>
                <c:pt idx="44">
                  <c:v>112.01550387596899</c:v>
                </c:pt>
                <c:pt idx="45">
                  <c:v>116.27906976744187</c:v>
                </c:pt>
                <c:pt idx="46">
                  <c:v>117.05426356589146</c:v>
                </c:pt>
                <c:pt idx="47">
                  <c:v>117.34496124031007</c:v>
                </c:pt>
                <c:pt idx="48">
                  <c:v>115.60077519379843</c:v>
                </c:pt>
                <c:pt idx="49">
                  <c:v>115.69767441860466</c:v>
                </c:pt>
                <c:pt idx="50">
                  <c:v>116.56976744186045</c:v>
                </c:pt>
                <c:pt idx="51">
                  <c:v>117.53875968992247</c:v>
                </c:pt>
                <c:pt idx="52">
                  <c:v>117.9263565891473</c:v>
                </c:pt>
                <c:pt idx="53">
                  <c:v>118.02325581395348</c:v>
                </c:pt>
                <c:pt idx="54">
                  <c:v>116.18217054263566</c:v>
                </c:pt>
                <c:pt idx="55">
                  <c:v>116.37596899224805</c:v>
                </c:pt>
                <c:pt idx="56">
                  <c:v>118.31395348837208</c:v>
                </c:pt>
                <c:pt idx="57">
                  <c:v>118.4108527131783</c:v>
                </c:pt>
                <c:pt idx="58">
                  <c:v>117.73255813953487</c:v>
                </c:pt>
                <c:pt idx="59">
                  <c:v>117.9263565891473</c:v>
                </c:pt>
                <c:pt idx="60">
                  <c:v>116.66666666666667</c:v>
                </c:pt>
                <c:pt idx="61">
                  <c:v>116.66666666666667</c:v>
                </c:pt>
                <c:pt idx="62">
                  <c:v>118.02325581395348</c:v>
                </c:pt>
                <c:pt idx="63">
                  <c:v>118.6046511627907</c:v>
                </c:pt>
                <c:pt idx="64">
                  <c:v>118.8953488372093</c:v>
                </c:pt>
                <c:pt idx="65">
                  <c:v>119.08914728682171</c:v>
                </c:pt>
                <c:pt idx="66">
                  <c:v>118.02325581395348</c:v>
                </c:pt>
                <c:pt idx="67">
                  <c:v>117.82945736434107</c:v>
                </c:pt>
                <c:pt idx="68">
                  <c:v>119.18604651162789</c:v>
                </c:pt>
                <c:pt idx="69">
                  <c:v>119.57364341085272</c:v>
                </c:pt>
                <c:pt idx="70">
                  <c:v>119.4767441860465</c:v>
                </c:pt>
                <c:pt idx="71">
                  <c:v>119.57364341085272</c:v>
                </c:pt>
                <c:pt idx="72">
                  <c:v>118.6046511627907</c:v>
                </c:pt>
                <c:pt idx="73">
                  <c:v>118.70155038759688</c:v>
                </c:pt>
                <c:pt idx="74">
                  <c:v>120.54263565891472</c:v>
                </c:pt>
                <c:pt idx="75">
                  <c:v>121.02713178294573</c:v>
                </c:pt>
                <c:pt idx="76">
                  <c:v>120.93023255813952</c:v>
                </c:pt>
                <c:pt idx="77">
                  <c:v>121.22093023255813</c:v>
                </c:pt>
                <c:pt idx="78">
                  <c:v>120.05813953488371</c:v>
                </c:pt>
                <c:pt idx="79">
                  <c:v>119.76744186046511</c:v>
                </c:pt>
                <c:pt idx="80">
                  <c:v>121.31782945736434</c:v>
                </c:pt>
                <c:pt idx="81">
                  <c:v>121.12403100775194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E1-4340-8C8B-7F98B83C99EA}"/>
            </c:ext>
          </c:extLst>
        </c:ser>
        <c:ser>
          <c:idx val="1"/>
          <c:order val="1"/>
          <c:tx>
            <c:strRef>
              <c:f>'Fig 1 prezzi italia'!$C$38</c:f>
              <c:strCache>
                <c:ptCount val="1"/>
                <c:pt idx="0">
                  <c:v>Beni alimentari*</c:v>
                </c:pt>
              </c:strCache>
            </c:strRef>
          </c:tx>
          <c:spPr>
            <a:ln w="28575" cap="rnd">
              <a:solidFill>
                <a:srgbClr val="00817F"/>
              </a:solidFill>
              <a:round/>
            </a:ln>
            <a:effectLst/>
          </c:spPr>
          <c:marker>
            <c:symbol val="none"/>
          </c:marker>
          <c:cat>
            <c:numRef>
              <c:f>'Fig 1 prezzi italia'!$E$35:$CH$35</c:f>
              <c:numCache>
                <c:formatCode>General</c:formatCode>
                <c:ptCount val="82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1 prezzi italia'!$E$38:$CH$38</c:f>
              <c:numCache>
                <c:formatCode>#,##0.#</c:formatCode>
                <c:ptCount val="82"/>
                <c:pt idx="0">
                  <c:v>99.904489016236866</c:v>
                </c:pt>
                <c:pt idx="1">
                  <c:v>100.38204393505252</c:v>
                </c:pt>
                <c:pt idx="2">
                  <c:v>100</c:v>
                </c:pt>
                <c:pt idx="3">
                  <c:v>99.713467048710598</c:v>
                </c:pt>
                <c:pt idx="4">
                  <c:v>100.47755491881567</c:v>
                </c:pt>
                <c:pt idx="5">
                  <c:v>100.09551098376312</c:v>
                </c:pt>
                <c:pt idx="6">
                  <c:v>99.904489016236866</c:v>
                </c:pt>
                <c:pt idx="7">
                  <c:v>99.904489016236866</c:v>
                </c:pt>
                <c:pt idx="8">
                  <c:v>99.522445081184344</c:v>
                </c:pt>
                <c:pt idx="9">
                  <c:v>99.617956064947464</c:v>
                </c:pt>
                <c:pt idx="10">
                  <c:v>100.09551098376312</c:v>
                </c:pt>
                <c:pt idx="11">
                  <c:v>100</c:v>
                </c:pt>
                <c:pt idx="12">
                  <c:v>100.95510983763131</c:v>
                </c:pt>
                <c:pt idx="13">
                  <c:v>100.95510983763131</c:v>
                </c:pt>
                <c:pt idx="14">
                  <c:v>101.52817574021012</c:v>
                </c:pt>
                <c:pt idx="15">
                  <c:v>102.57879656160458</c:v>
                </c:pt>
                <c:pt idx="16">
                  <c:v>103.05635148042025</c:v>
                </c:pt>
                <c:pt idx="17">
                  <c:v>102.48328557784146</c:v>
                </c:pt>
                <c:pt idx="18">
                  <c:v>101.33715377268385</c:v>
                </c:pt>
                <c:pt idx="19">
                  <c:v>101.05062082139446</c:v>
                </c:pt>
                <c:pt idx="20">
                  <c:v>100.85959885386819</c:v>
                </c:pt>
                <c:pt idx="21">
                  <c:v>101.14613180515759</c:v>
                </c:pt>
                <c:pt idx="22">
                  <c:v>101.62368672397326</c:v>
                </c:pt>
                <c:pt idx="23">
                  <c:v>100.85959885386819</c:v>
                </c:pt>
                <c:pt idx="24">
                  <c:v>101.62368672397326</c:v>
                </c:pt>
                <c:pt idx="25">
                  <c:v>101.43266475644698</c:v>
                </c:pt>
                <c:pt idx="26">
                  <c:v>101.43266475644698</c:v>
                </c:pt>
                <c:pt idx="27">
                  <c:v>102.10124164278893</c:v>
                </c:pt>
                <c:pt idx="28">
                  <c:v>102.38777459407832</c:v>
                </c:pt>
                <c:pt idx="29">
                  <c:v>102.00573065902579</c:v>
                </c:pt>
                <c:pt idx="30">
                  <c:v>101.43266475644698</c:v>
                </c:pt>
                <c:pt idx="31">
                  <c:v>101.8147086914995</c:v>
                </c:pt>
                <c:pt idx="32">
                  <c:v>101.91021967526265</c:v>
                </c:pt>
                <c:pt idx="33">
                  <c:v>102.10124164278893</c:v>
                </c:pt>
                <c:pt idx="34">
                  <c:v>102.86532951289398</c:v>
                </c:pt>
                <c:pt idx="35">
                  <c:v>103.34288443170965</c:v>
                </c:pt>
                <c:pt idx="36">
                  <c:v>104.87106017191977</c:v>
                </c:pt>
                <c:pt idx="37">
                  <c:v>105.73065902578797</c:v>
                </c:pt>
                <c:pt idx="38">
                  <c:v>106.49474689589302</c:v>
                </c:pt>
                <c:pt idx="39">
                  <c:v>107.73638968481374</c:v>
                </c:pt>
                <c:pt idx="40">
                  <c:v>108.97803247373447</c:v>
                </c:pt>
                <c:pt idx="41">
                  <c:v>110.02865329512895</c:v>
                </c:pt>
                <c:pt idx="42">
                  <c:v>110.31518624641834</c:v>
                </c:pt>
                <c:pt idx="43">
                  <c:v>111.17478510028653</c:v>
                </c:pt>
                <c:pt idx="44">
                  <c:v>112.32091690544412</c:v>
                </c:pt>
                <c:pt idx="45">
                  <c:v>114.13562559694364</c:v>
                </c:pt>
                <c:pt idx="46">
                  <c:v>115.09073543457498</c:v>
                </c:pt>
                <c:pt idx="47">
                  <c:v>115.37726838586437</c:v>
                </c:pt>
                <c:pt idx="48">
                  <c:v>116.42788920725884</c:v>
                </c:pt>
                <c:pt idx="49">
                  <c:v>118.3381088825215</c:v>
                </c:pt>
                <c:pt idx="50">
                  <c:v>119.29321872015282</c:v>
                </c:pt>
                <c:pt idx="51">
                  <c:v>119.57975167144221</c:v>
                </c:pt>
                <c:pt idx="52">
                  <c:v>120.7258834765998</c:v>
                </c:pt>
                <c:pt idx="53">
                  <c:v>121.10792741165233</c:v>
                </c:pt>
                <c:pt idx="54">
                  <c:v>121.10792741165233</c:v>
                </c:pt>
                <c:pt idx="55">
                  <c:v>121.29894937917859</c:v>
                </c:pt>
                <c:pt idx="56">
                  <c:v>121.29894937917859</c:v>
                </c:pt>
                <c:pt idx="57">
                  <c:v>121.20343839541547</c:v>
                </c:pt>
                <c:pt idx="58">
                  <c:v>121.585482330468</c:v>
                </c:pt>
                <c:pt idx="59">
                  <c:v>121.77650429799426</c:v>
                </c:pt>
                <c:pt idx="60">
                  <c:v>122.73161413562559</c:v>
                </c:pt>
                <c:pt idx="61">
                  <c:v>122.73161413562559</c:v>
                </c:pt>
                <c:pt idx="62">
                  <c:v>122.54059216809934</c:v>
                </c:pt>
                <c:pt idx="63">
                  <c:v>122.82712511938871</c:v>
                </c:pt>
                <c:pt idx="64">
                  <c:v>123.30468003820438</c:v>
                </c:pt>
                <c:pt idx="65">
                  <c:v>123.11365807067813</c:v>
                </c:pt>
                <c:pt idx="66">
                  <c:v>122.54059216809934</c:v>
                </c:pt>
                <c:pt idx="67">
                  <c:v>122.82712511938871</c:v>
                </c:pt>
                <c:pt idx="68">
                  <c:v>123.01814708691501</c:v>
                </c:pt>
                <c:pt idx="69">
                  <c:v>124.25978987583571</c:v>
                </c:pt>
                <c:pt idx="70">
                  <c:v>125.02387774594079</c:v>
                </c:pt>
                <c:pt idx="71">
                  <c:v>124.35530085959886</c:v>
                </c:pt>
                <c:pt idx="72">
                  <c:v>125.50143266475644</c:v>
                </c:pt>
                <c:pt idx="73">
                  <c:v>125.69245463228272</c:v>
                </c:pt>
                <c:pt idx="74">
                  <c:v>125.78796561604584</c:v>
                </c:pt>
                <c:pt idx="75">
                  <c:v>126.55205348615091</c:v>
                </c:pt>
                <c:pt idx="76">
                  <c:v>127.1251193887297</c:v>
                </c:pt>
                <c:pt idx="77">
                  <c:v>127.1251193887297</c:v>
                </c:pt>
                <c:pt idx="78">
                  <c:v>127.22063037249282</c:v>
                </c:pt>
                <c:pt idx="79">
                  <c:v>127.50716332378222</c:v>
                </c:pt>
                <c:pt idx="80">
                  <c:v>127.4116523400191</c:v>
                </c:pt>
                <c:pt idx="81">
                  <c:v>127.50716332378222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E1-4340-8C8B-7F98B83C99EA}"/>
            </c:ext>
          </c:extLst>
        </c:ser>
        <c:ser>
          <c:idx val="0"/>
          <c:order val="3"/>
          <c:tx>
            <c:strRef>
              <c:f>'Fig 1 prezzi italia'!$C$39</c:f>
              <c:strCache>
                <c:ptCount val="1"/>
                <c:pt idx="0">
                  <c:v>Alimentari lavorati*</c:v>
                </c:pt>
              </c:strCache>
            </c:strRef>
          </c:tx>
          <c:spPr>
            <a:ln w="28575" cap="rnd">
              <a:solidFill>
                <a:srgbClr val="004172"/>
              </a:solidFill>
              <a:round/>
            </a:ln>
            <a:effectLst/>
          </c:spPr>
          <c:marker>
            <c:symbol val="none"/>
          </c:marker>
          <c:cat>
            <c:numRef>
              <c:f>'Fig 1 prezzi italia'!$E$35:$CH$35</c:f>
              <c:numCache>
                <c:formatCode>General</c:formatCode>
                <c:ptCount val="82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1 prezzi italia'!$E$39:$CH$39</c:f>
              <c:numCache>
                <c:formatCode>#,##0.#</c:formatCode>
                <c:ptCount val="82"/>
                <c:pt idx="0">
                  <c:v>99.612778315585686</c:v>
                </c:pt>
                <c:pt idx="1">
                  <c:v>99.612778315585686</c:v>
                </c:pt>
                <c:pt idx="2">
                  <c:v>99.903194578896432</c:v>
                </c:pt>
                <c:pt idx="3">
                  <c:v>99.903194578896432</c:v>
                </c:pt>
                <c:pt idx="4">
                  <c:v>100.19361084220716</c:v>
                </c:pt>
                <c:pt idx="5">
                  <c:v>100.19361084220716</c:v>
                </c:pt>
                <c:pt idx="6">
                  <c:v>100.38722168441434</c:v>
                </c:pt>
                <c:pt idx="7">
                  <c:v>100.48402710551791</c:v>
                </c:pt>
                <c:pt idx="8">
                  <c:v>100</c:v>
                </c:pt>
                <c:pt idx="9">
                  <c:v>100</c:v>
                </c:pt>
                <c:pt idx="10">
                  <c:v>100.19361084220716</c:v>
                </c:pt>
                <c:pt idx="11">
                  <c:v>99.709583736689254</c:v>
                </c:pt>
                <c:pt idx="12">
                  <c:v>100.58083252662149</c:v>
                </c:pt>
                <c:pt idx="13">
                  <c:v>100.38722168441434</c:v>
                </c:pt>
                <c:pt idx="14">
                  <c:v>101.45208131655372</c:v>
                </c:pt>
                <c:pt idx="15">
                  <c:v>101.93610842207164</c:v>
                </c:pt>
                <c:pt idx="16">
                  <c:v>102.1297192642788</c:v>
                </c:pt>
                <c:pt idx="17">
                  <c:v>101.64569215876089</c:v>
                </c:pt>
                <c:pt idx="18">
                  <c:v>101.25847047434655</c:v>
                </c:pt>
                <c:pt idx="19">
                  <c:v>101.25847047434655</c:v>
                </c:pt>
                <c:pt idx="20">
                  <c:v>100.58083252662149</c:v>
                </c:pt>
                <c:pt idx="21">
                  <c:v>100.48402710551791</c:v>
                </c:pt>
                <c:pt idx="22">
                  <c:v>100.67763794772509</c:v>
                </c:pt>
                <c:pt idx="23">
                  <c:v>100.29041626331075</c:v>
                </c:pt>
                <c:pt idx="24">
                  <c:v>101.16166505324298</c:v>
                </c:pt>
                <c:pt idx="25">
                  <c:v>100.77444336882866</c:v>
                </c:pt>
                <c:pt idx="26">
                  <c:v>100.96805421103581</c:v>
                </c:pt>
                <c:pt idx="27">
                  <c:v>101.35527589545015</c:v>
                </c:pt>
                <c:pt idx="28">
                  <c:v>101.25847047434655</c:v>
                </c:pt>
                <c:pt idx="29">
                  <c:v>101.45208131655372</c:v>
                </c:pt>
                <c:pt idx="30">
                  <c:v>101.54888673765731</c:v>
                </c:pt>
                <c:pt idx="31">
                  <c:v>101.83930300096806</c:v>
                </c:pt>
                <c:pt idx="32">
                  <c:v>101.45208131655372</c:v>
                </c:pt>
                <c:pt idx="33">
                  <c:v>101.45208131655372</c:v>
                </c:pt>
                <c:pt idx="34">
                  <c:v>101.83930300096806</c:v>
                </c:pt>
                <c:pt idx="35">
                  <c:v>102.03291384317524</c:v>
                </c:pt>
                <c:pt idx="36">
                  <c:v>103.09777347531461</c:v>
                </c:pt>
                <c:pt idx="37">
                  <c:v>103.48499515972895</c:v>
                </c:pt>
                <c:pt idx="38">
                  <c:v>104.35624394966119</c:v>
                </c:pt>
                <c:pt idx="39">
                  <c:v>105.61471442400774</c:v>
                </c:pt>
                <c:pt idx="40">
                  <c:v>106.96999031945789</c:v>
                </c:pt>
                <c:pt idx="41">
                  <c:v>108.42207163601162</c:v>
                </c:pt>
                <c:pt idx="42">
                  <c:v>109.77734753146177</c:v>
                </c:pt>
                <c:pt idx="43">
                  <c:v>110.84220716360116</c:v>
                </c:pt>
                <c:pt idx="44">
                  <c:v>111.42303969022265</c:v>
                </c:pt>
                <c:pt idx="45">
                  <c:v>112.87512100677637</c:v>
                </c:pt>
                <c:pt idx="46">
                  <c:v>114.32720232333011</c:v>
                </c:pt>
                <c:pt idx="47">
                  <c:v>115.00484027105517</c:v>
                </c:pt>
                <c:pt idx="48">
                  <c:v>116.36011616650532</c:v>
                </c:pt>
                <c:pt idx="49">
                  <c:v>117.52178121974832</c:v>
                </c:pt>
                <c:pt idx="50">
                  <c:v>118.29622458857696</c:v>
                </c:pt>
                <c:pt idx="51">
                  <c:v>118.78025169409487</c:v>
                </c:pt>
                <c:pt idx="52">
                  <c:v>119.45788964181996</c:v>
                </c:pt>
                <c:pt idx="53">
                  <c:v>119.65150048402711</c:v>
                </c:pt>
                <c:pt idx="54">
                  <c:v>120.13552758954502</c:v>
                </c:pt>
                <c:pt idx="55">
                  <c:v>120.71636011616651</c:v>
                </c:pt>
                <c:pt idx="56">
                  <c:v>120.2323330106486</c:v>
                </c:pt>
                <c:pt idx="57">
                  <c:v>120.2323330106486</c:v>
                </c:pt>
                <c:pt idx="58">
                  <c:v>120.42594385285577</c:v>
                </c:pt>
                <c:pt idx="59">
                  <c:v>120.2323330106486</c:v>
                </c:pt>
                <c:pt idx="60">
                  <c:v>121.10358180058083</c:v>
                </c:pt>
                <c:pt idx="61">
                  <c:v>121.3939980638916</c:v>
                </c:pt>
                <c:pt idx="62">
                  <c:v>121.58760890609874</c:v>
                </c:pt>
                <c:pt idx="63">
                  <c:v>121.97483059051306</c:v>
                </c:pt>
                <c:pt idx="64">
                  <c:v>121.87802516940948</c:v>
                </c:pt>
                <c:pt idx="65">
                  <c:v>122.16844143272023</c:v>
                </c:pt>
                <c:pt idx="66">
                  <c:v>122.36205227492741</c:v>
                </c:pt>
                <c:pt idx="67">
                  <c:v>122.84607938044532</c:v>
                </c:pt>
                <c:pt idx="68">
                  <c:v>122.45885769603098</c:v>
                </c:pt>
                <c:pt idx="69">
                  <c:v>122.65246853823814</c:v>
                </c:pt>
                <c:pt idx="70">
                  <c:v>123.03969022265247</c:v>
                </c:pt>
                <c:pt idx="71">
                  <c:v>122.65246853823814</c:v>
                </c:pt>
                <c:pt idx="72">
                  <c:v>123.62052274927397</c:v>
                </c:pt>
                <c:pt idx="73">
                  <c:v>124.10454985479187</c:v>
                </c:pt>
                <c:pt idx="74">
                  <c:v>124.29816069699903</c:v>
                </c:pt>
                <c:pt idx="75">
                  <c:v>124.87899322362053</c:v>
                </c:pt>
                <c:pt idx="76">
                  <c:v>125.26621490803487</c:v>
                </c:pt>
                <c:pt idx="77">
                  <c:v>125.55663117134559</c:v>
                </c:pt>
                <c:pt idx="78">
                  <c:v>125.84704743465633</c:v>
                </c:pt>
                <c:pt idx="79">
                  <c:v>126.33107454017424</c:v>
                </c:pt>
                <c:pt idx="80">
                  <c:v>125.75024201355276</c:v>
                </c:pt>
                <c:pt idx="81">
                  <c:v>126.13746369796711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E1-4340-8C8B-7F98B83C99EA}"/>
            </c:ext>
          </c:extLst>
        </c:ser>
        <c:ser>
          <c:idx val="2"/>
          <c:order val="4"/>
          <c:tx>
            <c:strRef>
              <c:f>'Fig 1 prezzi italia'!$C$40</c:f>
              <c:strCache>
                <c:ptCount val="1"/>
                <c:pt idx="0">
                  <c:v>Alimentari non lavorati</c:v>
                </c:pt>
              </c:strCache>
            </c:strRef>
          </c:tx>
          <c:spPr>
            <a:ln w="28575" cap="rnd">
              <a:solidFill>
                <a:srgbClr val="004172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'Fig 1 prezzi italia'!$E$35:$CH$35</c:f>
              <c:numCache>
                <c:formatCode>General</c:formatCode>
                <c:ptCount val="82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1 prezzi italia'!$E$40:$CH$40</c:f>
              <c:numCache>
                <c:formatCode>#,##0.#</c:formatCode>
                <c:ptCount val="82"/>
                <c:pt idx="0">
                  <c:v>100.84190832553787</c:v>
                </c:pt>
                <c:pt idx="1">
                  <c:v>102.15154349859681</c:v>
                </c:pt>
                <c:pt idx="2">
                  <c:v>100.37418147801682</c:v>
                </c:pt>
                <c:pt idx="3">
                  <c:v>99.345182413470539</c:v>
                </c:pt>
                <c:pt idx="4">
                  <c:v>101.30963517305894</c:v>
                </c:pt>
                <c:pt idx="5">
                  <c:v>99.906454630495773</c:v>
                </c:pt>
                <c:pt idx="6">
                  <c:v>98.971000935453688</c:v>
                </c:pt>
                <c:pt idx="7">
                  <c:v>98.877455565949475</c:v>
                </c:pt>
                <c:pt idx="8">
                  <c:v>98.783910196445262</c:v>
                </c:pt>
                <c:pt idx="9">
                  <c:v>98.971000935453688</c:v>
                </c:pt>
                <c:pt idx="10">
                  <c:v>100.1870907390084</c:v>
                </c:pt>
                <c:pt idx="11">
                  <c:v>100.65481758652946</c:v>
                </c:pt>
                <c:pt idx="12">
                  <c:v>101.77736202057997</c:v>
                </c:pt>
                <c:pt idx="13">
                  <c:v>102.43217960710945</c:v>
                </c:pt>
                <c:pt idx="14">
                  <c:v>101.68381665107577</c:v>
                </c:pt>
                <c:pt idx="15">
                  <c:v>104.20954162768943</c:v>
                </c:pt>
                <c:pt idx="16">
                  <c:v>105.51917680074835</c:v>
                </c:pt>
                <c:pt idx="17">
                  <c:v>104.58372310570626</c:v>
                </c:pt>
                <c:pt idx="18">
                  <c:v>101.68381665107577</c:v>
                </c:pt>
                <c:pt idx="19">
                  <c:v>100.84190832553787</c:v>
                </c:pt>
                <c:pt idx="20">
                  <c:v>101.68381665107577</c:v>
                </c:pt>
                <c:pt idx="21">
                  <c:v>102.80636108512628</c:v>
                </c:pt>
                <c:pt idx="22">
                  <c:v>103.74181478016837</c:v>
                </c:pt>
                <c:pt idx="23">
                  <c:v>102.52572497661365</c:v>
                </c:pt>
                <c:pt idx="24">
                  <c:v>102.8999064546305</c:v>
                </c:pt>
                <c:pt idx="25">
                  <c:v>103.08699719363892</c:v>
                </c:pt>
                <c:pt idx="26">
                  <c:v>102.71281571562207</c:v>
                </c:pt>
                <c:pt idx="27">
                  <c:v>103.74181478016837</c:v>
                </c:pt>
                <c:pt idx="28">
                  <c:v>104.95790458372309</c:v>
                </c:pt>
                <c:pt idx="29">
                  <c:v>103.36763330215153</c:v>
                </c:pt>
                <c:pt idx="30">
                  <c:v>101.40318054256315</c:v>
                </c:pt>
                <c:pt idx="31">
                  <c:v>101.96445275958838</c:v>
                </c:pt>
                <c:pt idx="32">
                  <c:v>102.8999064546305</c:v>
                </c:pt>
                <c:pt idx="33">
                  <c:v>103.74181478016837</c:v>
                </c:pt>
                <c:pt idx="34">
                  <c:v>105.23854069223573</c:v>
                </c:pt>
                <c:pt idx="35">
                  <c:v>106.64172123479887</c:v>
                </c:pt>
                <c:pt idx="36">
                  <c:v>109.16744621141252</c:v>
                </c:pt>
                <c:pt idx="37">
                  <c:v>111.13189897100094</c:v>
                </c:pt>
                <c:pt idx="38">
                  <c:v>111.78671655753038</c:v>
                </c:pt>
                <c:pt idx="39">
                  <c:v>112.81571562207671</c:v>
                </c:pt>
                <c:pt idx="40">
                  <c:v>113.93826005612722</c:v>
                </c:pt>
                <c:pt idx="41">
                  <c:v>114.03180542563143</c:v>
                </c:pt>
                <c:pt idx="42">
                  <c:v>111.6931711880262</c:v>
                </c:pt>
                <c:pt idx="43">
                  <c:v>112.25444340505145</c:v>
                </c:pt>
                <c:pt idx="44">
                  <c:v>114.5930776426567</c:v>
                </c:pt>
                <c:pt idx="45">
                  <c:v>117.30589335827877</c:v>
                </c:pt>
                <c:pt idx="46">
                  <c:v>117.21234798877455</c:v>
                </c:pt>
                <c:pt idx="47">
                  <c:v>116.27689429373245</c:v>
                </c:pt>
                <c:pt idx="48">
                  <c:v>116.83816651075772</c:v>
                </c:pt>
                <c:pt idx="49">
                  <c:v>120.39289055191766</c:v>
                </c:pt>
                <c:pt idx="50">
                  <c:v>121.60898035547241</c:v>
                </c:pt>
                <c:pt idx="51">
                  <c:v>121.79607109448081</c:v>
                </c:pt>
                <c:pt idx="52">
                  <c:v>123.94761459307763</c:v>
                </c:pt>
                <c:pt idx="53">
                  <c:v>124.69597754911132</c:v>
                </c:pt>
                <c:pt idx="54">
                  <c:v>123.66697848456501</c:v>
                </c:pt>
                <c:pt idx="55">
                  <c:v>123.01216089803555</c:v>
                </c:pt>
                <c:pt idx="56">
                  <c:v>124.13470533208604</c:v>
                </c:pt>
                <c:pt idx="57">
                  <c:v>123.66697848456501</c:v>
                </c:pt>
                <c:pt idx="58">
                  <c:v>124.60243217960709</c:v>
                </c:pt>
                <c:pt idx="59">
                  <c:v>125.44434050514499</c:v>
                </c:pt>
                <c:pt idx="60">
                  <c:v>126.75397567820393</c:v>
                </c:pt>
                <c:pt idx="61">
                  <c:v>125.91206735266603</c:v>
                </c:pt>
                <c:pt idx="62">
                  <c:v>125.07015902712814</c:v>
                </c:pt>
                <c:pt idx="63">
                  <c:v>124.97661365762394</c:v>
                </c:pt>
                <c:pt idx="64">
                  <c:v>126.84752104770813</c:v>
                </c:pt>
                <c:pt idx="65">
                  <c:v>125.44434050514499</c:v>
                </c:pt>
                <c:pt idx="66">
                  <c:v>123.29279700654818</c:v>
                </c:pt>
                <c:pt idx="67">
                  <c:v>122.63797942001871</c:v>
                </c:pt>
                <c:pt idx="68">
                  <c:v>124.60243217960709</c:v>
                </c:pt>
                <c:pt idx="69">
                  <c:v>128.34424695977546</c:v>
                </c:pt>
                <c:pt idx="70">
                  <c:v>130.02806361085126</c:v>
                </c:pt>
                <c:pt idx="71">
                  <c:v>128.71842843779231</c:v>
                </c:pt>
                <c:pt idx="72">
                  <c:v>130.02806361085126</c:v>
                </c:pt>
                <c:pt idx="73">
                  <c:v>129.84097287184284</c:v>
                </c:pt>
                <c:pt idx="74">
                  <c:v>129.56033676333021</c:v>
                </c:pt>
                <c:pt idx="75">
                  <c:v>130.86997193638913</c:v>
                </c:pt>
                <c:pt idx="76">
                  <c:v>131.80542563143126</c:v>
                </c:pt>
                <c:pt idx="77">
                  <c:v>131.15060804490176</c:v>
                </c:pt>
                <c:pt idx="78">
                  <c:v>130.58933582787651</c:v>
                </c:pt>
                <c:pt idx="79">
                  <c:v>130.49579045837228</c:v>
                </c:pt>
                <c:pt idx="80">
                  <c:v>131.43124415341441</c:v>
                </c:pt>
                <c:pt idx="81">
                  <c:v>130.96351730589336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DE1-4340-8C8B-7F98B83C9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668575"/>
        <c:axId val="2125678975"/>
        <c:extLst>
          <c:ext xmlns:c15="http://schemas.microsoft.com/office/drawing/2012/chart" uri="{02D57815-91ED-43cb-92C2-25804820EDAC}">
            <c15:filteredLineSeries>
              <c15:ser>
                <c:idx val="4"/>
                <c:order val="2"/>
                <c:tx>
                  <c:strRef>
                    <c:extLst>
                      <c:ext uri="{02D57815-91ED-43cb-92C2-25804820EDAC}">
                        <c15:formulaRef>
                          <c15:sqref>'Fig 1 prezzi italia'!$C$43</c15:sqref>
                        </c15:formulaRef>
                      </c:ext>
                    </c:extLst>
                    <c:strCache>
                      <c:ptCount val="1"/>
                      <c:pt idx="0">
                        <c:v>Prodotti alimentari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'Fig 1 prezzi italia'!$E$35:$CH$35</c15:sqref>
                        </c15:formulaRef>
                      </c:ext>
                    </c:extLst>
                    <c:numCache>
                      <c:formatCode>General</c:formatCode>
                      <c:ptCount val="82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'Fig 1 prezzi italia'!$E$43:$CH$43</c15:sqref>
                        </c15:formulaRef>
                      </c:ext>
                    </c:extLst>
                    <c:numCache>
                      <c:formatCode>#,##0.#</c:formatCode>
                      <c:ptCount val="82"/>
                      <c:pt idx="0">
                        <c:v>100.28735632183907</c:v>
                      </c:pt>
                      <c:pt idx="1">
                        <c:v>100.67049808429118</c:v>
                      </c:pt>
                      <c:pt idx="2">
                        <c:v>100</c:v>
                      </c:pt>
                      <c:pt idx="3">
                        <c:v>99.616858237547888</c:v>
                      </c:pt>
                      <c:pt idx="4">
                        <c:v>100.57471264367817</c:v>
                      </c:pt>
                      <c:pt idx="5">
                        <c:v>100.09578544061301</c:v>
                      </c:pt>
                      <c:pt idx="6">
                        <c:v>99.808429118773944</c:v>
                      </c:pt>
                      <c:pt idx="7">
                        <c:v>99.904214559386958</c:v>
                      </c:pt>
                      <c:pt idx="8">
                        <c:v>99.52107279693486</c:v>
                      </c:pt>
                      <c:pt idx="9">
                        <c:v>99.616858237547888</c:v>
                      </c:pt>
                      <c:pt idx="10">
                        <c:v>100.19157088122603</c:v>
                      </c:pt>
                      <c:pt idx="11">
                        <c:v>100.19157088122603</c:v>
                      </c:pt>
                      <c:pt idx="12">
                        <c:v>101.14942528735631</c:v>
                      </c:pt>
                      <c:pt idx="13">
                        <c:v>101.24521072796935</c:v>
                      </c:pt>
                      <c:pt idx="14">
                        <c:v>101.53256704980842</c:v>
                      </c:pt>
                      <c:pt idx="15">
                        <c:v>102.87356321839081</c:v>
                      </c:pt>
                      <c:pt idx="16">
                        <c:v>103.44827586206895</c:v>
                      </c:pt>
                      <c:pt idx="17">
                        <c:v>102.77777777777777</c:v>
                      </c:pt>
                      <c:pt idx="18">
                        <c:v>101.34099616858236</c:v>
                      </c:pt>
                      <c:pt idx="19">
                        <c:v>101.05363984674329</c:v>
                      </c:pt>
                      <c:pt idx="20">
                        <c:v>100.86206896551724</c:v>
                      </c:pt>
                      <c:pt idx="21">
                        <c:v>101.24521072796935</c:v>
                      </c:pt>
                      <c:pt idx="22">
                        <c:v>101.81992337164749</c:v>
                      </c:pt>
                      <c:pt idx="23">
                        <c:v>101.05363984674329</c:v>
                      </c:pt>
                      <c:pt idx="24">
                        <c:v>101.72413793103448</c:v>
                      </c:pt>
                      <c:pt idx="25">
                        <c:v>101.43678160919541</c:v>
                      </c:pt>
                      <c:pt idx="26">
                        <c:v>101.53256704980842</c:v>
                      </c:pt>
                      <c:pt idx="27">
                        <c:v>102.20306513409963</c:v>
                      </c:pt>
                      <c:pt idx="28">
                        <c:v>102.58620689655172</c:v>
                      </c:pt>
                      <c:pt idx="29">
                        <c:v>102.20306513409963</c:v>
                      </c:pt>
                      <c:pt idx="30">
                        <c:v>101.43678160919541</c:v>
                      </c:pt>
                      <c:pt idx="31">
                        <c:v>101.91570881226053</c:v>
                      </c:pt>
                      <c:pt idx="32">
                        <c:v>102.01149425287355</c:v>
                      </c:pt>
                      <c:pt idx="33">
                        <c:v>102.39463601532567</c:v>
                      </c:pt>
                      <c:pt idx="34">
                        <c:v>103.35249042145594</c:v>
                      </c:pt>
                      <c:pt idx="35">
                        <c:v>104.11877394636015</c:v>
                      </c:pt>
                      <c:pt idx="36">
                        <c:v>105.65134099616857</c:v>
                      </c:pt>
                      <c:pt idx="37">
                        <c:v>106.70498084291187</c:v>
                      </c:pt>
                      <c:pt idx="38">
                        <c:v>107.66283524904215</c:v>
                      </c:pt>
                      <c:pt idx="39">
                        <c:v>109.09961685823755</c:v>
                      </c:pt>
                      <c:pt idx="40">
                        <c:v>110.53639846743295</c:v>
                      </c:pt>
                      <c:pt idx="41">
                        <c:v>111.7816091954023</c:v>
                      </c:pt>
                      <c:pt idx="42">
                        <c:v>111.87739463601531</c:v>
                      </c:pt>
                      <c:pt idx="43">
                        <c:v>112.83524904214559</c:v>
                      </c:pt>
                      <c:pt idx="44">
                        <c:v>114.272030651341</c:v>
                      </c:pt>
                      <c:pt idx="45">
                        <c:v>116.57088122605363</c:v>
                      </c:pt>
                      <c:pt idx="46">
                        <c:v>117.62452107279692</c:v>
                      </c:pt>
                      <c:pt idx="47">
                        <c:v>118.00766283524904</c:v>
                      </c:pt>
                      <c:pt idx="48">
                        <c:v>118.96551724137932</c:v>
                      </c:pt>
                      <c:pt idx="49">
                        <c:v>121.07279693486591</c:v>
                      </c:pt>
                      <c:pt idx="50">
                        <c:v>122.03065134099617</c:v>
                      </c:pt>
                      <c:pt idx="51">
                        <c:v>122.41379310344827</c:v>
                      </c:pt>
                      <c:pt idx="52">
                        <c:v>123.65900383141761</c:v>
                      </c:pt>
                      <c:pt idx="53">
                        <c:v>124.13793103448273</c:v>
                      </c:pt>
                      <c:pt idx="54">
                        <c:v>124.13793103448273</c:v>
                      </c:pt>
                      <c:pt idx="55">
                        <c:v>124.32950191570882</c:v>
                      </c:pt>
                      <c:pt idx="56">
                        <c:v>124.42528735632183</c:v>
                      </c:pt>
                      <c:pt idx="57">
                        <c:v>124.32950191570882</c:v>
                      </c:pt>
                      <c:pt idx="58">
                        <c:v>124.80842911877394</c:v>
                      </c:pt>
                      <c:pt idx="59">
                        <c:v>125.19157088122603</c:v>
                      </c:pt>
                      <c:pt idx="60">
                        <c:v>126.14942528735631</c:v>
                      </c:pt>
                      <c:pt idx="61">
                        <c:v>125.86206896551724</c:v>
                      </c:pt>
                      <c:pt idx="62">
                        <c:v>125.67049808429115</c:v>
                      </c:pt>
                      <c:pt idx="63">
                        <c:v>125.67049808429115</c:v>
                      </c:pt>
                      <c:pt idx="64">
                        <c:v>126.24521072796935</c:v>
                      </c:pt>
                      <c:pt idx="65">
                        <c:v>126.05363984674329</c:v>
                      </c:pt>
                      <c:pt idx="66">
                        <c:v>125.19157088122603</c:v>
                      </c:pt>
                      <c:pt idx="67">
                        <c:v>125.2873563218391</c:v>
                      </c:pt>
                      <c:pt idx="68">
                        <c:v>125.67049808429115</c:v>
                      </c:pt>
                      <c:pt idx="69">
                        <c:v>127.29885057471265</c:v>
                      </c:pt>
                      <c:pt idx="70">
                        <c:v>128.16091954022988</c:v>
                      </c:pt>
                      <c:pt idx="71">
                        <c:v>127.39463601532566</c:v>
                      </c:pt>
                      <c:pt idx="72">
                        <c:v>128.44827586206895</c:v>
                      </c:pt>
                      <c:pt idx="73">
                        <c:v>128.35249042145594</c:v>
                      </c:pt>
                      <c:pt idx="74">
                        <c:v>128.35249042145594</c:v>
                      </c:pt>
                      <c:pt idx="75">
                        <c:v>129.21455938697318</c:v>
                      </c:pt>
                      <c:pt idx="76">
                        <c:v>129.78927203065135</c:v>
                      </c:pt>
                      <c:pt idx="77">
                        <c:v>129.69348659003833</c:v>
                      </c:pt>
                      <c:pt idx="78">
                        <c:v>129.69348659003833</c:v>
                      </c:pt>
                      <c:pt idx="79">
                        <c:v>129.88505747126436</c:v>
                      </c:pt>
                      <c:pt idx="80">
                        <c:v>129.88505747126436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4-0DE1-4340-8C8B-7F98B83C99EA}"/>
                  </c:ext>
                </c:extLst>
              </c15:ser>
            </c15:filteredLineSeries>
          </c:ext>
        </c:extLst>
      </c:lineChart>
      <c:catAx>
        <c:axId val="2125668575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78975"/>
        <c:crosses val="autoZero"/>
        <c:auto val="1"/>
        <c:lblAlgn val="ctr"/>
        <c:lblOffset val="100"/>
        <c:noMultiLvlLbl val="0"/>
      </c:catAx>
      <c:valAx>
        <c:axId val="2125678975"/>
        <c:scaling>
          <c:orientation val="minMax"/>
          <c:max val="135"/>
          <c:min val="95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68575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2054301397521851E-2"/>
          <c:y val="3.0830543277060175E-2"/>
          <c:w val="0.9630283660004485"/>
          <c:h val="6.87824562946979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99602514555654E-2"/>
          <c:y val="0.18261326566757807"/>
          <c:w val="0.91764003190542398"/>
          <c:h val="0.69379547932868291"/>
        </c:manualLayout>
      </c:layout>
      <c:lineChart>
        <c:grouping val="standard"/>
        <c:varyColors val="0"/>
        <c:ser>
          <c:idx val="1"/>
          <c:order val="1"/>
          <c:tx>
            <c:strRef>
              <c:f>'fig 2 prod alim italia'!$C$35</c:f>
              <c:strCache>
                <c:ptCount val="1"/>
                <c:pt idx="0">
                  <c:v>Prodotti alimentari</c:v>
                </c:pt>
              </c:strCache>
            </c:strRef>
          </c:tx>
          <c:spPr>
            <a:ln w="28575" cap="rnd">
              <a:solidFill>
                <a:srgbClr val="00817F"/>
              </a:solidFill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italia'!$D$35:$CF$35</c:f>
              <c:numCache>
                <c:formatCode>#,##0.#</c:formatCode>
                <c:ptCount val="81"/>
                <c:pt idx="0">
                  <c:v>100.28735632183907</c:v>
                </c:pt>
                <c:pt idx="1">
                  <c:v>100.67049808429118</c:v>
                </c:pt>
                <c:pt idx="2">
                  <c:v>100</c:v>
                </c:pt>
                <c:pt idx="3">
                  <c:v>99.616858237547888</c:v>
                </c:pt>
                <c:pt idx="4">
                  <c:v>100.57471264367817</c:v>
                </c:pt>
                <c:pt idx="5">
                  <c:v>100.09578544061301</c:v>
                </c:pt>
                <c:pt idx="6">
                  <c:v>99.808429118773944</c:v>
                </c:pt>
                <c:pt idx="7">
                  <c:v>99.904214559386958</c:v>
                </c:pt>
                <c:pt idx="8">
                  <c:v>99.52107279693486</c:v>
                </c:pt>
                <c:pt idx="9">
                  <c:v>99.616858237547888</c:v>
                </c:pt>
                <c:pt idx="10">
                  <c:v>100.19157088122603</c:v>
                </c:pt>
                <c:pt idx="11">
                  <c:v>100.19157088122603</c:v>
                </c:pt>
                <c:pt idx="12">
                  <c:v>101.14942528735631</c:v>
                </c:pt>
                <c:pt idx="13">
                  <c:v>101.24521072796935</c:v>
                </c:pt>
                <c:pt idx="14">
                  <c:v>101.53256704980842</c:v>
                </c:pt>
                <c:pt idx="15">
                  <c:v>102.87356321839081</c:v>
                </c:pt>
                <c:pt idx="16">
                  <c:v>103.44827586206895</c:v>
                </c:pt>
                <c:pt idx="17">
                  <c:v>102.77777777777777</c:v>
                </c:pt>
                <c:pt idx="18">
                  <c:v>101.34099616858236</c:v>
                </c:pt>
                <c:pt idx="19">
                  <c:v>101.05363984674329</c:v>
                </c:pt>
                <c:pt idx="20">
                  <c:v>100.86206896551724</c:v>
                </c:pt>
                <c:pt idx="21">
                  <c:v>101.24521072796935</c:v>
                </c:pt>
                <c:pt idx="22">
                  <c:v>101.81992337164749</c:v>
                </c:pt>
                <c:pt idx="23">
                  <c:v>101.05363984674329</c:v>
                </c:pt>
                <c:pt idx="24">
                  <c:v>101.72413793103448</c:v>
                </c:pt>
                <c:pt idx="25">
                  <c:v>101.43678160919541</c:v>
                </c:pt>
                <c:pt idx="26">
                  <c:v>101.53256704980842</c:v>
                </c:pt>
                <c:pt idx="27">
                  <c:v>102.20306513409963</c:v>
                </c:pt>
                <c:pt idx="28">
                  <c:v>102.58620689655172</c:v>
                </c:pt>
                <c:pt idx="29">
                  <c:v>102.20306513409963</c:v>
                </c:pt>
                <c:pt idx="30">
                  <c:v>101.43678160919541</c:v>
                </c:pt>
                <c:pt idx="31">
                  <c:v>101.91570881226053</c:v>
                </c:pt>
                <c:pt idx="32">
                  <c:v>102.01149425287355</c:v>
                </c:pt>
                <c:pt idx="33">
                  <c:v>102.39463601532567</c:v>
                </c:pt>
                <c:pt idx="34">
                  <c:v>103.35249042145594</c:v>
                </c:pt>
                <c:pt idx="35">
                  <c:v>104.11877394636015</c:v>
                </c:pt>
                <c:pt idx="36">
                  <c:v>105.65134099616857</c:v>
                </c:pt>
                <c:pt idx="37">
                  <c:v>106.70498084291187</c:v>
                </c:pt>
                <c:pt idx="38">
                  <c:v>107.66283524904215</c:v>
                </c:pt>
                <c:pt idx="39">
                  <c:v>109.09961685823755</c:v>
                </c:pt>
                <c:pt idx="40">
                  <c:v>110.53639846743295</c:v>
                </c:pt>
                <c:pt idx="41">
                  <c:v>111.7816091954023</c:v>
                </c:pt>
                <c:pt idx="42">
                  <c:v>111.87739463601531</c:v>
                </c:pt>
                <c:pt idx="43">
                  <c:v>112.83524904214559</c:v>
                </c:pt>
                <c:pt idx="44">
                  <c:v>114.272030651341</c:v>
                </c:pt>
                <c:pt idx="45">
                  <c:v>116.57088122605363</c:v>
                </c:pt>
                <c:pt idx="46">
                  <c:v>117.62452107279692</c:v>
                </c:pt>
                <c:pt idx="47">
                  <c:v>118.00766283524904</c:v>
                </c:pt>
                <c:pt idx="48">
                  <c:v>118.96551724137932</c:v>
                </c:pt>
                <c:pt idx="49">
                  <c:v>121.07279693486591</c:v>
                </c:pt>
                <c:pt idx="50">
                  <c:v>122.03065134099617</c:v>
                </c:pt>
                <c:pt idx="51">
                  <c:v>122.41379310344827</c:v>
                </c:pt>
                <c:pt idx="52">
                  <c:v>123.65900383141761</c:v>
                </c:pt>
                <c:pt idx="53">
                  <c:v>124.13793103448273</c:v>
                </c:pt>
                <c:pt idx="54">
                  <c:v>124.13793103448273</c:v>
                </c:pt>
                <c:pt idx="55">
                  <c:v>124.32950191570882</c:v>
                </c:pt>
                <c:pt idx="56">
                  <c:v>124.42528735632183</c:v>
                </c:pt>
                <c:pt idx="57">
                  <c:v>124.32950191570882</c:v>
                </c:pt>
                <c:pt idx="58">
                  <c:v>124.80842911877394</c:v>
                </c:pt>
                <c:pt idx="59">
                  <c:v>125.19157088122603</c:v>
                </c:pt>
                <c:pt idx="60">
                  <c:v>126.14942528735631</c:v>
                </c:pt>
                <c:pt idx="61">
                  <c:v>125.86206896551724</c:v>
                </c:pt>
                <c:pt idx="62">
                  <c:v>125.67049808429115</c:v>
                </c:pt>
                <c:pt idx="63">
                  <c:v>125.67049808429115</c:v>
                </c:pt>
                <c:pt idx="64">
                  <c:v>126.24521072796935</c:v>
                </c:pt>
                <c:pt idx="65">
                  <c:v>126.05363984674329</c:v>
                </c:pt>
                <c:pt idx="66">
                  <c:v>125.19157088122603</c:v>
                </c:pt>
                <c:pt idx="67">
                  <c:v>125.2873563218391</c:v>
                </c:pt>
                <c:pt idx="68">
                  <c:v>125.67049808429115</c:v>
                </c:pt>
                <c:pt idx="69">
                  <c:v>127.29885057471265</c:v>
                </c:pt>
                <c:pt idx="70">
                  <c:v>128.16091954022988</c:v>
                </c:pt>
                <c:pt idx="71">
                  <c:v>127.39463601532566</c:v>
                </c:pt>
                <c:pt idx="72">
                  <c:v>128.44827586206895</c:v>
                </c:pt>
                <c:pt idx="73">
                  <c:v>128.35249042145594</c:v>
                </c:pt>
                <c:pt idx="74">
                  <c:v>128.35249042145594</c:v>
                </c:pt>
                <c:pt idx="75">
                  <c:v>129.21455938697318</c:v>
                </c:pt>
                <c:pt idx="76">
                  <c:v>129.78927203065135</c:v>
                </c:pt>
                <c:pt idx="77">
                  <c:v>129.69348659003833</c:v>
                </c:pt>
                <c:pt idx="78">
                  <c:v>129.69348659003833</c:v>
                </c:pt>
                <c:pt idx="79">
                  <c:v>129.88505747126436</c:v>
                </c:pt>
                <c:pt idx="80">
                  <c:v>129.88505747126436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66-4F50-AAA0-93B893E5E077}"/>
            </c:ext>
          </c:extLst>
        </c:ser>
        <c:ser>
          <c:idx val="2"/>
          <c:order val="2"/>
          <c:tx>
            <c:strRef>
              <c:f>'fig 2 prod alim italia'!$C$36</c:f>
              <c:strCache>
                <c:ptCount val="1"/>
                <c:pt idx="0">
                  <c:v>Pane e cereali</c:v>
                </c:pt>
              </c:strCache>
            </c:strRef>
          </c:tx>
          <c:spPr>
            <a:ln w="28575" cap="rnd">
              <a:solidFill>
                <a:srgbClr val="00817F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italia'!$D$36:$CF$36</c:f>
              <c:numCache>
                <c:formatCode>#,##0.#</c:formatCode>
                <c:ptCount val="81"/>
                <c:pt idx="0">
                  <c:v>99.803536345776038</c:v>
                </c:pt>
                <c:pt idx="1">
                  <c:v>99.508840864440074</c:v>
                </c:pt>
                <c:pt idx="2">
                  <c:v>99.70530451866405</c:v>
                </c:pt>
                <c:pt idx="3">
                  <c:v>99.901768172888012</c:v>
                </c:pt>
                <c:pt idx="4">
                  <c:v>100.09823182711199</c:v>
                </c:pt>
                <c:pt idx="5">
                  <c:v>100.19646365422396</c:v>
                </c:pt>
                <c:pt idx="6">
                  <c:v>100.49115913555993</c:v>
                </c:pt>
                <c:pt idx="7">
                  <c:v>100.78585461689586</c:v>
                </c:pt>
                <c:pt idx="8">
                  <c:v>99.901768172888012</c:v>
                </c:pt>
                <c:pt idx="9">
                  <c:v>99.803536345776038</c:v>
                </c:pt>
                <c:pt idx="10">
                  <c:v>100.09823182711199</c:v>
                </c:pt>
                <c:pt idx="11">
                  <c:v>99.803536345776038</c:v>
                </c:pt>
                <c:pt idx="12">
                  <c:v>100.19646365422396</c:v>
                </c:pt>
                <c:pt idx="13">
                  <c:v>99.901768172888012</c:v>
                </c:pt>
                <c:pt idx="14">
                  <c:v>100.78585461689586</c:v>
                </c:pt>
                <c:pt idx="15">
                  <c:v>101.47347740667976</c:v>
                </c:pt>
                <c:pt idx="16">
                  <c:v>101.66994106090374</c:v>
                </c:pt>
                <c:pt idx="17">
                  <c:v>101.47347740667976</c:v>
                </c:pt>
                <c:pt idx="18">
                  <c:v>101.08055009823183</c:v>
                </c:pt>
                <c:pt idx="19">
                  <c:v>101.08055009823183</c:v>
                </c:pt>
                <c:pt idx="20">
                  <c:v>100.19646365422396</c:v>
                </c:pt>
                <c:pt idx="21">
                  <c:v>100</c:v>
                </c:pt>
                <c:pt idx="22">
                  <c:v>100.49115913555993</c:v>
                </c:pt>
                <c:pt idx="23">
                  <c:v>100.39292730844794</c:v>
                </c:pt>
                <c:pt idx="24">
                  <c:v>100.78585461689586</c:v>
                </c:pt>
                <c:pt idx="25">
                  <c:v>100.09823182711199</c:v>
                </c:pt>
                <c:pt idx="26">
                  <c:v>100.68762278978389</c:v>
                </c:pt>
                <c:pt idx="27">
                  <c:v>100.88408644400786</c:v>
                </c:pt>
                <c:pt idx="28">
                  <c:v>100.88408644400786</c:v>
                </c:pt>
                <c:pt idx="29">
                  <c:v>101.08055009823183</c:v>
                </c:pt>
                <c:pt idx="30">
                  <c:v>101.17878192534381</c:v>
                </c:pt>
                <c:pt idx="31">
                  <c:v>101.47347740667976</c:v>
                </c:pt>
                <c:pt idx="32">
                  <c:v>101.17878192534381</c:v>
                </c:pt>
                <c:pt idx="33">
                  <c:v>101.37524557956779</c:v>
                </c:pt>
                <c:pt idx="34">
                  <c:v>102.65225933202358</c:v>
                </c:pt>
                <c:pt idx="35">
                  <c:v>103.43811394891944</c:v>
                </c:pt>
                <c:pt idx="36">
                  <c:v>104.51866404715129</c:v>
                </c:pt>
                <c:pt idx="37">
                  <c:v>105.20628683693516</c:v>
                </c:pt>
                <c:pt idx="38">
                  <c:v>106.67976424361494</c:v>
                </c:pt>
                <c:pt idx="39">
                  <c:v>108.74263261296662</c:v>
                </c:pt>
                <c:pt idx="40">
                  <c:v>110.0196463654224</c:v>
                </c:pt>
                <c:pt idx="41">
                  <c:v>111.98428290766209</c:v>
                </c:pt>
                <c:pt idx="42">
                  <c:v>113.85068762278981</c:v>
                </c:pt>
                <c:pt idx="43">
                  <c:v>115.0294695481336</c:v>
                </c:pt>
                <c:pt idx="44">
                  <c:v>115.6188605108055</c:v>
                </c:pt>
                <c:pt idx="45">
                  <c:v>117.4852652259332</c:v>
                </c:pt>
                <c:pt idx="46">
                  <c:v>119.25343811394893</c:v>
                </c:pt>
                <c:pt idx="47">
                  <c:v>120.43222003929273</c:v>
                </c:pt>
                <c:pt idx="48">
                  <c:v>121.61100196463654</c:v>
                </c:pt>
                <c:pt idx="49">
                  <c:v>122.98624754420433</c:v>
                </c:pt>
                <c:pt idx="50">
                  <c:v>123.96856581532415</c:v>
                </c:pt>
                <c:pt idx="51">
                  <c:v>124.55795677799608</c:v>
                </c:pt>
                <c:pt idx="52">
                  <c:v>124.95088408644402</c:v>
                </c:pt>
                <c:pt idx="53">
                  <c:v>125.14734774066798</c:v>
                </c:pt>
                <c:pt idx="54">
                  <c:v>125.44204322200395</c:v>
                </c:pt>
                <c:pt idx="55">
                  <c:v>125.93320235756384</c:v>
                </c:pt>
                <c:pt idx="56">
                  <c:v>125.04911591355598</c:v>
                </c:pt>
                <c:pt idx="57">
                  <c:v>124.85265225933202</c:v>
                </c:pt>
                <c:pt idx="58">
                  <c:v>125.04911591355598</c:v>
                </c:pt>
                <c:pt idx="59">
                  <c:v>125.04911591355598</c:v>
                </c:pt>
                <c:pt idx="60">
                  <c:v>125.63850687622791</c:v>
                </c:pt>
                <c:pt idx="61">
                  <c:v>124.85265225933202</c:v>
                </c:pt>
                <c:pt idx="62">
                  <c:v>125.24557956777997</c:v>
                </c:pt>
                <c:pt idx="63">
                  <c:v>125.34381139489194</c:v>
                </c:pt>
                <c:pt idx="64">
                  <c:v>124.95088408644402</c:v>
                </c:pt>
                <c:pt idx="65">
                  <c:v>125.24557956777997</c:v>
                </c:pt>
                <c:pt idx="66">
                  <c:v>125.44204322200395</c:v>
                </c:pt>
                <c:pt idx="67">
                  <c:v>125.83497053045187</c:v>
                </c:pt>
                <c:pt idx="68">
                  <c:v>124.95088408644402</c:v>
                </c:pt>
                <c:pt idx="69">
                  <c:v>125.34381139489194</c:v>
                </c:pt>
                <c:pt idx="70">
                  <c:v>125.54027504911591</c:v>
                </c:pt>
                <c:pt idx="71">
                  <c:v>125.54027504911591</c:v>
                </c:pt>
                <c:pt idx="72">
                  <c:v>126.22789783889981</c:v>
                </c:pt>
                <c:pt idx="73">
                  <c:v>125.93320235756384</c:v>
                </c:pt>
                <c:pt idx="74">
                  <c:v>126.12966601178783</c:v>
                </c:pt>
                <c:pt idx="75">
                  <c:v>126.91552062868368</c:v>
                </c:pt>
                <c:pt idx="76">
                  <c:v>127.0137524557957</c:v>
                </c:pt>
                <c:pt idx="77">
                  <c:v>127.30844793713163</c:v>
                </c:pt>
                <c:pt idx="78">
                  <c:v>127.70137524557956</c:v>
                </c:pt>
                <c:pt idx="79">
                  <c:v>128.09430255402751</c:v>
                </c:pt>
                <c:pt idx="80">
                  <c:v>127.21021611001966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66-4F50-AAA0-93B893E5E077}"/>
            </c:ext>
          </c:extLst>
        </c:ser>
        <c:ser>
          <c:idx val="3"/>
          <c:order val="3"/>
          <c:tx>
            <c:strRef>
              <c:f>'fig 2 prod alim italia'!$C$37</c:f>
              <c:strCache>
                <c:ptCount val="1"/>
                <c:pt idx="0">
                  <c:v>Carni</c:v>
                </c:pt>
              </c:strCache>
            </c:strRef>
          </c:tx>
          <c:spPr>
            <a:ln w="28575" cap="rnd">
              <a:solidFill>
                <a:srgbClr val="A6A6A6"/>
              </a:solidFill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italia'!$D$37:$CF$37</c:f>
              <c:numCache>
                <c:formatCode>#,##0.#</c:formatCode>
                <c:ptCount val="81"/>
                <c:pt idx="0">
                  <c:v>99.710703953712638</c:v>
                </c:pt>
                <c:pt idx="1">
                  <c:v>99.517839922854392</c:v>
                </c:pt>
                <c:pt idx="2">
                  <c:v>99.421407907425248</c:v>
                </c:pt>
                <c:pt idx="3">
                  <c:v>99.517839922854392</c:v>
                </c:pt>
                <c:pt idx="4">
                  <c:v>99.80713596914174</c:v>
                </c:pt>
                <c:pt idx="5">
                  <c:v>99.80713596914174</c:v>
                </c:pt>
                <c:pt idx="6">
                  <c:v>99.90356798457087</c:v>
                </c:pt>
                <c:pt idx="7">
                  <c:v>100.09643201542913</c:v>
                </c:pt>
                <c:pt idx="8">
                  <c:v>100.28929604628736</c:v>
                </c:pt>
                <c:pt idx="9">
                  <c:v>100.57859209257474</c:v>
                </c:pt>
                <c:pt idx="10">
                  <c:v>100.8678881388621</c:v>
                </c:pt>
                <c:pt idx="11">
                  <c:v>100.77145612343297</c:v>
                </c:pt>
                <c:pt idx="12">
                  <c:v>101.54291224686595</c:v>
                </c:pt>
                <c:pt idx="13">
                  <c:v>101.73577627772421</c:v>
                </c:pt>
                <c:pt idx="14">
                  <c:v>102.50723240115718</c:v>
                </c:pt>
                <c:pt idx="15">
                  <c:v>102.79652844744453</c:v>
                </c:pt>
                <c:pt idx="16">
                  <c:v>102.79652844744453</c:v>
                </c:pt>
                <c:pt idx="17">
                  <c:v>102.50723240115718</c:v>
                </c:pt>
                <c:pt idx="18">
                  <c:v>102.21793635486982</c:v>
                </c:pt>
                <c:pt idx="19">
                  <c:v>102.31436837029892</c:v>
                </c:pt>
                <c:pt idx="20">
                  <c:v>102.21793635486982</c:v>
                </c:pt>
                <c:pt idx="21">
                  <c:v>101.92864030858244</c:v>
                </c:pt>
                <c:pt idx="22">
                  <c:v>102.21793635486982</c:v>
                </c:pt>
                <c:pt idx="23">
                  <c:v>102.02507232401157</c:v>
                </c:pt>
                <c:pt idx="24">
                  <c:v>102.50723240115718</c:v>
                </c:pt>
                <c:pt idx="25">
                  <c:v>102.31436837029892</c:v>
                </c:pt>
                <c:pt idx="26">
                  <c:v>102.50723240115718</c:v>
                </c:pt>
                <c:pt idx="27">
                  <c:v>102.70009643201543</c:v>
                </c:pt>
                <c:pt idx="28">
                  <c:v>102.89296046287369</c:v>
                </c:pt>
                <c:pt idx="29">
                  <c:v>102.98939247830279</c:v>
                </c:pt>
                <c:pt idx="30">
                  <c:v>102.98939247830279</c:v>
                </c:pt>
                <c:pt idx="31">
                  <c:v>103.4715525554484</c:v>
                </c:pt>
                <c:pt idx="32">
                  <c:v>103.4715525554484</c:v>
                </c:pt>
                <c:pt idx="33">
                  <c:v>103.66441658630666</c:v>
                </c:pt>
                <c:pt idx="34">
                  <c:v>103.8572806171649</c:v>
                </c:pt>
                <c:pt idx="35">
                  <c:v>104.24300867888138</c:v>
                </c:pt>
                <c:pt idx="36">
                  <c:v>105.20732883317261</c:v>
                </c:pt>
                <c:pt idx="37">
                  <c:v>106.26808100289296</c:v>
                </c:pt>
                <c:pt idx="38">
                  <c:v>107.3288331726133</c:v>
                </c:pt>
                <c:pt idx="39">
                  <c:v>109.06460945033751</c:v>
                </c:pt>
                <c:pt idx="40">
                  <c:v>110.31822565091612</c:v>
                </c:pt>
                <c:pt idx="41">
                  <c:v>111.37897782063644</c:v>
                </c:pt>
                <c:pt idx="42">
                  <c:v>111.86113789778207</c:v>
                </c:pt>
                <c:pt idx="43">
                  <c:v>112.63259402121504</c:v>
                </c:pt>
                <c:pt idx="44">
                  <c:v>113.30761812921889</c:v>
                </c:pt>
                <c:pt idx="45">
                  <c:v>114.46480231436837</c:v>
                </c:pt>
                <c:pt idx="46">
                  <c:v>115.13982642237224</c:v>
                </c:pt>
                <c:pt idx="47">
                  <c:v>115.91128254580521</c:v>
                </c:pt>
                <c:pt idx="48">
                  <c:v>116.58630665380907</c:v>
                </c:pt>
                <c:pt idx="49">
                  <c:v>116.77917068466729</c:v>
                </c:pt>
                <c:pt idx="50">
                  <c:v>117.16489874638381</c:v>
                </c:pt>
                <c:pt idx="51">
                  <c:v>117.45419479267116</c:v>
                </c:pt>
                <c:pt idx="52">
                  <c:v>118.32208293153327</c:v>
                </c:pt>
                <c:pt idx="53">
                  <c:v>118.41851494696239</c:v>
                </c:pt>
                <c:pt idx="54">
                  <c:v>118.51494696239151</c:v>
                </c:pt>
                <c:pt idx="55">
                  <c:v>118.99710703953713</c:v>
                </c:pt>
                <c:pt idx="56">
                  <c:v>119.18997107039537</c:v>
                </c:pt>
                <c:pt idx="57">
                  <c:v>119.47926711668273</c:v>
                </c:pt>
                <c:pt idx="58">
                  <c:v>119.57569913211185</c:v>
                </c:pt>
                <c:pt idx="59">
                  <c:v>119.76856316297011</c:v>
                </c:pt>
                <c:pt idx="60">
                  <c:v>120.34715525554482</c:v>
                </c:pt>
                <c:pt idx="61">
                  <c:v>120.34715525554482</c:v>
                </c:pt>
                <c:pt idx="62">
                  <c:v>120.34715525554482</c:v>
                </c:pt>
                <c:pt idx="63">
                  <c:v>120.34715525554482</c:v>
                </c:pt>
                <c:pt idx="64">
                  <c:v>120.25072324011572</c:v>
                </c:pt>
                <c:pt idx="65">
                  <c:v>120.63645130183221</c:v>
                </c:pt>
                <c:pt idx="66">
                  <c:v>120.44358727097398</c:v>
                </c:pt>
                <c:pt idx="67">
                  <c:v>120.92574734811959</c:v>
                </c:pt>
                <c:pt idx="68">
                  <c:v>121.11861137897782</c:v>
                </c:pt>
                <c:pt idx="69">
                  <c:v>121.40790742526519</c:v>
                </c:pt>
                <c:pt idx="70">
                  <c:v>122.17936354869816</c:v>
                </c:pt>
                <c:pt idx="71">
                  <c:v>122.46865959498554</c:v>
                </c:pt>
                <c:pt idx="72">
                  <c:v>123.33654773384764</c:v>
                </c:pt>
                <c:pt idx="73">
                  <c:v>123.43297974927677</c:v>
                </c:pt>
                <c:pt idx="74">
                  <c:v>124.10800385728061</c:v>
                </c:pt>
                <c:pt idx="75">
                  <c:v>124.87945998071359</c:v>
                </c:pt>
                <c:pt idx="76">
                  <c:v>125.55448408871743</c:v>
                </c:pt>
                <c:pt idx="77">
                  <c:v>126.03664416586304</c:v>
                </c:pt>
                <c:pt idx="78">
                  <c:v>126.71166827386693</c:v>
                </c:pt>
                <c:pt idx="79">
                  <c:v>127.29026036644167</c:v>
                </c:pt>
                <c:pt idx="80">
                  <c:v>127.86885245901638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66-4F50-AAA0-93B893E5E077}"/>
            </c:ext>
          </c:extLst>
        </c:ser>
        <c:ser>
          <c:idx val="4"/>
          <c:order val="4"/>
          <c:tx>
            <c:strRef>
              <c:f>'fig 2 prod alim italia'!$C$38</c:f>
              <c:strCache>
                <c:ptCount val="1"/>
                <c:pt idx="0">
                  <c:v>Pesci e prodotti ittici</c:v>
                </c:pt>
              </c:strCache>
            </c:strRef>
          </c:tx>
          <c:spPr>
            <a:ln w="28575" cap="rnd">
              <a:solidFill>
                <a:srgbClr val="A6A6A6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italia'!$D$38:$CF$38</c:f>
              <c:numCache>
                <c:formatCode>#,##0.#</c:formatCode>
                <c:ptCount val="81"/>
                <c:pt idx="0">
                  <c:v>100.18570102135563</c:v>
                </c:pt>
                <c:pt idx="1">
                  <c:v>100.37140204271122</c:v>
                </c:pt>
                <c:pt idx="2">
                  <c:v>99.90714948932218</c:v>
                </c:pt>
                <c:pt idx="3">
                  <c:v>99.721448467966582</c:v>
                </c:pt>
                <c:pt idx="4">
                  <c:v>100.18570102135563</c:v>
                </c:pt>
                <c:pt idx="5">
                  <c:v>100.18570102135563</c:v>
                </c:pt>
                <c:pt idx="6">
                  <c:v>100.18570102135563</c:v>
                </c:pt>
                <c:pt idx="7">
                  <c:v>100.27855153203342</c:v>
                </c:pt>
                <c:pt idx="8">
                  <c:v>100</c:v>
                </c:pt>
                <c:pt idx="9">
                  <c:v>99.721448467966582</c:v>
                </c:pt>
                <c:pt idx="10">
                  <c:v>99.721448467966582</c:v>
                </c:pt>
                <c:pt idx="11">
                  <c:v>99.628597957288761</c:v>
                </c:pt>
                <c:pt idx="12">
                  <c:v>101.57845868152276</c:v>
                </c:pt>
                <c:pt idx="13">
                  <c:v>101.39275766016713</c:v>
                </c:pt>
                <c:pt idx="14">
                  <c:v>101.94986072423397</c:v>
                </c:pt>
                <c:pt idx="15">
                  <c:v>102.1355617455896</c:v>
                </c:pt>
                <c:pt idx="16">
                  <c:v>102.41411327762302</c:v>
                </c:pt>
                <c:pt idx="17">
                  <c:v>102.04271123491179</c:v>
                </c:pt>
                <c:pt idx="18">
                  <c:v>101.85701021355618</c:v>
                </c:pt>
                <c:pt idx="19">
                  <c:v>102.04271123491179</c:v>
                </c:pt>
                <c:pt idx="20">
                  <c:v>102.04271123491179</c:v>
                </c:pt>
                <c:pt idx="21">
                  <c:v>101.67130919220055</c:v>
                </c:pt>
                <c:pt idx="22">
                  <c:v>101.02135561745588</c:v>
                </c:pt>
                <c:pt idx="23">
                  <c:v>101.02135561745588</c:v>
                </c:pt>
                <c:pt idx="24">
                  <c:v>102.32126276694522</c:v>
                </c:pt>
                <c:pt idx="25">
                  <c:v>102.2284122562674</c:v>
                </c:pt>
                <c:pt idx="26">
                  <c:v>102.2284122562674</c:v>
                </c:pt>
                <c:pt idx="27">
                  <c:v>103.24976787372331</c:v>
                </c:pt>
                <c:pt idx="28">
                  <c:v>103.24976787372331</c:v>
                </c:pt>
                <c:pt idx="29">
                  <c:v>103.24976787372331</c:v>
                </c:pt>
                <c:pt idx="30">
                  <c:v>103.43546889507893</c:v>
                </c:pt>
                <c:pt idx="31">
                  <c:v>104.17827298050139</c:v>
                </c:pt>
                <c:pt idx="32">
                  <c:v>103.99257195914578</c:v>
                </c:pt>
                <c:pt idx="33">
                  <c:v>103.99257195914578</c:v>
                </c:pt>
                <c:pt idx="34">
                  <c:v>104.2711234911792</c:v>
                </c:pt>
                <c:pt idx="35">
                  <c:v>104.36397400185702</c:v>
                </c:pt>
                <c:pt idx="36">
                  <c:v>106.03528319405757</c:v>
                </c:pt>
                <c:pt idx="37">
                  <c:v>106.68523676880224</c:v>
                </c:pt>
                <c:pt idx="38">
                  <c:v>108.26369545032497</c:v>
                </c:pt>
                <c:pt idx="39">
                  <c:v>108.91364902506963</c:v>
                </c:pt>
                <c:pt idx="40">
                  <c:v>110.49210770659239</c:v>
                </c:pt>
                <c:pt idx="41">
                  <c:v>112.16341689879295</c:v>
                </c:pt>
                <c:pt idx="42">
                  <c:v>113.09192200557104</c:v>
                </c:pt>
                <c:pt idx="43">
                  <c:v>113.8347260909935</c:v>
                </c:pt>
                <c:pt idx="44">
                  <c:v>114.11327762302692</c:v>
                </c:pt>
                <c:pt idx="45">
                  <c:v>114.20612813370474</c:v>
                </c:pt>
                <c:pt idx="46">
                  <c:v>114.76323119777159</c:v>
                </c:pt>
                <c:pt idx="47">
                  <c:v>115.04178272980501</c:v>
                </c:pt>
                <c:pt idx="48">
                  <c:v>116.71309192200556</c:v>
                </c:pt>
                <c:pt idx="49">
                  <c:v>117.73444753946146</c:v>
                </c:pt>
                <c:pt idx="50">
                  <c:v>118.01299907149489</c:v>
                </c:pt>
                <c:pt idx="51">
                  <c:v>118.94150417827298</c:v>
                </c:pt>
                <c:pt idx="52">
                  <c:v>119.49860724233983</c:v>
                </c:pt>
                <c:pt idx="53">
                  <c:v>118.94150417827298</c:v>
                </c:pt>
                <c:pt idx="54">
                  <c:v>119.22005571030641</c:v>
                </c:pt>
                <c:pt idx="55">
                  <c:v>119.68430826369544</c:v>
                </c:pt>
                <c:pt idx="56">
                  <c:v>118.84865366759516</c:v>
                </c:pt>
                <c:pt idx="57">
                  <c:v>118.47725162488393</c:v>
                </c:pt>
                <c:pt idx="58">
                  <c:v>118.47725162488393</c:v>
                </c:pt>
                <c:pt idx="59">
                  <c:v>118.47725162488393</c:v>
                </c:pt>
                <c:pt idx="60">
                  <c:v>119.68430826369544</c:v>
                </c:pt>
                <c:pt idx="61">
                  <c:v>120.0557103064067</c:v>
                </c:pt>
                <c:pt idx="62">
                  <c:v>120.70566388115134</c:v>
                </c:pt>
                <c:pt idx="63">
                  <c:v>121.07706592386258</c:v>
                </c:pt>
                <c:pt idx="64">
                  <c:v>121.16991643454038</c:v>
                </c:pt>
                <c:pt idx="65">
                  <c:v>120.98421541318478</c:v>
                </c:pt>
                <c:pt idx="66">
                  <c:v>120.42711234911792</c:v>
                </c:pt>
                <c:pt idx="67">
                  <c:v>121.35561745589601</c:v>
                </c:pt>
                <c:pt idx="68">
                  <c:v>120.89136490250696</c:v>
                </c:pt>
                <c:pt idx="69">
                  <c:v>120.51996285979574</c:v>
                </c:pt>
                <c:pt idx="70">
                  <c:v>119.96285979572887</c:v>
                </c:pt>
                <c:pt idx="71">
                  <c:v>120.0557103064067</c:v>
                </c:pt>
                <c:pt idx="72">
                  <c:v>122.65552460538531</c:v>
                </c:pt>
                <c:pt idx="73">
                  <c:v>122.28412256267409</c:v>
                </c:pt>
                <c:pt idx="74">
                  <c:v>123.02692664809656</c:v>
                </c:pt>
                <c:pt idx="75">
                  <c:v>123.21262766945216</c:v>
                </c:pt>
                <c:pt idx="76">
                  <c:v>123.67688022284121</c:v>
                </c:pt>
                <c:pt idx="77">
                  <c:v>123.67688022284121</c:v>
                </c:pt>
                <c:pt idx="78">
                  <c:v>123.95543175487464</c:v>
                </c:pt>
                <c:pt idx="79">
                  <c:v>124.6053853296193</c:v>
                </c:pt>
                <c:pt idx="80">
                  <c:v>124.79108635097494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666-4F50-AAA0-93B893E5E077}"/>
            </c:ext>
          </c:extLst>
        </c:ser>
        <c:ser>
          <c:idx val="5"/>
          <c:order val="5"/>
          <c:tx>
            <c:strRef>
              <c:f>'fig 2 prod alim italia'!$C$39</c:f>
              <c:strCache>
                <c:ptCount val="1"/>
                <c:pt idx="0">
                  <c:v>Latte, formaggi e uova</c:v>
                </c:pt>
              </c:strCache>
            </c:strRef>
          </c:tx>
          <c:spPr>
            <a:ln w="28575" cap="rnd">
              <a:solidFill>
                <a:srgbClr val="004172"/>
              </a:solidFill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italia'!$D$39:$CF$39</c:f>
              <c:numCache>
                <c:formatCode>#,##0.#</c:formatCode>
                <c:ptCount val="81"/>
                <c:pt idx="0">
                  <c:v>99.609375</c:v>
                </c:pt>
                <c:pt idx="1">
                  <c:v>99.609375</c:v>
                </c:pt>
                <c:pt idx="2">
                  <c:v>99.707031249999986</c:v>
                </c:pt>
                <c:pt idx="3">
                  <c:v>99.609375</c:v>
                </c:pt>
                <c:pt idx="4">
                  <c:v>100</c:v>
                </c:pt>
                <c:pt idx="5">
                  <c:v>100.09765625</c:v>
                </c:pt>
                <c:pt idx="6">
                  <c:v>100.19531249999997</c:v>
                </c:pt>
                <c:pt idx="7">
                  <c:v>100.48828125</c:v>
                </c:pt>
                <c:pt idx="8">
                  <c:v>100.09765625</c:v>
                </c:pt>
                <c:pt idx="9">
                  <c:v>100.29296875</c:v>
                </c:pt>
                <c:pt idx="10">
                  <c:v>100.390625</c:v>
                </c:pt>
                <c:pt idx="11">
                  <c:v>100</c:v>
                </c:pt>
                <c:pt idx="12">
                  <c:v>100.68359374999997</c:v>
                </c:pt>
                <c:pt idx="13">
                  <c:v>100.48828125</c:v>
                </c:pt>
                <c:pt idx="14">
                  <c:v>101.46484375</c:v>
                </c:pt>
                <c:pt idx="15">
                  <c:v>101.85546875</c:v>
                </c:pt>
                <c:pt idx="16">
                  <c:v>101.85546875</c:v>
                </c:pt>
                <c:pt idx="17">
                  <c:v>101.3671875</c:v>
                </c:pt>
                <c:pt idx="18">
                  <c:v>101.07421875</c:v>
                </c:pt>
                <c:pt idx="19">
                  <c:v>100.9765625</c:v>
                </c:pt>
                <c:pt idx="20">
                  <c:v>100.390625</c:v>
                </c:pt>
                <c:pt idx="21">
                  <c:v>100.19531249999997</c:v>
                </c:pt>
                <c:pt idx="22">
                  <c:v>100.390625</c:v>
                </c:pt>
                <c:pt idx="23">
                  <c:v>100.29296875</c:v>
                </c:pt>
                <c:pt idx="24">
                  <c:v>100.5859375</c:v>
                </c:pt>
                <c:pt idx="25">
                  <c:v>100.29296875</c:v>
                </c:pt>
                <c:pt idx="26">
                  <c:v>100.5859375</c:v>
                </c:pt>
                <c:pt idx="27">
                  <c:v>100.78125</c:v>
                </c:pt>
                <c:pt idx="28">
                  <c:v>100.68359374999997</c:v>
                </c:pt>
                <c:pt idx="29">
                  <c:v>101.07421875</c:v>
                </c:pt>
                <c:pt idx="30">
                  <c:v>101.07421875</c:v>
                </c:pt>
                <c:pt idx="31">
                  <c:v>101.26953125</c:v>
                </c:pt>
                <c:pt idx="32">
                  <c:v>100.9765625</c:v>
                </c:pt>
                <c:pt idx="33">
                  <c:v>100.9765625</c:v>
                </c:pt>
                <c:pt idx="34">
                  <c:v>101.17187499999997</c:v>
                </c:pt>
                <c:pt idx="35">
                  <c:v>101.46484375</c:v>
                </c:pt>
                <c:pt idx="36">
                  <c:v>102.24609375</c:v>
                </c:pt>
                <c:pt idx="37">
                  <c:v>102.734375</c:v>
                </c:pt>
                <c:pt idx="38">
                  <c:v>103.515625</c:v>
                </c:pt>
                <c:pt idx="39">
                  <c:v>104.8828125</c:v>
                </c:pt>
                <c:pt idx="40">
                  <c:v>106.93359375</c:v>
                </c:pt>
                <c:pt idx="41">
                  <c:v>109.08203125</c:v>
                </c:pt>
                <c:pt idx="42">
                  <c:v>111.23046875</c:v>
                </c:pt>
                <c:pt idx="43">
                  <c:v>113.18359375</c:v>
                </c:pt>
                <c:pt idx="44">
                  <c:v>114.84374999999997</c:v>
                </c:pt>
                <c:pt idx="45">
                  <c:v>117.3828125</c:v>
                </c:pt>
                <c:pt idx="46">
                  <c:v>119.82421875</c:v>
                </c:pt>
                <c:pt idx="47">
                  <c:v>121.09375</c:v>
                </c:pt>
                <c:pt idx="48">
                  <c:v>122.0703125</c:v>
                </c:pt>
                <c:pt idx="49">
                  <c:v>123.14453124999997</c:v>
                </c:pt>
                <c:pt idx="50">
                  <c:v>123.73046875</c:v>
                </c:pt>
                <c:pt idx="51">
                  <c:v>123.92578125</c:v>
                </c:pt>
                <c:pt idx="52">
                  <c:v>124.12109374999997</c:v>
                </c:pt>
                <c:pt idx="53">
                  <c:v>123.828125</c:v>
                </c:pt>
                <c:pt idx="54">
                  <c:v>124.12109374999997</c:v>
                </c:pt>
                <c:pt idx="55">
                  <c:v>124.21875</c:v>
                </c:pt>
                <c:pt idx="56">
                  <c:v>123.33984375</c:v>
                </c:pt>
                <c:pt idx="57">
                  <c:v>122.65624999999997</c:v>
                </c:pt>
                <c:pt idx="58">
                  <c:v>122.16796874999997</c:v>
                </c:pt>
                <c:pt idx="59">
                  <c:v>122.0703125</c:v>
                </c:pt>
                <c:pt idx="60">
                  <c:v>122.55859375</c:v>
                </c:pt>
                <c:pt idx="61">
                  <c:v>122.16796874999997</c:v>
                </c:pt>
                <c:pt idx="62">
                  <c:v>122.4609375</c:v>
                </c:pt>
                <c:pt idx="63">
                  <c:v>122.36328125</c:v>
                </c:pt>
                <c:pt idx="64">
                  <c:v>121.97265625</c:v>
                </c:pt>
                <c:pt idx="65">
                  <c:v>122.4609375</c:v>
                </c:pt>
                <c:pt idx="66">
                  <c:v>122.4609375</c:v>
                </c:pt>
                <c:pt idx="67">
                  <c:v>123.14453124999997</c:v>
                </c:pt>
                <c:pt idx="68">
                  <c:v>122.8515625</c:v>
                </c:pt>
                <c:pt idx="69">
                  <c:v>123.046875</c:v>
                </c:pt>
                <c:pt idx="70">
                  <c:v>123.92578125</c:v>
                </c:pt>
                <c:pt idx="71">
                  <c:v>124.12109374999997</c:v>
                </c:pt>
                <c:pt idx="72">
                  <c:v>124.90234375</c:v>
                </c:pt>
                <c:pt idx="73">
                  <c:v>125.58593749999997</c:v>
                </c:pt>
                <c:pt idx="74">
                  <c:v>126.26953125</c:v>
                </c:pt>
                <c:pt idx="75">
                  <c:v>127.14843749999997</c:v>
                </c:pt>
                <c:pt idx="76">
                  <c:v>127.83203125</c:v>
                </c:pt>
                <c:pt idx="77">
                  <c:v>128.61328124999997</c:v>
                </c:pt>
                <c:pt idx="78">
                  <c:v>129.19921875</c:v>
                </c:pt>
                <c:pt idx="79">
                  <c:v>129.6875</c:v>
                </c:pt>
                <c:pt idx="80">
                  <c:v>129.39453125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666-4F50-AAA0-93B893E5E077}"/>
            </c:ext>
          </c:extLst>
        </c:ser>
        <c:ser>
          <c:idx val="6"/>
          <c:order val="6"/>
          <c:tx>
            <c:strRef>
              <c:f>'fig 2 prod alim italia'!$C$40</c:f>
              <c:strCache>
                <c:ptCount val="1"/>
                <c:pt idx="0">
                  <c:v>Frutta</c:v>
                </c:pt>
              </c:strCache>
            </c:strRef>
          </c:tx>
          <c:spPr>
            <a:ln w="28575" cap="rnd">
              <a:solidFill>
                <a:srgbClr val="004172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italia'!$D$40:$CF$40</c:f>
              <c:numCache>
                <c:formatCode>#,##0.#</c:formatCode>
                <c:ptCount val="81"/>
                <c:pt idx="0">
                  <c:v>98.451730418943527</c:v>
                </c:pt>
                <c:pt idx="1">
                  <c:v>98.54280510018215</c:v>
                </c:pt>
                <c:pt idx="2">
                  <c:v>98.63387978142076</c:v>
                </c:pt>
                <c:pt idx="3">
                  <c:v>97.358834244080157</c:v>
                </c:pt>
                <c:pt idx="4">
                  <c:v>106.46630236794172</c:v>
                </c:pt>
                <c:pt idx="5">
                  <c:v>103.64298724954462</c:v>
                </c:pt>
                <c:pt idx="6">
                  <c:v>100.72859744990892</c:v>
                </c:pt>
                <c:pt idx="7">
                  <c:v>99.453551912568315</c:v>
                </c:pt>
                <c:pt idx="8">
                  <c:v>97.17668488160291</c:v>
                </c:pt>
                <c:pt idx="9">
                  <c:v>97.996357012750451</c:v>
                </c:pt>
                <c:pt idx="10">
                  <c:v>101.27504553734063</c:v>
                </c:pt>
                <c:pt idx="11">
                  <c:v>100.45537340619308</c:v>
                </c:pt>
                <c:pt idx="12">
                  <c:v>101.18397085610201</c:v>
                </c:pt>
                <c:pt idx="13">
                  <c:v>102.36794171220403</c:v>
                </c:pt>
                <c:pt idx="14">
                  <c:v>102.27686703096539</c:v>
                </c:pt>
                <c:pt idx="15">
                  <c:v>105.64663023679417</c:v>
                </c:pt>
                <c:pt idx="16">
                  <c:v>114.02550091074681</c:v>
                </c:pt>
                <c:pt idx="17">
                  <c:v>114.20765027322406</c:v>
                </c:pt>
                <c:pt idx="18">
                  <c:v>107.92349726775956</c:v>
                </c:pt>
                <c:pt idx="19">
                  <c:v>106.64845173041894</c:v>
                </c:pt>
                <c:pt idx="20">
                  <c:v>105.91985428051002</c:v>
                </c:pt>
                <c:pt idx="21">
                  <c:v>106.55737704918033</c:v>
                </c:pt>
                <c:pt idx="22">
                  <c:v>106.37522768670308</c:v>
                </c:pt>
                <c:pt idx="23">
                  <c:v>103.82513661202186</c:v>
                </c:pt>
                <c:pt idx="24">
                  <c:v>103.73406193078326</c:v>
                </c:pt>
                <c:pt idx="25">
                  <c:v>104.00728597449908</c:v>
                </c:pt>
                <c:pt idx="26">
                  <c:v>105.37340619307834</c:v>
                </c:pt>
                <c:pt idx="27">
                  <c:v>104.91803278688525</c:v>
                </c:pt>
                <c:pt idx="28">
                  <c:v>111.93078324225867</c:v>
                </c:pt>
                <c:pt idx="29">
                  <c:v>108.83424408014572</c:v>
                </c:pt>
                <c:pt idx="30">
                  <c:v>103.09653916211295</c:v>
                </c:pt>
                <c:pt idx="31">
                  <c:v>104.09836065573769</c:v>
                </c:pt>
                <c:pt idx="32">
                  <c:v>103.64298724954462</c:v>
                </c:pt>
                <c:pt idx="33">
                  <c:v>105.55555555555556</c:v>
                </c:pt>
                <c:pt idx="34">
                  <c:v>108.37887067395265</c:v>
                </c:pt>
                <c:pt idx="35">
                  <c:v>107.92349726775956</c:v>
                </c:pt>
                <c:pt idx="36">
                  <c:v>109.01639344262296</c:v>
                </c:pt>
                <c:pt idx="37">
                  <c:v>110.47358834244081</c:v>
                </c:pt>
                <c:pt idx="38">
                  <c:v>113.2969034608379</c:v>
                </c:pt>
                <c:pt idx="39">
                  <c:v>112.47723132969034</c:v>
                </c:pt>
                <c:pt idx="40">
                  <c:v>118.39708561020036</c:v>
                </c:pt>
                <c:pt idx="41">
                  <c:v>119.76320582877959</c:v>
                </c:pt>
                <c:pt idx="42">
                  <c:v>111.83970856102003</c:v>
                </c:pt>
                <c:pt idx="43">
                  <c:v>112.47723132969034</c:v>
                </c:pt>
                <c:pt idx="44">
                  <c:v>111.65755919854281</c:v>
                </c:pt>
                <c:pt idx="45">
                  <c:v>112.47723132969034</c:v>
                </c:pt>
                <c:pt idx="46">
                  <c:v>115.93806921675774</c:v>
                </c:pt>
                <c:pt idx="47">
                  <c:v>112.7504553734062</c:v>
                </c:pt>
                <c:pt idx="48">
                  <c:v>114.48087431693989</c:v>
                </c:pt>
                <c:pt idx="49">
                  <c:v>116.57559198542806</c:v>
                </c:pt>
                <c:pt idx="50">
                  <c:v>120.03642987249546</c:v>
                </c:pt>
                <c:pt idx="51">
                  <c:v>121.31147540983606</c:v>
                </c:pt>
                <c:pt idx="52">
                  <c:v>126.68488160291437</c:v>
                </c:pt>
                <c:pt idx="53">
                  <c:v>129.78142076502732</c:v>
                </c:pt>
                <c:pt idx="54">
                  <c:v>126.32058287795994</c:v>
                </c:pt>
                <c:pt idx="55">
                  <c:v>122.67759562841529</c:v>
                </c:pt>
                <c:pt idx="56">
                  <c:v>122.13114754098359</c:v>
                </c:pt>
                <c:pt idx="57">
                  <c:v>123.224043715847</c:v>
                </c:pt>
                <c:pt idx="58">
                  <c:v>127.59562841530054</c:v>
                </c:pt>
                <c:pt idx="59">
                  <c:v>127.32240437158471</c:v>
                </c:pt>
                <c:pt idx="60">
                  <c:v>128.23315118397088</c:v>
                </c:pt>
                <c:pt idx="61">
                  <c:v>128.41530054644809</c:v>
                </c:pt>
                <c:pt idx="62">
                  <c:v>128.05100182149363</c:v>
                </c:pt>
                <c:pt idx="63">
                  <c:v>127.23132969034607</c:v>
                </c:pt>
                <c:pt idx="64">
                  <c:v>134.06193078324225</c:v>
                </c:pt>
                <c:pt idx="65">
                  <c:v>129.78142076502732</c:v>
                </c:pt>
                <c:pt idx="66">
                  <c:v>124.31693989071037</c:v>
                </c:pt>
                <c:pt idx="67">
                  <c:v>120.49180327868854</c:v>
                </c:pt>
                <c:pt idx="68">
                  <c:v>122.22222222222221</c:v>
                </c:pt>
                <c:pt idx="69">
                  <c:v>126.59380692167576</c:v>
                </c:pt>
                <c:pt idx="70">
                  <c:v>130.87431693989072</c:v>
                </c:pt>
                <c:pt idx="71">
                  <c:v>130.14571948998179</c:v>
                </c:pt>
                <c:pt idx="72">
                  <c:v>130.96539162112936</c:v>
                </c:pt>
                <c:pt idx="73">
                  <c:v>132.14936247723134</c:v>
                </c:pt>
                <c:pt idx="74">
                  <c:v>132.24043715846994</c:v>
                </c:pt>
                <c:pt idx="75">
                  <c:v>133.24225865209473</c:v>
                </c:pt>
                <c:pt idx="76">
                  <c:v>139.79963570127504</c:v>
                </c:pt>
                <c:pt idx="77">
                  <c:v>138.88888888888889</c:v>
                </c:pt>
                <c:pt idx="78">
                  <c:v>134.88160291438979</c:v>
                </c:pt>
                <c:pt idx="79">
                  <c:v>130.6921675774135</c:v>
                </c:pt>
                <c:pt idx="80">
                  <c:v>128.87067395264117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666-4F50-AAA0-93B893E5E077}"/>
            </c:ext>
          </c:extLst>
        </c:ser>
        <c:ser>
          <c:idx val="7"/>
          <c:order val="7"/>
          <c:tx>
            <c:strRef>
              <c:f>'fig 2 prod alim italia'!$C$41</c:f>
              <c:strCache>
                <c:ptCount val="1"/>
                <c:pt idx="0">
                  <c:v>Vegetali</c:v>
                </c:pt>
              </c:strCache>
            </c:strRef>
          </c:tx>
          <c:spPr>
            <a:ln w="28575" cap="rnd">
              <a:solidFill>
                <a:srgbClr val="83CBEB"/>
              </a:solidFill>
              <a:round/>
            </a:ln>
            <a:effectLst/>
          </c:spPr>
          <c:marker>
            <c:symbol val="none"/>
          </c:marker>
          <c:cat>
            <c:numRef>
              <c:f>'fig 2 prod alim italia'!$D$33:$CF$33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2 prod alim italia'!$D$41:$CG$41</c:f>
              <c:numCache>
                <c:formatCode>#,##0.#</c:formatCode>
                <c:ptCount val="82"/>
                <c:pt idx="0">
                  <c:v>103.42910101946245</c:v>
                </c:pt>
                <c:pt idx="1">
                  <c:v>107.13623725671917</c:v>
                </c:pt>
                <c:pt idx="2">
                  <c:v>102.50231696014826</c:v>
                </c:pt>
                <c:pt idx="3">
                  <c:v>100.27803521779425</c:v>
                </c:pt>
                <c:pt idx="4">
                  <c:v>99.721964782205745</c:v>
                </c:pt>
                <c:pt idx="5">
                  <c:v>98.14643188137164</c:v>
                </c:pt>
                <c:pt idx="6">
                  <c:v>97.219647822057468</c:v>
                </c:pt>
                <c:pt idx="7">
                  <c:v>97.12696941612603</c:v>
                </c:pt>
                <c:pt idx="8">
                  <c:v>97.961075069508809</c:v>
                </c:pt>
                <c:pt idx="9">
                  <c:v>97.683039851714554</c:v>
                </c:pt>
                <c:pt idx="10">
                  <c:v>98.517145505097304</c:v>
                </c:pt>
                <c:pt idx="11">
                  <c:v>100.27803521779425</c:v>
                </c:pt>
                <c:pt idx="12">
                  <c:v>101.76088971269692</c:v>
                </c:pt>
                <c:pt idx="13">
                  <c:v>102.68767377201111</c:v>
                </c:pt>
                <c:pt idx="14">
                  <c:v>100.5560704355885</c:v>
                </c:pt>
                <c:pt idx="15">
                  <c:v>105.09731232622799</c:v>
                </c:pt>
                <c:pt idx="16">
                  <c:v>103.42910101946245</c:v>
                </c:pt>
                <c:pt idx="17">
                  <c:v>101.20481927710843</c:v>
                </c:pt>
                <c:pt idx="18">
                  <c:v>97.405004633920285</c:v>
                </c:pt>
                <c:pt idx="19">
                  <c:v>95.736793327154771</c:v>
                </c:pt>
                <c:pt idx="20">
                  <c:v>97.868396663577371</c:v>
                </c:pt>
                <c:pt idx="21">
                  <c:v>100.74142724745134</c:v>
                </c:pt>
                <c:pt idx="22">
                  <c:v>103.6144578313253</c:v>
                </c:pt>
                <c:pt idx="23">
                  <c:v>101.39017608897127</c:v>
                </c:pt>
                <c:pt idx="24">
                  <c:v>102.31696014828545</c:v>
                </c:pt>
                <c:pt idx="25">
                  <c:v>102.5949953660797</c:v>
                </c:pt>
                <c:pt idx="26">
                  <c:v>100.6487488415199</c:v>
                </c:pt>
                <c:pt idx="27">
                  <c:v>103.70713623725672</c:v>
                </c:pt>
                <c:pt idx="28">
                  <c:v>101.94624652455977</c:v>
                </c:pt>
                <c:pt idx="29">
                  <c:v>99.907321594068577</c:v>
                </c:pt>
                <c:pt idx="30">
                  <c:v>98.239110287303049</c:v>
                </c:pt>
                <c:pt idx="31">
                  <c:v>98.053753475440217</c:v>
                </c:pt>
                <c:pt idx="32">
                  <c:v>100.74142724745134</c:v>
                </c:pt>
                <c:pt idx="33">
                  <c:v>101.20481927710843</c:v>
                </c:pt>
                <c:pt idx="34">
                  <c:v>103.33642261353104</c:v>
                </c:pt>
                <c:pt idx="35">
                  <c:v>106.67284522706208</c:v>
                </c:pt>
                <c:pt idx="36">
                  <c:v>111.49212233549581</c:v>
                </c:pt>
                <c:pt idx="37">
                  <c:v>114.17979610750695</c:v>
                </c:pt>
                <c:pt idx="38">
                  <c:v>112.51158480074143</c:v>
                </c:pt>
                <c:pt idx="39">
                  <c:v>112.97497683039852</c:v>
                </c:pt>
                <c:pt idx="40">
                  <c:v>110.93605189990731</c:v>
                </c:pt>
                <c:pt idx="41">
                  <c:v>109.73123262279888</c:v>
                </c:pt>
                <c:pt idx="42">
                  <c:v>108.43373493975903</c:v>
                </c:pt>
                <c:pt idx="43">
                  <c:v>108.98980537534753</c:v>
                </c:pt>
                <c:pt idx="44">
                  <c:v>115.01390176088971</c:v>
                </c:pt>
                <c:pt idx="45">
                  <c:v>121.68674698795181</c:v>
                </c:pt>
                <c:pt idx="46">
                  <c:v>118.99907321594068</c:v>
                </c:pt>
                <c:pt idx="47">
                  <c:v>118.16496756255792</c:v>
                </c:pt>
                <c:pt idx="48">
                  <c:v>117.97961075069507</c:v>
                </c:pt>
                <c:pt idx="49">
                  <c:v>126.13531047265987</c:v>
                </c:pt>
                <c:pt idx="50">
                  <c:v>126.69138090824836</c:v>
                </c:pt>
                <c:pt idx="51">
                  <c:v>125.94995366079704</c:v>
                </c:pt>
                <c:pt idx="52">
                  <c:v>128.54494902687671</c:v>
                </c:pt>
                <c:pt idx="53">
                  <c:v>129.37905468025949</c:v>
                </c:pt>
                <c:pt idx="54">
                  <c:v>129.28637627432809</c:v>
                </c:pt>
                <c:pt idx="55">
                  <c:v>129.74976830398518</c:v>
                </c:pt>
                <c:pt idx="56">
                  <c:v>132.62279888785912</c:v>
                </c:pt>
                <c:pt idx="57">
                  <c:v>130.12048192771084</c:v>
                </c:pt>
                <c:pt idx="58">
                  <c:v>129.28637627432809</c:v>
                </c:pt>
                <c:pt idx="59">
                  <c:v>131.60333642261352</c:v>
                </c:pt>
                <c:pt idx="60">
                  <c:v>134.1056533827618</c:v>
                </c:pt>
                <c:pt idx="61">
                  <c:v>131.60333642261352</c:v>
                </c:pt>
                <c:pt idx="62">
                  <c:v>128.9156626506024</c:v>
                </c:pt>
                <c:pt idx="63">
                  <c:v>129.47173308619091</c:v>
                </c:pt>
                <c:pt idx="64">
                  <c:v>130.21316033364226</c:v>
                </c:pt>
                <c:pt idx="65">
                  <c:v>129.47173308619091</c:v>
                </c:pt>
                <c:pt idx="66">
                  <c:v>127.52548656163111</c:v>
                </c:pt>
                <c:pt idx="67">
                  <c:v>127.61816496756254</c:v>
                </c:pt>
                <c:pt idx="68">
                  <c:v>131.32530120481925</c:v>
                </c:pt>
                <c:pt idx="69">
                  <c:v>138.09082483781279</c:v>
                </c:pt>
                <c:pt idx="70">
                  <c:v>139.29564411492123</c:v>
                </c:pt>
                <c:pt idx="71">
                  <c:v>134.66172381835034</c:v>
                </c:pt>
                <c:pt idx="72">
                  <c:v>136.42261353104726</c:v>
                </c:pt>
                <c:pt idx="73">
                  <c:v>135.21779425393882</c:v>
                </c:pt>
                <c:pt idx="74">
                  <c:v>132.99351251158481</c:v>
                </c:pt>
                <c:pt idx="75">
                  <c:v>135.12511584800743</c:v>
                </c:pt>
                <c:pt idx="76">
                  <c:v>132.71547729379054</c:v>
                </c:pt>
                <c:pt idx="77">
                  <c:v>131.04726598702504</c:v>
                </c:pt>
                <c:pt idx="78">
                  <c:v>130.76923076923075</c:v>
                </c:pt>
                <c:pt idx="79">
                  <c:v>132.34476367006488</c:v>
                </c:pt>
                <c:pt idx="80">
                  <c:v>134.29101019462465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F666-4F50-AAA0-93B893E5E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668575"/>
        <c:axId val="2125678975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'fig 2 prod alim italia'!$C$34</c15:sqref>
                        </c15:formulaRef>
                      </c:ext>
                    </c:extLst>
                    <c:strCache>
                      <c:ptCount val="1"/>
                      <c:pt idx="0">
                        <c:v>Indice generale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'fig 2 prod alim italia'!$D$33:$CF$33</c15:sqref>
                        </c15:formulaRef>
                      </c:ext>
                    </c:extLst>
                    <c:numCache>
                      <c:formatCode>General</c:formatCode>
                      <c:ptCount val="81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'fig 2 prod alim italia'!$D$34:$CG$34</c15:sqref>
                        </c15:formulaRef>
                      </c:ext>
                    </c:extLst>
                    <c:numCache>
                      <c:formatCode>#,##0.#</c:formatCode>
                      <c:ptCount val="82"/>
                      <c:pt idx="0">
                        <c:v>98.352713178294564</c:v>
                      </c:pt>
                      <c:pt idx="1">
                        <c:v>98.062015503875969</c:v>
                      </c:pt>
                      <c:pt idx="2">
                        <c:v>100.29069767441861</c:v>
                      </c:pt>
                      <c:pt idx="3">
                        <c:v>100.77519379844961</c:v>
                      </c:pt>
                      <c:pt idx="4">
                        <c:v>100.87209302325581</c:v>
                      </c:pt>
                      <c:pt idx="5">
                        <c:v>100.96899224806202</c:v>
                      </c:pt>
                      <c:pt idx="6">
                        <c:v>99.127906976744185</c:v>
                      </c:pt>
                      <c:pt idx="7">
                        <c:v>99.127906976744185</c:v>
                      </c:pt>
                      <c:pt idx="8">
                        <c:v>100.48449612403101</c:v>
                      </c:pt>
                      <c:pt idx="9">
                        <c:v>100.67829457364341</c:v>
                      </c:pt>
                      <c:pt idx="10">
                        <c:v>100.3875968992248</c:v>
                      </c:pt>
                      <c:pt idx="11">
                        <c:v>100.58139534883721</c:v>
                      </c:pt>
                      <c:pt idx="12">
                        <c:v>98.740310077519382</c:v>
                      </c:pt>
                      <c:pt idx="13">
                        <c:v>98.255813953488385</c:v>
                      </c:pt>
                      <c:pt idx="14">
                        <c:v>100.3875968992248</c:v>
                      </c:pt>
                      <c:pt idx="15">
                        <c:v>100.87209302325581</c:v>
                      </c:pt>
                      <c:pt idx="16">
                        <c:v>100.58139534883721</c:v>
                      </c:pt>
                      <c:pt idx="17">
                        <c:v>100.58139534883721</c:v>
                      </c:pt>
                      <c:pt idx="18">
                        <c:v>99.903100775193792</c:v>
                      </c:pt>
                      <c:pt idx="19">
                        <c:v>98.643410852713174</c:v>
                      </c:pt>
                      <c:pt idx="20">
                        <c:v>99.515503875968989</c:v>
                      </c:pt>
                      <c:pt idx="21">
                        <c:v>100.09689922480621</c:v>
                      </c:pt>
                      <c:pt idx="22">
                        <c:v>100.09689922480621</c:v>
                      </c:pt>
                      <c:pt idx="23">
                        <c:v>100.29069767441861</c:v>
                      </c:pt>
                      <c:pt idx="24">
                        <c:v>99.418604651162781</c:v>
                      </c:pt>
                      <c:pt idx="25">
                        <c:v>99.224806201550393</c:v>
                      </c:pt>
                      <c:pt idx="26">
                        <c:v>100.96899224806202</c:v>
                      </c:pt>
                      <c:pt idx="27">
                        <c:v>101.84108527131781</c:v>
                      </c:pt>
                      <c:pt idx="28">
                        <c:v>101.74418604651163</c:v>
                      </c:pt>
                      <c:pt idx="29">
                        <c:v>101.93798449612403</c:v>
                      </c:pt>
                      <c:pt idx="30">
                        <c:v>100.87209302325581</c:v>
                      </c:pt>
                      <c:pt idx="31">
                        <c:v>101.06589147286822</c:v>
                      </c:pt>
                      <c:pt idx="32">
                        <c:v>102.42248062015504</c:v>
                      </c:pt>
                      <c:pt idx="33">
                        <c:v>103.29457364341084</c:v>
                      </c:pt>
                      <c:pt idx="34">
                        <c:v>103.97286821705424</c:v>
                      </c:pt>
                      <c:pt idx="35">
                        <c:v>104.45736434108525</c:v>
                      </c:pt>
                      <c:pt idx="36">
                        <c:v>104.45736434108525</c:v>
                      </c:pt>
                      <c:pt idx="37">
                        <c:v>105.3294573643411</c:v>
                      </c:pt>
                      <c:pt idx="38">
                        <c:v>107.84883720930232</c:v>
                      </c:pt>
                      <c:pt idx="39">
                        <c:v>108.23643410852712</c:v>
                      </c:pt>
                      <c:pt idx="40">
                        <c:v>109.20542635658914</c:v>
                      </c:pt>
                      <c:pt idx="41">
                        <c:v>110.56201550387597</c:v>
                      </c:pt>
                      <c:pt idx="42">
                        <c:v>109.30232558139534</c:v>
                      </c:pt>
                      <c:pt idx="43">
                        <c:v>110.27131782945736</c:v>
                      </c:pt>
                      <c:pt idx="44">
                        <c:v>112.01550387596899</c:v>
                      </c:pt>
                      <c:pt idx="45">
                        <c:v>116.27906976744187</c:v>
                      </c:pt>
                      <c:pt idx="46">
                        <c:v>117.05426356589146</c:v>
                      </c:pt>
                      <c:pt idx="47">
                        <c:v>117.34496124031007</c:v>
                      </c:pt>
                      <c:pt idx="48">
                        <c:v>115.60077519379843</c:v>
                      </c:pt>
                      <c:pt idx="49">
                        <c:v>115.69767441860466</c:v>
                      </c:pt>
                      <c:pt idx="50">
                        <c:v>116.56976744186045</c:v>
                      </c:pt>
                      <c:pt idx="51">
                        <c:v>117.53875968992247</c:v>
                      </c:pt>
                      <c:pt idx="52">
                        <c:v>117.9263565891473</c:v>
                      </c:pt>
                      <c:pt idx="53">
                        <c:v>118.02325581395348</c:v>
                      </c:pt>
                      <c:pt idx="54">
                        <c:v>116.18217054263566</c:v>
                      </c:pt>
                      <c:pt idx="55">
                        <c:v>116.37596899224805</c:v>
                      </c:pt>
                      <c:pt idx="56">
                        <c:v>118.31395348837208</c:v>
                      </c:pt>
                      <c:pt idx="57">
                        <c:v>118.4108527131783</c:v>
                      </c:pt>
                      <c:pt idx="58">
                        <c:v>117.73255813953487</c:v>
                      </c:pt>
                      <c:pt idx="59">
                        <c:v>117.9263565891473</c:v>
                      </c:pt>
                      <c:pt idx="60">
                        <c:v>116.66666666666667</c:v>
                      </c:pt>
                      <c:pt idx="61">
                        <c:v>116.66666666666667</c:v>
                      </c:pt>
                      <c:pt idx="62">
                        <c:v>118.02325581395348</c:v>
                      </c:pt>
                      <c:pt idx="63">
                        <c:v>118.6046511627907</c:v>
                      </c:pt>
                      <c:pt idx="64">
                        <c:v>118.8953488372093</c:v>
                      </c:pt>
                      <c:pt idx="65">
                        <c:v>119.08914728682171</c:v>
                      </c:pt>
                      <c:pt idx="66">
                        <c:v>118.02325581395348</c:v>
                      </c:pt>
                      <c:pt idx="67">
                        <c:v>117.82945736434107</c:v>
                      </c:pt>
                      <c:pt idx="68">
                        <c:v>119.18604651162789</c:v>
                      </c:pt>
                      <c:pt idx="69">
                        <c:v>119.57364341085272</c:v>
                      </c:pt>
                      <c:pt idx="70">
                        <c:v>119.4767441860465</c:v>
                      </c:pt>
                      <c:pt idx="71">
                        <c:v>119.57364341085272</c:v>
                      </c:pt>
                      <c:pt idx="72">
                        <c:v>118.6046511627907</c:v>
                      </c:pt>
                      <c:pt idx="73">
                        <c:v>118.70155038759688</c:v>
                      </c:pt>
                      <c:pt idx="74">
                        <c:v>120.54263565891472</c:v>
                      </c:pt>
                      <c:pt idx="75">
                        <c:v>121.02713178294573</c:v>
                      </c:pt>
                      <c:pt idx="76">
                        <c:v>120.93023255813952</c:v>
                      </c:pt>
                      <c:pt idx="77">
                        <c:v>121.22093023255813</c:v>
                      </c:pt>
                      <c:pt idx="78">
                        <c:v>120.05813953488371</c:v>
                      </c:pt>
                      <c:pt idx="79">
                        <c:v>119.76744186046511</c:v>
                      </c:pt>
                      <c:pt idx="80">
                        <c:v>121.31782945736434</c:v>
                      </c:pt>
                      <c:pt idx="81">
                        <c:v>121.12403100775194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F666-4F50-AAA0-93B893E5E077}"/>
                  </c:ext>
                </c:extLst>
              </c15:ser>
            </c15:filteredLineSeries>
          </c:ext>
        </c:extLst>
      </c:lineChart>
      <c:catAx>
        <c:axId val="2125668575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78975"/>
        <c:crosses val="autoZero"/>
        <c:auto val="1"/>
        <c:lblAlgn val="ctr"/>
        <c:lblOffset val="100"/>
        <c:tickLblSkip val="1"/>
        <c:noMultiLvlLbl val="0"/>
      </c:catAx>
      <c:valAx>
        <c:axId val="2125678975"/>
        <c:scaling>
          <c:orientation val="minMax"/>
          <c:max val="140"/>
          <c:min val="9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68575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5937394657043464E-2"/>
          <c:y val="2.1238774144705007E-2"/>
          <c:w val="0.92082411631933003"/>
          <c:h val="0.123164783589411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99602514555654E-2"/>
          <c:y val="0.12968765555290593"/>
          <c:w val="0.91764003190542398"/>
          <c:h val="0.71884832390658604"/>
        </c:manualLayout>
      </c:layout>
      <c:lineChart>
        <c:grouping val="standard"/>
        <c:varyColors val="0"/>
        <c:ser>
          <c:idx val="1"/>
          <c:order val="1"/>
          <c:tx>
            <c:strRef>
              <c:f>'fig F3'!$B$34</c:f>
              <c:strCache>
                <c:ptCount val="1"/>
                <c:pt idx="0">
                  <c:v>Unione europea  27 </c:v>
                </c:pt>
              </c:strCache>
            </c:strRef>
          </c:tx>
          <c:spPr>
            <a:ln w="28575" cap="rnd">
              <a:solidFill>
                <a:srgbClr val="00817F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F3'!$C$34:$CE$34</c:f>
              <c:numCache>
                <c:formatCode>#,##0.#</c:formatCode>
                <c:ptCount val="81"/>
                <c:pt idx="0">
                  <c:v>99.046907120164462</c:v>
                </c:pt>
                <c:pt idx="1">
                  <c:v>99.570173799289861</c:v>
                </c:pt>
                <c:pt idx="2">
                  <c:v>99.401980938142401</c:v>
                </c:pt>
                <c:pt idx="3">
                  <c:v>99.504765464399185</c:v>
                </c:pt>
                <c:pt idx="4">
                  <c:v>100.16819286114746</c:v>
                </c:pt>
                <c:pt idx="5">
                  <c:v>100.17753690898897</c:v>
                </c:pt>
                <c:pt idx="6">
                  <c:v>100.25228929172118</c:v>
                </c:pt>
                <c:pt idx="7">
                  <c:v>100.31769762661185</c:v>
                </c:pt>
                <c:pt idx="8">
                  <c:v>100.00934404784152</c:v>
                </c:pt>
                <c:pt idx="9">
                  <c:v>100.17753690898897</c:v>
                </c:pt>
                <c:pt idx="10">
                  <c:v>100.50457858344235</c:v>
                </c:pt>
                <c:pt idx="11">
                  <c:v>100.90637264062792</c:v>
                </c:pt>
                <c:pt idx="12">
                  <c:v>101.78471313773127</c:v>
                </c:pt>
                <c:pt idx="13">
                  <c:v>102.34535600822277</c:v>
                </c:pt>
                <c:pt idx="14">
                  <c:v>102.68174173051767</c:v>
                </c:pt>
                <c:pt idx="15">
                  <c:v>104.01794057185572</c:v>
                </c:pt>
                <c:pt idx="16">
                  <c:v>104.27957391141842</c:v>
                </c:pt>
                <c:pt idx="17">
                  <c:v>103.86843580639133</c:v>
                </c:pt>
                <c:pt idx="18">
                  <c:v>102.56026910857786</c:v>
                </c:pt>
                <c:pt idx="19">
                  <c:v>102.23322743412446</c:v>
                </c:pt>
                <c:pt idx="20">
                  <c:v>101.9435619510372</c:v>
                </c:pt>
                <c:pt idx="21">
                  <c:v>102.28929172117363</c:v>
                </c:pt>
                <c:pt idx="22">
                  <c:v>102.38273219958887</c:v>
                </c:pt>
                <c:pt idx="23">
                  <c:v>101.99028219024481</c:v>
                </c:pt>
                <c:pt idx="24">
                  <c:v>102.86862268734818</c:v>
                </c:pt>
                <c:pt idx="25">
                  <c:v>103.14894412259392</c:v>
                </c:pt>
                <c:pt idx="26">
                  <c:v>103.27976079237527</c:v>
                </c:pt>
                <c:pt idx="27">
                  <c:v>103.98056438048964</c:v>
                </c:pt>
                <c:pt idx="28">
                  <c:v>104.37301438983368</c:v>
                </c:pt>
                <c:pt idx="29">
                  <c:v>104.15810128947859</c:v>
                </c:pt>
                <c:pt idx="30">
                  <c:v>104.07400485890489</c:v>
                </c:pt>
                <c:pt idx="31">
                  <c:v>104.32629415062607</c:v>
                </c:pt>
                <c:pt idx="32">
                  <c:v>104.2702298635769</c:v>
                </c:pt>
                <c:pt idx="33">
                  <c:v>104.63464772939639</c:v>
                </c:pt>
                <c:pt idx="34">
                  <c:v>105.34479536535227</c:v>
                </c:pt>
                <c:pt idx="35">
                  <c:v>106.4006727714446</c:v>
                </c:pt>
                <c:pt idx="36">
                  <c:v>107.90506447393011</c:v>
                </c:pt>
                <c:pt idx="37">
                  <c:v>108.96094188002243</c:v>
                </c:pt>
                <c:pt idx="38">
                  <c:v>110.39992524761728</c:v>
                </c:pt>
                <c:pt idx="39">
                  <c:v>113.27789198280695</c:v>
                </c:pt>
                <c:pt idx="40">
                  <c:v>115.10932535974585</c:v>
                </c:pt>
                <c:pt idx="41">
                  <c:v>116.56699682302374</c:v>
                </c:pt>
                <c:pt idx="42">
                  <c:v>117.77237899458046</c:v>
                </c:pt>
                <c:pt idx="43">
                  <c:v>119.27677069706597</c:v>
                </c:pt>
                <c:pt idx="44">
                  <c:v>120.75313025602689</c:v>
                </c:pt>
                <c:pt idx="45">
                  <c:v>123.22930293403103</c:v>
                </c:pt>
                <c:pt idx="46">
                  <c:v>124.64025415810127</c:v>
                </c:pt>
                <c:pt idx="47">
                  <c:v>125.78022799476736</c:v>
                </c:pt>
                <c:pt idx="48">
                  <c:v>127.7518220893291</c:v>
                </c:pt>
                <c:pt idx="49">
                  <c:v>130.23733881517475</c:v>
                </c:pt>
                <c:pt idx="50">
                  <c:v>132.04074004858904</c:v>
                </c:pt>
                <c:pt idx="51">
                  <c:v>132.04074004858904</c:v>
                </c:pt>
                <c:pt idx="52">
                  <c:v>132.50794244066532</c:v>
                </c:pt>
                <c:pt idx="53">
                  <c:v>132.67613530181274</c:v>
                </c:pt>
                <c:pt idx="54">
                  <c:v>132.41450196225006</c:v>
                </c:pt>
                <c:pt idx="55">
                  <c:v>131.90992337880769</c:v>
                </c:pt>
                <c:pt idx="56">
                  <c:v>131.8632031396001</c:v>
                </c:pt>
                <c:pt idx="57">
                  <c:v>132.2836852924687</c:v>
                </c:pt>
                <c:pt idx="58">
                  <c:v>132.82564006727716</c:v>
                </c:pt>
                <c:pt idx="59">
                  <c:v>132.9190805456924</c:v>
                </c:pt>
                <c:pt idx="60">
                  <c:v>133.93758176041862</c:v>
                </c:pt>
                <c:pt idx="61">
                  <c:v>133.73201270790506</c:v>
                </c:pt>
                <c:pt idx="62">
                  <c:v>133.61988413380678</c:v>
                </c:pt>
                <c:pt idx="63">
                  <c:v>134.10577462156607</c:v>
                </c:pt>
                <c:pt idx="64">
                  <c:v>134.35806391328725</c:v>
                </c:pt>
                <c:pt idx="65">
                  <c:v>134.40478415249487</c:v>
                </c:pt>
                <c:pt idx="66">
                  <c:v>134.14315081293216</c:v>
                </c:pt>
                <c:pt idx="67">
                  <c:v>134.13380676509067</c:v>
                </c:pt>
                <c:pt idx="68">
                  <c:v>134.44216034386096</c:v>
                </c:pt>
                <c:pt idx="69">
                  <c:v>135.43262941506259</c:v>
                </c:pt>
                <c:pt idx="70">
                  <c:v>135.78770323304056</c:v>
                </c:pt>
                <c:pt idx="71">
                  <c:v>135.65688656325921</c:v>
                </c:pt>
                <c:pt idx="72">
                  <c:v>136.63801158661931</c:v>
                </c:pt>
                <c:pt idx="73">
                  <c:v>137.1893104092693</c:v>
                </c:pt>
                <c:pt idx="74">
                  <c:v>137.60979256213793</c:v>
                </c:pt>
                <c:pt idx="75">
                  <c:v>138.03027471500656</c:v>
                </c:pt>
                <c:pt idx="76">
                  <c:v>138.51616520276588</c:v>
                </c:pt>
                <c:pt idx="77">
                  <c:v>138.58157353765651</c:v>
                </c:pt>
                <c:pt idx="78">
                  <c:v>138.71239020743786</c:v>
                </c:pt>
                <c:pt idx="79">
                  <c:v>138.71239020743786</c:v>
                </c:pt>
                <c:pt idx="80">
                  <c:v>138.46010091571671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AB2-4A91-9100-3E323442CEDA}"/>
            </c:ext>
          </c:extLst>
        </c:ser>
        <c:ser>
          <c:idx val="3"/>
          <c:order val="3"/>
          <c:tx>
            <c:strRef>
              <c:f>'fig F3'!$B$36</c:f>
              <c:strCache>
                <c:ptCount val="1"/>
                <c:pt idx="0">
                  <c:v>Area Euro 20</c:v>
                </c:pt>
              </c:strCache>
            </c:strRef>
          </c:tx>
          <c:spPr>
            <a:ln w="28575" cap="rnd">
              <a:solidFill>
                <a:srgbClr val="A6A6A6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F3'!$C$36:$CE$36</c:f>
              <c:numCache>
                <c:formatCode>#,##0.#</c:formatCode>
                <c:ptCount val="81"/>
                <c:pt idx="0">
                  <c:v>99.527499527499529</c:v>
                </c:pt>
                <c:pt idx="1">
                  <c:v>99.858249858249877</c:v>
                </c:pt>
                <c:pt idx="2">
                  <c:v>99.508599508599517</c:v>
                </c:pt>
                <c:pt idx="3">
                  <c:v>99.470799470799491</c:v>
                </c:pt>
                <c:pt idx="4">
                  <c:v>99.981099981099987</c:v>
                </c:pt>
                <c:pt idx="5">
                  <c:v>100.03780003780005</c:v>
                </c:pt>
                <c:pt idx="6">
                  <c:v>100.12285012285014</c:v>
                </c:pt>
                <c:pt idx="7">
                  <c:v>100.34020034020034</c:v>
                </c:pt>
                <c:pt idx="8">
                  <c:v>100.00945000945001</c:v>
                </c:pt>
                <c:pt idx="9">
                  <c:v>100.09450009450009</c:v>
                </c:pt>
                <c:pt idx="10">
                  <c:v>100.35910035910037</c:v>
                </c:pt>
                <c:pt idx="11">
                  <c:v>100.63315063315063</c:v>
                </c:pt>
                <c:pt idx="12">
                  <c:v>101.29465129465129</c:v>
                </c:pt>
                <c:pt idx="13">
                  <c:v>101.74825174825175</c:v>
                </c:pt>
                <c:pt idx="14">
                  <c:v>101.87110187110187</c:v>
                </c:pt>
                <c:pt idx="15">
                  <c:v>103.30750330750331</c:v>
                </c:pt>
                <c:pt idx="16">
                  <c:v>103.54375354375354</c:v>
                </c:pt>
                <c:pt idx="17">
                  <c:v>103.16575316575319</c:v>
                </c:pt>
                <c:pt idx="18">
                  <c:v>101.79550179550181</c:v>
                </c:pt>
                <c:pt idx="19">
                  <c:v>101.64430164430165</c:v>
                </c:pt>
                <c:pt idx="20">
                  <c:v>101.48365148365149</c:v>
                </c:pt>
                <c:pt idx="21">
                  <c:v>101.90890190890191</c:v>
                </c:pt>
                <c:pt idx="22">
                  <c:v>102.04120204120206</c:v>
                </c:pt>
                <c:pt idx="23">
                  <c:v>101.57815157815158</c:v>
                </c:pt>
                <c:pt idx="24">
                  <c:v>102.2963522963523</c:v>
                </c:pt>
                <c:pt idx="25">
                  <c:v>102.52315252315252</c:v>
                </c:pt>
                <c:pt idx="26">
                  <c:v>102.57040257040258</c:v>
                </c:pt>
                <c:pt idx="27">
                  <c:v>103.22245322245323</c:v>
                </c:pt>
                <c:pt idx="28">
                  <c:v>103.53430353430355</c:v>
                </c:pt>
                <c:pt idx="29">
                  <c:v>103.27915327915329</c:v>
                </c:pt>
                <c:pt idx="30">
                  <c:v>103.23190323190323</c:v>
                </c:pt>
                <c:pt idx="31">
                  <c:v>103.5910035910036</c:v>
                </c:pt>
                <c:pt idx="32">
                  <c:v>103.45870345870347</c:v>
                </c:pt>
                <c:pt idx="33">
                  <c:v>103.73275373275375</c:v>
                </c:pt>
                <c:pt idx="34">
                  <c:v>104.31865431865432</c:v>
                </c:pt>
                <c:pt idx="35">
                  <c:v>105.22585522585524</c:v>
                </c:pt>
                <c:pt idx="36">
                  <c:v>106.4071064071064</c:v>
                </c:pt>
                <c:pt idx="37">
                  <c:v>107.47495747495748</c:v>
                </c:pt>
                <c:pt idx="38">
                  <c:v>108.5995085995086</c:v>
                </c:pt>
                <c:pt idx="39">
                  <c:v>111.16046116046117</c:v>
                </c:pt>
                <c:pt idx="40">
                  <c:v>112.83311283311284</c:v>
                </c:pt>
                <c:pt idx="41">
                  <c:v>114.34511434511437</c:v>
                </c:pt>
                <c:pt idx="42">
                  <c:v>115.44131544131544</c:v>
                </c:pt>
                <c:pt idx="43">
                  <c:v>116.79266679266679</c:v>
                </c:pt>
                <c:pt idx="44">
                  <c:v>118.11566811566811</c:v>
                </c:pt>
                <c:pt idx="45">
                  <c:v>120.25137025137025</c:v>
                </c:pt>
                <c:pt idx="46">
                  <c:v>121.43262143262143</c:v>
                </c:pt>
                <c:pt idx="47">
                  <c:v>122.42487242487243</c:v>
                </c:pt>
                <c:pt idx="48">
                  <c:v>124.0975240975241</c:v>
                </c:pt>
                <c:pt idx="49">
                  <c:v>126.49782649782652</c:v>
                </c:pt>
                <c:pt idx="50">
                  <c:v>128.04762804762805</c:v>
                </c:pt>
                <c:pt idx="51">
                  <c:v>127.990927990928</c:v>
                </c:pt>
                <c:pt idx="52">
                  <c:v>128.38782838782839</c:v>
                </c:pt>
                <c:pt idx="53">
                  <c:v>128.73747873747874</c:v>
                </c:pt>
                <c:pt idx="54">
                  <c:v>128.7847287847288</c:v>
                </c:pt>
                <c:pt idx="55">
                  <c:v>128.75637875637878</c:v>
                </c:pt>
                <c:pt idx="56">
                  <c:v>128.82252882252882</c:v>
                </c:pt>
                <c:pt idx="57">
                  <c:v>129.14382914382915</c:v>
                </c:pt>
                <c:pt idx="58">
                  <c:v>129.6635796635797</c:v>
                </c:pt>
                <c:pt idx="59">
                  <c:v>129.76752976752977</c:v>
                </c:pt>
                <c:pt idx="60">
                  <c:v>130.65583065583067</c:v>
                </c:pt>
                <c:pt idx="61">
                  <c:v>130.3817803817804</c:v>
                </c:pt>
                <c:pt idx="62">
                  <c:v>130.28728028728028</c:v>
                </c:pt>
                <c:pt idx="63">
                  <c:v>130.4857304857305</c:v>
                </c:pt>
                <c:pt idx="64">
                  <c:v>130.77868077868078</c:v>
                </c:pt>
                <c:pt idx="65">
                  <c:v>130.83538083538085</c:v>
                </c:pt>
                <c:pt idx="66">
                  <c:v>130.56133056133058</c:v>
                </c:pt>
                <c:pt idx="67">
                  <c:v>130.52353052353055</c:v>
                </c:pt>
                <c:pt idx="68">
                  <c:v>130.67473067473068</c:v>
                </c:pt>
                <c:pt idx="69">
                  <c:v>131.67643167643169</c:v>
                </c:pt>
                <c:pt idx="70">
                  <c:v>131.88433188433189</c:v>
                </c:pt>
                <c:pt idx="71">
                  <c:v>131.69533169533173</c:v>
                </c:pt>
                <c:pt idx="72">
                  <c:v>132.2906822906823</c:v>
                </c:pt>
                <c:pt idx="73">
                  <c:v>132.76318276318278</c:v>
                </c:pt>
                <c:pt idx="74">
                  <c:v>133.10338310338309</c:v>
                </c:pt>
                <c:pt idx="75">
                  <c:v>133.5002835002835</c:v>
                </c:pt>
                <c:pt idx="76">
                  <c:v>133.87828387828387</c:v>
                </c:pt>
                <c:pt idx="77">
                  <c:v>133.85938385938388</c:v>
                </c:pt>
                <c:pt idx="78">
                  <c:v>134.02948402948405</c:v>
                </c:pt>
                <c:pt idx="79">
                  <c:v>133.94443394443397</c:v>
                </c:pt>
                <c:pt idx="80">
                  <c:v>133.85938385938388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AB2-4A91-9100-3E323442CEDA}"/>
            </c:ext>
          </c:extLst>
        </c:ser>
        <c:ser>
          <c:idx val="4"/>
          <c:order val="4"/>
          <c:tx>
            <c:strRef>
              <c:f>'fig F3'!$B$37</c:f>
              <c:strCache>
                <c:ptCount val="1"/>
                <c:pt idx="0">
                  <c:v>Germania</c:v>
                </c:pt>
              </c:strCache>
            </c:strRef>
          </c:tx>
          <c:spPr>
            <a:ln w="28575" cap="rnd">
              <a:solidFill>
                <a:srgbClr val="004172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F3'!$C$37:$CE$37</c:f>
              <c:numCache>
                <c:formatCode>#,##0.#</c:formatCode>
                <c:ptCount val="81"/>
                <c:pt idx="0">
                  <c:v>99.351851851851848</c:v>
                </c:pt>
                <c:pt idx="1">
                  <c:v>99.907407407407405</c:v>
                </c:pt>
                <c:pt idx="2">
                  <c:v>99.444444444444443</c:v>
                </c:pt>
                <c:pt idx="3">
                  <c:v>99.444444444444443</c:v>
                </c:pt>
                <c:pt idx="4">
                  <c:v>99.81481481481481</c:v>
                </c:pt>
                <c:pt idx="5">
                  <c:v>100</c:v>
                </c:pt>
                <c:pt idx="6">
                  <c:v>100.27777777777777</c:v>
                </c:pt>
                <c:pt idx="7">
                  <c:v>100.46296296296295</c:v>
                </c:pt>
                <c:pt idx="8">
                  <c:v>100.27777777777777</c:v>
                </c:pt>
                <c:pt idx="9">
                  <c:v>99.907407407407405</c:v>
                </c:pt>
                <c:pt idx="10">
                  <c:v>100.37037037037038</c:v>
                </c:pt>
                <c:pt idx="11">
                  <c:v>100.92592592592592</c:v>
                </c:pt>
                <c:pt idx="12">
                  <c:v>101.85185185185186</c:v>
                </c:pt>
                <c:pt idx="13">
                  <c:v>103.33333333333331</c:v>
                </c:pt>
                <c:pt idx="14">
                  <c:v>103.14814814814814</c:v>
                </c:pt>
                <c:pt idx="15">
                  <c:v>104.25925925925925</c:v>
                </c:pt>
                <c:pt idx="16">
                  <c:v>104.35185185185185</c:v>
                </c:pt>
                <c:pt idx="17">
                  <c:v>104.16666666666667</c:v>
                </c:pt>
                <c:pt idx="18">
                  <c:v>101.38888888888889</c:v>
                </c:pt>
                <c:pt idx="19">
                  <c:v>101.11111111111111</c:v>
                </c:pt>
                <c:pt idx="20">
                  <c:v>100.92592592592592</c:v>
                </c:pt>
                <c:pt idx="21">
                  <c:v>101.2962962962963</c:v>
                </c:pt>
                <c:pt idx="22">
                  <c:v>101.75925925925927</c:v>
                </c:pt>
                <c:pt idx="23">
                  <c:v>101.38888888888889</c:v>
                </c:pt>
                <c:pt idx="24">
                  <c:v>103.98148148148148</c:v>
                </c:pt>
                <c:pt idx="25">
                  <c:v>104.81481481481482</c:v>
                </c:pt>
                <c:pt idx="26">
                  <c:v>104.72222222222223</c:v>
                </c:pt>
                <c:pt idx="27">
                  <c:v>106.0185185185185</c:v>
                </c:pt>
                <c:pt idx="28">
                  <c:v>105.74074074074073</c:v>
                </c:pt>
                <c:pt idx="29">
                  <c:v>105.37037037037035</c:v>
                </c:pt>
                <c:pt idx="30">
                  <c:v>105.74074074074073</c:v>
                </c:pt>
                <c:pt idx="31">
                  <c:v>105.74074074074073</c:v>
                </c:pt>
                <c:pt idx="32">
                  <c:v>105.74074074074073</c:v>
                </c:pt>
                <c:pt idx="33">
                  <c:v>105.74074074074073</c:v>
                </c:pt>
                <c:pt idx="34">
                  <c:v>106.29629629629629</c:v>
                </c:pt>
                <c:pt idx="35">
                  <c:v>107.40740740740742</c:v>
                </c:pt>
                <c:pt idx="36">
                  <c:v>109.07407407407408</c:v>
                </c:pt>
                <c:pt idx="37">
                  <c:v>110.27777777777776</c:v>
                </c:pt>
                <c:pt idx="38">
                  <c:v>111.2037037037037</c:v>
                </c:pt>
                <c:pt idx="39">
                  <c:v>115.00000000000001</c:v>
                </c:pt>
                <c:pt idx="40">
                  <c:v>117.31481481481482</c:v>
                </c:pt>
                <c:pt idx="41">
                  <c:v>118.5185185185185</c:v>
                </c:pt>
                <c:pt idx="42">
                  <c:v>121.11111111111113</c:v>
                </c:pt>
                <c:pt idx="43">
                  <c:v>123.05555555555556</c:v>
                </c:pt>
                <c:pt idx="44">
                  <c:v>125.18518518518518</c:v>
                </c:pt>
                <c:pt idx="45">
                  <c:v>126.75925925925927</c:v>
                </c:pt>
                <c:pt idx="46">
                  <c:v>128.42592592592592</c:v>
                </c:pt>
                <c:pt idx="47">
                  <c:v>129.44444444444446</c:v>
                </c:pt>
                <c:pt idx="48">
                  <c:v>131.4814814814815</c:v>
                </c:pt>
                <c:pt idx="49">
                  <c:v>134.81481481481481</c:v>
                </c:pt>
                <c:pt idx="50">
                  <c:v>136.66666666666666</c:v>
                </c:pt>
                <c:pt idx="51">
                  <c:v>135.64814814814815</c:v>
                </c:pt>
                <c:pt idx="52">
                  <c:v>135.37037037037035</c:v>
                </c:pt>
                <c:pt idx="53">
                  <c:v>135.18518518518519</c:v>
                </c:pt>
                <c:pt idx="54">
                  <c:v>134.81481481481481</c:v>
                </c:pt>
                <c:pt idx="55">
                  <c:v>134.44444444444443</c:v>
                </c:pt>
                <c:pt idx="56">
                  <c:v>134.90740740740739</c:v>
                </c:pt>
                <c:pt idx="57">
                  <c:v>135</c:v>
                </c:pt>
                <c:pt idx="58">
                  <c:v>135.83333333333331</c:v>
                </c:pt>
                <c:pt idx="59">
                  <c:v>136.0185185185185</c:v>
                </c:pt>
                <c:pt idx="60">
                  <c:v>137.31481481481481</c:v>
                </c:pt>
                <c:pt idx="61">
                  <c:v>136.75925925925924</c:v>
                </c:pt>
                <c:pt idx="62">
                  <c:v>136.38888888888889</c:v>
                </c:pt>
                <c:pt idx="63">
                  <c:v>137.03703703703704</c:v>
                </c:pt>
                <c:pt idx="64">
                  <c:v>136.75925925925924</c:v>
                </c:pt>
                <c:pt idx="65">
                  <c:v>137.2222222222222</c:v>
                </c:pt>
                <c:pt idx="66">
                  <c:v>137.12962962962962</c:v>
                </c:pt>
                <c:pt idx="67">
                  <c:v>136.85185185185188</c:v>
                </c:pt>
                <c:pt idx="68">
                  <c:v>137.59259259259258</c:v>
                </c:pt>
                <c:pt idx="69">
                  <c:v>138.5185185185185</c:v>
                </c:pt>
                <c:pt idx="70">
                  <c:v>138.7037037037037</c:v>
                </c:pt>
                <c:pt idx="71">
                  <c:v>138.9814814814815</c:v>
                </c:pt>
                <c:pt idx="72">
                  <c:v>138.61111111111111</c:v>
                </c:pt>
                <c:pt idx="73">
                  <c:v>140.27777777777777</c:v>
                </c:pt>
                <c:pt idx="74">
                  <c:v>140.64814814814815</c:v>
                </c:pt>
                <c:pt idx="75">
                  <c:v>141.01851851851853</c:v>
                </c:pt>
                <c:pt idx="76">
                  <c:v>140.55555555555557</c:v>
                </c:pt>
                <c:pt idx="77">
                  <c:v>139.72222222222223</c:v>
                </c:pt>
                <c:pt idx="78">
                  <c:v>140</c:v>
                </c:pt>
                <c:pt idx="79">
                  <c:v>140.18518518518519</c:v>
                </c:pt>
                <c:pt idx="80">
                  <c:v>140.46296296296293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B2-4A91-9100-3E323442CEDA}"/>
            </c:ext>
          </c:extLst>
        </c:ser>
        <c:ser>
          <c:idx val="5"/>
          <c:order val="5"/>
          <c:tx>
            <c:strRef>
              <c:f>'fig F3'!$B$38</c:f>
              <c:strCache>
                <c:ptCount val="1"/>
                <c:pt idx="0">
                  <c:v>Spagna</c:v>
                </c:pt>
              </c:strCache>
            </c:strRef>
          </c:tx>
          <c:spPr>
            <a:ln w="28575" cap="rnd">
              <a:solidFill>
                <a:srgbClr val="00817F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F3'!$C$38:$CE$38</c:f>
              <c:numCache>
                <c:formatCode>#,##0.#</c:formatCode>
                <c:ptCount val="81"/>
                <c:pt idx="0">
                  <c:v>99.326311794287889</c:v>
                </c:pt>
                <c:pt idx="1">
                  <c:v>99.563525951228769</c:v>
                </c:pt>
                <c:pt idx="2">
                  <c:v>99.183983300123359</c:v>
                </c:pt>
                <c:pt idx="3">
                  <c:v>99.155517601290441</c:v>
                </c:pt>
                <c:pt idx="4">
                  <c:v>99.601480216339311</c:v>
                </c:pt>
                <c:pt idx="5">
                  <c:v>100.01897713255528</c:v>
                </c:pt>
                <c:pt idx="6">
                  <c:v>99.734320144226203</c:v>
                </c:pt>
                <c:pt idx="7">
                  <c:v>99.876648638390748</c:v>
                </c:pt>
                <c:pt idx="8">
                  <c:v>99.762785843059106</c:v>
                </c:pt>
                <c:pt idx="9">
                  <c:v>101.35686497770186</c:v>
                </c:pt>
                <c:pt idx="10">
                  <c:v>101.29044501375841</c:v>
                </c:pt>
                <c:pt idx="11">
                  <c:v>101.14811651959388</c:v>
                </c:pt>
                <c:pt idx="12">
                  <c:v>101.40430780909004</c:v>
                </c:pt>
                <c:pt idx="13">
                  <c:v>101.57510200208748</c:v>
                </c:pt>
                <c:pt idx="14">
                  <c:v>101.69845336369676</c:v>
                </c:pt>
                <c:pt idx="15">
                  <c:v>103.22611253439607</c:v>
                </c:pt>
                <c:pt idx="16">
                  <c:v>103.18815826928551</c:v>
                </c:pt>
                <c:pt idx="17">
                  <c:v>102.8845241484012</c:v>
                </c:pt>
                <c:pt idx="18">
                  <c:v>101.9831103520258</c:v>
                </c:pt>
                <c:pt idx="19">
                  <c:v>102.07799601480217</c:v>
                </c:pt>
                <c:pt idx="20">
                  <c:v>102.19185881013379</c:v>
                </c:pt>
                <c:pt idx="21">
                  <c:v>103.68156371572255</c:v>
                </c:pt>
                <c:pt idx="22">
                  <c:v>102.6473099914603</c:v>
                </c:pt>
                <c:pt idx="23">
                  <c:v>102.28674447291013</c:v>
                </c:pt>
                <c:pt idx="24">
                  <c:v>102.93196697978935</c:v>
                </c:pt>
                <c:pt idx="25">
                  <c:v>102.95094411234462</c:v>
                </c:pt>
                <c:pt idx="26">
                  <c:v>102.96043267862227</c:v>
                </c:pt>
                <c:pt idx="27">
                  <c:v>103.2925324983395</c:v>
                </c:pt>
                <c:pt idx="28">
                  <c:v>103.73849511338837</c:v>
                </c:pt>
                <c:pt idx="29">
                  <c:v>103.75747224594363</c:v>
                </c:pt>
                <c:pt idx="30">
                  <c:v>103.50128095644749</c:v>
                </c:pt>
                <c:pt idx="31">
                  <c:v>103.80491507733183</c:v>
                </c:pt>
                <c:pt idx="32">
                  <c:v>103.72900654711073</c:v>
                </c:pt>
                <c:pt idx="33">
                  <c:v>105.17126862131133</c:v>
                </c:pt>
                <c:pt idx="34">
                  <c:v>105.77853686307999</c:v>
                </c:pt>
                <c:pt idx="35">
                  <c:v>107.19233323844767</c:v>
                </c:pt>
                <c:pt idx="36">
                  <c:v>107.91346427554798</c:v>
                </c:pt>
                <c:pt idx="37">
                  <c:v>108.71050384286933</c:v>
                </c:pt>
                <c:pt idx="38">
                  <c:v>110.02941455546068</c:v>
                </c:pt>
                <c:pt idx="39">
                  <c:v>113.97665812695703</c:v>
                </c:pt>
                <c:pt idx="40">
                  <c:v>115.3904545023247</c:v>
                </c:pt>
                <c:pt idx="41">
                  <c:v>117.56333617990322</c:v>
                </c:pt>
                <c:pt idx="42">
                  <c:v>117.84799316823229</c:v>
                </c:pt>
                <c:pt idx="43">
                  <c:v>118.42679571116805</c:v>
                </c:pt>
                <c:pt idx="44">
                  <c:v>119.0055982541038</c:v>
                </c:pt>
                <c:pt idx="45">
                  <c:v>121.82370243856151</c:v>
                </c:pt>
                <c:pt idx="46">
                  <c:v>122.33608501755387</c:v>
                </c:pt>
                <c:pt idx="47">
                  <c:v>124.26226397191384</c:v>
                </c:pt>
                <c:pt idx="48">
                  <c:v>124.60385235790872</c:v>
                </c:pt>
                <c:pt idx="49">
                  <c:v>126.86213113198595</c:v>
                </c:pt>
                <c:pt idx="50">
                  <c:v>128.2379732422431</c:v>
                </c:pt>
                <c:pt idx="51">
                  <c:v>128.57007306196033</c:v>
                </c:pt>
                <c:pt idx="52">
                  <c:v>129.11092133978553</c:v>
                </c:pt>
                <c:pt idx="53">
                  <c:v>129.56637252111207</c:v>
                </c:pt>
                <c:pt idx="54">
                  <c:v>130.52471771515323</c:v>
                </c:pt>
                <c:pt idx="55">
                  <c:v>130.79039757092704</c:v>
                </c:pt>
                <c:pt idx="56">
                  <c:v>131.46408577663914</c:v>
                </c:pt>
                <c:pt idx="57">
                  <c:v>133.20998197172406</c:v>
                </c:pt>
                <c:pt idx="58">
                  <c:v>133.36179903216626</c:v>
                </c:pt>
                <c:pt idx="59">
                  <c:v>133.28589050194515</c:v>
                </c:pt>
                <c:pt idx="60">
                  <c:v>133.89315874371383</c:v>
                </c:pt>
                <c:pt idx="61">
                  <c:v>133.7508302495493</c:v>
                </c:pt>
                <c:pt idx="62">
                  <c:v>133.84571591232566</c:v>
                </c:pt>
                <c:pt idx="63">
                  <c:v>134.79457254008921</c:v>
                </c:pt>
                <c:pt idx="64">
                  <c:v>134.87048107031026</c:v>
                </c:pt>
                <c:pt idx="65">
                  <c:v>134.96536673308663</c:v>
                </c:pt>
                <c:pt idx="66">
                  <c:v>134.43400702153906</c:v>
                </c:pt>
                <c:pt idx="67">
                  <c:v>133.90264730999147</c:v>
                </c:pt>
                <c:pt idx="68">
                  <c:v>133.50412752633076</c:v>
                </c:pt>
                <c:pt idx="69">
                  <c:v>135.47774931207894</c:v>
                </c:pt>
                <c:pt idx="70">
                  <c:v>135.26900085397097</c:v>
                </c:pt>
                <c:pt idx="71">
                  <c:v>135.33542081791441</c:v>
                </c:pt>
                <c:pt idx="72">
                  <c:v>135.94268905968309</c:v>
                </c:pt>
                <c:pt idx="73">
                  <c:v>136.22734604801215</c:v>
                </c:pt>
                <c:pt idx="74">
                  <c:v>136.63535439795046</c:v>
                </c:pt>
                <c:pt idx="75">
                  <c:v>137.04336274788881</c:v>
                </c:pt>
                <c:pt idx="76">
                  <c:v>137.7170509536009</c:v>
                </c:pt>
                <c:pt idx="77">
                  <c:v>138.23892209887086</c:v>
                </c:pt>
                <c:pt idx="78">
                  <c:v>137.56523389315873</c:v>
                </c:pt>
                <c:pt idx="79">
                  <c:v>136.36967454217668</c:v>
                </c:pt>
                <c:pt idx="80">
                  <c:v>136.17041465034632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AB2-4A91-9100-3E323442CEDA}"/>
            </c:ext>
          </c:extLst>
        </c:ser>
        <c:ser>
          <c:idx val="6"/>
          <c:order val="6"/>
          <c:tx>
            <c:strRef>
              <c:f>'fig F3'!$B$39</c:f>
              <c:strCache>
                <c:ptCount val="1"/>
                <c:pt idx="0">
                  <c:v>Francia</c:v>
                </c:pt>
              </c:strCache>
            </c:strRef>
          </c:tx>
          <c:spPr>
            <a:ln w="28575" cap="rnd">
              <a:solidFill>
                <a:srgbClr val="A6A6A6"/>
              </a:solidFill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F3'!$C$39:$CE$39</c:f>
              <c:numCache>
                <c:formatCode>#,##0.#</c:formatCode>
                <c:ptCount val="81"/>
                <c:pt idx="0">
                  <c:v>99.2862509391435</c:v>
                </c:pt>
                <c:pt idx="1">
                  <c:v>99.333208114199849</c:v>
                </c:pt>
                <c:pt idx="2">
                  <c:v>99.02329075882794</c:v>
                </c:pt>
                <c:pt idx="3">
                  <c:v>99.060856498873022</c:v>
                </c:pt>
                <c:pt idx="4">
                  <c:v>99.859128474830953</c:v>
                </c:pt>
                <c:pt idx="5">
                  <c:v>99.990608564988719</c:v>
                </c:pt>
                <c:pt idx="6">
                  <c:v>100.63861758076634</c:v>
                </c:pt>
                <c:pt idx="7">
                  <c:v>101.19271224643126</c:v>
                </c:pt>
                <c:pt idx="8">
                  <c:v>100.58226897069871</c:v>
                </c:pt>
                <c:pt idx="9">
                  <c:v>100.03756574004508</c:v>
                </c:pt>
                <c:pt idx="10">
                  <c:v>100.17843726521411</c:v>
                </c:pt>
                <c:pt idx="11">
                  <c:v>100.84522915101427</c:v>
                </c:pt>
                <c:pt idx="12">
                  <c:v>101.32419233658902</c:v>
                </c:pt>
                <c:pt idx="13">
                  <c:v>101.23966942148759</c:v>
                </c:pt>
                <c:pt idx="14">
                  <c:v>101.18332081141999</c:v>
                </c:pt>
                <c:pt idx="15">
                  <c:v>103.57813673929377</c:v>
                </c:pt>
                <c:pt idx="16">
                  <c:v>104.19797145003757</c:v>
                </c:pt>
                <c:pt idx="17">
                  <c:v>103.11795642374153</c:v>
                </c:pt>
                <c:pt idx="18">
                  <c:v>101.86889556724267</c:v>
                </c:pt>
                <c:pt idx="19">
                  <c:v>102.10368144252442</c:v>
                </c:pt>
                <c:pt idx="20">
                  <c:v>101.56836964688205</c:v>
                </c:pt>
                <c:pt idx="21">
                  <c:v>101.82193839218631</c:v>
                </c:pt>
                <c:pt idx="22">
                  <c:v>102.56386175807664</c:v>
                </c:pt>
                <c:pt idx="23">
                  <c:v>102.13185574755823</c:v>
                </c:pt>
                <c:pt idx="24">
                  <c:v>102.46055597295265</c:v>
                </c:pt>
                <c:pt idx="25">
                  <c:v>102.1975957926371</c:v>
                </c:pt>
                <c:pt idx="26">
                  <c:v>102.26333583771601</c:v>
                </c:pt>
                <c:pt idx="27">
                  <c:v>102.93951915852742</c:v>
                </c:pt>
                <c:pt idx="28">
                  <c:v>103.65326821938392</c:v>
                </c:pt>
                <c:pt idx="29">
                  <c:v>102.77047332832456</c:v>
                </c:pt>
                <c:pt idx="30">
                  <c:v>102.90195341848234</c:v>
                </c:pt>
                <c:pt idx="31">
                  <c:v>103.68144252441773</c:v>
                </c:pt>
                <c:pt idx="32">
                  <c:v>102.80803906836964</c:v>
                </c:pt>
                <c:pt idx="33">
                  <c:v>102.59203606311043</c:v>
                </c:pt>
                <c:pt idx="34">
                  <c:v>103.01465063861757</c:v>
                </c:pt>
                <c:pt idx="35">
                  <c:v>103.65326821938392</c:v>
                </c:pt>
                <c:pt idx="36">
                  <c:v>104.33884297520659</c:v>
                </c:pt>
                <c:pt idx="37">
                  <c:v>104.73328324567994</c:v>
                </c:pt>
                <c:pt idx="38">
                  <c:v>105.73816679188579</c:v>
                </c:pt>
                <c:pt idx="39">
                  <c:v>107.37227648384673</c:v>
                </c:pt>
                <c:pt idx="40">
                  <c:v>108.45229151014276</c:v>
                </c:pt>
                <c:pt idx="41">
                  <c:v>109.36326070623592</c:v>
                </c:pt>
                <c:pt idx="42">
                  <c:v>110.46205860255446</c:v>
                </c:pt>
                <c:pt idx="43">
                  <c:v>112.48121712997745</c:v>
                </c:pt>
                <c:pt idx="44">
                  <c:v>113.9556724267468</c:v>
                </c:pt>
                <c:pt idx="45">
                  <c:v>116.13448534936137</c:v>
                </c:pt>
                <c:pt idx="46">
                  <c:v>116.65101427498121</c:v>
                </c:pt>
                <c:pt idx="47">
                  <c:v>117.19571750563486</c:v>
                </c:pt>
                <c:pt idx="48">
                  <c:v>119.34635612321563</c:v>
                </c:pt>
                <c:pt idx="49">
                  <c:v>121.55334335086401</c:v>
                </c:pt>
                <c:pt idx="50">
                  <c:v>123.88241923365891</c:v>
                </c:pt>
                <c:pt idx="51">
                  <c:v>124.40833959429001</c:v>
                </c:pt>
                <c:pt idx="52">
                  <c:v>124.74643125469574</c:v>
                </c:pt>
                <c:pt idx="53">
                  <c:v>125.01878287002255</c:v>
                </c:pt>
                <c:pt idx="54">
                  <c:v>125.03756574004505</c:v>
                </c:pt>
                <c:pt idx="55">
                  <c:v>125.48835462058602</c:v>
                </c:pt>
                <c:pt idx="56">
                  <c:v>125.16904583020285</c:v>
                </c:pt>
                <c:pt idx="57">
                  <c:v>125.20661157024793</c:v>
                </c:pt>
                <c:pt idx="58">
                  <c:v>125.7700976709241</c:v>
                </c:pt>
                <c:pt idx="59">
                  <c:v>125.84522915101427</c:v>
                </c:pt>
                <c:pt idx="60">
                  <c:v>126.15514650638617</c:v>
                </c:pt>
                <c:pt idx="61">
                  <c:v>125.62922614575507</c:v>
                </c:pt>
                <c:pt idx="62">
                  <c:v>125.58226897069871</c:v>
                </c:pt>
                <c:pt idx="63">
                  <c:v>125.66679188580014</c:v>
                </c:pt>
                <c:pt idx="64">
                  <c:v>126.25845229151014</c:v>
                </c:pt>
                <c:pt idx="65">
                  <c:v>126.02366641622839</c:v>
                </c:pt>
                <c:pt idx="66">
                  <c:v>125.6761833208114</c:v>
                </c:pt>
                <c:pt idx="67">
                  <c:v>126.08001502629602</c:v>
                </c:pt>
                <c:pt idx="68">
                  <c:v>125.6761833208114</c:v>
                </c:pt>
                <c:pt idx="69">
                  <c:v>126.07062359128476</c:v>
                </c:pt>
                <c:pt idx="70">
                  <c:v>125.85462058602552</c:v>
                </c:pt>
                <c:pt idx="71">
                  <c:v>125.63861758076634</c:v>
                </c:pt>
                <c:pt idx="72">
                  <c:v>126.06123215627348</c:v>
                </c:pt>
                <c:pt idx="73">
                  <c:v>125.87340345604807</c:v>
                </c:pt>
                <c:pt idx="74">
                  <c:v>126.16453794139744</c:v>
                </c:pt>
                <c:pt idx="75">
                  <c:v>126.70924117205107</c:v>
                </c:pt>
                <c:pt idx="76">
                  <c:v>127.20698722764836</c:v>
                </c:pt>
                <c:pt idx="77">
                  <c:v>126.95341848234409</c:v>
                </c:pt>
                <c:pt idx="78">
                  <c:v>126.98159278737791</c:v>
                </c:pt>
                <c:pt idx="79">
                  <c:v>127.36664162283998</c:v>
                </c:pt>
                <c:pt idx="80">
                  <c:v>127.08489857250187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AB2-4A91-9100-3E323442CEDA}"/>
            </c:ext>
          </c:extLst>
        </c:ser>
        <c:ser>
          <c:idx val="7"/>
          <c:order val="7"/>
          <c:tx>
            <c:strRef>
              <c:f>'fig F3'!$B$40</c:f>
              <c:strCache>
                <c:ptCount val="1"/>
                <c:pt idx="0">
                  <c:v>Italia</c:v>
                </c:pt>
              </c:strCache>
            </c:strRef>
          </c:tx>
          <c:spPr>
            <a:ln w="28575" cap="rnd">
              <a:solidFill>
                <a:srgbClr val="004172"/>
              </a:solidFill>
              <a:round/>
            </a:ln>
            <a:effectLst/>
          </c:spPr>
          <c:marker>
            <c:symbol val="none"/>
          </c:marker>
          <c:cat>
            <c:numRef>
              <c:f>'fig F3'!$C$32:$CE$32</c:f>
              <c:numCache>
                <c:formatCode>General</c:formatCode>
                <c:ptCount val="81"/>
                <c:pt idx="0">
                  <c:v>2019</c:v>
                </c:pt>
                <c:pt idx="12">
                  <c:v>2020</c:v>
                </c:pt>
                <c:pt idx="24">
                  <c:v>2021</c:v>
                </c:pt>
                <c:pt idx="36">
                  <c:v>2022</c:v>
                </c:pt>
                <c:pt idx="48">
                  <c:v>2023</c:v>
                </c:pt>
                <c:pt idx="60">
                  <c:v>2024</c:v>
                </c:pt>
                <c:pt idx="72">
                  <c:v>2025</c:v>
                </c:pt>
              </c:numCache>
            </c:numRef>
          </c:cat>
          <c:val>
            <c:numRef>
              <c:f>'fig F3'!$C$40:$CE$40</c:f>
              <c:numCache>
                <c:formatCode>#,##0.#</c:formatCode>
                <c:ptCount val="81"/>
                <c:pt idx="0">
                  <c:v>100.28735632183907</c:v>
                </c:pt>
                <c:pt idx="1">
                  <c:v>100.67049808429118</c:v>
                </c:pt>
                <c:pt idx="2">
                  <c:v>100</c:v>
                </c:pt>
                <c:pt idx="3">
                  <c:v>99.616858237547888</c:v>
                </c:pt>
                <c:pt idx="4">
                  <c:v>100.57471264367817</c:v>
                </c:pt>
                <c:pt idx="5">
                  <c:v>100.09578544061301</c:v>
                </c:pt>
                <c:pt idx="6">
                  <c:v>99.808429118773944</c:v>
                </c:pt>
                <c:pt idx="7">
                  <c:v>99.904214559386958</c:v>
                </c:pt>
                <c:pt idx="8">
                  <c:v>99.52107279693486</c:v>
                </c:pt>
                <c:pt idx="9">
                  <c:v>99.616858237547888</c:v>
                </c:pt>
                <c:pt idx="10">
                  <c:v>100.19157088122603</c:v>
                </c:pt>
                <c:pt idx="11">
                  <c:v>100.19157088122603</c:v>
                </c:pt>
                <c:pt idx="12">
                  <c:v>101.14942528735631</c:v>
                </c:pt>
                <c:pt idx="13">
                  <c:v>101.24521072796935</c:v>
                </c:pt>
                <c:pt idx="14">
                  <c:v>101.53256704980842</c:v>
                </c:pt>
                <c:pt idx="15">
                  <c:v>102.87356321839081</c:v>
                </c:pt>
                <c:pt idx="16">
                  <c:v>103.44827586206895</c:v>
                </c:pt>
                <c:pt idx="17">
                  <c:v>102.77777777777777</c:v>
                </c:pt>
                <c:pt idx="18">
                  <c:v>101.34099616858236</c:v>
                </c:pt>
                <c:pt idx="19">
                  <c:v>101.05363984674329</c:v>
                </c:pt>
                <c:pt idx="20">
                  <c:v>100.86206896551724</c:v>
                </c:pt>
                <c:pt idx="21">
                  <c:v>101.24521072796935</c:v>
                </c:pt>
                <c:pt idx="22">
                  <c:v>101.81992337164749</c:v>
                </c:pt>
                <c:pt idx="23">
                  <c:v>101.05363984674329</c:v>
                </c:pt>
                <c:pt idx="24">
                  <c:v>101.72413793103448</c:v>
                </c:pt>
                <c:pt idx="25">
                  <c:v>101.43678160919541</c:v>
                </c:pt>
                <c:pt idx="26">
                  <c:v>101.53256704980842</c:v>
                </c:pt>
                <c:pt idx="27">
                  <c:v>102.20306513409963</c:v>
                </c:pt>
                <c:pt idx="28">
                  <c:v>102.58620689655172</c:v>
                </c:pt>
                <c:pt idx="29">
                  <c:v>102.20306513409963</c:v>
                </c:pt>
                <c:pt idx="30">
                  <c:v>101.43678160919541</c:v>
                </c:pt>
                <c:pt idx="31">
                  <c:v>101.91570881226053</c:v>
                </c:pt>
                <c:pt idx="32">
                  <c:v>102.01149425287355</c:v>
                </c:pt>
                <c:pt idx="33">
                  <c:v>102.39463601532567</c:v>
                </c:pt>
                <c:pt idx="34">
                  <c:v>103.35249042145594</c:v>
                </c:pt>
                <c:pt idx="35">
                  <c:v>104.11877394636015</c:v>
                </c:pt>
                <c:pt idx="36">
                  <c:v>105.65134099616857</c:v>
                </c:pt>
                <c:pt idx="37">
                  <c:v>106.70498084291187</c:v>
                </c:pt>
                <c:pt idx="38">
                  <c:v>107.66283524904215</c:v>
                </c:pt>
                <c:pt idx="39">
                  <c:v>109.09961685823755</c:v>
                </c:pt>
                <c:pt idx="40">
                  <c:v>110.53639846743295</c:v>
                </c:pt>
                <c:pt idx="41">
                  <c:v>111.7816091954023</c:v>
                </c:pt>
                <c:pt idx="42">
                  <c:v>111.87739463601531</c:v>
                </c:pt>
                <c:pt idx="43">
                  <c:v>112.83524904214559</c:v>
                </c:pt>
                <c:pt idx="44">
                  <c:v>114.272030651341</c:v>
                </c:pt>
                <c:pt idx="45">
                  <c:v>116.57088122605363</c:v>
                </c:pt>
                <c:pt idx="46">
                  <c:v>117.62452107279692</c:v>
                </c:pt>
                <c:pt idx="47">
                  <c:v>118.00766283524904</c:v>
                </c:pt>
                <c:pt idx="48">
                  <c:v>118.96551724137932</c:v>
                </c:pt>
                <c:pt idx="49">
                  <c:v>121.07279693486591</c:v>
                </c:pt>
                <c:pt idx="50">
                  <c:v>122.03065134099617</c:v>
                </c:pt>
                <c:pt idx="51">
                  <c:v>122.41379310344827</c:v>
                </c:pt>
                <c:pt idx="52">
                  <c:v>123.65900383141761</c:v>
                </c:pt>
                <c:pt idx="53">
                  <c:v>124.13793103448273</c:v>
                </c:pt>
                <c:pt idx="54">
                  <c:v>124.13793103448273</c:v>
                </c:pt>
                <c:pt idx="55">
                  <c:v>124.32950191570882</c:v>
                </c:pt>
                <c:pt idx="56">
                  <c:v>124.42528735632183</c:v>
                </c:pt>
                <c:pt idx="57">
                  <c:v>124.32950191570882</c:v>
                </c:pt>
                <c:pt idx="58">
                  <c:v>124.80842911877394</c:v>
                </c:pt>
                <c:pt idx="59">
                  <c:v>125.19157088122603</c:v>
                </c:pt>
                <c:pt idx="60">
                  <c:v>126.14942528735631</c:v>
                </c:pt>
                <c:pt idx="61">
                  <c:v>125.86206896551724</c:v>
                </c:pt>
                <c:pt idx="62">
                  <c:v>125.67049808429115</c:v>
                </c:pt>
                <c:pt idx="63">
                  <c:v>125.67049808429115</c:v>
                </c:pt>
                <c:pt idx="64">
                  <c:v>126.24521072796935</c:v>
                </c:pt>
                <c:pt idx="65">
                  <c:v>126.05363984674329</c:v>
                </c:pt>
                <c:pt idx="66">
                  <c:v>125.19157088122603</c:v>
                </c:pt>
                <c:pt idx="67">
                  <c:v>125.2873563218391</c:v>
                </c:pt>
                <c:pt idx="68">
                  <c:v>125.67049808429115</c:v>
                </c:pt>
                <c:pt idx="69">
                  <c:v>127.29885057471265</c:v>
                </c:pt>
                <c:pt idx="70">
                  <c:v>128.16091954022988</c:v>
                </c:pt>
                <c:pt idx="71">
                  <c:v>127.39463601532566</c:v>
                </c:pt>
                <c:pt idx="72">
                  <c:v>128.44827586206895</c:v>
                </c:pt>
                <c:pt idx="73">
                  <c:v>128.35249042145594</c:v>
                </c:pt>
                <c:pt idx="74">
                  <c:v>128.35249042145594</c:v>
                </c:pt>
                <c:pt idx="75">
                  <c:v>129.21455938697318</c:v>
                </c:pt>
                <c:pt idx="76">
                  <c:v>129.78927203065135</c:v>
                </c:pt>
                <c:pt idx="77">
                  <c:v>129.69348659003833</c:v>
                </c:pt>
                <c:pt idx="78">
                  <c:v>129.69348659003833</c:v>
                </c:pt>
                <c:pt idx="79">
                  <c:v>129.88505747126436</c:v>
                </c:pt>
                <c:pt idx="80">
                  <c:v>129.88505747126436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AB2-4A91-9100-3E323442CE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25668575"/>
        <c:axId val="2125678975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'fig F3'!$B$33</c15:sqref>
                        </c15:formulaRef>
                      </c:ext>
                    </c:extLst>
                    <c:strCache>
                      <c:ptCount val="1"/>
                      <c:pt idx="0">
                        <c:v>Unione europea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'fig F3'!$C$32:$CE$32</c15:sqref>
                        </c15:formulaRef>
                      </c:ext>
                    </c:extLst>
                    <c:numCache>
                      <c:formatCode>General</c:formatCode>
                      <c:ptCount val="81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'fig F3'!$C$33:$CE$33</c15:sqref>
                        </c15:formulaRef>
                      </c:ext>
                    </c:extLst>
                    <c:numCache>
                      <c:formatCode>General</c:formatCode>
                      <c:ptCount val="81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9AB2-4A91-9100-3E323442CEDA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F3'!$B$35</c15:sqref>
                        </c15:formulaRef>
                      </c:ext>
                    </c:extLst>
                    <c:strCache>
                      <c:ptCount val="1"/>
                      <c:pt idx="0">
                        <c:v>Area euro</c:v>
                      </c:pt>
                    </c:strCache>
                  </c:strRef>
                </c:tx>
                <c:spPr>
                  <a:ln w="28575" cap="rnd">
                    <a:solidFill>
                      <a:srgbClr val="00B0F0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F3'!$C$32:$CE$32</c15:sqref>
                        </c15:formulaRef>
                      </c:ext>
                    </c:extLst>
                    <c:numCache>
                      <c:formatCode>General</c:formatCode>
                      <c:ptCount val="81"/>
                      <c:pt idx="0">
                        <c:v>2019</c:v>
                      </c:pt>
                      <c:pt idx="12">
                        <c:v>2020</c:v>
                      </c:pt>
                      <c:pt idx="24">
                        <c:v>2021</c:v>
                      </c:pt>
                      <c:pt idx="36">
                        <c:v>2022</c:v>
                      </c:pt>
                      <c:pt idx="48">
                        <c:v>2023</c:v>
                      </c:pt>
                      <c:pt idx="60">
                        <c:v>2024</c:v>
                      </c:pt>
                      <c:pt idx="72">
                        <c:v>2025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'fig F3'!$C$35:$CE$35</c15:sqref>
                        </c15:formulaRef>
                      </c:ext>
                    </c:extLst>
                    <c:numCache>
                      <c:formatCode>General</c:formatCode>
                      <c:ptCount val="81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AB2-4A91-9100-3E323442CEDA}"/>
                  </c:ext>
                </c:extLst>
              </c15:ser>
            </c15:filteredLineSeries>
          </c:ext>
        </c:extLst>
      </c:lineChart>
      <c:catAx>
        <c:axId val="2125668575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78975"/>
        <c:crosses val="autoZero"/>
        <c:auto val="1"/>
        <c:lblAlgn val="ctr"/>
        <c:lblOffset val="100"/>
        <c:tickLblSkip val="1"/>
        <c:noMultiLvlLbl val="0"/>
      </c:catAx>
      <c:valAx>
        <c:axId val="2125678975"/>
        <c:scaling>
          <c:orientation val="minMax"/>
          <c:max val="150"/>
          <c:min val="9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it-IT"/>
          </a:p>
        </c:txPr>
        <c:crossAx val="2125668575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2054270900956366E-2"/>
          <c:y val="1.6842660912607919E-2"/>
          <c:w val="0.92082411631933003"/>
          <c:h val="9.14779580808794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0053F9E131147B9CEAC54314E0F9D" ma:contentTypeVersion="9" ma:contentTypeDescription="Create a new document." ma:contentTypeScope="" ma:versionID="3eb93f64f109c821474c73538f6f372f">
  <xsd:schema xmlns:xsd="http://www.w3.org/2001/XMLSchema" xmlns:xs="http://www.w3.org/2001/XMLSchema" xmlns:p="http://schemas.microsoft.com/office/2006/metadata/properties" xmlns:ns3="21ec187e-ae73-48b1-af9f-48398156d65c" targetNamespace="http://schemas.microsoft.com/office/2006/metadata/properties" ma:root="true" ma:fieldsID="3d049ba621cb43293efcac7a0ac7ac47" ns3:_="">
    <xsd:import namespace="21ec187e-ae73-48b1-af9f-48398156d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c187e-ae73-48b1-af9f-48398156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5A0C-1A81-4E11-A1D5-D9477446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c187e-ae73-48b1-af9f-48398156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3334E-E935-4AE6-8F2B-B2CF4D687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A82FE-6802-4046-956C-A023313EB9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70E132-C7CD-44D3-A12A-506C30C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5560</Words>
  <Characters>31698</Characters>
  <Application>Microsoft Office Word</Application>
  <DocSecurity>0</DocSecurity>
  <Lines>264</Lines>
  <Paragraphs>74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Enza Lucia Rocca Agnese Vaccaro</cp:lastModifiedBy>
  <cp:revision>8</cp:revision>
  <cp:lastPrinted>2025-03-12T11:22:00Z</cp:lastPrinted>
  <dcterms:created xsi:type="dcterms:W3CDTF">2025-11-12T08:02:00Z</dcterms:created>
  <dcterms:modified xsi:type="dcterms:W3CDTF">2025-11-12T08:52:00Z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0x01010050B0053F9E131147B9CEAC54314E0F9D</vt:lpwstr>
  </property>
</Properties>
</file>