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5BA57" w14:textId="77777777" w:rsidR="00BE18AD" w:rsidRPr="003643F1" w:rsidRDefault="00BE18AD" w:rsidP="00682106">
      <w:pPr>
        <w:pStyle w:val="Paragrafoelenco"/>
        <w:widowControl/>
        <w:tabs>
          <w:tab w:val="left" w:pos="10206"/>
        </w:tabs>
        <w:overflowPunct/>
        <w:autoSpaceDE/>
        <w:autoSpaceDN/>
        <w:adjustRightInd/>
        <w:spacing w:before="0" w:after="0" w:line="230" w:lineRule="exact"/>
        <w:ind w:left="284"/>
        <w:contextualSpacing w:val="0"/>
        <w:jc w:val="both"/>
        <w:rPr>
          <w:rFonts w:ascii="Arial" w:hAnsi="Arial" w:cs="Arial"/>
          <w:noProof/>
          <w:color w:val="5F5F5F"/>
          <w:sz w:val="16"/>
          <w:szCs w:val="28"/>
        </w:rPr>
      </w:pPr>
    </w:p>
    <w:p w14:paraId="56BA4E08" w14:textId="3E13C3F6" w:rsidR="008A27B3" w:rsidRPr="00C8504B" w:rsidRDefault="00642DB1" w:rsidP="00921CE1">
      <w:pPr>
        <w:spacing w:before="0" w:after="0"/>
        <w:ind w:left="1843"/>
        <w:rPr>
          <w:rFonts w:ascii="Arial" w:hAnsi="Arial" w:cs="Arial"/>
          <w:color w:val="5F5F5F"/>
          <w:sz w:val="28"/>
          <w:szCs w:val="28"/>
        </w:rPr>
      </w:pPr>
      <w:r>
        <w:rPr>
          <w:rFonts w:ascii="Arial" w:hAnsi="Arial" w:cs="Arial"/>
          <w:noProof/>
          <w:color w:val="5F5F5F"/>
          <w:sz w:val="28"/>
          <w:szCs w:val="28"/>
        </w:rPr>
        <w:t>Novem</w:t>
      </w:r>
      <w:r w:rsidR="00200BC8">
        <w:rPr>
          <w:rFonts w:ascii="Arial" w:hAnsi="Arial" w:cs="Arial"/>
          <w:noProof/>
          <w:color w:val="5F5F5F"/>
          <w:sz w:val="28"/>
          <w:szCs w:val="28"/>
        </w:rPr>
        <w:t>bre</w:t>
      </w:r>
      <w:r w:rsidR="00274252">
        <w:rPr>
          <w:rFonts w:ascii="Arial" w:hAnsi="Arial" w:cs="Arial"/>
          <w:noProof/>
          <w:color w:val="5F5F5F"/>
          <w:sz w:val="28"/>
          <w:szCs w:val="28"/>
        </w:rPr>
        <w:t xml:space="preserve"> 2025</w:t>
      </w:r>
    </w:p>
    <w:p w14:paraId="44506C1D" w14:textId="77777777" w:rsidR="008A27B3" w:rsidRPr="00C8504B" w:rsidRDefault="004C4EFD" w:rsidP="00921CE1">
      <w:pPr>
        <w:spacing w:before="0" w:after="0"/>
        <w:ind w:left="1843"/>
        <w:rPr>
          <w:rFonts w:ascii="Calibri" w:hAnsi="Calibri" w:cs="Arial"/>
          <w:b/>
          <w:bCs/>
          <w:color w:val="5F5F5F"/>
          <w:w w:val="95"/>
          <w:sz w:val="52"/>
          <w:szCs w:val="52"/>
        </w:rPr>
      </w:pPr>
      <w:r>
        <w:rPr>
          <w:rFonts w:ascii="Calibri" w:hAnsi="Calibri" w:cs="Arial"/>
          <w:b/>
          <w:bCs/>
          <w:color w:val="5F5F5F"/>
          <w:w w:val="95"/>
          <w:sz w:val="52"/>
          <w:szCs w:val="52"/>
        </w:rPr>
        <w:t>P</w:t>
      </w:r>
      <w:r w:rsidR="008A27B3" w:rsidRPr="00C8504B">
        <w:rPr>
          <w:rFonts w:ascii="Calibri" w:hAnsi="Calibri" w:cs="Arial"/>
          <w:b/>
          <w:bCs/>
          <w:color w:val="5F5F5F"/>
          <w:w w:val="95"/>
          <w:sz w:val="52"/>
          <w:szCs w:val="52"/>
        </w:rPr>
        <w:t>REZZI AL CONSUMO</w:t>
      </w:r>
    </w:p>
    <w:p w14:paraId="5C50665B" w14:textId="77777777" w:rsidR="008A27B3" w:rsidRPr="00FA655E" w:rsidRDefault="008A27B3" w:rsidP="00B131C4">
      <w:pPr>
        <w:spacing w:before="0" w:after="120"/>
        <w:ind w:left="1843"/>
        <w:rPr>
          <w:rFonts w:ascii="Arial" w:hAnsi="Arial" w:cs="Arial"/>
          <w:color w:val="808080"/>
          <w:sz w:val="28"/>
          <w:szCs w:val="28"/>
        </w:rPr>
      </w:pPr>
      <w:r w:rsidRPr="00FA655E">
        <w:rPr>
          <w:rFonts w:ascii="Arial" w:hAnsi="Arial" w:cs="Arial"/>
          <w:color w:val="808080"/>
          <w:sz w:val="28"/>
          <w:szCs w:val="28"/>
        </w:rPr>
        <w:t>Dati definitivi</w:t>
      </w:r>
    </w:p>
    <w:p w14:paraId="13739863" w14:textId="042974C6" w:rsidR="00D92922" w:rsidRPr="005221BA" w:rsidRDefault="004F78AC" w:rsidP="00D92922">
      <w:pPr>
        <w:pStyle w:val="Paragrafoelenco"/>
        <w:widowControl/>
        <w:numPr>
          <w:ilvl w:val="0"/>
          <w:numId w:val="12"/>
        </w:numPr>
        <w:tabs>
          <w:tab w:val="left" w:pos="10206"/>
        </w:tabs>
        <w:overflowPunct/>
        <w:autoSpaceDE/>
        <w:autoSpaceDN/>
        <w:adjustRightInd/>
        <w:spacing w:before="0" w:after="80" w:line="230" w:lineRule="exact"/>
        <w:ind w:left="284" w:hanging="284"/>
        <w:contextualSpacing w:val="0"/>
        <w:jc w:val="both"/>
        <w:rPr>
          <w:rFonts w:ascii="Arial" w:hAnsi="Arial" w:cs="Arial"/>
          <w:sz w:val="21"/>
          <w:szCs w:val="21"/>
        </w:rPr>
      </w:pPr>
      <w:r>
        <w:rPr>
          <w:rFonts w:ascii="Arial" w:hAnsi="Arial" w:cs="Arial"/>
          <w:sz w:val="21"/>
          <w:szCs w:val="21"/>
        </w:rPr>
        <w:t>A</w:t>
      </w:r>
      <w:r w:rsidR="00D92922" w:rsidRPr="005221BA">
        <w:rPr>
          <w:rFonts w:ascii="Arial" w:hAnsi="Arial" w:cs="Arial"/>
          <w:sz w:val="21"/>
          <w:szCs w:val="21"/>
        </w:rPr>
        <w:t xml:space="preserve"> </w:t>
      </w:r>
      <w:r w:rsidR="00D63757">
        <w:rPr>
          <w:rFonts w:ascii="Arial" w:hAnsi="Arial" w:cs="Arial"/>
          <w:sz w:val="21"/>
          <w:szCs w:val="21"/>
        </w:rPr>
        <w:t>novembre</w:t>
      </w:r>
      <w:r w:rsidR="0022377B" w:rsidRPr="005221BA">
        <w:rPr>
          <w:rFonts w:ascii="Arial" w:hAnsi="Arial" w:cs="Arial"/>
          <w:sz w:val="21"/>
          <w:szCs w:val="21"/>
        </w:rPr>
        <w:t xml:space="preserve"> </w:t>
      </w:r>
      <w:r w:rsidR="00D92922" w:rsidRPr="005221BA">
        <w:rPr>
          <w:rFonts w:ascii="Arial" w:hAnsi="Arial" w:cs="Arial"/>
          <w:sz w:val="21"/>
          <w:szCs w:val="21"/>
        </w:rPr>
        <w:t>202</w:t>
      </w:r>
      <w:r w:rsidR="004303A8">
        <w:rPr>
          <w:rFonts w:ascii="Arial" w:hAnsi="Arial" w:cs="Arial"/>
          <w:sz w:val="21"/>
          <w:szCs w:val="21"/>
        </w:rPr>
        <w:t>5</w:t>
      </w:r>
      <w:r w:rsidR="00873E09">
        <w:rPr>
          <w:rFonts w:ascii="Arial" w:hAnsi="Arial" w:cs="Arial"/>
          <w:sz w:val="21"/>
          <w:szCs w:val="21"/>
        </w:rPr>
        <w:t xml:space="preserve">, </w:t>
      </w:r>
      <w:r w:rsidR="00D92922" w:rsidRPr="005221BA">
        <w:rPr>
          <w:rFonts w:ascii="Arial" w:hAnsi="Arial" w:cs="Arial"/>
          <w:sz w:val="21"/>
          <w:szCs w:val="21"/>
        </w:rPr>
        <w:t>l’indice nazionale dei prezzi al consumo per l’intera collettività (NIC), al lordo dei tabacchi,</w:t>
      </w:r>
      <w:r w:rsidR="00351B55" w:rsidRPr="005221BA">
        <w:rPr>
          <w:rFonts w:ascii="Arial" w:hAnsi="Arial" w:cs="Arial"/>
          <w:sz w:val="21"/>
          <w:szCs w:val="21"/>
        </w:rPr>
        <w:t xml:space="preserve"> </w:t>
      </w:r>
      <w:r w:rsidR="00135997">
        <w:rPr>
          <w:rFonts w:ascii="Arial" w:hAnsi="Arial" w:cs="Arial"/>
          <w:sz w:val="21"/>
          <w:szCs w:val="21"/>
        </w:rPr>
        <w:t xml:space="preserve">evidenzia una </w:t>
      </w:r>
      <w:r w:rsidR="00135997" w:rsidRPr="008650A7">
        <w:rPr>
          <w:rFonts w:ascii="Arial" w:hAnsi="Arial" w:cs="Arial"/>
          <w:sz w:val="21"/>
          <w:szCs w:val="21"/>
        </w:rPr>
        <w:t>varia</w:t>
      </w:r>
      <w:r w:rsidR="00135997">
        <w:rPr>
          <w:rFonts w:ascii="Arial" w:hAnsi="Arial" w:cs="Arial"/>
          <w:sz w:val="21"/>
          <w:szCs w:val="21"/>
        </w:rPr>
        <w:t>zione</w:t>
      </w:r>
      <w:r w:rsidR="00135997" w:rsidRPr="008650A7">
        <w:rPr>
          <w:rFonts w:ascii="Arial" w:hAnsi="Arial" w:cs="Arial"/>
          <w:sz w:val="21"/>
          <w:szCs w:val="21"/>
        </w:rPr>
        <w:t xml:space="preserve"> </w:t>
      </w:r>
      <w:r w:rsidR="00D63757">
        <w:rPr>
          <w:rFonts w:ascii="Arial" w:hAnsi="Arial" w:cs="Arial"/>
          <w:sz w:val="21"/>
          <w:szCs w:val="21"/>
        </w:rPr>
        <w:t xml:space="preserve">pari a </w:t>
      </w:r>
      <w:r w:rsidR="00135997">
        <w:rPr>
          <w:rFonts w:ascii="Arial" w:hAnsi="Arial" w:cs="Arial"/>
          <w:sz w:val="21"/>
          <w:szCs w:val="21"/>
        </w:rPr>
        <w:t>-0,</w:t>
      </w:r>
      <w:r w:rsidR="00D63757">
        <w:rPr>
          <w:rFonts w:ascii="Arial" w:hAnsi="Arial" w:cs="Arial"/>
          <w:sz w:val="21"/>
          <w:szCs w:val="21"/>
        </w:rPr>
        <w:t>2</w:t>
      </w:r>
      <w:r w:rsidR="00135997" w:rsidRPr="008650A7">
        <w:rPr>
          <w:rFonts w:ascii="Arial" w:hAnsi="Arial" w:cs="Arial"/>
          <w:sz w:val="21"/>
          <w:szCs w:val="21"/>
        </w:rPr>
        <w:t xml:space="preserve">% su base mensile </w:t>
      </w:r>
      <w:r w:rsidR="00135997">
        <w:rPr>
          <w:rFonts w:ascii="Arial" w:hAnsi="Arial" w:cs="Arial"/>
          <w:sz w:val="21"/>
          <w:szCs w:val="21"/>
        </w:rPr>
        <w:t xml:space="preserve">e </w:t>
      </w:r>
      <w:r w:rsidR="00D63757">
        <w:rPr>
          <w:rFonts w:ascii="Arial" w:hAnsi="Arial" w:cs="Arial"/>
          <w:sz w:val="21"/>
          <w:szCs w:val="21"/>
        </w:rPr>
        <w:t>a</w:t>
      </w:r>
      <w:r w:rsidR="00135997">
        <w:rPr>
          <w:rFonts w:ascii="Arial" w:hAnsi="Arial" w:cs="Arial"/>
          <w:sz w:val="21"/>
          <w:szCs w:val="21"/>
        </w:rPr>
        <w:t xml:space="preserve"> +1,</w:t>
      </w:r>
      <w:r w:rsidR="00D63757">
        <w:rPr>
          <w:rFonts w:ascii="Arial" w:hAnsi="Arial" w:cs="Arial"/>
          <w:sz w:val="21"/>
          <w:szCs w:val="21"/>
        </w:rPr>
        <w:t>1</w:t>
      </w:r>
      <w:r w:rsidR="00135997">
        <w:rPr>
          <w:rFonts w:ascii="Arial" w:hAnsi="Arial" w:cs="Arial"/>
          <w:sz w:val="21"/>
          <w:szCs w:val="21"/>
        </w:rPr>
        <w:t>% su base annua (da +1,</w:t>
      </w:r>
      <w:r w:rsidR="00D63757">
        <w:rPr>
          <w:rFonts w:ascii="Arial" w:hAnsi="Arial" w:cs="Arial"/>
          <w:sz w:val="21"/>
          <w:szCs w:val="21"/>
        </w:rPr>
        <w:t>2</w:t>
      </w:r>
      <w:r w:rsidR="00135997">
        <w:rPr>
          <w:rFonts w:ascii="Arial" w:hAnsi="Arial" w:cs="Arial"/>
          <w:sz w:val="21"/>
          <w:szCs w:val="21"/>
        </w:rPr>
        <w:t xml:space="preserve">% </w:t>
      </w:r>
      <w:r w:rsidR="00DB7B60">
        <w:rPr>
          <w:rFonts w:ascii="Arial" w:hAnsi="Arial" w:cs="Arial"/>
          <w:sz w:val="21"/>
          <w:szCs w:val="21"/>
        </w:rPr>
        <w:t>d</w:t>
      </w:r>
      <w:r w:rsidR="00135997">
        <w:rPr>
          <w:rFonts w:ascii="Arial" w:hAnsi="Arial" w:cs="Arial"/>
          <w:sz w:val="21"/>
          <w:szCs w:val="21"/>
        </w:rPr>
        <w:t>el</w:t>
      </w:r>
      <w:r w:rsidR="00135997" w:rsidRPr="008650A7">
        <w:rPr>
          <w:rFonts w:ascii="Arial" w:hAnsi="Arial" w:cs="Arial"/>
          <w:sz w:val="21"/>
          <w:szCs w:val="21"/>
        </w:rPr>
        <w:t xml:space="preserve"> mese precedente</w:t>
      </w:r>
      <w:r w:rsidR="00135997">
        <w:rPr>
          <w:rFonts w:ascii="Arial" w:hAnsi="Arial" w:cs="Arial"/>
          <w:sz w:val="21"/>
          <w:szCs w:val="21"/>
        </w:rPr>
        <w:t>)</w:t>
      </w:r>
      <w:r w:rsidR="00D63757">
        <w:rPr>
          <w:rFonts w:ascii="Arial" w:hAnsi="Arial" w:cs="Arial"/>
          <w:sz w:val="21"/>
          <w:szCs w:val="21"/>
        </w:rPr>
        <w:t>; la s</w:t>
      </w:r>
      <w:r w:rsidR="003B4654" w:rsidRPr="005221BA">
        <w:rPr>
          <w:rFonts w:ascii="Arial" w:hAnsi="Arial" w:cs="Arial"/>
          <w:sz w:val="21"/>
          <w:szCs w:val="21"/>
        </w:rPr>
        <w:t>tima preliminare</w:t>
      </w:r>
      <w:r w:rsidR="00D63757">
        <w:rPr>
          <w:rFonts w:ascii="Arial" w:hAnsi="Arial" w:cs="Arial"/>
          <w:sz w:val="21"/>
          <w:szCs w:val="21"/>
        </w:rPr>
        <w:t xml:space="preserve"> era +1,2%</w:t>
      </w:r>
      <w:r w:rsidR="00D92922" w:rsidRPr="005221BA">
        <w:rPr>
          <w:rFonts w:ascii="Arial" w:hAnsi="Arial" w:cs="Arial"/>
          <w:sz w:val="21"/>
          <w:szCs w:val="21"/>
        </w:rPr>
        <w:t>.</w:t>
      </w:r>
    </w:p>
    <w:p w14:paraId="764FE77A" w14:textId="5E34C5B0" w:rsidR="0094089F" w:rsidRDefault="0094089F" w:rsidP="00D57ABE">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Pr>
          <w:rFonts w:ascii="Arial" w:hAnsi="Arial" w:cs="Arial"/>
          <w:sz w:val="21"/>
          <w:szCs w:val="21"/>
        </w:rPr>
        <w:t xml:space="preserve">La </w:t>
      </w:r>
      <w:r w:rsidR="00D63757">
        <w:rPr>
          <w:rFonts w:ascii="Arial" w:hAnsi="Arial" w:cs="Arial"/>
          <w:sz w:val="21"/>
          <w:szCs w:val="21"/>
        </w:rPr>
        <w:t xml:space="preserve">lieve </w:t>
      </w:r>
      <w:r>
        <w:rPr>
          <w:rFonts w:ascii="Arial" w:hAnsi="Arial" w:cs="Arial"/>
          <w:sz w:val="21"/>
          <w:szCs w:val="21"/>
        </w:rPr>
        <w:t>decelerazione del</w:t>
      </w:r>
      <w:r w:rsidR="00D63757">
        <w:rPr>
          <w:rFonts w:ascii="Arial" w:hAnsi="Arial" w:cs="Arial"/>
          <w:sz w:val="21"/>
          <w:szCs w:val="21"/>
        </w:rPr>
        <w:t>l’</w:t>
      </w:r>
      <w:r>
        <w:rPr>
          <w:rFonts w:ascii="Arial" w:hAnsi="Arial" w:cs="Arial"/>
          <w:sz w:val="21"/>
          <w:szCs w:val="21"/>
        </w:rPr>
        <w:t>inflazione si deve prevalentemente al rallentamento</w:t>
      </w:r>
      <w:r w:rsidR="00DB7B60">
        <w:rPr>
          <w:rFonts w:ascii="Arial" w:hAnsi="Arial" w:cs="Arial"/>
          <w:sz w:val="21"/>
          <w:szCs w:val="21"/>
        </w:rPr>
        <w:t>,</w:t>
      </w:r>
      <w:r>
        <w:rPr>
          <w:rFonts w:ascii="Arial" w:hAnsi="Arial" w:cs="Arial"/>
          <w:sz w:val="21"/>
          <w:szCs w:val="21"/>
        </w:rPr>
        <w:t xml:space="preserve"> su base tendenziale</w:t>
      </w:r>
      <w:r w:rsidR="00DB7B60">
        <w:rPr>
          <w:rFonts w:ascii="Arial" w:hAnsi="Arial" w:cs="Arial"/>
          <w:sz w:val="21"/>
          <w:szCs w:val="21"/>
        </w:rPr>
        <w:t>,</w:t>
      </w:r>
      <w:r>
        <w:rPr>
          <w:rFonts w:ascii="Arial" w:hAnsi="Arial" w:cs="Arial"/>
          <w:sz w:val="21"/>
          <w:szCs w:val="21"/>
        </w:rPr>
        <w:t xml:space="preserve"> dei prezzi </w:t>
      </w:r>
      <w:r w:rsidR="00742A80">
        <w:rPr>
          <w:rFonts w:ascii="Arial" w:hAnsi="Arial" w:cs="Arial"/>
          <w:sz w:val="21"/>
          <w:szCs w:val="21"/>
        </w:rPr>
        <w:t>dei Servizi relativi ai trasporti (da +2,0% a +0,9%), degli Alimentari non lavorati (da +1,9% a +1,</w:t>
      </w:r>
      <w:r w:rsidR="001B7265">
        <w:rPr>
          <w:rFonts w:ascii="Arial" w:hAnsi="Arial" w:cs="Arial"/>
          <w:sz w:val="21"/>
          <w:szCs w:val="21"/>
        </w:rPr>
        <w:t>1</w:t>
      </w:r>
      <w:r w:rsidR="00742A80">
        <w:rPr>
          <w:rFonts w:ascii="Arial" w:hAnsi="Arial" w:cs="Arial"/>
          <w:sz w:val="21"/>
          <w:szCs w:val="21"/>
        </w:rPr>
        <w:t xml:space="preserve">%), </w:t>
      </w:r>
      <w:r w:rsidR="001B7265">
        <w:rPr>
          <w:rFonts w:ascii="Arial" w:hAnsi="Arial" w:cs="Arial"/>
          <w:sz w:val="21"/>
          <w:szCs w:val="21"/>
        </w:rPr>
        <w:t xml:space="preserve">degli Alimentari lavorati (da +2,5% a +2,1%), </w:t>
      </w:r>
      <w:r w:rsidR="00742A80">
        <w:rPr>
          <w:rFonts w:ascii="Arial" w:hAnsi="Arial" w:cs="Arial"/>
          <w:sz w:val="21"/>
          <w:szCs w:val="21"/>
        </w:rPr>
        <w:t xml:space="preserve">dei Servizi ricreativi, culturali e per la cura della persona (da +3,3% a +3,0%), a cui si aggiunge l’ampliarsi della flessione dei prezzi degli Energetici regolamentati (da </w:t>
      </w:r>
      <w:r w:rsidR="00DC34DE">
        <w:rPr>
          <w:rFonts w:ascii="Arial" w:hAnsi="Arial" w:cs="Arial"/>
          <w:sz w:val="21"/>
          <w:szCs w:val="21"/>
        </w:rPr>
        <w:t xml:space="preserve">     </w:t>
      </w:r>
      <w:r w:rsidR="00742A80">
        <w:rPr>
          <w:rFonts w:ascii="Arial" w:hAnsi="Arial" w:cs="Arial"/>
          <w:sz w:val="21"/>
          <w:szCs w:val="21"/>
        </w:rPr>
        <w:t>-0,5% a -</w:t>
      </w:r>
      <w:r w:rsidR="008766AE">
        <w:rPr>
          <w:rFonts w:ascii="Arial" w:hAnsi="Arial" w:cs="Arial"/>
          <w:sz w:val="21"/>
          <w:szCs w:val="21"/>
        </w:rPr>
        <w:t>3,</w:t>
      </w:r>
      <w:r w:rsidR="001B7265">
        <w:rPr>
          <w:rFonts w:ascii="Arial" w:hAnsi="Arial" w:cs="Arial"/>
          <w:sz w:val="21"/>
          <w:szCs w:val="21"/>
        </w:rPr>
        <w:t>2</w:t>
      </w:r>
      <w:r w:rsidR="00742A80">
        <w:rPr>
          <w:rFonts w:ascii="Arial" w:hAnsi="Arial" w:cs="Arial"/>
          <w:sz w:val="21"/>
          <w:szCs w:val="21"/>
        </w:rPr>
        <w:t xml:space="preserve">%) e dei Servizi relativi alle comunicazioni (da -0,3% a -0,8%). </w:t>
      </w:r>
      <w:r>
        <w:rPr>
          <w:rFonts w:ascii="Arial" w:hAnsi="Arial" w:cs="Arial"/>
          <w:sz w:val="21"/>
          <w:szCs w:val="21"/>
        </w:rPr>
        <w:t>Tali effetti sono</w:t>
      </w:r>
      <w:r w:rsidR="00742A80">
        <w:rPr>
          <w:rFonts w:ascii="Arial" w:hAnsi="Arial" w:cs="Arial"/>
          <w:sz w:val="21"/>
          <w:szCs w:val="21"/>
        </w:rPr>
        <w:t xml:space="preserve"> solo</w:t>
      </w:r>
      <w:r>
        <w:rPr>
          <w:rFonts w:ascii="Arial" w:hAnsi="Arial" w:cs="Arial"/>
          <w:sz w:val="21"/>
          <w:szCs w:val="21"/>
        </w:rPr>
        <w:t xml:space="preserve"> in parte compensati </w:t>
      </w:r>
      <w:r w:rsidR="00742A80">
        <w:rPr>
          <w:rFonts w:ascii="Arial" w:hAnsi="Arial" w:cs="Arial"/>
          <w:sz w:val="21"/>
          <w:szCs w:val="21"/>
        </w:rPr>
        <w:t>dalla ripresa dei prezzi degli Energetici non regolamentati (da -4,9% a -4,</w:t>
      </w:r>
      <w:r w:rsidR="001B7265">
        <w:rPr>
          <w:rFonts w:ascii="Arial" w:hAnsi="Arial" w:cs="Arial"/>
          <w:sz w:val="21"/>
          <w:szCs w:val="21"/>
        </w:rPr>
        <w:t>3</w:t>
      </w:r>
      <w:r w:rsidR="00742A80">
        <w:rPr>
          <w:rFonts w:ascii="Arial" w:hAnsi="Arial" w:cs="Arial"/>
          <w:sz w:val="21"/>
          <w:szCs w:val="21"/>
        </w:rPr>
        <w:t>%)</w:t>
      </w:r>
      <w:r w:rsidR="00246BEE">
        <w:rPr>
          <w:rFonts w:ascii="Arial" w:hAnsi="Arial" w:cs="Arial"/>
          <w:sz w:val="21"/>
          <w:szCs w:val="21"/>
        </w:rPr>
        <w:t>.</w:t>
      </w:r>
      <w:r w:rsidR="006D517C">
        <w:rPr>
          <w:rFonts w:ascii="Arial" w:hAnsi="Arial" w:cs="Arial"/>
          <w:sz w:val="21"/>
          <w:szCs w:val="21"/>
        </w:rPr>
        <w:t xml:space="preserve"> </w:t>
      </w:r>
    </w:p>
    <w:p w14:paraId="7C185C57" w14:textId="409E3384" w:rsidR="00BB509C" w:rsidRDefault="004F78AC" w:rsidP="00D57ABE">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Pr>
          <w:rFonts w:ascii="Arial" w:hAnsi="Arial" w:cs="Arial"/>
          <w:sz w:val="21"/>
          <w:szCs w:val="21"/>
        </w:rPr>
        <w:t>L</w:t>
      </w:r>
      <w:r w:rsidR="00D83D6A" w:rsidRPr="008650A7">
        <w:rPr>
          <w:rFonts w:ascii="Arial" w:hAnsi="Arial" w:cs="Arial"/>
          <w:sz w:val="21"/>
          <w:szCs w:val="21"/>
        </w:rPr>
        <w:t xml:space="preserve">’“inflazione di fondo”, al netto degli energetici e degli alimentari freschi, </w:t>
      </w:r>
      <w:r w:rsidR="00B00F17">
        <w:rPr>
          <w:rFonts w:ascii="Arial" w:hAnsi="Arial" w:cs="Arial"/>
          <w:sz w:val="21"/>
          <w:szCs w:val="21"/>
        </w:rPr>
        <w:t>r</w:t>
      </w:r>
      <w:r w:rsidR="001B7265">
        <w:rPr>
          <w:rFonts w:ascii="Arial" w:hAnsi="Arial" w:cs="Arial"/>
          <w:sz w:val="21"/>
          <w:szCs w:val="21"/>
        </w:rPr>
        <w:t>allenta</w:t>
      </w:r>
      <w:r w:rsidR="00B00F17">
        <w:rPr>
          <w:rFonts w:ascii="Arial" w:hAnsi="Arial" w:cs="Arial"/>
          <w:sz w:val="21"/>
          <w:szCs w:val="21"/>
        </w:rPr>
        <w:t>,</w:t>
      </w:r>
      <w:r w:rsidR="001B7265">
        <w:rPr>
          <w:rFonts w:ascii="Arial" w:hAnsi="Arial" w:cs="Arial"/>
          <w:sz w:val="21"/>
          <w:szCs w:val="21"/>
        </w:rPr>
        <w:t xml:space="preserve"> come anche</w:t>
      </w:r>
      <w:r w:rsidR="00B00F17">
        <w:rPr>
          <w:rFonts w:ascii="Arial" w:hAnsi="Arial" w:cs="Arial"/>
          <w:sz w:val="21"/>
          <w:szCs w:val="21"/>
        </w:rPr>
        <w:t xml:space="preserve"> </w:t>
      </w:r>
      <w:r w:rsidR="00D83D6A" w:rsidRPr="008650A7">
        <w:rPr>
          <w:rFonts w:ascii="Arial" w:hAnsi="Arial" w:cs="Arial"/>
          <w:sz w:val="21"/>
          <w:szCs w:val="21"/>
        </w:rPr>
        <w:t xml:space="preserve">quella al netto dei soli beni energetici </w:t>
      </w:r>
      <w:r w:rsidR="00B00F17" w:rsidRPr="008650A7">
        <w:rPr>
          <w:rFonts w:ascii="Arial" w:hAnsi="Arial" w:cs="Arial"/>
          <w:sz w:val="21"/>
          <w:szCs w:val="21"/>
        </w:rPr>
        <w:t>(</w:t>
      </w:r>
      <w:r w:rsidR="001B7265">
        <w:rPr>
          <w:rFonts w:ascii="Arial" w:hAnsi="Arial" w:cs="Arial"/>
          <w:sz w:val="21"/>
          <w:szCs w:val="21"/>
        </w:rPr>
        <w:t xml:space="preserve">entrambe </w:t>
      </w:r>
      <w:r w:rsidR="00B00F17">
        <w:rPr>
          <w:rFonts w:ascii="Arial" w:hAnsi="Arial" w:cs="Arial"/>
          <w:sz w:val="21"/>
          <w:szCs w:val="21"/>
        </w:rPr>
        <w:t>d</w:t>
      </w:r>
      <w:r w:rsidR="00B00F17" w:rsidRPr="008650A7">
        <w:rPr>
          <w:rFonts w:ascii="Arial" w:hAnsi="Arial" w:cs="Arial"/>
          <w:sz w:val="21"/>
          <w:szCs w:val="21"/>
        </w:rPr>
        <w:t>a +</w:t>
      </w:r>
      <w:r w:rsidR="001B7265">
        <w:rPr>
          <w:rFonts w:ascii="Arial" w:hAnsi="Arial" w:cs="Arial"/>
          <w:sz w:val="21"/>
          <w:szCs w:val="21"/>
        </w:rPr>
        <w:t>1,9</w:t>
      </w:r>
      <w:r w:rsidR="00B00F17" w:rsidRPr="008650A7">
        <w:rPr>
          <w:rFonts w:ascii="Arial" w:hAnsi="Arial" w:cs="Arial"/>
          <w:sz w:val="21"/>
          <w:szCs w:val="21"/>
        </w:rPr>
        <w:t>%</w:t>
      </w:r>
      <w:r w:rsidR="00B00F17">
        <w:rPr>
          <w:rFonts w:ascii="Arial" w:hAnsi="Arial" w:cs="Arial"/>
          <w:sz w:val="21"/>
          <w:szCs w:val="21"/>
        </w:rPr>
        <w:t xml:space="preserve"> a +1,</w:t>
      </w:r>
      <w:r w:rsidR="001B7265">
        <w:rPr>
          <w:rFonts w:ascii="Arial" w:hAnsi="Arial" w:cs="Arial"/>
          <w:sz w:val="21"/>
          <w:szCs w:val="21"/>
        </w:rPr>
        <w:t>7</w:t>
      </w:r>
      <w:r w:rsidR="00B00F17">
        <w:rPr>
          <w:rFonts w:ascii="Arial" w:hAnsi="Arial" w:cs="Arial"/>
          <w:sz w:val="21"/>
          <w:szCs w:val="21"/>
        </w:rPr>
        <w:t>%</w:t>
      </w:r>
      <w:r w:rsidR="00B00F17" w:rsidRPr="008650A7">
        <w:rPr>
          <w:rFonts w:ascii="Arial" w:hAnsi="Arial" w:cs="Arial"/>
          <w:sz w:val="21"/>
          <w:szCs w:val="21"/>
        </w:rPr>
        <w:t>)</w:t>
      </w:r>
      <w:r w:rsidR="00BB509C">
        <w:rPr>
          <w:rFonts w:ascii="Arial" w:hAnsi="Arial" w:cs="Arial"/>
          <w:sz w:val="21"/>
          <w:szCs w:val="21"/>
        </w:rPr>
        <w:t>.</w:t>
      </w:r>
    </w:p>
    <w:p w14:paraId="605FDFE1" w14:textId="35CF0427" w:rsidR="00D57ABE" w:rsidRPr="00D2415E" w:rsidRDefault="004C4971" w:rsidP="00D2415E">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8650A7">
        <w:rPr>
          <w:rFonts w:ascii="Arial" w:hAnsi="Arial" w:cs="Arial"/>
          <w:sz w:val="21"/>
          <w:szCs w:val="21"/>
        </w:rPr>
        <w:t>La crescita tendenziale dei prezzi dei beni</w:t>
      </w:r>
      <w:r w:rsidR="00A87892">
        <w:rPr>
          <w:rFonts w:ascii="Arial" w:hAnsi="Arial" w:cs="Arial"/>
          <w:sz w:val="21"/>
          <w:szCs w:val="21"/>
        </w:rPr>
        <w:t xml:space="preserve"> </w:t>
      </w:r>
      <w:r w:rsidR="001B7265">
        <w:rPr>
          <w:rFonts w:ascii="Arial" w:hAnsi="Arial" w:cs="Arial"/>
          <w:sz w:val="21"/>
          <w:szCs w:val="21"/>
        </w:rPr>
        <w:t>decelera</w:t>
      </w:r>
      <w:r w:rsidR="00A87892">
        <w:rPr>
          <w:rFonts w:ascii="Arial" w:hAnsi="Arial" w:cs="Arial"/>
          <w:sz w:val="21"/>
          <w:szCs w:val="21"/>
        </w:rPr>
        <w:t xml:space="preserve"> </w:t>
      </w:r>
      <w:r w:rsidR="001B7265">
        <w:rPr>
          <w:rFonts w:ascii="Arial" w:hAnsi="Arial" w:cs="Arial"/>
          <w:sz w:val="21"/>
          <w:szCs w:val="21"/>
        </w:rPr>
        <w:t>d</w:t>
      </w:r>
      <w:r w:rsidR="00DC5F18">
        <w:rPr>
          <w:rFonts w:ascii="Arial" w:hAnsi="Arial" w:cs="Arial"/>
          <w:sz w:val="21"/>
          <w:szCs w:val="21"/>
        </w:rPr>
        <w:t xml:space="preserve">a </w:t>
      </w:r>
      <w:r w:rsidRPr="008650A7">
        <w:rPr>
          <w:rFonts w:ascii="Arial" w:hAnsi="Arial" w:cs="Arial"/>
          <w:sz w:val="21"/>
          <w:szCs w:val="21"/>
        </w:rPr>
        <w:t>+</w:t>
      </w:r>
      <w:r>
        <w:rPr>
          <w:rFonts w:ascii="Arial" w:hAnsi="Arial" w:cs="Arial"/>
          <w:sz w:val="21"/>
          <w:szCs w:val="21"/>
        </w:rPr>
        <w:t>0,2</w:t>
      </w:r>
      <w:r w:rsidRPr="008650A7">
        <w:rPr>
          <w:rFonts w:ascii="Arial" w:hAnsi="Arial" w:cs="Arial"/>
          <w:sz w:val="21"/>
          <w:szCs w:val="21"/>
        </w:rPr>
        <w:t>%</w:t>
      </w:r>
      <w:r w:rsidR="001B7265">
        <w:rPr>
          <w:rFonts w:ascii="Arial" w:hAnsi="Arial" w:cs="Arial"/>
          <w:sz w:val="21"/>
          <w:szCs w:val="21"/>
        </w:rPr>
        <w:t xml:space="preserve"> a +0,1%</w:t>
      </w:r>
      <w:r w:rsidR="00DC5F18">
        <w:rPr>
          <w:rFonts w:ascii="Arial" w:hAnsi="Arial" w:cs="Arial"/>
          <w:sz w:val="21"/>
          <w:szCs w:val="21"/>
        </w:rPr>
        <w:t xml:space="preserve">, </w:t>
      </w:r>
      <w:r w:rsidRPr="008650A7">
        <w:rPr>
          <w:rFonts w:ascii="Arial" w:hAnsi="Arial" w:cs="Arial"/>
          <w:sz w:val="21"/>
          <w:szCs w:val="21"/>
        </w:rPr>
        <w:t xml:space="preserve">quella dei servizi </w:t>
      </w:r>
      <w:r w:rsidR="00DC5F18">
        <w:rPr>
          <w:rFonts w:ascii="Arial" w:hAnsi="Arial" w:cs="Arial"/>
          <w:sz w:val="21"/>
          <w:szCs w:val="21"/>
        </w:rPr>
        <w:t>d</w:t>
      </w:r>
      <w:r>
        <w:rPr>
          <w:rFonts w:ascii="Arial" w:hAnsi="Arial" w:cs="Arial"/>
          <w:sz w:val="21"/>
          <w:szCs w:val="21"/>
        </w:rPr>
        <w:t>a +2,6%</w:t>
      </w:r>
      <w:r w:rsidR="00DC5F18">
        <w:rPr>
          <w:rFonts w:ascii="Arial" w:hAnsi="Arial" w:cs="Arial"/>
          <w:sz w:val="21"/>
          <w:szCs w:val="21"/>
        </w:rPr>
        <w:t xml:space="preserve"> a +2,</w:t>
      </w:r>
      <w:r w:rsidR="001B7265">
        <w:rPr>
          <w:rFonts w:ascii="Arial" w:hAnsi="Arial" w:cs="Arial"/>
          <w:sz w:val="21"/>
          <w:szCs w:val="21"/>
        </w:rPr>
        <w:t>3</w:t>
      </w:r>
      <w:r w:rsidR="00DC5F18">
        <w:rPr>
          <w:rFonts w:ascii="Arial" w:hAnsi="Arial" w:cs="Arial"/>
          <w:sz w:val="21"/>
          <w:szCs w:val="21"/>
        </w:rPr>
        <w:t>%</w:t>
      </w:r>
      <w:r w:rsidRPr="00481328">
        <w:rPr>
          <w:rFonts w:ascii="Arial" w:hAnsi="Arial" w:cs="Arial"/>
          <w:sz w:val="21"/>
          <w:szCs w:val="21"/>
        </w:rPr>
        <w:t xml:space="preserve">. </w:t>
      </w:r>
      <w:r>
        <w:rPr>
          <w:rFonts w:ascii="Arial" w:hAnsi="Arial" w:cs="Arial"/>
          <w:sz w:val="21"/>
          <w:szCs w:val="21"/>
        </w:rPr>
        <w:t>Pertanto, i</w:t>
      </w:r>
      <w:r w:rsidRPr="00481328">
        <w:rPr>
          <w:rFonts w:ascii="Arial" w:hAnsi="Arial" w:cs="Arial"/>
          <w:sz w:val="21"/>
          <w:szCs w:val="21"/>
        </w:rPr>
        <w:t xml:space="preserve">l differenziale inflazionistico tra il comparto dei servizi e quello dei beni </w:t>
      </w:r>
      <w:r w:rsidR="00DC5F18">
        <w:rPr>
          <w:rFonts w:ascii="Arial" w:hAnsi="Arial" w:cs="Arial"/>
          <w:sz w:val="21"/>
          <w:szCs w:val="21"/>
        </w:rPr>
        <w:t xml:space="preserve">diminuisce, portandosi </w:t>
      </w:r>
      <w:r w:rsidRPr="00481328">
        <w:rPr>
          <w:rFonts w:ascii="Arial" w:hAnsi="Arial" w:cs="Arial"/>
          <w:sz w:val="21"/>
          <w:szCs w:val="21"/>
        </w:rPr>
        <w:t>a +</w:t>
      </w:r>
      <w:r>
        <w:rPr>
          <w:rFonts w:ascii="Arial" w:hAnsi="Arial" w:cs="Arial"/>
          <w:sz w:val="21"/>
          <w:szCs w:val="21"/>
        </w:rPr>
        <w:t>2,</w:t>
      </w:r>
      <w:r w:rsidR="001B7265">
        <w:rPr>
          <w:rFonts w:ascii="Arial" w:hAnsi="Arial" w:cs="Arial"/>
          <w:sz w:val="21"/>
          <w:szCs w:val="21"/>
        </w:rPr>
        <w:t>2</w:t>
      </w:r>
      <w:r w:rsidRPr="00481328">
        <w:rPr>
          <w:rFonts w:ascii="Arial" w:hAnsi="Arial" w:cs="Arial"/>
          <w:sz w:val="21"/>
          <w:szCs w:val="21"/>
        </w:rPr>
        <w:t xml:space="preserve"> punti percentuali </w:t>
      </w:r>
      <w:r>
        <w:rPr>
          <w:rFonts w:ascii="Arial" w:hAnsi="Arial" w:cs="Arial"/>
          <w:sz w:val="21"/>
          <w:szCs w:val="21"/>
        </w:rPr>
        <w:t>(dai</w:t>
      </w:r>
      <w:r w:rsidRPr="00481328">
        <w:rPr>
          <w:rFonts w:ascii="Arial" w:hAnsi="Arial" w:cs="Arial"/>
          <w:sz w:val="21"/>
          <w:szCs w:val="21"/>
        </w:rPr>
        <w:t xml:space="preserve"> +</w:t>
      </w:r>
      <w:r>
        <w:rPr>
          <w:rFonts w:ascii="Arial" w:hAnsi="Arial" w:cs="Arial"/>
          <w:sz w:val="21"/>
          <w:szCs w:val="21"/>
        </w:rPr>
        <w:t>2,</w:t>
      </w:r>
      <w:r w:rsidR="00DC5F18">
        <w:rPr>
          <w:rFonts w:ascii="Arial" w:hAnsi="Arial" w:cs="Arial"/>
          <w:sz w:val="21"/>
          <w:szCs w:val="21"/>
        </w:rPr>
        <w:t>4</w:t>
      </w:r>
      <w:r w:rsidRPr="00481328">
        <w:rPr>
          <w:rFonts w:ascii="Arial" w:hAnsi="Arial" w:cs="Arial"/>
          <w:sz w:val="21"/>
          <w:szCs w:val="21"/>
        </w:rPr>
        <w:t xml:space="preserve"> </w:t>
      </w:r>
      <w:r w:rsidR="00246BEE">
        <w:rPr>
          <w:rFonts w:ascii="Arial" w:hAnsi="Arial" w:cs="Arial"/>
          <w:sz w:val="21"/>
          <w:szCs w:val="21"/>
        </w:rPr>
        <w:t xml:space="preserve">p.p. </w:t>
      </w:r>
      <w:r w:rsidRPr="00481328">
        <w:rPr>
          <w:rFonts w:ascii="Arial" w:hAnsi="Arial" w:cs="Arial"/>
          <w:sz w:val="21"/>
          <w:szCs w:val="21"/>
        </w:rPr>
        <w:t>del mese precedente</w:t>
      </w:r>
      <w:r>
        <w:rPr>
          <w:rFonts w:ascii="Arial" w:hAnsi="Arial" w:cs="Arial"/>
          <w:sz w:val="21"/>
          <w:szCs w:val="21"/>
        </w:rPr>
        <w:t>)</w:t>
      </w:r>
      <w:r w:rsidRPr="00481328">
        <w:rPr>
          <w:rFonts w:ascii="Arial" w:hAnsi="Arial" w:cs="Arial"/>
          <w:sz w:val="21"/>
          <w:szCs w:val="21"/>
        </w:rPr>
        <w:t>.</w:t>
      </w:r>
    </w:p>
    <w:p w14:paraId="167D8244" w14:textId="07CAAC93" w:rsidR="0017102B" w:rsidRDefault="00DC5F18" w:rsidP="00A60A0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481328">
        <w:rPr>
          <w:rFonts w:ascii="Arial" w:hAnsi="Arial" w:cs="Arial"/>
          <w:sz w:val="21"/>
          <w:szCs w:val="21"/>
        </w:rPr>
        <w:t>I</w:t>
      </w:r>
      <w:r w:rsidR="001B7265">
        <w:rPr>
          <w:rFonts w:ascii="Arial" w:hAnsi="Arial" w:cs="Arial"/>
          <w:sz w:val="21"/>
          <w:szCs w:val="21"/>
        </w:rPr>
        <w:t>n rallentamento i</w:t>
      </w:r>
      <w:r w:rsidRPr="00481328">
        <w:rPr>
          <w:rFonts w:ascii="Arial" w:hAnsi="Arial" w:cs="Arial"/>
          <w:sz w:val="21"/>
          <w:szCs w:val="21"/>
        </w:rPr>
        <w:t xml:space="preserve"> prezzi dei Beni alimentari, per la cura della casa e della persona (da +</w:t>
      </w:r>
      <w:r>
        <w:rPr>
          <w:rFonts w:ascii="Arial" w:hAnsi="Arial" w:cs="Arial"/>
          <w:sz w:val="21"/>
          <w:szCs w:val="21"/>
        </w:rPr>
        <w:t>2,1</w:t>
      </w:r>
      <w:r w:rsidRPr="00481328">
        <w:rPr>
          <w:rFonts w:ascii="Arial" w:hAnsi="Arial" w:cs="Arial"/>
          <w:sz w:val="21"/>
          <w:szCs w:val="21"/>
        </w:rPr>
        <w:t>% a +</w:t>
      </w:r>
      <w:r>
        <w:rPr>
          <w:rFonts w:ascii="Arial" w:hAnsi="Arial" w:cs="Arial"/>
          <w:sz w:val="21"/>
          <w:szCs w:val="21"/>
        </w:rPr>
        <w:t>1,</w:t>
      </w:r>
      <w:r w:rsidR="001B7265">
        <w:rPr>
          <w:rFonts w:ascii="Arial" w:hAnsi="Arial" w:cs="Arial"/>
          <w:sz w:val="21"/>
          <w:szCs w:val="21"/>
        </w:rPr>
        <w:t>5</w:t>
      </w:r>
      <w:r w:rsidRPr="00481328">
        <w:rPr>
          <w:rFonts w:ascii="Arial" w:hAnsi="Arial" w:cs="Arial"/>
          <w:sz w:val="21"/>
          <w:szCs w:val="21"/>
        </w:rPr>
        <w:t>%)</w:t>
      </w:r>
      <w:r w:rsidR="001B7265">
        <w:rPr>
          <w:rFonts w:ascii="Arial" w:hAnsi="Arial" w:cs="Arial"/>
          <w:sz w:val="21"/>
          <w:szCs w:val="21"/>
        </w:rPr>
        <w:t xml:space="preserve"> e</w:t>
      </w:r>
      <w:r>
        <w:rPr>
          <w:rFonts w:ascii="Arial" w:hAnsi="Arial" w:cs="Arial"/>
          <w:sz w:val="21"/>
          <w:szCs w:val="21"/>
        </w:rPr>
        <w:t xml:space="preserve"> </w:t>
      </w:r>
      <w:r w:rsidRPr="00481328">
        <w:rPr>
          <w:rFonts w:ascii="Arial" w:hAnsi="Arial" w:cs="Arial"/>
          <w:sz w:val="21"/>
          <w:szCs w:val="21"/>
        </w:rPr>
        <w:t>quelli dei prodotti ad alta frequenza d’acquisto (da +</w:t>
      </w:r>
      <w:r>
        <w:rPr>
          <w:rFonts w:ascii="Arial" w:hAnsi="Arial" w:cs="Arial"/>
          <w:sz w:val="21"/>
          <w:szCs w:val="21"/>
        </w:rPr>
        <w:t>2,1</w:t>
      </w:r>
      <w:r w:rsidRPr="00481328">
        <w:rPr>
          <w:rFonts w:ascii="Arial" w:hAnsi="Arial" w:cs="Arial"/>
          <w:sz w:val="21"/>
          <w:szCs w:val="21"/>
        </w:rPr>
        <w:t>% a +</w:t>
      </w:r>
      <w:r>
        <w:rPr>
          <w:rFonts w:ascii="Arial" w:hAnsi="Arial" w:cs="Arial"/>
          <w:sz w:val="21"/>
          <w:szCs w:val="21"/>
        </w:rPr>
        <w:t>2,</w:t>
      </w:r>
      <w:r w:rsidR="001B7265">
        <w:rPr>
          <w:rFonts w:ascii="Arial" w:hAnsi="Arial" w:cs="Arial"/>
          <w:sz w:val="21"/>
          <w:szCs w:val="21"/>
        </w:rPr>
        <w:t>0</w:t>
      </w:r>
      <w:r w:rsidRPr="00481328">
        <w:rPr>
          <w:rFonts w:ascii="Arial" w:hAnsi="Arial" w:cs="Arial"/>
          <w:sz w:val="21"/>
          <w:szCs w:val="21"/>
        </w:rPr>
        <w:t>%)</w:t>
      </w:r>
      <w:r w:rsidR="005F432C">
        <w:rPr>
          <w:rFonts w:ascii="Arial" w:hAnsi="Arial" w:cs="Arial"/>
          <w:sz w:val="21"/>
          <w:szCs w:val="21"/>
        </w:rPr>
        <w:t>.</w:t>
      </w:r>
    </w:p>
    <w:p w14:paraId="798115A4" w14:textId="28AA468B" w:rsidR="00C228F3" w:rsidRPr="00686646" w:rsidRDefault="00686646" w:rsidP="00686646">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481328">
        <w:rPr>
          <w:rFonts w:ascii="Arial" w:hAnsi="Arial" w:cs="Arial"/>
          <w:sz w:val="21"/>
          <w:szCs w:val="21"/>
        </w:rPr>
        <w:t xml:space="preserve">La variazione congiunturale </w:t>
      </w:r>
      <w:r>
        <w:rPr>
          <w:rFonts w:ascii="Arial" w:hAnsi="Arial" w:cs="Arial"/>
          <w:sz w:val="21"/>
          <w:szCs w:val="21"/>
        </w:rPr>
        <w:t>negativa</w:t>
      </w:r>
      <w:r w:rsidRPr="00481328">
        <w:rPr>
          <w:rFonts w:ascii="Arial" w:hAnsi="Arial" w:cs="Arial"/>
          <w:sz w:val="21"/>
          <w:szCs w:val="21"/>
        </w:rPr>
        <w:t xml:space="preserve"> dell’indice generale </w:t>
      </w:r>
      <w:r>
        <w:rPr>
          <w:rFonts w:ascii="Arial" w:hAnsi="Arial" w:cs="Arial"/>
          <w:sz w:val="21"/>
          <w:szCs w:val="21"/>
        </w:rPr>
        <w:t>riflette soprattutto la diminuzione dei prezzi dei Servizi ricreativi, culturali e per la cura della persona e di quelli dei Servizi relativi ai trasporti (rispettivamente -1,6% e -1,3% soprattutto per effetti stagionali), solo in parte compensata dall’aumento dei prezzi degli Energetici non regolamentati</w:t>
      </w:r>
      <w:r w:rsidR="001B7265">
        <w:rPr>
          <w:rFonts w:ascii="Arial" w:hAnsi="Arial" w:cs="Arial"/>
          <w:sz w:val="21"/>
          <w:szCs w:val="21"/>
        </w:rPr>
        <w:t xml:space="preserve"> (+0,7%)</w:t>
      </w:r>
      <w:r w:rsidR="00DB7B60">
        <w:rPr>
          <w:rFonts w:ascii="Arial" w:hAnsi="Arial" w:cs="Arial"/>
          <w:sz w:val="21"/>
          <w:szCs w:val="21"/>
        </w:rPr>
        <w:t xml:space="preserve"> e</w:t>
      </w:r>
      <w:r>
        <w:rPr>
          <w:rFonts w:ascii="Arial" w:hAnsi="Arial" w:cs="Arial"/>
          <w:sz w:val="21"/>
          <w:szCs w:val="21"/>
        </w:rPr>
        <w:t xml:space="preserve"> degli Alimentari non lavorati (+0,</w:t>
      </w:r>
      <w:r w:rsidR="001B7265">
        <w:rPr>
          <w:rFonts w:ascii="Arial" w:hAnsi="Arial" w:cs="Arial"/>
          <w:sz w:val="21"/>
          <w:szCs w:val="21"/>
        </w:rPr>
        <w:t>4</w:t>
      </w:r>
      <w:r>
        <w:rPr>
          <w:rFonts w:ascii="Arial" w:hAnsi="Arial" w:cs="Arial"/>
          <w:sz w:val="21"/>
          <w:szCs w:val="21"/>
        </w:rPr>
        <w:t>%).</w:t>
      </w:r>
    </w:p>
    <w:p w14:paraId="6F0B9482" w14:textId="71211E4F" w:rsidR="007F7081" w:rsidRDefault="008766AE" w:rsidP="007F7081">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4132B5">
        <w:rPr>
          <w:rFonts w:ascii="Arial" w:hAnsi="Arial" w:cs="Arial"/>
          <w:sz w:val="21"/>
          <w:szCs w:val="21"/>
        </w:rPr>
        <w:t>L’inflazione acquisita per il 2025 è pari a +1,5% per l’indice generale e a +1,</w:t>
      </w:r>
      <w:r w:rsidR="001B7265">
        <w:rPr>
          <w:rFonts w:ascii="Arial" w:hAnsi="Arial" w:cs="Arial"/>
          <w:sz w:val="21"/>
          <w:szCs w:val="21"/>
        </w:rPr>
        <w:t>8</w:t>
      </w:r>
      <w:r w:rsidRPr="004132B5">
        <w:rPr>
          <w:rFonts w:ascii="Arial" w:hAnsi="Arial" w:cs="Arial"/>
          <w:sz w:val="21"/>
          <w:szCs w:val="21"/>
        </w:rPr>
        <w:t>% per la componente di fondo</w:t>
      </w:r>
      <w:r w:rsidR="007F7081" w:rsidRPr="00605FC8">
        <w:rPr>
          <w:rFonts w:ascii="Arial" w:hAnsi="Arial" w:cs="Arial"/>
          <w:sz w:val="21"/>
          <w:szCs w:val="21"/>
        </w:rPr>
        <w:t>.</w:t>
      </w:r>
    </w:p>
    <w:p w14:paraId="2A4D2282" w14:textId="4500D257" w:rsidR="007F7081" w:rsidRPr="005221BA" w:rsidRDefault="00FD61DA" w:rsidP="007F7081">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Pr>
          <w:rFonts w:ascii="Arial" w:hAnsi="Arial" w:cs="Arial"/>
          <w:sz w:val="21"/>
          <w:szCs w:val="21"/>
        </w:rPr>
        <w:t>L</w:t>
      </w:r>
      <w:r w:rsidR="007F7081" w:rsidRPr="005654F4">
        <w:rPr>
          <w:rFonts w:ascii="Arial" w:hAnsi="Arial" w:cs="Arial"/>
          <w:sz w:val="21"/>
          <w:szCs w:val="21"/>
        </w:rPr>
        <w:t xml:space="preserve">’indice armonizzato dei prezzi al consumo (IPCA) </w:t>
      </w:r>
      <w:r w:rsidR="00CC5330">
        <w:rPr>
          <w:rFonts w:ascii="Arial" w:hAnsi="Arial" w:cs="Arial"/>
          <w:sz w:val="21"/>
          <w:szCs w:val="21"/>
        </w:rPr>
        <w:t>registra una variazione pari a -</w:t>
      </w:r>
      <w:r w:rsidR="00DC640F">
        <w:rPr>
          <w:rFonts w:ascii="Arial" w:hAnsi="Arial" w:cs="Arial"/>
          <w:sz w:val="21"/>
          <w:szCs w:val="21"/>
        </w:rPr>
        <w:t>0,2</w:t>
      </w:r>
      <w:r w:rsidR="00CC5330">
        <w:rPr>
          <w:rFonts w:ascii="Arial" w:hAnsi="Arial" w:cs="Arial"/>
          <w:sz w:val="21"/>
          <w:szCs w:val="21"/>
        </w:rPr>
        <w:t>% s</w:t>
      </w:r>
      <w:r w:rsidR="00CC5330" w:rsidRPr="005D7619">
        <w:rPr>
          <w:rFonts w:ascii="Arial" w:hAnsi="Arial" w:cs="Arial"/>
          <w:sz w:val="21"/>
          <w:szCs w:val="21"/>
        </w:rPr>
        <w:t>u base mensile</w:t>
      </w:r>
      <w:r w:rsidR="00CC5330">
        <w:rPr>
          <w:rFonts w:ascii="Arial" w:hAnsi="Arial" w:cs="Arial"/>
          <w:sz w:val="21"/>
          <w:szCs w:val="21"/>
        </w:rPr>
        <w:t xml:space="preserve"> e a +1,</w:t>
      </w:r>
      <w:r w:rsidR="008766AE">
        <w:rPr>
          <w:rFonts w:ascii="Arial" w:hAnsi="Arial" w:cs="Arial"/>
          <w:sz w:val="21"/>
          <w:szCs w:val="21"/>
        </w:rPr>
        <w:t>1</w:t>
      </w:r>
      <w:r w:rsidR="00CC5330">
        <w:rPr>
          <w:rFonts w:ascii="Arial" w:hAnsi="Arial" w:cs="Arial"/>
          <w:sz w:val="21"/>
          <w:szCs w:val="21"/>
        </w:rPr>
        <w:t>% su base annua (</w:t>
      </w:r>
      <w:r w:rsidR="00C373C8">
        <w:rPr>
          <w:rFonts w:ascii="Arial" w:hAnsi="Arial" w:cs="Arial"/>
          <w:sz w:val="21"/>
          <w:szCs w:val="21"/>
        </w:rPr>
        <w:t xml:space="preserve">in rallentamento </w:t>
      </w:r>
      <w:r w:rsidR="00CC5330">
        <w:rPr>
          <w:rFonts w:ascii="Arial" w:hAnsi="Arial" w:cs="Arial"/>
          <w:sz w:val="21"/>
          <w:szCs w:val="21"/>
        </w:rPr>
        <w:t>da +1,</w:t>
      </w:r>
      <w:r w:rsidR="008766AE">
        <w:rPr>
          <w:rFonts w:ascii="Arial" w:hAnsi="Arial" w:cs="Arial"/>
          <w:sz w:val="21"/>
          <w:szCs w:val="21"/>
        </w:rPr>
        <w:t>3</w:t>
      </w:r>
      <w:r w:rsidR="00CC5330">
        <w:rPr>
          <w:rFonts w:ascii="Arial" w:hAnsi="Arial" w:cs="Arial"/>
          <w:sz w:val="21"/>
          <w:szCs w:val="21"/>
        </w:rPr>
        <w:t>% del</w:t>
      </w:r>
      <w:r w:rsidR="00CC5330" w:rsidRPr="008650A7">
        <w:rPr>
          <w:rFonts w:ascii="Arial" w:hAnsi="Arial" w:cs="Arial"/>
          <w:sz w:val="21"/>
          <w:szCs w:val="21"/>
        </w:rPr>
        <w:t xml:space="preserve"> mese precedente</w:t>
      </w:r>
      <w:r w:rsidR="00CC5330">
        <w:rPr>
          <w:rFonts w:ascii="Arial" w:hAnsi="Arial" w:cs="Arial"/>
          <w:sz w:val="21"/>
          <w:szCs w:val="21"/>
        </w:rPr>
        <w:t>)</w:t>
      </w:r>
      <w:r w:rsidR="006E4737">
        <w:rPr>
          <w:rFonts w:ascii="Arial" w:hAnsi="Arial" w:cs="Arial"/>
          <w:sz w:val="21"/>
          <w:szCs w:val="21"/>
        </w:rPr>
        <w:t xml:space="preserve">, confermando </w:t>
      </w:r>
      <w:r w:rsidR="00CC5330">
        <w:rPr>
          <w:rFonts w:ascii="Arial" w:hAnsi="Arial" w:cs="Arial"/>
          <w:sz w:val="21"/>
          <w:szCs w:val="21"/>
        </w:rPr>
        <w:t>la stima preliminare.</w:t>
      </w:r>
    </w:p>
    <w:p w14:paraId="6C31A2A0" w14:textId="3A093551" w:rsidR="00E5334A" w:rsidRPr="005221BA" w:rsidRDefault="00D92922" w:rsidP="00D92922">
      <w:pPr>
        <w:pStyle w:val="Paragrafoelenco"/>
        <w:widowControl/>
        <w:numPr>
          <w:ilvl w:val="0"/>
          <w:numId w:val="5"/>
        </w:numPr>
        <w:tabs>
          <w:tab w:val="left" w:pos="10206"/>
        </w:tabs>
        <w:overflowPunct/>
        <w:autoSpaceDE/>
        <w:autoSpaceDN/>
        <w:adjustRightInd/>
        <w:spacing w:before="0" w:after="80" w:line="230" w:lineRule="exact"/>
        <w:ind w:left="284" w:hanging="284"/>
        <w:contextualSpacing w:val="0"/>
        <w:jc w:val="both"/>
        <w:rPr>
          <w:rFonts w:ascii="Arial" w:hAnsi="Arial" w:cs="Arial"/>
          <w:sz w:val="21"/>
          <w:szCs w:val="21"/>
        </w:rPr>
      </w:pPr>
      <w:r w:rsidRPr="005221BA">
        <w:rPr>
          <w:rFonts w:ascii="Arial" w:hAnsi="Arial" w:cs="Arial"/>
          <w:sz w:val="21"/>
          <w:szCs w:val="21"/>
        </w:rPr>
        <w:t xml:space="preserve">L’indice nazionale dei prezzi al consumo per le famiglie di operai e impiegati (FOI), al netto dei tabacchi, </w:t>
      </w:r>
      <w:r w:rsidR="002D6265">
        <w:rPr>
          <w:rFonts w:ascii="Arial" w:hAnsi="Arial" w:cs="Arial"/>
          <w:sz w:val="21"/>
          <w:szCs w:val="21"/>
        </w:rPr>
        <w:t xml:space="preserve">registra una variazione congiunturale </w:t>
      </w:r>
      <w:r w:rsidR="00327D37">
        <w:rPr>
          <w:rFonts w:ascii="Arial" w:hAnsi="Arial" w:cs="Arial"/>
          <w:sz w:val="21"/>
          <w:szCs w:val="21"/>
        </w:rPr>
        <w:t>pari a -0,</w:t>
      </w:r>
      <w:r w:rsidR="008766AE">
        <w:rPr>
          <w:rFonts w:ascii="Arial" w:hAnsi="Arial" w:cs="Arial"/>
          <w:sz w:val="21"/>
          <w:szCs w:val="21"/>
        </w:rPr>
        <w:t>1</w:t>
      </w:r>
      <w:r w:rsidR="00327D37">
        <w:rPr>
          <w:rFonts w:ascii="Arial" w:hAnsi="Arial" w:cs="Arial"/>
          <w:sz w:val="21"/>
          <w:szCs w:val="21"/>
        </w:rPr>
        <w:t>%</w:t>
      </w:r>
      <w:r w:rsidR="002D6265">
        <w:rPr>
          <w:rFonts w:ascii="Arial" w:hAnsi="Arial" w:cs="Arial"/>
          <w:sz w:val="21"/>
          <w:szCs w:val="21"/>
        </w:rPr>
        <w:t xml:space="preserve"> e un</w:t>
      </w:r>
      <w:r w:rsidR="004823D5">
        <w:rPr>
          <w:rFonts w:ascii="Arial" w:hAnsi="Arial" w:cs="Arial"/>
          <w:sz w:val="21"/>
          <w:szCs w:val="21"/>
        </w:rPr>
        <w:t>a tendenziale del +</w:t>
      </w:r>
      <w:r w:rsidR="002D6265">
        <w:rPr>
          <w:rFonts w:ascii="Arial" w:hAnsi="Arial" w:cs="Arial"/>
          <w:sz w:val="21"/>
          <w:szCs w:val="21"/>
        </w:rPr>
        <w:t>1,</w:t>
      </w:r>
      <w:r w:rsidR="008766AE">
        <w:rPr>
          <w:rFonts w:ascii="Arial" w:hAnsi="Arial" w:cs="Arial"/>
          <w:sz w:val="21"/>
          <w:szCs w:val="21"/>
        </w:rPr>
        <w:t>0</w:t>
      </w:r>
      <w:r w:rsidR="004823D5">
        <w:rPr>
          <w:rFonts w:ascii="Arial" w:hAnsi="Arial" w:cs="Arial"/>
          <w:sz w:val="21"/>
          <w:szCs w:val="21"/>
        </w:rPr>
        <w:t>%</w:t>
      </w:r>
      <w:r w:rsidRPr="005221BA">
        <w:rPr>
          <w:rFonts w:ascii="Arial" w:hAnsi="Arial" w:cs="Arial"/>
          <w:sz w:val="21"/>
          <w:szCs w:val="21"/>
        </w:rPr>
        <w:t>.</w:t>
      </w:r>
    </w:p>
    <w:p w14:paraId="4738C651" w14:textId="77777777" w:rsidR="00241E4C" w:rsidRPr="00E171A2" w:rsidRDefault="00241E4C" w:rsidP="00241E4C">
      <w:pPr>
        <w:widowControl/>
        <w:tabs>
          <w:tab w:val="left" w:pos="10206"/>
        </w:tabs>
        <w:overflowPunct/>
        <w:autoSpaceDE/>
        <w:autoSpaceDN/>
        <w:adjustRightInd/>
        <w:spacing w:before="0" w:after="80" w:line="230" w:lineRule="exact"/>
        <w:jc w:val="both"/>
        <w:rPr>
          <w:rFonts w:ascii="Arial" w:hAnsi="Arial" w:cs="Arial"/>
          <w:sz w:val="16"/>
          <w:szCs w:val="16"/>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4"/>
        <w:gridCol w:w="3282"/>
      </w:tblGrid>
      <w:tr w:rsidR="00D35B9F" w:rsidRPr="002578CE" w14:paraId="5D47510F" w14:textId="77777777" w:rsidTr="00C10B1E">
        <w:trPr>
          <w:trHeight w:val="1370"/>
        </w:trPr>
        <w:tc>
          <w:tcPr>
            <w:tcW w:w="6924" w:type="dxa"/>
            <w:vMerge w:val="restart"/>
            <w:tcBorders>
              <w:top w:val="nil"/>
              <w:left w:val="single" w:sz="4" w:space="0" w:color="FFFFFF"/>
              <w:right w:val="single" w:sz="48" w:space="0" w:color="FFFFFF"/>
            </w:tcBorders>
            <w:shd w:val="clear" w:color="auto" w:fill="D9D9D9"/>
          </w:tcPr>
          <w:p w14:paraId="681CE45F" w14:textId="77777777" w:rsidR="00D35B9F" w:rsidRDefault="00D35B9F" w:rsidP="00C10B1E">
            <w:pPr>
              <w:pStyle w:val="Paragrafobase"/>
              <w:spacing w:before="120" w:line="140" w:lineRule="atLeast"/>
              <w:rPr>
                <w:rFonts w:ascii="Calibri" w:hAnsi="Calibri" w:cs="Arial"/>
                <w:color w:val="E31C18"/>
                <w:sz w:val="56"/>
                <w:szCs w:val="56"/>
              </w:rPr>
            </w:pPr>
            <w:r>
              <w:rPr>
                <w:rFonts w:ascii="Arial" w:hAnsi="Arial" w:cs="Arial"/>
                <w:noProof/>
                <w:sz w:val="22"/>
                <w:szCs w:val="22"/>
              </w:rPr>
              <w:drawing>
                <wp:anchor distT="0" distB="0" distL="114300" distR="114300" simplePos="0" relativeHeight="251669504" behindDoc="0" locked="0" layoutInCell="1" allowOverlap="1" wp14:anchorId="49036824" wp14:editId="22BF14C8">
                  <wp:simplePos x="0" y="0"/>
                  <wp:positionH relativeFrom="column">
                    <wp:posOffset>-351155</wp:posOffset>
                  </wp:positionH>
                  <wp:positionV relativeFrom="paragraph">
                    <wp:posOffset>-106680</wp:posOffset>
                  </wp:positionV>
                  <wp:extent cx="920750" cy="920750"/>
                  <wp:effectExtent l="0" t="0" r="0" b="0"/>
                  <wp:wrapNone/>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anchor>
              </w:drawing>
            </w:r>
            <w:r w:rsidRPr="00957753">
              <w:rPr>
                <w:rFonts w:ascii="Arial" w:hAnsi="Arial" w:cs="Arial"/>
                <w:sz w:val="22"/>
                <w:szCs w:val="22"/>
              </w:rPr>
              <w:t xml:space="preserve">                  </w:t>
            </w:r>
            <w:r>
              <w:rPr>
                <w:rFonts w:ascii="Calibri" w:hAnsi="Calibri" w:cs="Arial"/>
                <w:color w:val="E31C18"/>
                <w:sz w:val="56"/>
                <w:szCs w:val="56"/>
              </w:rPr>
              <w:t>Il commento</w:t>
            </w:r>
          </w:p>
          <w:p w14:paraId="3771ED46" w14:textId="77777777" w:rsidR="00D35B9F" w:rsidRDefault="00D35B9F" w:rsidP="00C10B1E">
            <w:pPr>
              <w:pStyle w:val="Paragrafobase"/>
              <w:tabs>
                <w:tab w:val="left" w:pos="6526"/>
              </w:tabs>
              <w:spacing w:line="260" w:lineRule="exact"/>
              <w:ind w:left="142" w:right="176"/>
              <w:jc w:val="both"/>
              <w:rPr>
                <w:rFonts w:ascii="Arial" w:hAnsi="Arial" w:cs="Arial"/>
                <w:sz w:val="21"/>
                <w:szCs w:val="21"/>
              </w:rPr>
            </w:pPr>
          </w:p>
          <w:p w14:paraId="28A86B53" w14:textId="77777777" w:rsidR="00D35B9F" w:rsidRPr="00AD233F" w:rsidRDefault="00D35B9F" w:rsidP="00C10B1E">
            <w:pPr>
              <w:pStyle w:val="Paragrafobase"/>
              <w:tabs>
                <w:tab w:val="left" w:pos="6526"/>
              </w:tabs>
              <w:spacing w:line="260" w:lineRule="exact"/>
              <w:ind w:left="142" w:right="176"/>
              <w:jc w:val="both"/>
              <w:rPr>
                <w:rFonts w:ascii="Arial" w:hAnsi="Arial" w:cs="Arial"/>
                <w:sz w:val="16"/>
                <w:szCs w:val="16"/>
              </w:rPr>
            </w:pPr>
          </w:p>
          <w:p w14:paraId="602A2146" w14:textId="1D731784" w:rsidR="00D35B9F" w:rsidRPr="002578CE" w:rsidRDefault="008766AE" w:rsidP="00042109">
            <w:pPr>
              <w:pStyle w:val="Paragrafobase"/>
              <w:tabs>
                <w:tab w:val="left" w:pos="6526"/>
              </w:tabs>
              <w:spacing w:line="260" w:lineRule="exact"/>
              <w:ind w:left="142" w:right="176"/>
              <w:jc w:val="both"/>
              <w:rPr>
                <w:rFonts w:ascii="Arial" w:hAnsi="Arial" w:cs="Arial"/>
                <w:sz w:val="21"/>
                <w:szCs w:val="21"/>
              </w:rPr>
            </w:pPr>
            <w:r w:rsidRPr="00430692">
              <w:rPr>
                <w:rFonts w:ascii="Arial" w:hAnsi="Arial" w:cs="Arial"/>
                <w:sz w:val="21"/>
                <w:szCs w:val="21"/>
              </w:rPr>
              <w:t>A</w:t>
            </w:r>
            <w:r>
              <w:rPr>
                <w:rFonts w:ascii="Arial" w:hAnsi="Arial" w:cs="Arial"/>
                <w:sz w:val="21"/>
                <w:szCs w:val="21"/>
              </w:rPr>
              <w:t xml:space="preserve"> novembre</w:t>
            </w:r>
            <w:r w:rsidRPr="00430692">
              <w:rPr>
                <w:rFonts w:ascii="Arial" w:hAnsi="Arial" w:cs="Arial"/>
                <w:sz w:val="21"/>
                <w:szCs w:val="21"/>
              </w:rPr>
              <w:t xml:space="preserve"> 2025 l’inflazione </w:t>
            </w:r>
            <w:r>
              <w:rPr>
                <w:rFonts w:ascii="Arial" w:hAnsi="Arial" w:cs="Arial"/>
                <w:sz w:val="21"/>
                <w:szCs w:val="21"/>
              </w:rPr>
              <w:t>scende all’1,1</w:t>
            </w:r>
            <w:r w:rsidRPr="00430692">
              <w:rPr>
                <w:rFonts w:ascii="Arial" w:hAnsi="Arial" w:cs="Arial"/>
                <w:sz w:val="21"/>
                <w:szCs w:val="21"/>
              </w:rPr>
              <w:t>%</w:t>
            </w:r>
            <w:r>
              <w:rPr>
                <w:rFonts w:ascii="Arial" w:hAnsi="Arial" w:cs="Arial"/>
                <w:sz w:val="21"/>
                <w:szCs w:val="21"/>
              </w:rPr>
              <w:t xml:space="preserve">, </w:t>
            </w:r>
            <w:r w:rsidR="00DB7B60">
              <w:rPr>
                <w:rFonts w:ascii="Arial" w:hAnsi="Arial" w:cs="Arial"/>
                <w:sz w:val="21"/>
                <w:szCs w:val="21"/>
              </w:rPr>
              <w:t xml:space="preserve">il </w:t>
            </w:r>
            <w:r>
              <w:rPr>
                <w:rFonts w:ascii="Arial" w:hAnsi="Arial" w:cs="Arial"/>
                <w:sz w:val="21"/>
                <w:szCs w:val="21"/>
              </w:rPr>
              <w:t xml:space="preserve">livello più basso registrato da gennaio. </w:t>
            </w:r>
            <w:r w:rsidR="00431FF0">
              <w:rPr>
                <w:rFonts w:ascii="Arial" w:hAnsi="Arial" w:cs="Arial"/>
                <w:sz w:val="21"/>
                <w:szCs w:val="21"/>
              </w:rPr>
              <w:t xml:space="preserve">Sulla dinamica dell’indice generale </w:t>
            </w:r>
            <w:r w:rsidR="00DB7B60">
              <w:rPr>
                <w:rFonts w:ascii="Arial" w:hAnsi="Arial" w:cs="Arial"/>
                <w:sz w:val="21"/>
                <w:szCs w:val="21"/>
              </w:rPr>
              <w:t>incidono</w:t>
            </w:r>
            <w:r w:rsidR="00431FF0">
              <w:rPr>
                <w:rFonts w:ascii="Arial" w:hAnsi="Arial" w:cs="Arial"/>
                <w:sz w:val="21"/>
                <w:szCs w:val="21"/>
              </w:rPr>
              <w:t xml:space="preserve"> gli effetti dovuti al rallentamento dei </w:t>
            </w:r>
            <w:r>
              <w:rPr>
                <w:rFonts w:ascii="Arial" w:hAnsi="Arial" w:cs="Arial"/>
                <w:sz w:val="21"/>
                <w:szCs w:val="21"/>
              </w:rPr>
              <w:t>prezzi degli Alimentari non lavorati (+1,</w:t>
            </w:r>
            <w:r w:rsidR="00A87A59">
              <w:rPr>
                <w:rFonts w:ascii="Arial" w:hAnsi="Arial" w:cs="Arial"/>
                <w:sz w:val="21"/>
                <w:szCs w:val="21"/>
              </w:rPr>
              <w:t>1</w:t>
            </w:r>
            <w:r>
              <w:rPr>
                <w:rFonts w:ascii="Arial" w:hAnsi="Arial" w:cs="Arial"/>
                <w:sz w:val="21"/>
                <w:szCs w:val="21"/>
              </w:rPr>
              <w:t>% da +1,9%), degli Energetici regolamentati (-3,</w:t>
            </w:r>
            <w:r w:rsidR="00A87A59">
              <w:rPr>
                <w:rFonts w:ascii="Arial" w:hAnsi="Arial" w:cs="Arial"/>
                <w:sz w:val="21"/>
                <w:szCs w:val="21"/>
              </w:rPr>
              <w:t>2</w:t>
            </w:r>
            <w:r>
              <w:rPr>
                <w:rFonts w:ascii="Arial" w:hAnsi="Arial" w:cs="Arial"/>
                <w:sz w:val="21"/>
                <w:szCs w:val="21"/>
              </w:rPr>
              <w:t>% da -0,5%) e di alcune tipologie di servizi, in particolare i trasporti (+0,</w:t>
            </w:r>
            <w:r w:rsidR="00E76AF5">
              <w:rPr>
                <w:rFonts w:ascii="Arial" w:hAnsi="Arial" w:cs="Arial"/>
                <w:sz w:val="21"/>
                <w:szCs w:val="21"/>
              </w:rPr>
              <w:t>9</w:t>
            </w:r>
            <w:r>
              <w:rPr>
                <w:rFonts w:ascii="Arial" w:hAnsi="Arial" w:cs="Arial"/>
                <w:sz w:val="21"/>
                <w:szCs w:val="21"/>
              </w:rPr>
              <w:t>% da +2,0%)</w:t>
            </w:r>
            <w:r w:rsidR="00AD52C3">
              <w:rPr>
                <w:rFonts w:ascii="Arial" w:hAnsi="Arial" w:cs="Arial"/>
                <w:sz w:val="21"/>
                <w:szCs w:val="21"/>
              </w:rPr>
              <w:t xml:space="preserve">, </w:t>
            </w:r>
            <w:r w:rsidR="00DB7B60">
              <w:rPr>
                <w:rFonts w:ascii="Arial" w:hAnsi="Arial" w:cs="Arial"/>
                <w:sz w:val="21"/>
                <w:szCs w:val="21"/>
              </w:rPr>
              <w:t>solo parzialmente compensato dal</w:t>
            </w:r>
            <w:r w:rsidR="00AD52C3">
              <w:rPr>
                <w:rFonts w:ascii="Arial" w:hAnsi="Arial" w:cs="Arial"/>
                <w:sz w:val="21"/>
                <w:szCs w:val="21"/>
              </w:rPr>
              <w:t xml:space="preserve">l’attenuarsi della flessione </w:t>
            </w:r>
            <w:r>
              <w:rPr>
                <w:rFonts w:ascii="Arial" w:hAnsi="Arial" w:cs="Arial"/>
                <w:sz w:val="21"/>
                <w:szCs w:val="21"/>
              </w:rPr>
              <w:t>di quelli degli Energetici non regolamentati (-4,</w:t>
            </w:r>
            <w:r w:rsidR="00A87A59">
              <w:rPr>
                <w:rFonts w:ascii="Arial" w:hAnsi="Arial" w:cs="Arial"/>
                <w:sz w:val="21"/>
                <w:szCs w:val="21"/>
              </w:rPr>
              <w:t>3</w:t>
            </w:r>
            <w:r>
              <w:rPr>
                <w:rFonts w:ascii="Arial" w:hAnsi="Arial" w:cs="Arial"/>
                <w:sz w:val="21"/>
                <w:szCs w:val="21"/>
              </w:rPr>
              <w:t>% da -4,9%)</w:t>
            </w:r>
            <w:r w:rsidR="00E76AF5">
              <w:rPr>
                <w:rFonts w:ascii="Arial" w:hAnsi="Arial" w:cs="Arial"/>
                <w:sz w:val="21"/>
                <w:szCs w:val="21"/>
              </w:rPr>
              <w:t>.</w:t>
            </w:r>
            <w:r w:rsidR="00AD52C3">
              <w:rPr>
                <w:rFonts w:ascii="Arial" w:hAnsi="Arial" w:cs="Arial"/>
                <w:sz w:val="21"/>
                <w:szCs w:val="21"/>
              </w:rPr>
              <w:t xml:space="preserve"> </w:t>
            </w:r>
            <w:r w:rsidR="00042109">
              <w:rPr>
                <w:rFonts w:ascii="Arial" w:hAnsi="Arial" w:cs="Arial"/>
                <w:sz w:val="21"/>
                <w:szCs w:val="21"/>
              </w:rPr>
              <w:t>S</w:t>
            </w:r>
            <w:r>
              <w:rPr>
                <w:rFonts w:ascii="Arial" w:hAnsi="Arial" w:cs="Arial"/>
                <w:sz w:val="21"/>
                <w:szCs w:val="21"/>
              </w:rPr>
              <w:t xml:space="preserve">i riduce il tasso di crescita su base annua dei prezzi del </w:t>
            </w:r>
            <w:r w:rsidRPr="00430692">
              <w:rPr>
                <w:rFonts w:ascii="Arial" w:hAnsi="Arial" w:cs="Arial"/>
                <w:sz w:val="21"/>
                <w:szCs w:val="21"/>
              </w:rPr>
              <w:t>“carrello della spesa” (+</w:t>
            </w:r>
            <w:r>
              <w:rPr>
                <w:rFonts w:ascii="Arial" w:hAnsi="Arial" w:cs="Arial"/>
                <w:sz w:val="21"/>
                <w:szCs w:val="21"/>
              </w:rPr>
              <w:t>1,</w:t>
            </w:r>
            <w:r w:rsidR="00A87A59">
              <w:rPr>
                <w:rFonts w:ascii="Arial" w:hAnsi="Arial" w:cs="Arial"/>
                <w:sz w:val="21"/>
                <w:szCs w:val="21"/>
              </w:rPr>
              <w:t>5</w:t>
            </w:r>
            <w:r w:rsidRPr="00430692">
              <w:rPr>
                <w:rFonts w:ascii="Arial" w:hAnsi="Arial" w:cs="Arial"/>
                <w:sz w:val="21"/>
                <w:szCs w:val="21"/>
              </w:rPr>
              <w:t>% da +</w:t>
            </w:r>
            <w:r>
              <w:rPr>
                <w:rFonts w:ascii="Arial" w:hAnsi="Arial" w:cs="Arial"/>
                <w:sz w:val="21"/>
                <w:szCs w:val="21"/>
              </w:rPr>
              <w:t>2,1</w:t>
            </w:r>
            <w:r w:rsidRPr="00430692">
              <w:rPr>
                <w:rFonts w:ascii="Arial" w:hAnsi="Arial" w:cs="Arial"/>
                <w:sz w:val="21"/>
                <w:szCs w:val="21"/>
              </w:rPr>
              <w:t>%)</w:t>
            </w:r>
            <w:r>
              <w:rPr>
                <w:rFonts w:ascii="Arial" w:hAnsi="Arial" w:cs="Arial"/>
                <w:sz w:val="21"/>
                <w:szCs w:val="21"/>
              </w:rPr>
              <w:t>, mentre l’in</w:t>
            </w:r>
            <w:r w:rsidRPr="00430692">
              <w:rPr>
                <w:rFonts w:ascii="Arial" w:hAnsi="Arial" w:cs="Arial"/>
                <w:sz w:val="21"/>
                <w:szCs w:val="21"/>
              </w:rPr>
              <w:t>flazione di fondo</w:t>
            </w:r>
            <w:r>
              <w:rPr>
                <w:rFonts w:ascii="Arial" w:hAnsi="Arial" w:cs="Arial"/>
                <w:sz w:val="21"/>
                <w:szCs w:val="21"/>
              </w:rPr>
              <w:t xml:space="preserve"> si attesta al </w:t>
            </w:r>
            <w:r w:rsidRPr="00430692">
              <w:rPr>
                <w:rFonts w:ascii="Arial" w:hAnsi="Arial" w:cs="Arial"/>
                <w:sz w:val="21"/>
                <w:szCs w:val="21"/>
              </w:rPr>
              <w:t>+</w:t>
            </w:r>
            <w:r>
              <w:rPr>
                <w:rFonts w:ascii="Arial" w:hAnsi="Arial" w:cs="Arial"/>
                <w:sz w:val="21"/>
                <w:szCs w:val="21"/>
              </w:rPr>
              <w:t>1,</w:t>
            </w:r>
            <w:r w:rsidR="00A87A59">
              <w:rPr>
                <w:rFonts w:ascii="Arial" w:hAnsi="Arial" w:cs="Arial"/>
                <w:sz w:val="21"/>
                <w:szCs w:val="21"/>
              </w:rPr>
              <w:t>7</w:t>
            </w:r>
            <w:r w:rsidRPr="00430692">
              <w:rPr>
                <w:rFonts w:ascii="Arial" w:hAnsi="Arial" w:cs="Arial"/>
                <w:sz w:val="21"/>
                <w:szCs w:val="21"/>
              </w:rPr>
              <w:t xml:space="preserve">% </w:t>
            </w:r>
            <w:r>
              <w:rPr>
                <w:rFonts w:ascii="Arial" w:hAnsi="Arial" w:cs="Arial"/>
                <w:sz w:val="21"/>
                <w:szCs w:val="21"/>
              </w:rPr>
              <w:t>(</w:t>
            </w:r>
            <w:r w:rsidRPr="00430692">
              <w:rPr>
                <w:rFonts w:ascii="Arial" w:hAnsi="Arial" w:cs="Arial"/>
                <w:sz w:val="21"/>
                <w:szCs w:val="21"/>
              </w:rPr>
              <w:t>da +</w:t>
            </w:r>
            <w:r>
              <w:rPr>
                <w:rFonts w:ascii="Arial" w:hAnsi="Arial" w:cs="Arial"/>
                <w:sz w:val="21"/>
                <w:szCs w:val="21"/>
              </w:rPr>
              <w:t>1,9</w:t>
            </w:r>
            <w:r w:rsidRPr="00430692">
              <w:rPr>
                <w:rFonts w:ascii="Arial" w:hAnsi="Arial" w:cs="Arial"/>
                <w:sz w:val="21"/>
                <w:szCs w:val="21"/>
              </w:rPr>
              <w:t>%</w:t>
            </w:r>
            <w:r>
              <w:rPr>
                <w:rFonts w:ascii="Arial" w:hAnsi="Arial" w:cs="Arial"/>
                <w:sz w:val="21"/>
                <w:szCs w:val="21"/>
              </w:rPr>
              <w:t>).</w:t>
            </w:r>
          </w:p>
        </w:tc>
        <w:tc>
          <w:tcPr>
            <w:tcW w:w="3282" w:type="dxa"/>
            <w:tcBorders>
              <w:top w:val="nil"/>
              <w:left w:val="single" w:sz="48" w:space="0" w:color="FFFFFF"/>
              <w:bottom w:val="single" w:sz="36" w:space="0" w:color="FFFFFF"/>
              <w:right w:val="single" w:sz="36" w:space="0" w:color="FFFFFF"/>
            </w:tcBorders>
            <w:shd w:val="clear" w:color="auto" w:fill="E31C18"/>
          </w:tcPr>
          <w:p w14:paraId="4B4B5744" w14:textId="77777777" w:rsidR="00D35B9F" w:rsidRPr="00AC2483" w:rsidRDefault="00D35B9F" w:rsidP="00C10B1E">
            <w:pPr>
              <w:pStyle w:val="Paragrafobase"/>
              <w:spacing w:before="120" w:line="320" w:lineRule="exact"/>
              <w:ind w:left="176"/>
              <w:rPr>
                <w:rFonts w:ascii="Calibri" w:hAnsi="Calibri" w:cs="Arial"/>
                <w:b/>
                <w:color w:val="FFFFFF"/>
                <w:sz w:val="28"/>
                <w:szCs w:val="28"/>
              </w:rPr>
            </w:pPr>
            <w:r>
              <w:rPr>
                <w:noProof/>
              </w:rPr>
              <w:drawing>
                <wp:anchor distT="0" distB="0" distL="114300" distR="114300" simplePos="0" relativeHeight="251670528" behindDoc="0" locked="0" layoutInCell="1" allowOverlap="1" wp14:anchorId="178CFF1F" wp14:editId="17240029">
                  <wp:simplePos x="0" y="0"/>
                  <wp:positionH relativeFrom="column">
                    <wp:posOffset>1448739</wp:posOffset>
                  </wp:positionH>
                  <wp:positionV relativeFrom="paragraph">
                    <wp:posOffset>-107508</wp:posOffset>
                  </wp:positionV>
                  <wp:extent cx="657225" cy="638175"/>
                  <wp:effectExtent l="0" t="0" r="9525" b="9525"/>
                  <wp:wrapNone/>
                  <wp:docPr id="46" name="Immagine 46"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anchor>
              </w:drawing>
            </w:r>
            <w:r w:rsidRPr="00AC2483">
              <w:rPr>
                <w:rFonts w:ascii="Calibri" w:hAnsi="Calibri" w:cs="Arial"/>
                <w:b/>
                <w:color w:val="FFFFFF"/>
                <w:sz w:val="28"/>
                <w:szCs w:val="28"/>
              </w:rPr>
              <w:t>PROSSIMA</w:t>
            </w:r>
            <w:r>
              <w:rPr>
                <w:noProof/>
              </w:rPr>
              <w:t xml:space="preserve"> </w:t>
            </w:r>
          </w:p>
          <w:p w14:paraId="245FA791" w14:textId="77777777" w:rsidR="00D35B9F" w:rsidRDefault="00D35B9F" w:rsidP="00C10B1E">
            <w:pPr>
              <w:pStyle w:val="Paragrafobase"/>
              <w:spacing w:line="320" w:lineRule="exact"/>
              <w:ind w:left="176"/>
              <w:rPr>
                <w:rFonts w:ascii="Calibri" w:hAnsi="Calibri" w:cs="Arial"/>
                <w:b/>
                <w:color w:val="FFFFFF"/>
                <w:sz w:val="28"/>
                <w:szCs w:val="28"/>
              </w:rPr>
            </w:pPr>
            <w:r w:rsidRPr="00AC2483">
              <w:rPr>
                <w:rFonts w:ascii="Calibri" w:hAnsi="Calibri" w:cs="Arial"/>
                <w:b/>
                <w:color w:val="FFFFFF"/>
                <w:sz w:val="28"/>
                <w:szCs w:val="28"/>
              </w:rPr>
              <w:t>DIFFUSIONE</w:t>
            </w:r>
          </w:p>
          <w:p w14:paraId="04AC33AE" w14:textId="49CA40A5" w:rsidR="00D35B9F" w:rsidRPr="002578CE" w:rsidRDefault="00494853" w:rsidP="00742B36">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7</w:t>
            </w:r>
            <w:r w:rsidR="0009240D">
              <w:rPr>
                <w:rFonts w:ascii="Arial Narrow" w:hAnsi="Arial Narrow" w:cs="Arial"/>
                <w:color w:val="FFFFFF"/>
                <w:sz w:val="22"/>
                <w:szCs w:val="22"/>
              </w:rPr>
              <w:t xml:space="preserve"> </w:t>
            </w:r>
            <w:r>
              <w:rPr>
                <w:rFonts w:ascii="Arial Narrow" w:hAnsi="Arial Narrow" w:cs="Arial"/>
                <w:color w:val="FFFFFF"/>
                <w:sz w:val="22"/>
                <w:szCs w:val="22"/>
              </w:rPr>
              <w:t>gennaio</w:t>
            </w:r>
            <w:r w:rsidR="00D35B9F">
              <w:rPr>
                <w:rFonts w:ascii="Arial Narrow" w:hAnsi="Arial Narrow" w:cs="Arial"/>
                <w:color w:val="FFFFFF"/>
                <w:sz w:val="22"/>
                <w:szCs w:val="22"/>
              </w:rPr>
              <w:t xml:space="preserve"> 202</w:t>
            </w:r>
            <w:r>
              <w:rPr>
                <w:rFonts w:ascii="Arial Narrow" w:hAnsi="Arial Narrow" w:cs="Arial"/>
                <w:color w:val="FFFFFF"/>
                <w:sz w:val="22"/>
                <w:szCs w:val="22"/>
              </w:rPr>
              <w:t>6</w:t>
            </w:r>
          </w:p>
        </w:tc>
      </w:tr>
      <w:tr w:rsidR="00D35B9F" w:rsidRPr="00465EB9" w14:paraId="39BD592A" w14:textId="77777777" w:rsidTr="00C10B1E">
        <w:trPr>
          <w:trHeight w:val="619"/>
        </w:trPr>
        <w:tc>
          <w:tcPr>
            <w:tcW w:w="6924" w:type="dxa"/>
            <w:vMerge/>
            <w:tcBorders>
              <w:left w:val="single" w:sz="4" w:space="0" w:color="FFFFFF"/>
              <w:right w:val="single" w:sz="48" w:space="0" w:color="FFFFFF"/>
            </w:tcBorders>
            <w:shd w:val="clear" w:color="auto" w:fill="D9D9D9"/>
          </w:tcPr>
          <w:p w14:paraId="13FD84CB" w14:textId="77777777" w:rsidR="00D35B9F" w:rsidRPr="002578CE" w:rsidRDefault="00D35B9F" w:rsidP="00C10B1E">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FFFFFF"/>
          </w:tcPr>
          <w:p w14:paraId="7FDC1923" w14:textId="77777777" w:rsidR="00D35B9F" w:rsidRPr="006F072E" w:rsidRDefault="00D35B9F" w:rsidP="00C10B1E">
            <w:pPr>
              <w:pStyle w:val="Paragrafobase"/>
              <w:spacing w:line="240" w:lineRule="exact"/>
              <w:ind w:left="176"/>
              <w:rPr>
                <w:rFonts w:ascii="Arial" w:hAnsi="Arial" w:cs="Arial"/>
                <w:sz w:val="21"/>
                <w:szCs w:val="21"/>
              </w:rPr>
            </w:pPr>
            <w:r>
              <w:rPr>
                <w:rFonts w:ascii="Arial" w:hAnsi="Arial" w:cs="Arial"/>
                <w:noProof/>
                <w:sz w:val="21"/>
                <w:szCs w:val="21"/>
              </w:rPr>
              <w:drawing>
                <wp:anchor distT="0" distB="0" distL="114300" distR="114300" simplePos="0" relativeHeight="251668480" behindDoc="0" locked="0" layoutInCell="1" allowOverlap="1" wp14:anchorId="5B26EBB3" wp14:editId="7F2D24D0">
                  <wp:simplePos x="0" y="0"/>
                  <wp:positionH relativeFrom="column">
                    <wp:posOffset>1533525</wp:posOffset>
                  </wp:positionH>
                  <wp:positionV relativeFrom="paragraph">
                    <wp:posOffset>181981</wp:posOffset>
                  </wp:positionV>
                  <wp:extent cx="647700" cy="628650"/>
                  <wp:effectExtent l="0" t="0" r="0" b="0"/>
                  <wp:wrapNone/>
                  <wp:docPr id="50" name="Immagine 50"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p>
        </w:tc>
      </w:tr>
      <w:tr w:rsidR="00D35B9F" w:rsidRPr="00A62C0A" w14:paraId="70A8F7E9" w14:textId="77777777" w:rsidTr="00C10B1E">
        <w:trPr>
          <w:trHeight w:val="115"/>
        </w:trPr>
        <w:tc>
          <w:tcPr>
            <w:tcW w:w="6924" w:type="dxa"/>
            <w:vMerge/>
            <w:tcBorders>
              <w:left w:val="single" w:sz="4" w:space="0" w:color="FFFFFF"/>
              <w:bottom w:val="nil"/>
              <w:right w:val="single" w:sz="48" w:space="0" w:color="FFFFFF"/>
            </w:tcBorders>
            <w:shd w:val="clear" w:color="auto" w:fill="D9D9D9"/>
          </w:tcPr>
          <w:p w14:paraId="30126711" w14:textId="77777777" w:rsidR="00D35B9F" w:rsidRPr="006F072E" w:rsidRDefault="00D35B9F" w:rsidP="00C10B1E">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E31C18"/>
          </w:tcPr>
          <w:p w14:paraId="4D08C39A" w14:textId="50AD5D83" w:rsidR="00D35B9F" w:rsidRPr="00291668" w:rsidRDefault="00A413C3" w:rsidP="00C10B1E">
            <w:pPr>
              <w:pStyle w:val="Paragrafobase"/>
              <w:spacing w:before="120" w:line="320" w:lineRule="exact"/>
              <w:ind w:left="176"/>
              <w:rPr>
                <w:rFonts w:ascii="Calibri" w:hAnsi="Calibri" w:cs="Arial"/>
                <w:b/>
                <w:color w:val="FFFFFF"/>
                <w:sz w:val="28"/>
                <w:szCs w:val="28"/>
                <w:lang w:val="en-US"/>
              </w:rPr>
            </w:pPr>
            <w:proofErr w:type="spellStart"/>
            <w:r>
              <w:rPr>
                <w:rFonts w:ascii="Calibri" w:hAnsi="Calibri" w:cs="Arial"/>
                <w:b/>
                <w:color w:val="FFFFFF"/>
                <w:sz w:val="28"/>
                <w:szCs w:val="28"/>
                <w:lang w:val="en-US"/>
              </w:rPr>
              <w:t>i</w:t>
            </w:r>
            <w:proofErr w:type="spellEnd"/>
            <w:r>
              <w:rPr>
                <w:rFonts w:ascii="Calibri" w:hAnsi="Calibri" w:cs="Arial"/>
                <w:b/>
                <w:color w:val="FFFFFF"/>
                <w:sz w:val="28"/>
                <w:szCs w:val="28"/>
                <w:lang w:val="en-US"/>
              </w:rPr>
              <w:t xml:space="preserve"> </w:t>
            </w:r>
            <w:r w:rsidR="00D35B9F" w:rsidRPr="00291668">
              <w:rPr>
                <w:rFonts w:ascii="Calibri" w:hAnsi="Calibri" w:cs="Arial"/>
                <w:b/>
                <w:color w:val="FFFFFF"/>
                <w:sz w:val="28"/>
                <w:szCs w:val="28"/>
                <w:lang w:val="en-US"/>
              </w:rPr>
              <w:t xml:space="preserve">Link </w:t>
            </w:r>
            <w:proofErr w:type="spellStart"/>
            <w:r w:rsidR="00D35B9F" w:rsidRPr="00291668">
              <w:rPr>
                <w:rFonts w:ascii="Calibri" w:hAnsi="Calibri" w:cs="Arial"/>
                <w:b/>
                <w:color w:val="FFFFFF"/>
                <w:sz w:val="28"/>
                <w:szCs w:val="28"/>
                <w:lang w:val="en-US"/>
              </w:rPr>
              <w:t>utili</w:t>
            </w:r>
            <w:proofErr w:type="spellEnd"/>
          </w:p>
          <w:p w14:paraId="6444CF46" w14:textId="77777777" w:rsidR="00D35B9F" w:rsidRPr="00291668" w:rsidRDefault="00F9607B" w:rsidP="00C10B1E">
            <w:pPr>
              <w:pStyle w:val="Paragrafobase"/>
              <w:spacing w:before="120" w:line="240" w:lineRule="exact"/>
              <w:ind w:left="176"/>
              <w:rPr>
                <w:rStyle w:val="Collegamentoipertestuale"/>
                <w:rFonts w:ascii="Arial Narrow" w:hAnsi="Arial Narrow" w:cs="Arial"/>
                <w:color w:val="FFFFFF"/>
                <w:sz w:val="22"/>
                <w:szCs w:val="22"/>
                <w:lang w:val="en-US"/>
              </w:rPr>
            </w:pPr>
            <w:hyperlink r:id="rId16" w:history="1">
              <w:r w:rsidRPr="00291668">
                <w:rPr>
                  <w:rStyle w:val="Collegamentoipertestuale"/>
                  <w:rFonts w:ascii="Arial Narrow" w:hAnsi="Arial Narrow" w:cs="Arial"/>
                  <w:color w:val="FFFFFF"/>
                  <w:sz w:val="22"/>
                  <w:szCs w:val="22"/>
                  <w:lang w:val="en-US"/>
                </w:rPr>
                <w:t>https://esploradati.istat.it/</w:t>
              </w:r>
            </w:hyperlink>
          </w:p>
          <w:p w14:paraId="3ED09296" w14:textId="77777777" w:rsidR="00D35B9F" w:rsidRDefault="00D35B9F" w:rsidP="00C10B1E">
            <w:pPr>
              <w:pStyle w:val="Paragrafobase"/>
              <w:spacing w:before="120" w:line="240" w:lineRule="exact"/>
              <w:ind w:left="176"/>
              <w:rPr>
                <w:rStyle w:val="Collegamentoipertestuale"/>
                <w:rFonts w:ascii="Arial Narrow" w:hAnsi="Arial Narrow" w:cs="Arial"/>
                <w:color w:val="FFFFFF"/>
                <w:sz w:val="22"/>
                <w:szCs w:val="22"/>
                <w:lang w:val="en-US"/>
              </w:rPr>
            </w:pPr>
            <w:hyperlink r:id="rId17" w:history="1">
              <w:r w:rsidRPr="004E5688">
                <w:rPr>
                  <w:rStyle w:val="Collegamentoipertestuale"/>
                  <w:rFonts w:ascii="Arial Narrow" w:hAnsi="Arial Narrow" w:cs="Arial"/>
                  <w:color w:val="FFFFFF"/>
                  <w:sz w:val="22"/>
                  <w:szCs w:val="22"/>
                  <w:lang w:val="en-US"/>
                </w:rPr>
                <w:t>http://www.istat.it/it/congiuntura</w:t>
              </w:r>
            </w:hyperlink>
          </w:p>
          <w:p w14:paraId="62945C62" w14:textId="77777777" w:rsidR="00D35B9F" w:rsidRPr="004018F1" w:rsidRDefault="00D35B9F" w:rsidP="00C10B1E">
            <w:pPr>
              <w:pStyle w:val="Paragrafobase"/>
              <w:spacing w:before="120" w:after="120" w:line="240" w:lineRule="exact"/>
              <w:ind w:left="176"/>
              <w:rPr>
                <w:rFonts w:ascii="Arial Narrow" w:hAnsi="Arial Narrow" w:cs="Arial"/>
                <w:sz w:val="22"/>
                <w:szCs w:val="22"/>
                <w:u w:val="single"/>
                <w:lang w:val="en-US"/>
              </w:rPr>
            </w:pPr>
            <w:r w:rsidRPr="004018F1">
              <w:rPr>
                <w:rFonts w:ascii="Arial Narrow" w:hAnsi="Arial Narrow" w:cs="Arial"/>
                <w:color w:val="FFFFFF" w:themeColor="background1"/>
                <w:sz w:val="22"/>
                <w:szCs w:val="22"/>
                <w:u w:val="single"/>
                <w:lang w:val="en-US"/>
              </w:rPr>
              <w:t>http://rivaluta.istat.it/Rivaluta/</w:t>
            </w:r>
          </w:p>
        </w:tc>
      </w:tr>
    </w:tbl>
    <w:p w14:paraId="1D3B9D75" w14:textId="77777777" w:rsidR="00FE436E" w:rsidRPr="00957753" w:rsidRDefault="00FE436E" w:rsidP="00E5334A">
      <w:pPr>
        <w:pStyle w:val="Paragrafoelenco"/>
        <w:widowControl/>
        <w:numPr>
          <w:ilvl w:val="0"/>
          <w:numId w:val="12"/>
        </w:numPr>
        <w:tabs>
          <w:tab w:val="left" w:pos="10206"/>
        </w:tabs>
        <w:overflowPunct/>
        <w:autoSpaceDE/>
        <w:autoSpaceDN/>
        <w:adjustRightInd/>
        <w:spacing w:before="0" w:after="0" w:line="230" w:lineRule="exact"/>
        <w:ind w:left="284" w:hanging="284"/>
        <w:contextualSpacing w:val="0"/>
        <w:jc w:val="both"/>
        <w:rPr>
          <w:rFonts w:ascii="Arial" w:hAnsi="Arial" w:cs="Arial"/>
          <w:b/>
          <w:sz w:val="8"/>
          <w:szCs w:val="8"/>
          <w:lang w:val="en-US"/>
        </w:rPr>
        <w:sectPr w:rsidR="00FE436E" w:rsidRPr="00957753" w:rsidSect="00DD3536">
          <w:headerReference w:type="default" r:id="rId18"/>
          <w:headerReference w:type="first" r:id="rId19"/>
          <w:pgSz w:w="11907" w:h="16840" w:code="9"/>
          <w:pgMar w:top="2238" w:right="851" w:bottom="680" w:left="851" w:header="567" w:footer="204" w:gutter="0"/>
          <w:cols w:space="720"/>
          <w:noEndnote/>
          <w:docGrid w:linePitch="272"/>
        </w:sectPr>
      </w:pPr>
    </w:p>
    <w:p w14:paraId="13145611" w14:textId="77777777" w:rsidR="00487AB9" w:rsidRPr="00957753" w:rsidRDefault="00487AB9" w:rsidP="008D4068">
      <w:pPr>
        <w:pStyle w:val="001TitoGra"/>
        <w:spacing w:after="120" w:line="240" w:lineRule="auto"/>
        <w:rPr>
          <w:rFonts w:cs="Calibri"/>
          <w:bCs/>
          <w:color w:val="auto"/>
          <w:kern w:val="0"/>
          <w:lang w:val="en-US"/>
        </w:rPr>
      </w:pPr>
    </w:p>
    <w:p w14:paraId="0E36855F" w14:textId="77777777" w:rsidR="00E273E3" w:rsidRPr="00C8504B" w:rsidRDefault="001033EA" w:rsidP="001033EA">
      <w:pPr>
        <w:pStyle w:val="001TitoGra"/>
        <w:rPr>
          <w:rFonts w:ascii="Arial" w:hAnsi="Arial"/>
          <w:b w:val="0"/>
          <w:color w:val="auto"/>
          <w:sz w:val="21"/>
          <w:szCs w:val="21"/>
        </w:rPr>
      </w:pPr>
      <w:r w:rsidRPr="00C8504B">
        <w:rPr>
          <w:rFonts w:cs="Calibri"/>
          <w:bCs/>
          <w:color w:val="FF0000"/>
          <w:kern w:val="0"/>
        </w:rPr>
        <w:t>FIGURA 1.</w:t>
      </w:r>
      <w:r w:rsidRPr="00C8504B">
        <w:rPr>
          <w:rFonts w:cs="Calibri"/>
          <w:bCs/>
          <w:kern w:val="0"/>
        </w:rPr>
        <w:t xml:space="preserve"> </w:t>
      </w:r>
      <w:r w:rsidR="00DA7A68" w:rsidRPr="00C8504B">
        <w:rPr>
          <w:rFonts w:cs="Calibri"/>
          <w:bCs/>
          <w:kern w:val="0"/>
        </w:rPr>
        <w:t>INDICI DEI PREZZI AL CONSUMO NIC</w:t>
      </w:r>
      <w:r w:rsidRPr="00C8504B">
        <w:rPr>
          <w:rFonts w:cs="Calibri"/>
          <w:bCs/>
          <w:color w:val="808080"/>
          <w:kern w:val="0"/>
        </w:rPr>
        <w:t xml:space="preserve"> </w:t>
      </w:r>
    </w:p>
    <w:p w14:paraId="5CA75405" w14:textId="47B552B3" w:rsidR="00741B9F" w:rsidRDefault="007C7F06" w:rsidP="00741B9F">
      <w:pPr>
        <w:pStyle w:val="001TitoGra"/>
        <w:spacing w:after="120" w:line="240" w:lineRule="auto"/>
        <w:rPr>
          <w:b w:val="0"/>
          <w:sz w:val="20"/>
          <w:szCs w:val="20"/>
        </w:rPr>
      </w:pPr>
      <w:r>
        <w:rPr>
          <w:b w:val="0"/>
          <w:sz w:val="20"/>
          <w:szCs w:val="20"/>
        </w:rPr>
        <w:t>Gennaio 2020</w:t>
      </w:r>
      <w:r w:rsidR="00324108">
        <w:rPr>
          <w:b w:val="0"/>
          <w:sz w:val="20"/>
          <w:szCs w:val="20"/>
        </w:rPr>
        <w:t xml:space="preserve"> – </w:t>
      </w:r>
      <w:r w:rsidR="006A511A">
        <w:rPr>
          <w:b w:val="0"/>
          <w:sz w:val="20"/>
          <w:szCs w:val="20"/>
        </w:rPr>
        <w:t>novembre</w:t>
      </w:r>
      <w:r w:rsidR="00741B9F">
        <w:rPr>
          <w:b w:val="0"/>
          <w:sz w:val="20"/>
          <w:szCs w:val="20"/>
        </w:rPr>
        <w:t xml:space="preserve"> 202</w:t>
      </w:r>
      <w:r>
        <w:rPr>
          <w:b w:val="0"/>
          <w:sz w:val="20"/>
          <w:szCs w:val="20"/>
        </w:rPr>
        <w:t>5</w:t>
      </w:r>
      <w:r w:rsidR="00741B9F">
        <w:rPr>
          <w:b w:val="0"/>
          <w:sz w:val="20"/>
          <w:szCs w:val="20"/>
        </w:rPr>
        <w:t xml:space="preserve">, </w:t>
      </w:r>
      <w:r w:rsidR="00741B9F" w:rsidRPr="00B2699B">
        <w:rPr>
          <w:b w:val="0"/>
          <w:sz w:val="20"/>
          <w:szCs w:val="20"/>
        </w:rPr>
        <w:t>variazioni percentuali congiunturali e tendenziali</w:t>
      </w:r>
      <w:r w:rsidR="00741B9F" w:rsidRPr="006C51CD">
        <w:rPr>
          <w:b w:val="0"/>
          <w:sz w:val="20"/>
          <w:szCs w:val="20"/>
        </w:rPr>
        <w:t xml:space="preserve"> (base 2015=100)</w:t>
      </w:r>
      <w:r w:rsidR="00741B9F">
        <w:rPr>
          <w:b w:val="0"/>
          <w:sz w:val="20"/>
          <w:szCs w:val="20"/>
        </w:rPr>
        <w:t xml:space="preserve"> </w:t>
      </w:r>
    </w:p>
    <w:p w14:paraId="1A4F1ABC" w14:textId="6EDD3810" w:rsidR="008D4068" w:rsidRPr="00C8504B" w:rsidRDefault="00AB5495" w:rsidP="005E34B4">
      <w:pPr>
        <w:pStyle w:val="001TitoGra"/>
        <w:spacing w:after="120" w:line="240" w:lineRule="auto"/>
      </w:pPr>
      <w:r>
        <w:rPr>
          <w:noProof/>
        </w:rPr>
        <w:drawing>
          <wp:inline distT="0" distB="0" distL="0" distR="0" wp14:anchorId="29D168C4" wp14:editId="29E5C5AD">
            <wp:extent cx="6523355" cy="3200400"/>
            <wp:effectExtent l="0" t="0" r="0" b="0"/>
            <wp:docPr id="1094699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3355" cy="3200400"/>
                    </a:xfrm>
                    <a:prstGeom prst="rect">
                      <a:avLst/>
                    </a:prstGeom>
                    <a:noFill/>
                  </pic:spPr>
                </pic:pic>
              </a:graphicData>
            </a:graphic>
          </wp:inline>
        </w:drawing>
      </w:r>
    </w:p>
    <w:p w14:paraId="67C16CBF" w14:textId="77777777" w:rsidR="00743FF0" w:rsidRPr="00C8504B" w:rsidRDefault="00743FF0" w:rsidP="00377B2E">
      <w:pPr>
        <w:pStyle w:val="001TitoGra"/>
        <w:spacing w:after="120" w:line="240" w:lineRule="auto"/>
        <w:rPr>
          <w:rFonts w:cs="Calibri"/>
          <w:bCs/>
          <w:color w:val="auto"/>
          <w:kern w:val="0"/>
        </w:rPr>
      </w:pPr>
    </w:p>
    <w:p w14:paraId="0275BC0C" w14:textId="77777777" w:rsidR="005E34B4" w:rsidRPr="00C8504B" w:rsidRDefault="005E34B4" w:rsidP="005E34B4">
      <w:pPr>
        <w:pStyle w:val="001TitoGra"/>
        <w:spacing w:line="240" w:lineRule="auto"/>
      </w:pPr>
      <w:r w:rsidRPr="00C8504B">
        <w:rPr>
          <w:color w:val="E42618"/>
        </w:rPr>
        <w:t>PROSPETTO 1</w:t>
      </w:r>
      <w:r w:rsidRPr="00C8504B">
        <w:rPr>
          <w:color w:val="D90B13"/>
        </w:rPr>
        <w:t>.</w:t>
      </w:r>
      <w:r w:rsidRPr="00C8504B">
        <w:t xml:space="preserve"> </w:t>
      </w:r>
      <w:r w:rsidRPr="00C8504B">
        <w:rPr>
          <w:rFonts w:cs="Calibri"/>
          <w:bCs/>
          <w:kern w:val="0"/>
        </w:rPr>
        <w:t>INDICI DEI PREZZI AL CONSUMO NIC</w:t>
      </w:r>
      <w:r w:rsidR="00384595" w:rsidRPr="00C8504B">
        <w:rPr>
          <w:rFonts w:cs="Calibri"/>
          <w:bCs/>
          <w:kern w:val="0"/>
        </w:rPr>
        <w:t>,</w:t>
      </w:r>
      <w:r w:rsidRPr="00C8504B">
        <w:rPr>
          <w:rFonts w:cs="Calibri"/>
          <w:bCs/>
          <w:kern w:val="0"/>
        </w:rPr>
        <w:t xml:space="preserve"> IPCA</w:t>
      </w:r>
      <w:r w:rsidR="00384595" w:rsidRPr="00C8504B">
        <w:rPr>
          <w:rFonts w:cs="Calibri"/>
          <w:bCs/>
          <w:kern w:val="0"/>
        </w:rPr>
        <w:t xml:space="preserve"> E FOI</w:t>
      </w:r>
    </w:p>
    <w:p w14:paraId="79BBD7F8" w14:textId="6606384D" w:rsidR="005E34B4" w:rsidRDefault="006A511A" w:rsidP="005E34B4">
      <w:pPr>
        <w:pStyle w:val="001TitoGra"/>
        <w:spacing w:after="120" w:line="240" w:lineRule="auto"/>
        <w:rPr>
          <w:b w:val="0"/>
          <w:sz w:val="20"/>
          <w:szCs w:val="20"/>
        </w:rPr>
      </w:pPr>
      <w:r>
        <w:rPr>
          <w:b w:val="0"/>
          <w:sz w:val="20"/>
          <w:szCs w:val="20"/>
        </w:rPr>
        <w:t>Novembre</w:t>
      </w:r>
      <w:r w:rsidR="00DE4289">
        <w:rPr>
          <w:b w:val="0"/>
          <w:sz w:val="20"/>
          <w:szCs w:val="20"/>
        </w:rPr>
        <w:t xml:space="preserve"> 2025</w:t>
      </w:r>
      <w:r w:rsidR="005F6217" w:rsidRPr="00C8504B">
        <w:rPr>
          <w:b w:val="0"/>
          <w:sz w:val="20"/>
          <w:szCs w:val="20"/>
        </w:rPr>
        <w:t>, i</w:t>
      </w:r>
      <w:r w:rsidR="005E34B4" w:rsidRPr="00C8504B">
        <w:rPr>
          <w:b w:val="0"/>
          <w:sz w:val="20"/>
          <w:szCs w:val="20"/>
        </w:rPr>
        <w:t>ndici e variazioni percentu</w:t>
      </w:r>
      <w:r w:rsidR="005F6217" w:rsidRPr="00C8504B">
        <w:rPr>
          <w:b w:val="0"/>
          <w:sz w:val="20"/>
          <w:szCs w:val="20"/>
        </w:rPr>
        <w:t>ali congiunturali e tendenziali</w:t>
      </w:r>
      <w:r w:rsidR="005E34B4" w:rsidRPr="00C8504B">
        <w:rPr>
          <w:b w:val="0"/>
          <w:sz w:val="20"/>
          <w:szCs w:val="20"/>
        </w:rPr>
        <w:t xml:space="preserve"> (base 2015=100)</w:t>
      </w:r>
    </w:p>
    <w:tbl>
      <w:tblPr>
        <w:tblW w:w="10206" w:type="dxa"/>
        <w:jc w:val="center"/>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599"/>
        <w:gridCol w:w="1869"/>
        <w:gridCol w:w="1869"/>
        <w:gridCol w:w="1869"/>
      </w:tblGrid>
      <w:tr w:rsidR="00073BDC" w:rsidRPr="00C8504B" w14:paraId="23E3A76B" w14:textId="77777777" w:rsidTr="00073BDC">
        <w:trPr>
          <w:trHeight w:val="255"/>
          <w:jc w:val="center"/>
        </w:trPr>
        <w:tc>
          <w:tcPr>
            <w:tcW w:w="4599" w:type="dxa"/>
            <w:vMerge w:val="restart"/>
            <w:vAlign w:val="center"/>
          </w:tcPr>
          <w:p w14:paraId="36594D77" w14:textId="77777777" w:rsidR="00073BDC" w:rsidRPr="00C8504B" w:rsidRDefault="00073BDC" w:rsidP="00073BDC">
            <w:pPr>
              <w:tabs>
                <w:tab w:val="left" w:pos="5093"/>
              </w:tabs>
              <w:spacing w:before="40" w:after="20"/>
              <w:ind w:left="-57"/>
              <w:jc w:val="center"/>
              <w:rPr>
                <w:rFonts w:ascii="Arial Narrow" w:hAnsi="Arial Narrow" w:cs="Arial"/>
                <w:b/>
                <w:bCs/>
                <w:sz w:val="18"/>
                <w:szCs w:val="18"/>
              </w:rPr>
            </w:pPr>
          </w:p>
        </w:tc>
        <w:tc>
          <w:tcPr>
            <w:tcW w:w="1869" w:type="dxa"/>
            <w:shd w:val="clear" w:color="auto" w:fill="D9D9D9"/>
            <w:vAlign w:val="center"/>
          </w:tcPr>
          <w:p w14:paraId="1AFDAF44" w14:textId="77777777"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napToGrid w:val="0"/>
                <w:sz w:val="18"/>
                <w:szCs w:val="18"/>
              </w:rPr>
              <w:t>Indici</w:t>
            </w:r>
          </w:p>
        </w:tc>
        <w:tc>
          <w:tcPr>
            <w:tcW w:w="1869" w:type="dxa"/>
            <w:vAlign w:val="center"/>
          </w:tcPr>
          <w:p w14:paraId="11397FCC" w14:textId="77777777"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869" w:type="dxa"/>
            <w:shd w:val="clear" w:color="auto" w:fill="D9D9D9"/>
            <w:vAlign w:val="center"/>
          </w:tcPr>
          <w:p w14:paraId="65E88282" w14:textId="77777777"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z w:val="18"/>
                <w:szCs w:val="18"/>
              </w:rPr>
              <w:t>Variazioni tendenziali</w:t>
            </w:r>
          </w:p>
        </w:tc>
      </w:tr>
      <w:tr w:rsidR="00C22A24" w:rsidRPr="00C8504B" w14:paraId="1E695F8D" w14:textId="77777777" w:rsidTr="00073BDC">
        <w:trPr>
          <w:trHeight w:val="255"/>
          <w:jc w:val="center"/>
        </w:trPr>
        <w:tc>
          <w:tcPr>
            <w:tcW w:w="4599" w:type="dxa"/>
            <w:vMerge/>
            <w:vAlign w:val="center"/>
          </w:tcPr>
          <w:p w14:paraId="6F9A86D0" w14:textId="77777777" w:rsidR="00C22A24" w:rsidRPr="00C8504B" w:rsidRDefault="00C22A24" w:rsidP="00C22A24">
            <w:pPr>
              <w:tabs>
                <w:tab w:val="left" w:pos="5093"/>
              </w:tabs>
              <w:spacing w:before="40" w:after="20"/>
              <w:ind w:left="-57"/>
              <w:rPr>
                <w:rFonts w:ascii="Arial Narrow" w:hAnsi="Arial Narrow" w:cs="Arial"/>
                <w:b/>
                <w:bCs/>
                <w:sz w:val="18"/>
                <w:szCs w:val="18"/>
              </w:rPr>
            </w:pPr>
          </w:p>
        </w:tc>
        <w:tc>
          <w:tcPr>
            <w:tcW w:w="1869" w:type="dxa"/>
            <w:vAlign w:val="center"/>
          </w:tcPr>
          <w:p w14:paraId="1632DCB1" w14:textId="609F608D" w:rsidR="00C22A24" w:rsidRPr="00C8504B" w:rsidRDefault="006A511A" w:rsidP="00DE4289">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Novembre</w:t>
            </w:r>
            <w:r w:rsidR="0009240D">
              <w:rPr>
                <w:rFonts w:ascii="Arial Narrow" w:hAnsi="Arial Narrow" w:cs="Arial"/>
                <w:bCs/>
                <w:sz w:val="18"/>
                <w:szCs w:val="18"/>
              </w:rPr>
              <w:t xml:space="preserve"> 202</w:t>
            </w:r>
            <w:r w:rsidR="00DE4289">
              <w:rPr>
                <w:rFonts w:ascii="Arial Narrow" w:hAnsi="Arial Narrow" w:cs="Arial"/>
                <w:bCs/>
                <w:sz w:val="18"/>
                <w:szCs w:val="18"/>
              </w:rPr>
              <w:t>5</w:t>
            </w:r>
          </w:p>
        </w:tc>
        <w:tc>
          <w:tcPr>
            <w:tcW w:w="1869" w:type="dxa"/>
            <w:vAlign w:val="center"/>
          </w:tcPr>
          <w:p w14:paraId="384920FB" w14:textId="139A103F" w:rsidR="00C22A24" w:rsidRDefault="006A511A" w:rsidP="00C22A24">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nov</w:t>
            </w:r>
            <w:r w:rsidR="00741B9F">
              <w:rPr>
                <w:rFonts w:ascii="Arial Narrow" w:hAnsi="Arial Narrow" w:cs="Arial"/>
                <w:kern w:val="0"/>
                <w:sz w:val="18"/>
                <w:szCs w:val="18"/>
                <w:u w:val="single"/>
              </w:rPr>
              <w:t>-2</w:t>
            </w:r>
            <w:r w:rsidR="00DE4289">
              <w:rPr>
                <w:rFonts w:ascii="Arial Narrow" w:hAnsi="Arial Narrow" w:cs="Arial"/>
                <w:kern w:val="0"/>
                <w:sz w:val="18"/>
                <w:szCs w:val="18"/>
                <w:u w:val="single"/>
              </w:rPr>
              <w:t>5</w:t>
            </w:r>
          </w:p>
          <w:p w14:paraId="68831D3D" w14:textId="75A9C9DD" w:rsidR="00C22A24" w:rsidRPr="00E03E58" w:rsidRDefault="006A511A" w:rsidP="00742B36">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ott</w:t>
            </w:r>
            <w:r w:rsidR="00C22A24">
              <w:rPr>
                <w:rFonts w:ascii="Arial Narrow" w:hAnsi="Arial Narrow" w:cs="Arial"/>
                <w:kern w:val="0"/>
                <w:sz w:val="18"/>
                <w:szCs w:val="18"/>
              </w:rPr>
              <w:t>-2</w:t>
            </w:r>
            <w:r w:rsidR="00742B36">
              <w:rPr>
                <w:rFonts w:ascii="Arial Narrow" w:hAnsi="Arial Narrow" w:cs="Arial"/>
                <w:kern w:val="0"/>
                <w:sz w:val="18"/>
                <w:szCs w:val="18"/>
              </w:rPr>
              <w:t>5</w:t>
            </w:r>
          </w:p>
        </w:tc>
        <w:tc>
          <w:tcPr>
            <w:tcW w:w="1869" w:type="dxa"/>
            <w:vAlign w:val="center"/>
          </w:tcPr>
          <w:p w14:paraId="0905A81F" w14:textId="3951CD33" w:rsidR="00C22A24" w:rsidRDefault="006A511A" w:rsidP="00C22A24">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nov</w:t>
            </w:r>
            <w:r w:rsidR="009E4F6A">
              <w:rPr>
                <w:rFonts w:ascii="Arial Narrow" w:hAnsi="Arial Narrow" w:cs="Arial"/>
                <w:kern w:val="0"/>
                <w:sz w:val="18"/>
                <w:szCs w:val="18"/>
                <w:u w:val="single"/>
              </w:rPr>
              <w:t>-2</w:t>
            </w:r>
            <w:r w:rsidR="00DE4289">
              <w:rPr>
                <w:rFonts w:ascii="Arial Narrow" w:hAnsi="Arial Narrow" w:cs="Arial"/>
                <w:kern w:val="0"/>
                <w:sz w:val="18"/>
                <w:szCs w:val="18"/>
                <w:u w:val="single"/>
              </w:rPr>
              <w:t>5</w:t>
            </w:r>
          </w:p>
          <w:p w14:paraId="390F6383" w14:textId="27F225B0" w:rsidR="00C22A24" w:rsidRPr="00EF00E1" w:rsidRDefault="006A511A" w:rsidP="00DE4289">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nov</w:t>
            </w:r>
            <w:r w:rsidR="00C22A24">
              <w:rPr>
                <w:rFonts w:ascii="Arial Narrow" w:hAnsi="Arial Narrow" w:cs="Arial"/>
                <w:kern w:val="0"/>
                <w:sz w:val="18"/>
                <w:szCs w:val="18"/>
              </w:rPr>
              <w:t>-2</w:t>
            </w:r>
            <w:r w:rsidR="00DE4289">
              <w:rPr>
                <w:rFonts w:ascii="Arial Narrow" w:hAnsi="Arial Narrow" w:cs="Arial"/>
                <w:kern w:val="0"/>
                <w:sz w:val="18"/>
                <w:szCs w:val="18"/>
              </w:rPr>
              <w:t>4</w:t>
            </w:r>
          </w:p>
        </w:tc>
      </w:tr>
      <w:tr w:rsidR="001F398B" w:rsidRPr="00C8504B" w14:paraId="651DD06A" w14:textId="77777777" w:rsidTr="00F31652">
        <w:trPr>
          <w:trHeight w:val="255"/>
          <w:jc w:val="center"/>
        </w:trPr>
        <w:tc>
          <w:tcPr>
            <w:tcW w:w="4599" w:type="dxa"/>
            <w:vAlign w:val="center"/>
          </w:tcPr>
          <w:p w14:paraId="4B835839" w14:textId="77777777" w:rsidR="001F398B" w:rsidRPr="00C8504B" w:rsidRDefault="001F398B" w:rsidP="001F398B">
            <w:pPr>
              <w:tabs>
                <w:tab w:val="left" w:pos="5093"/>
              </w:tabs>
              <w:spacing w:before="40" w:after="20"/>
              <w:ind w:left="-57"/>
              <w:rPr>
                <w:rFonts w:ascii="Arial Narrow" w:hAnsi="Arial Narrow" w:cs="Arial"/>
                <w:bCs/>
                <w:sz w:val="18"/>
                <w:szCs w:val="18"/>
              </w:rPr>
            </w:pPr>
            <w:r w:rsidRPr="00C8504B">
              <w:rPr>
                <w:rFonts w:ascii="Arial Narrow" w:hAnsi="Arial Narrow" w:cs="Arial"/>
                <w:bCs/>
                <w:snapToGrid w:val="0"/>
                <w:sz w:val="18"/>
                <w:szCs w:val="18"/>
              </w:rPr>
              <w:t xml:space="preserve">Indice nazionale per l’intera collettività NIC </w:t>
            </w:r>
          </w:p>
        </w:tc>
        <w:tc>
          <w:tcPr>
            <w:tcW w:w="1869" w:type="dxa"/>
            <w:shd w:val="clear" w:color="auto" w:fill="D9D9D9"/>
          </w:tcPr>
          <w:p w14:paraId="08DC5ECC" w14:textId="5B0BF4CB" w:rsidR="001F398B" w:rsidRPr="001F398B" w:rsidRDefault="00026D2E" w:rsidP="001F398B">
            <w:pPr>
              <w:spacing w:before="40" w:after="20"/>
              <w:ind w:right="57"/>
              <w:jc w:val="right"/>
              <w:rPr>
                <w:rFonts w:ascii="Arial Narrow" w:hAnsi="Arial Narrow" w:cs="Arial"/>
                <w:sz w:val="18"/>
                <w:szCs w:val="18"/>
              </w:rPr>
            </w:pPr>
            <w:r>
              <w:rPr>
                <w:rFonts w:ascii="Arial Narrow" w:hAnsi="Arial Narrow" w:cs="Arial"/>
                <w:sz w:val="18"/>
                <w:szCs w:val="18"/>
              </w:rPr>
              <w:t>122,4</w:t>
            </w:r>
          </w:p>
        </w:tc>
        <w:tc>
          <w:tcPr>
            <w:tcW w:w="1869" w:type="dxa"/>
            <w:shd w:val="clear" w:color="auto" w:fill="FFFFFF" w:themeFill="background1"/>
          </w:tcPr>
          <w:p w14:paraId="092D74A8" w14:textId="387E2C4A" w:rsidR="001F398B" w:rsidRPr="001F398B" w:rsidRDefault="00026D2E" w:rsidP="001F398B">
            <w:pPr>
              <w:spacing w:before="40" w:after="20"/>
              <w:ind w:right="57"/>
              <w:jc w:val="right"/>
              <w:rPr>
                <w:rFonts w:ascii="Arial Narrow" w:hAnsi="Arial Narrow" w:cs="Arial"/>
                <w:sz w:val="18"/>
                <w:szCs w:val="18"/>
              </w:rPr>
            </w:pPr>
            <w:r>
              <w:rPr>
                <w:rFonts w:ascii="Arial Narrow" w:hAnsi="Arial Narrow" w:cs="Arial"/>
                <w:sz w:val="18"/>
                <w:szCs w:val="18"/>
              </w:rPr>
              <w:t>-0,2</w:t>
            </w:r>
          </w:p>
        </w:tc>
        <w:tc>
          <w:tcPr>
            <w:tcW w:w="1869" w:type="dxa"/>
            <w:shd w:val="clear" w:color="auto" w:fill="D9D9D9"/>
          </w:tcPr>
          <w:p w14:paraId="2FE0FB84" w14:textId="504C5A4F" w:rsidR="001F398B" w:rsidRPr="001F398B" w:rsidRDefault="00026D2E" w:rsidP="001F398B">
            <w:pPr>
              <w:spacing w:before="40" w:after="20"/>
              <w:ind w:right="57"/>
              <w:jc w:val="right"/>
              <w:rPr>
                <w:rFonts w:ascii="Arial Narrow" w:hAnsi="Arial Narrow" w:cs="Arial"/>
                <w:sz w:val="18"/>
                <w:szCs w:val="18"/>
              </w:rPr>
            </w:pPr>
            <w:r>
              <w:rPr>
                <w:rFonts w:ascii="Arial Narrow" w:hAnsi="Arial Narrow" w:cs="Arial"/>
                <w:sz w:val="18"/>
                <w:szCs w:val="18"/>
              </w:rPr>
              <w:t>+1,1</w:t>
            </w:r>
          </w:p>
        </w:tc>
      </w:tr>
      <w:tr w:rsidR="001F398B" w:rsidRPr="00C8504B" w14:paraId="6A460667" w14:textId="77777777" w:rsidTr="00F31652">
        <w:trPr>
          <w:trHeight w:val="255"/>
          <w:jc w:val="center"/>
        </w:trPr>
        <w:tc>
          <w:tcPr>
            <w:tcW w:w="4599" w:type="dxa"/>
            <w:vAlign w:val="center"/>
          </w:tcPr>
          <w:p w14:paraId="43D16E11" w14:textId="77777777" w:rsidR="001F398B" w:rsidRPr="00C8504B" w:rsidRDefault="001F398B" w:rsidP="001F398B">
            <w:pPr>
              <w:tabs>
                <w:tab w:val="left" w:pos="5093"/>
              </w:tabs>
              <w:spacing w:before="40" w:after="20"/>
              <w:ind w:left="-57"/>
              <w:rPr>
                <w:rFonts w:ascii="Arial Narrow" w:hAnsi="Arial Narrow" w:cs="Arial"/>
                <w:bCs/>
                <w:sz w:val="18"/>
                <w:szCs w:val="18"/>
              </w:rPr>
            </w:pPr>
            <w:r w:rsidRPr="00C8504B">
              <w:rPr>
                <w:rFonts w:ascii="Arial Narrow" w:hAnsi="Arial Narrow" w:cs="Arial"/>
                <w:bCs/>
                <w:snapToGrid w:val="0"/>
                <w:sz w:val="18"/>
                <w:szCs w:val="18"/>
              </w:rPr>
              <w:t xml:space="preserve">Indice armonizzato IPCA </w:t>
            </w:r>
          </w:p>
        </w:tc>
        <w:tc>
          <w:tcPr>
            <w:tcW w:w="1869" w:type="dxa"/>
            <w:shd w:val="clear" w:color="auto" w:fill="D9D9D9"/>
          </w:tcPr>
          <w:p w14:paraId="547849CE" w14:textId="3FD62880" w:rsidR="001F398B" w:rsidRPr="001F398B" w:rsidRDefault="00026D2E" w:rsidP="001F398B">
            <w:pPr>
              <w:spacing w:before="40" w:after="20"/>
              <w:ind w:right="57"/>
              <w:jc w:val="right"/>
              <w:rPr>
                <w:rFonts w:ascii="Arial Narrow" w:hAnsi="Arial Narrow" w:cs="Arial"/>
                <w:sz w:val="18"/>
                <w:szCs w:val="18"/>
              </w:rPr>
            </w:pPr>
            <w:r>
              <w:rPr>
                <w:rFonts w:ascii="Arial Narrow" w:hAnsi="Arial Narrow" w:cs="Arial"/>
                <w:sz w:val="18"/>
                <w:szCs w:val="18"/>
              </w:rPr>
              <w:t>124,7</w:t>
            </w:r>
          </w:p>
        </w:tc>
        <w:tc>
          <w:tcPr>
            <w:tcW w:w="1869" w:type="dxa"/>
            <w:shd w:val="clear" w:color="auto" w:fill="FFFFFF" w:themeFill="background1"/>
          </w:tcPr>
          <w:p w14:paraId="25B4568E" w14:textId="544C98A2" w:rsidR="001F398B" w:rsidRPr="001F398B" w:rsidRDefault="00026D2E" w:rsidP="001F398B">
            <w:pPr>
              <w:spacing w:before="40" w:after="20"/>
              <w:ind w:right="57"/>
              <w:jc w:val="right"/>
              <w:rPr>
                <w:rFonts w:ascii="Arial Narrow" w:hAnsi="Arial Narrow" w:cs="Arial"/>
                <w:sz w:val="18"/>
                <w:szCs w:val="18"/>
              </w:rPr>
            </w:pPr>
            <w:r>
              <w:rPr>
                <w:rFonts w:ascii="Arial Narrow" w:hAnsi="Arial Narrow" w:cs="Arial"/>
                <w:sz w:val="18"/>
                <w:szCs w:val="18"/>
              </w:rPr>
              <w:t>-0,2</w:t>
            </w:r>
          </w:p>
        </w:tc>
        <w:tc>
          <w:tcPr>
            <w:tcW w:w="1869" w:type="dxa"/>
            <w:shd w:val="clear" w:color="auto" w:fill="D9D9D9"/>
          </w:tcPr>
          <w:p w14:paraId="12693C96" w14:textId="0436BDFA" w:rsidR="001F398B" w:rsidRPr="001F398B" w:rsidRDefault="00026D2E" w:rsidP="006E343B">
            <w:pPr>
              <w:spacing w:before="40" w:after="20"/>
              <w:ind w:right="57"/>
              <w:jc w:val="right"/>
              <w:rPr>
                <w:rFonts w:ascii="Arial Narrow" w:hAnsi="Arial Narrow" w:cs="Arial"/>
                <w:sz w:val="18"/>
                <w:szCs w:val="18"/>
              </w:rPr>
            </w:pPr>
            <w:r>
              <w:rPr>
                <w:rFonts w:ascii="Arial Narrow" w:hAnsi="Arial Narrow" w:cs="Arial"/>
                <w:sz w:val="18"/>
                <w:szCs w:val="18"/>
              </w:rPr>
              <w:t>+1,1</w:t>
            </w:r>
          </w:p>
        </w:tc>
      </w:tr>
      <w:tr w:rsidR="001F398B" w:rsidRPr="00C8504B" w14:paraId="7495E211" w14:textId="77777777" w:rsidTr="00F31652">
        <w:trPr>
          <w:trHeight w:val="255"/>
          <w:jc w:val="center"/>
        </w:trPr>
        <w:tc>
          <w:tcPr>
            <w:tcW w:w="4599" w:type="dxa"/>
            <w:vAlign w:val="center"/>
          </w:tcPr>
          <w:p w14:paraId="1B709B4D" w14:textId="77777777" w:rsidR="001F398B" w:rsidRPr="00C8504B" w:rsidRDefault="001F398B" w:rsidP="001F398B">
            <w:pPr>
              <w:tabs>
                <w:tab w:val="left" w:pos="5093"/>
              </w:tabs>
              <w:spacing w:before="40" w:after="20"/>
              <w:ind w:left="-57"/>
              <w:rPr>
                <w:rFonts w:ascii="Arial Narrow" w:hAnsi="Arial Narrow" w:cs="Arial"/>
                <w:bCs/>
                <w:snapToGrid w:val="0"/>
                <w:sz w:val="18"/>
                <w:szCs w:val="18"/>
              </w:rPr>
            </w:pPr>
            <w:r w:rsidRPr="00C8504B">
              <w:rPr>
                <w:rFonts w:ascii="Arial Narrow" w:hAnsi="Arial Narrow" w:cs="Arial"/>
                <w:bCs/>
                <w:snapToGrid w:val="0"/>
                <w:sz w:val="18"/>
                <w:szCs w:val="18"/>
              </w:rPr>
              <w:t>Indice per le famiglie di operai e impiegati FOI (senza tabacchi)</w:t>
            </w:r>
          </w:p>
        </w:tc>
        <w:tc>
          <w:tcPr>
            <w:tcW w:w="1869" w:type="dxa"/>
            <w:shd w:val="clear" w:color="auto" w:fill="D9D9D9"/>
          </w:tcPr>
          <w:p w14:paraId="4A029271" w14:textId="45916C83" w:rsidR="001F398B" w:rsidRPr="001F398B" w:rsidRDefault="00026D2E" w:rsidP="004F362A">
            <w:pPr>
              <w:spacing w:before="40" w:after="20"/>
              <w:ind w:right="57"/>
              <w:jc w:val="right"/>
              <w:rPr>
                <w:rFonts w:ascii="Arial Narrow" w:hAnsi="Arial Narrow" w:cs="Arial"/>
                <w:sz w:val="18"/>
                <w:szCs w:val="18"/>
              </w:rPr>
            </w:pPr>
            <w:r>
              <w:rPr>
                <w:rFonts w:ascii="Arial Narrow" w:hAnsi="Arial Narrow" w:cs="Arial"/>
                <w:sz w:val="18"/>
                <w:szCs w:val="18"/>
              </w:rPr>
              <w:t>121,3</w:t>
            </w:r>
          </w:p>
        </w:tc>
        <w:tc>
          <w:tcPr>
            <w:tcW w:w="1869" w:type="dxa"/>
            <w:shd w:val="clear" w:color="auto" w:fill="FFFFFF" w:themeFill="background1"/>
          </w:tcPr>
          <w:p w14:paraId="5FB8DF1A" w14:textId="2FE67623" w:rsidR="001F398B" w:rsidRPr="001F398B" w:rsidRDefault="00026D2E" w:rsidP="001F398B">
            <w:pPr>
              <w:spacing w:before="40" w:after="20"/>
              <w:ind w:right="57"/>
              <w:jc w:val="right"/>
              <w:rPr>
                <w:rFonts w:ascii="Arial Narrow" w:hAnsi="Arial Narrow" w:cs="Arial"/>
                <w:sz w:val="18"/>
                <w:szCs w:val="18"/>
              </w:rPr>
            </w:pPr>
            <w:r>
              <w:rPr>
                <w:rFonts w:ascii="Arial Narrow" w:hAnsi="Arial Narrow" w:cs="Arial"/>
                <w:sz w:val="18"/>
                <w:szCs w:val="18"/>
              </w:rPr>
              <w:t>-0,1</w:t>
            </w:r>
          </w:p>
        </w:tc>
        <w:tc>
          <w:tcPr>
            <w:tcW w:w="1869" w:type="dxa"/>
            <w:shd w:val="clear" w:color="auto" w:fill="D9D9D9"/>
          </w:tcPr>
          <w:p w14:paraId="5253D16B" w14:textId="7C1CC292" w:rsidR="001F398B" w:rsidRPr="001F398B" w:rsidRDefault="00026D2E" w:rsidP="001F398B">
            <w:pPr>
              <w:spacing w:before="40" w:after="20"/>
              <w:ind w:right="57"/>
              <w:jc w:val="right"/>
              <w:rPr>
                <w:rFonts w:ascii="Arial Narrow" w:hAnsi="Arial Narrow" w:cs="Arial"/>
                <w:sz w:val="18"/>
                <w:szCs w:val="18"/>
              </w:rPr>
            </w:pPr>
            <w:r>
              <w:rPr>
                <w:rFonts w:ascii="Arial Narrow" w:hAnsi="Arial Narrow" w:cs="Arial"/>
                <w:sz w:val="18"/>
                <w:szCs w:val="18"/>
              </w:rPr>
              <w:t>+1,0</w:t>
            </w:r>
          </w:p>
        </w:tc>
      </w:tr>
    </w:tbl>
    <w:p w14:paraId="350E8B1B" w14:textId="77777777" w:rsidR="001033EA" w:rsidRPr="00C8504B" w:rsidRDefault="001033EA" w:rsidP="00A235C2">
      <w:pPr>
        <w:pStyle w:val="001TitoGra"/>
        <w:spacing w:line="240" w:lineRule="auto"/>
        <w:rPr>
          <w:rFonts w:cs="Calibri"/>
          <w:b w:val="0"/>
          <w:kern w:val="0"/>
        </w:rPr>
      </w:pPr>
    </w:p>
    <w:p w14:paraId="09FB5810" w14:textId="77777777" w:rsidR="00DD056D" w:rsidRPr="00C8504B" w:rsidRDefault="00DD056D" w:rsidP="00A235C2">
      <w:pPr>
        <w:pStyle w:val="001TitoGra"/>
        <w:spacing w:line="240" w:lineRule="auto"/>
        <w:rPr>
          <w:rFonts w:cs="Calibri"/>
          <w:b w:val="0"/>
          <w:kern w:val="0"/>
        </w:rPr>
        <w:sectPr w:rsidR="00DD056D" w:rsidRPr="00C8504B" w:rsidSect="000161B7">
          <w:headerReference w:type="default" r:id="rId21"/>
          <w:footerReference w:type="default" r:id="rId22"/>
          <w:footerReference w:type="first" r:id="rId23"/>
          <w:pgSz w:w="11907" w:h="16840" w:code="9"/>
          <w:pgMar w:top="1534" w:right="851" w:bottom="680" w:left="851" w:header="567" w:footer="567" w:gutter="0"/>
          <w:cols w:space="720"/>
          <w:noEndnote/>
          <w:titlePg/>
          <w:docGrid w:linePitch="272"/>
        </w:sectPr>
      </w:pPr>
    </w:p>
    <w:p w14:paraId="0A6E1BB5" w14:textId="77777777" w:rsidR="006651AB" w:rsidRPr="002B4C24" w:rsidRDefault="006651AB" w:rsidP="006651AB">
      <w:pPr>
        <w:tabs>
          <w:tab w:val="left" w:pos="851"/>
          <w:tab w:val="left" w:pos="9639"/>
        </w:tabs>
        <w:spacing w:before="0" w:after="120"/>
        <w:jc w:val="both"/>
        <w:rPr>
          <w:rFonts w:ascii="Arial" w:hAnsi="Arial" w:cs="Arial"/>
          <w:iCs/>
          <w:sz w:val="21"/>
          <w:szCs w:val="21"/>
        </w:rPr>
      </w:pPr>
    </w:p>
    <w:p w14:paraId="3D29A394" w14:textId="77777777" w:rsidR="002F10E9" w:rsidRPr="00C8504B" w:rsidRDefault="002F10E9" w:rsidP="002F10E9">
      <w:pPr>
        <w:pStyle w:val="00TitoGra1"/>
        <w:spacing w:line="240" w:lineRule="auto"/>
        <w:rPr>
          <w:color w:val="E42618"/>
          <w:szCs w:val="36"/>
        </w:rPr>
      </w:pPr>
      <w:r w:rsidRPr="00C8504B">
        <w:rPr>
          <w:color w:val="E42618"/>
          <w:szCs w:val="36"/>
        </w:rPr>
        <w:t>Indice nazionale dei prezzi al consumo per l’intera collettività (NIC)</w:t>
      </w:r>
      <w:r w:rsidRPr="00C8504B">
        <w:rPr>
          <w:color w:val="E42618"/>
          <w:szCs w:val="36"/>
        </w:rPr>
        <w:tab/>
      </w:r>
    </w:p>
    <w:p w14:paraId="017540C8" w14:textId="77777777" w:rsidR="006651AB" w:rsidRPr="0025426F" w:rsidRDefault="006651AB" w:rsidP="006651AB">
      <w:pPr>
        <w:tabs>
          <w:tab w:val="left" w:pos="851"/>
          <w:tab w:val="left" w:pos="9639"/>
        </w:tabs>
        <w:spacing w:before="0" w:after="120"/>
        <w:jc w:val="both"/>
        <w:rPr>
          <w:rFonts w:ascii="Arial" w:hAnsi="Arial" w:cs="Arial"/>
          <w:iCs/>
          <w:sz w:val="16"/>
          <w:szCs w:val="21"/>
        </w:rPr>
      </w:pPr>
    </w:p>
    <w:p w14:paraId="0A42EE3C" w14:textId="77777777" w:rsidR="00C423DB" w:rsidRPr="00C8504B" w:rsidRDefault="00C423DB" w:rsidP="00BD0487">
      <w:pPr>
        <w:pStyle w:val="001TitoloBolocco"/>
        <w:spacing w:after="120" w:line="240" w:lineRule="auto"/>
      </w:pPr>
      <w:r w:rsidRPr="00C8504B">
        <w:t>Le divisioni di spesa</w:t>
      </w:r>
    </w:p>
    <w:p w14:paraId="44BA2267" w14:textId="3C97F540" w:rsidR="00D9520B" w:rsidRDefault="009F7CA2" w:rsidP="00F12E44">
      <w:pPr>
        <w:tabs>
          <w:tab w:val="left" w:pos="851"/>
          <w:tab w:val="left" w:pos="9639"/>
        </w:tabs>
        <w:spacing w:before="0" w:after="120"/>
        <w:jc w:val="both"/>
        <w:rPr>
          <w:rFonts w:ascii="Arial" w:hAnsi="Arial" w:cs="Arial"/>
          <w:iCs/>
          <w:sz w:val="21"/>
          <w:szCs w:val="21"/>
        </w:rPr>
      </w:pPr>
      <w:r>
        <w:rPr>
          <w:rFonts w:ascii="Arial" w:hAnsi="Arial" w:cs="Arial"/>
          <w:iCs/>
          <w:sz w:val="21"/>
          <w:szCs w:val="21"/>
        </w:rPr>
        <w:t>A</w:t>
      </w:r>
      <w:r w:rsidR="00C53AE1">
        <w:rPr>
          <w:rFonts w:ascii="Arial" w:hAnsi="Arial" w:cs="Arial"/>
          <w:iCs/>
          <w:sz w:val="21"/>
          <w:szCs w:val="21"/>
        </w:rPr>
        <w:t xml:space="preserve"> </w:t>
      </w:r>
      <w:r w:rsidR="00320C41">
        <w:rPr>
          <w:rFonts w:ascii="Arial" w:hAnsi="Arial" w:cs="Arial"/>
          <w:iCs/>
          <w:sz w:val="21"/>
          <w:szCs w:val="21"/>
        </w:rPr>
        <w:t>novembre</w:t>
      </w:r>
      <w:r w:rsidR="00C53AE1">
        <w:rPr>
          <w:rFonts w:ascii="Arial" w:hAnsi="Arial" w:cs="Arial"/>
          <w:iCs/>
          <w:sz w:val="21"/>
          <w:szCs w:val="21"/>
        </w:rPr>
        <w:t xml:space="preserve"> </w:t>
      </w:r>
      <w:r w:rsidR="00703A3A">
        <w:rPr>
          <w:rFonts w:ascii="Arial" w:hAnsi="Arial" w:cs="Arial"/>
          <w:iCs/>
          <w:sz w:val="21"/>
          <w:szCs w:val="21"/>
        </w:rPr>
        <w:t>2025</w:t>
      </w:r>
      <w:r w:rsidR="0017472E">
        <w:rPr>
          <w:rFonts w:ascii="Arial" w:hAnsi="Arial" w:cs="Arial"/>
          <w:iCs/>
          <w:sz w:val="21"/>
          <w:szCs w:val="21"/>
        </w:rPr>
        <w:t>,</w:t>
      </w:r>
      <w:r>
        <w:rPr>
          <w:rFonts w:ascii="Arial" w:hAnsi="Arial" w:cs="Arial"/>
          <w:iCs/>
          <w:sz w:val="21"/>
          <w:szCs w:val="21"/>
        </w:rPr>
        <w:t xml:space="preserve"> </w:t>
      </w:r>
      <w:r w:rsidR="001F504A">
        <w:rPr>
          <w:rFonts w:ascii="Arial" w:hAnsi="Arial" w:cs="Arial"/>
          <w:iCs/>
          <w:sz w:val="21"/>
          <w:szCs w:val="21"/>
        </w:rPr>
        <w:t>il tasso tendenziale di variazione del</w:t>
      </w:r>
      <w:r w:rsidR="00811528">
        <w:rPr>
          <w:rFonts w:ascii="Arial" w:hAnsi="Arial" w:cs="Arial"/>
          <w:iCs/>
          <w:sz w:val="21"/>
          <w:szCs w:val="21"/>
        </w:rPr>
        <w:t>l</w:t>
      </w:r>
      <w:r w:rsidR="00D9520B">
        <w:rPr>
          <w:rFonts w:ascii="Arial" w:hAnsi="Arial" w:cs="Arial"/>
          <w:iCs/>
          <w:sz w:val="21"/>
          <w:szCs w:val="21"/>
        </w:rPr>
        <w:t xml:space="preserve">’indice generale </w:t>
      </w:r>
      <w:r w:rsidR="00811528">
        <w:rPr>
          <w:rFonts w:ascii="Arial" w:hAnsi="Arial" w:cs="Arial"/>
          <w:iCs/>
          <w:sz w:val="21"/>
          <w:szCs w:val="21"/>
        </w:rPr>
        <w:t>dei prezzi al consumo</w:t>
      </w:r>
      <w:r w:rsidR="006820B1">
        <w:rPr>
          <w:rFonts w:ascii="Arial" w:hAnsi="Arial" w:cs="Arial"/>
          <w:iCs/>
          <w:sz w:val="21"/>
          <w:szCs w:val="21"/>
        </w:rPr>
        <w:t xml:space="preserve"> </w:t>
      </w:r>
      <w:r w:rsidR="006F5727">
        <w:rPr>
          <w:rFonts w:ascii="Arial" w:hAnsi="Arial" w:cs="Arial"/>
          <w:iCs/>
          <w:sz w:val="21"/>
          <w:szCs w:val="21"/>
        </w:rPr>
        <w:t xml:space="preserve">per l’intera collettività (NIC) </w:t>
      </w:r>
      <w:r w:rsidR="001F504A">
        <w:rPr>
          <w:rFonts w:ascii="Arial" w:hAnsi="Arial" w:cs="Arial"/>
          <w:iCs/>
          <w:sz w:val="21"/>
          <w:szCs w:val="21"/>
        </w:rPr>
        <w:t>s</w:t>
      </w:r>
      <w:r w:rsidR="00C03E26">
        <w:rPr>
          <w:rFonts w:ascii="Arial" w:hAnsi="Arial" w:cs="Arial"/>
          <w:iCs/>
          <w:sz w:val="21"/>
          <w:szCs w:val="21"/>
        </w:rPr>
        <w:t xml:space="preserve">cende </w:t>
      </w:r>
      <w:r w:rsidR="001F504A">
        <w:rPr>
          <w:rFonts w:ascii="Arial" w:hAnsi="Arial" w:cs="Arial"/>
          <w:iCs/>
          <w:sz w:val="21"/>
          <w:szCs w:val="21"/>
        </w:rPr>
        <w:t>a</w:t>
      </w:r>
      <w:r w:rsidR="00742484">
        <w:rPr>
          <w:rFonts w:ascii="Arial" w:hAnsi="Arial" w:cs="Arial"/>
          <w:iCs/>
          <w:sz w:val="21"/>
          <w:szCs w:val="21"/>
        </w:rPr>
        <w:t xml:space="preserve"> +1,</w:t>
      </w:r>
      <w:r w:rsidR="009C35F2">
        <w:rPr>
          <w:rFonts w:ascii="Arial" w:hAnsi="Arial" w:cs="Arial"/>
          <w:iCs/>
          <w:sz w:val="21"/>
          <w:szCs w:val="21"/>
        </w:rPr>
        <w:t>1</w:t>
      </w:r>
      <w:r w:rsidR="00742484">
        <w:rPr>
          <w:rFonts w:ascii="Arial" w:hAnsi="Arial" w:cs="Arial"/>
          <w:iCs/>
          <w:sz w:val="21"/>
          <w:szCs w:val="21"/>
        </w:rPr>
        <w:t xml:space="preserve">% </w:t>
      </w:r>
      <w:r w:rsidR="0072598C">
        <w:rPr>
          <w:rFonts w:ascii="Arial" w:hAnsi="Arial" w:cs="Arial"/>
          <w:iCs/>
          <w:sz w:val="21"/>
          <w:szCs w:val="21"/>
        </w:rPr>
        <w:t>(</w:t>
      </w:r>
      <w:r w:rsidR="00D40E27">
        <w:rPr>
          <w:rFonts w:ascii="Arial" w:hAnsi="Arial" w:cs="Arial"/>
          <w:iCs/>
          <w:sz w:val="21"/>
          <w:szCs w:val="21"/>
        </w:rPr>
        <w:t>da +1,</w:t>
      </w:r>
      <w:r w:rsidR="009C35F2">
        <w:rPr>
          <w:rFonts w:ascii="Arial" w:hAnsi="Arial" w:cs="Arial"/>
          <w:iCs/>
          <w:sz w:val="21"/>
          <w:szCs w:val="21"/>
        </w:rPr>
        <w:t>2</w:t>
      </w:r>
      <w:r w:rsidR="00D40E27">
        <w:rPr>
          <w:rFonts w:ascii="Arial" w:hAnsi="Arial" w:cs="Arial"/>
          <w:iCs/>
          <w:sz w:val="21"/>
          <w:szCs w:val="21"/>
        </w:rPr>
        <w:t>% d</w:t>
      </w:r>
      <w:r w:rsidR="00797E37">
        <w:rPr>
          <w:rFonts w:ascii="Arial" w:hAnsi="Arial" w:cs="Arial"/>
          <w:iCs/>
          <w:sz w:val="21"/>
          <w:szCs w:val="21"/>
        </w:rPr>
        <w:t>e</w:t>
      </w:r>
      <w:r w:rsidR="00742484">
        <w:rPr>
          <w:rFonts w:ascii="Arial" w:hAnsi="Arial" w:cs="Arial"/>
          <w:iCs/>
          <w:sz w:val="21"/>
          <w:szCs w:val="21"/>
        </w:rPr>
        <w:t>l mese precedente</w:t>
      </w:r>
      <w:r w:rsidR="0072598C">
        <w:rPr>
          <w:rFonts w:ascii="Arial" w:hAnsi="Arial" w:cs="Arial"/>
          <w:iCs/>
          <w:sz w:val="21"/>
          <w:szCs w:val="21"/>
        </w:rPr>
        <w:t>)</w:t>
      </w:r>
      <w:r w:rsidR="00E87049">
        <w:rPr>
          <w:rFonts w:ascii="Arial" w:hAnsi="Arial" w:cs="Arial"/>
          <w:iCs/>
          <w:sz w:val="21"/>
          <w:szCs w:val="21"/>
        </w:rPr>
        <w:t>.</w:t>
      </w:r>
      <w:r w:rsidR="0072598C">
        <w:rPr>
          <w:rFonts w:ascii="Arial" w:hAnsi="Arial" w:cs="Arial"/>
          <w:iCs/>
          <w:sz w:val="21"/>
          <w:szCs w:val="21"/>
        </w:rPr>
        <w:t xml:space="preserve"> </w:t>
      </w:r>
      <w:r w:rsidR="00C03E26">
        <w:rPr>
          <w:rFonts w:ascii="Arial" w:hAnsi="Arial" w:cs="Arial"/>
          <w:iCs/>
          <w:sz w:val="21"/>
          <w:szCs w:val="21"/>
        </w:rPr>
        <w:t xml:space="preserve">Sul </w:t>
      </w:r>
      <w:r w:rsidR="009C35F2">
        <w:rPr>
          <w:rFonts w:ascii="Arial" w:hAnsi="Arial" w:cs="Arial"/>
          <w:iCs/>
          <w:sz w:val="21"/>
          <w:szCs w:val="21"/>
        </w:rPr>
        <w:t xml:space="preserve">lieve </w:t>
      </w:r>
      <w:r w:rsidR="00C03E26">
        <w:rPr>
          <w:rFonts w:ascii="Arial" w:hAnsi="Arial" w:cs="Arial"/>
          <w:iCs/>
          <w:sz w:val="21"/>
          <w:szCs w:val="21"/>
        </w:rPr>
        <w:t xml:space="preserve">rallentamento dell’inflazione </w:t>
      </w:r>
      <w:r w:rsidR="00AD52C3">
        <w:rPr>
          <w:rFonts w:ascii="Arial" w:hAnsi="Arial" w:cs="Arial"/>
          <w:iCs/>
          <w:sz w:val="21"/>
          <w:szCs w:val="21"/>
        </w:rPr>
        <w:t>pesa l</w:t>
      </w:r>
      <w:r w:rsidR="00C03E26">
        <w:rPr>
          <w:rFonts w:ascii="Arial" w:hAnsi="Arial" w:cs="Arial"/>
          <w:iCs/>
          <w:sz w:val="21"/>
          <w:szCs w:val="21"/>
        </w:rPr>
        <w:t xml:space="preserve">a decelerazione dei </w:t>
      </w:r>
      <w:r w:rsidR="00C2576E">
        <w:rPr>
          <w:rFonts w:ascii="Arial" w:hAnsi="Arial" w:cs="Arial"/>
          <w:iCs/>
          <w:sz w:val="21"/>
          <w:szCs w:val="21"/>
        </w:rPr>
        <w:t xml:space="preserve">prezzi </w:t>
      </w:r>
      <w:r w:rsidR="00285D13">
        <w:rPr>
          <w:rFonts w:ascii="Arial" w:hAnsi="Arial" w:cs="Arial"/>
          <w:iCs/>
          <w:sz w:val="21"/>
          <w:szCs w:val="21"/>
        </w:rPr>
        <w:t>d</w:t>
      </w:r>
      <w:r w:rsidR="00DF0100">
        <w:rPr>
          <w:rFonts w:ascii="Arial" w:hAnsi="Arial" w:cs="Arial"/>
          <w:iCs/>
          <w:sz w:val="21"/>
          <w:szCs w:val="21"/>
        </w:rPr>
        <w:t>ei</w:t>
      </w:r>
      <w:r w:rsidR="009C35F2">
        <w:rPr>
          <w:rFonts w:ascii="Arial" w:hAnsi="Arial" w:cs="Arial"/>
          <w:iCs/>
          <w:sz w:val="21"/>
          <w:szCs w:val="21"/>
        </w:rPr>
        <w:t xml:space="preserve"> </w:t>
      </w:r>
      <w:r w:rsidR="00DF0100" w:rsidRPr="00DF0100">
        <w:rPr>
          <w:rFonts w:ascii="Arial" w:hAnsi="Arial" w:cs="Arial"/>
          <w:iCs/>
          <w:sz w:val="21"/>
          <w:szCs w:val="21"/>
        </w:rPr>
        <w:t>Prodotti alimentari e bevande analcoliche</w:t>
      </w:r>
      <w:r w:rsidR="00DF0100">
        <w:rPr>
          <w:rFonts w:ascii="Arial" w:hAnsi="Arial" w:cs="Arial"/>
          <w:iCs/>
          <w:sz w:val="21"/>
          <w:szCs w:val="21"/>
        </w:rPr>
        <w:t xml:space="preserve"> (da +2,5% a +1,9%), dei </w:t>
      </w:r>
      <w:r w:rsidR="009C35F2">
        <w:rPr>
          <w:rFonts w:ascii="Arial" w:hAnsi="Arial" w:cs="Arial"/>
          <w:iCs/>
          <w:sz w:val="21"/>
          <w:szCs w:val="21"/>
        </w:rPr>
        <w:t>Servizi ricettivi e di ristorazione (da +3,9% a +3,</w:t>
      </w:r>
      <w:r w:rsidR="00DF0100">
        <w:rPr>
          <w:rFonts w:ascii="Arial" w:hAnsi="Arial" w:cs="Arial"/>
          <w:iCs/>
          <w:sz w:val="21"/>
          <w:szCs w:val="21"/>
        </w:rPr>
        <w:t>5</w:t>
      </w:r>
      <w:r w:rsidR="009C35F2">
        <w:rPr>
          <w:rFonts w:ascii="Arial" w:hAnsi="Arial" w:cs="Arial"/>
          <w:iCs/>
          <w:sz w:val="21"/>
          <w:szCs w:val="21"/>
        </w:rPr>
        <w:t>%) e l’a</w:t>
      </w:r>
      <w:r w:rsidR="00AD52C3">
        <w:rPr>
          <w:rFonts w:ascii="Arial" w:hAnsi="Arial" w:cs="Arial"/>
          <w:iCs/>
          <w:sz w:val="21"/>
          <w:szCs w:val="21"/>
        </w:rPr>
        <w:t xml:space="preserve">ccentuata </w:t>
      </w:r>
      <w:r w:rsidR="009C35F2">
        <w:rPr>
          <w:rFonts w:ascii="Arial" w:hAnsi="Arial" w:cs="Arial"/>
          <w:iCs/>
          <w:sz w:val="21"/>
          <w:szCs w:val="21"/>
        </w:rPr>
        <w:t>flessione di quelli di Abitazione, acqua, elettricità e combustibili (da -1,7% a -</w:t>
      </w:r>
      <w:r w:rsidR="00DF0100">
        <w:rPr>
          <w:rFonts w:ascii="Arial" w:hAnsi="Arial" w:cs="Arial"/>
          <w:iCs/>
          <w:sz w:val="21"/>
          <w:szCs w:val="21"/>
        </w:rPr>
        <w:t>1,9</w:t>
      </w:r>
      <w:r w:rsidR="009C35F2">
        <w:rPr>
          <w:rFonts w:ascii="Arial" w:hAnsi="Arial" w:cs="Arial"/>
          <w:iCs/>
          <w:sz w:val="21"/>
          <w:szCs w:val="21"/>
        </w:rPr>
        <w:t>%)</w:t>
      </w:r>
      <w:r w:rsidR="00285D13">
        <w:rPr>
          <w:rFonts w:ascii="Arial" w:hAnsi="Arial" w:cs="Arial"/>
          <w:iCs/>
          <w:sz w:val="21"/>
          <w:szCs w:val="21"/>
        </w:rPr>
        <w:t xml:space="preserve"> </w:t>
      </w:r>
      <w:r w:rsidR="00AF35E0">
        <w:rPr>
          <w:rFonts w:ascii="Arial" w:hAnsi="Arial" w:cs="Arial"/>
          <w:iCs/>
          <w:sz w:val="21"/>
          <w:szCs w:val="21"/>
        </w:rPr>
        <w:t>(Prospetto 2 e Figura 2)</w:t>
      </w:r>
      <w:r w:rsidR="007407D9">
        <w:rPr>
          <w:rFonts w:ascii="Arial" w:hAnsi="Arial" w:cs="Arial"/>
          <w:iCs/>
          <w:sz w:val="21"/>
          <w:szCs w:val="21"/>
        </w:rPr>
        <w:t>.</w:t>
      </w:r>
    </w:p>
    <w:p w14:paraId="33C6AE03" w14:textId="3F05FBBB" w:rsidR="007505FE" w:rsidRDefault="007505FE" w:rsidP="007505FE">
      <w:pPr>
        <w:tabs>
          <w:tab w:val="left" w:pos="851"/>
          <w:tab w:val="left" w:pos="9639"/>
        </w:tabs>
        <w:spacing w:before="0" w:after="120"/>
        <w:jc w:val="both"/>
        <w:rPr>
          <w:rFonts w:ascii="Arial" w:hAnsi="Arial" w:cs="Arial"/>
          <w:iCs/>
          <w:sz w:val="21"/>
          <w:szCs w:val="21"/>
        </w:rPr>
      </w:pPr>
      <w:r>
        <w:rPr>
          <w:rFonts w:ascii="Arial" w:hAnsi="Arial" w:cs="Arial"/>
          <w:iCs/>
          <w:sz w:val="21"/>
          <w:szCs w:val="21"/>
        </w:rPr>
        <w:t xml:space="preserve">Scomponendo il tasso tendenziale dei prezzi al consumo nella somma dei contributi delle sue </w:t>
      </w:r>
      <w:r w:rsidR="00372A57">
        <w:rPr>
          <w:rFonts w:ascii="Arial" w:hAnsi="Arial" w:cs="Arial"/>
          <w:iCs/>
          <w:sz w:val="21"/>
          <w:szCs w:val="21"/>
        </w:rPr>
        <w:t>sotto-componenti</w:t>
      </w:r>
      <w:r>
        <w:rPr>
          <w:rFonts w:ascii="Arial" w:hAnsi="Arial" w:cs="Arial"/>
          <w:iCs/>
          <w:sz w:val="21"/>
          <w:szCs w:val="21"/>
        </w:rPr>
        <w:t xml:space="preserve">, </w:t>
      </w:r>
      <w:r w:rsidRPr="00797809">
        <w:rPr>
          <w:rFonts w:ascii="Arial" w:hAnsi="Arial" w:cs="Arial"/>
          <w:iCs/>
          <w:sz w:val="21"/>
          <w:szCs w:val="21"/>
        </w:rPr>
        <w:t xml:space="preserve">l’inflazione </w:t>
      </w:r>
      <w:r>
        <w:rPr>
          <w:rFonts w:ascii="Arial" w:hAnsi="Arial" w:cs="Arial"/>
          <w:iCs/>
          <w:sz w:val="21"/>
          <w:szCs w:val="21"/>
        </w:rPr>
        <w:t xml:space="preserve">risulta spiegata </w:t>
      </w:r>
      <w:r w:rsidR="008102AD">
        <w:rPr>
          <w:rFonts w:ascii="Arial" w:hAnsi="Arial" w:cs="Arial"/>
          <w:iCs/>
          <w:sz w:val="21"/>
          <w:szCs w:val="21"/>
        </w:rPr>
        <w:t>soprattutto</w:t>
      </w:r>
      <w:r w:rsidRPr="00797809">
        <w:rPr>
          <w:rFonts w:ascii="Arial" w:hAnsi="Arial" w:cs="Arial"/>
          <w:iCs/>
          <w:sz w:val="21"/>
          <w:szCs w:val="21"/>
        </w:rPr>
        <w:t xml:space="preserve"> </w:t>
      </w:r>
      <w:r>
        <w:rPr>
          <w:rFonts w:ascii="Arial" w:hAnsi="Arial" w:cs="Arial"/>
          <w:iCs/>
          <w:sz w:val="21"/>
          <w:szCs w:val="21"/>
        </w:rPr>
        <w:t>d</w:t>
      </w:r>
      <w:r w:rsidRPr="00797809">
        <w:rPr>
          <w:rFonts w:ascii="Arial" w:hAnsi="Arial" w:cs="Arial"/>
          <w:iCs/>
          <w:sz w:val="21"/>
          <w:szCs w:val="21"/>
        </w:rPr>
        <w:t>a</w:t>
      </w:r>
      <w:r w:rsidR="00E87049">
        <w:rPr>
          <w:rFonts w:ascii="Arial" w:hAnsi="Arial" w:cs="Arial"/>
          <w:iCs/>
          <w:sz w:val="21"/>
          <w:szCs w:val="21"/>
        </w:rPr>
        <w:t>ll’aumento dei</w:t>
      </w:r>
      <w:r w:rsidRPr="00797809">
        <w:rPr>
          <w:rFonts w:ascii="Arial" w:hAnsi="Arial" w:cs="Arial"/>
          <w:iCs/>
          <w:sz w:val="21"/>
          <w:szCs w:val="21"/>
        </w:rPr>
        <w:t xml:space="preserve"> prezzi </w:t>
      </w:r>
      <w:r w:rsidR="00BA334C">
        <w:rPr>
          <w:rFonts w:ascii="Arial" w:hAnsi="Arial" w:cs="Arial"/>
          <w:iCs/>
          <w:sz w:val="21"/>
          <w:szCs w:val="21"/>
        </w:rPr>
        <w:t>di</w:t>
      </w:r>
      <w:r w:rsidR="000D3381">
        <w:rPr>
          <w:rFonts w:ascii="Arial" w:hAnsi="Arial" w:cs="Arial"/>
          <w:iCs/>
          <w:sz w:val="21"/>
          <w:szCs w:val="21"/>
        </w:rPr>
        <w:t xml:space="preserve"> </w:t>
      </w:r>
      <w:r w:rsidR="000D3381" w:rsidRPr="0029511E">
        <w:rPr>
          <w:rFonts w:ascii="Arial" w:hAnsi="Arial" w:cs="Arial"/>
          <w:iCs/>
          <w:sz w:val="21"/>
          <w:szCs w:val="21"/>
        </w:rPr>
        <w:t>Servizi ricettivi e di ristorazione</w:t>
      </w:r>
      <w:r w:rsidR="000D3381">
        <w:rPr>
          <w:rFonts w:ascii="Arial" w:hAnsi="Arial" w:cs="Arial"/>
          <w:iCs/>
          <w:sz w:val="21"/>
          <w:szCs w:val="21"/>
        </w:rPr>
        <w:t xml:space="preserve"> (+0,4</w:t>
      </w:r>
      <w:r w:rsidR="00DF0100">
        <w:rPr>
          <w:rFonts w:ascii="Arial" w:hAnsi="Arial" w:cs="Arial"/>
          <w:iCs/>
          <w:sz w:val="21"/>
          <w:szCs w:val="21"/>
        </w:rPr>
        <w:t>17</w:t>
      </w:r>
      <w:r w:rsidR="000D3381">
        <w:rPr>
          <w:rFonts w:ascii="Arial" w:hAnsi="Arial" w:cs="Arial"/>
          <w:iCs/>
          <w:sz w:val="21"/>
          <w:szCs w:val="21"/>
        </w:rPr>
        <w:t xml:space="preserve"> punti percentuali), di </w:t>
      </w:r>
      <w:r w:rsidR="00711173">
        <w:rPr>
          <w:rFonts w:ascii="Arial" w:hAnsi="Arial" w:cs="Arial"/>
          <w:iCs/>
          <w:sz w:val="21"/>
          <w:szCs w:val="21"/>
        </w:rPr>
        <w:t>Prodotti alimenta</w:t>
      </w:r>
      <w:r w:rsidR="005A594C">
        <w:rPr>
          <w:rFonts w:ascii="Arial" w:hAnsi="Arial" w:cs="Arial"/>
          <w:iCs/>
          <w:sz w:val="21"/>
          <w:szCs w:val="21"/>
        </w:rPr>
        <w:t>ri e bevande analcoliche (+0,</w:t>
      </w:r>
      <w:r w:rsidR="0095148F">
        <w:rPr>
          <w:rFonts w:ascii="Arial" w:hAnsi="Arial" w:cs="Arial"/>
          <w:iCs/>
          <w:sz w:val="21"/>
          <w:szCs w:val="21"/>
        </w:rPr>
        <w:t>3</w:t>
      </w:r>
      <w:r w:rsidR="00DF0100">
        <w:rPr>
          <w:rFonts w:ascii="Arial" w:hAnsi="Arial" w:cs="Arial"/>
          <w:iCs/>
          <w:sz w:val="21"/>
          <w:szCs w:val="21"/>
        </w:rPr>
        <w:t>25</w:t>
      </w:r>
      <w:r w:rsidR="00711173">
        <w:rPr>
          <w:rFonts w:ascii="Arial" w:hAnsi="Arial" w:cs="Arial"/>
          <w:iCs/>
          <w:sz w:val="21"/>
          <w:szCs w:val="21"/>
        </w:rPr>
        <w:t>)</w:t>
      </w:r>
      <w:r w:rsidR="0095148F">
        <w:rPr>
          <w:rFonts w:ascii="Arial" w:hAnsi="Arial" w:cs="Arial"/>
          <w:iCs/>
          <w:sz w:val="21"/>
          <w:szCs w:val="21"/>
        </w:rPr>
        <w:t xml:space="preserve"> e</w:t>
      </w:r>
      <w:r w:rsidR="00755C89">
        <w:rPr>
          <w:rFonts w:ascii="Arial" w:hAnsi="Arial" w:cs="Arial"/>
          <w:iCs/>
          <w:sz w:val="21"/>
          <w:szCs w:val="21"/>
        </w:rPr>
        <w:t xml:space="preserve"> </w:t>
      </w:r>
      <w:r w:rsidR="00E01B13">
        <w:rPr>
          <w:rFonts w:ascii="Arial" w:hAnsi="Arial" w:cs="Arial"/>
          <w:iCs/>
          <w:sz w:val="21"/>
          <w:szCs w:val="21"/>
        </w:rPr>
        <w:t>di Altri beni e servizi (+0,</w:t>
      </w:r>
      <w:r w:rsidR="000D3381">
        <w:rPr>
          <w:rFonts w:ascii="Arial" w:hAnsi="Arial" w:cs="Arial"/>
          <w:iCs/>
          <w:sz w:val="21"/>
          <w:szCs w:val="21"/>
        </w:rPr>
        <w:t>3</w:t>
      </w:r>
      <w:r w:rsidR="0095148F">
        <w:rPr>
          <w:rFonts w:ascii="Arial" w:hAnsi="Arial" w:cs="Arial"/>
          <w:iCs/>
          <w:sz w:val="21"/>
          <w:szCs w:val="21"/>
        </w:rPr>
        <w:t>08</w:t>
      </w:r>
      <w:r w:rsidR="00E01B13">
        <w:rPr>
          <w:rFonts w:ascii="Arial" w:hAnsi="Arial" w:cs="Arial"/>
          <w:iCs/>
          <w:sz w:val="21"/>
          <w:szCs w:val="21"/>
        </w:rPr>
        <w:t>)</w:t>
      </w:r>
      <w:r w:rsidR="006A20C4">
        <w:rPr>
          <w:rFonts w:ascii="Arial" w:hAnsi="Arial" w:cs="Arial"/>
          <w:iCs/>
          <w:sz w:val="21"/>
          <w:szCs w:val="21"/>
        </w:rPr>
        <w:t xml:space="preserve">. </w:t>
      </w:r>
      <w:r w:rsidR="00656CD0">
        <w:rPr>
          <w:rFonts w:ascii="Arial" w:hAnsi="Arial" w:cs="Arial"/>
          <w:iCs/>
          <w:sz w:val="21"/>
          <w:szCs w:val="21"/>
        </w:rPr>
        <w:t>Un contributo negativo s</w:t>
      </w:r>
      <w:r w:rsidR="00DD1F16">
        <w:rPr>
          <w:rFonts w:ascii="Arial" w:hAnsi="Arial" w:cs="Arial"/>
          <w:iCs/>
          <w:sz w:val="21"/>
          <w:szCs w:val="21"/>
        </w:rPr>
        <w:t xml:space="preserve">i </w:t>
      </w:r>
      <w:r w:rsidR="00507EDF">
        <w:rPr>
          <w:rFonts w:ascii="Arial" w:hAnsi="Arial" w:cs="Arial"/>
          <w:iCs/>
          <w:sz w:val="21"/>
          <w:szCs w:val="21"/>
        </w:rPr>
        <w:t xml:space="preserve">deve </w:t>
      </w:r>
      <w:r w:rsidR="00231FFE">
        <w:rPr>
          <w:rFonts w:ascii="Arial" w:hAnsi="Arial" w:cs="Arial"/>
          <w:iCs/>
          <w:sz w:val="21"/>
          <w:szCs w:val="21"/>
        </w:rPr>
        <w:t>a</w:t>
      </w:r>
      <w:r w:rsidR="001D150B">
        <w:rPr>
          <w:rFonts w:ascii="Arial" w:hAnsi="Arial" w:cs="Arial"/>
          <w:iCs/>
          <w:sz w:val="21"/>
          <w:szCs w:val="21"/>
        </w:rPr>
        <w:t xml:space="preserve">i prezzi </w:t>
      </w:r>
      <w:r w:rsidR="00711173">
        <w:rPr>
          <w:rFonts w:ascii="Arial" w:hAnsi="Arial" w:cs="Arial"/>
          <w:iCs/>
          <w:sz w:val="21"/>
          <w:szCs w:val="21"/>
        </w:rPr>
        <w:t>d</w:t>
      </w:r>
      <w:r w:rsidR="00975A66">
        <w:rPr>
          <w:rFonts w:ascii="Arial" w:hAnsi="Arial" w:cs="Arial"/>
          <w:iCs/>
          <w:sz w:val="21"/>
          <w:szCs w:val="21"/>
        </w:rPr>
        <w:t>elle divisioni</w:t>
      </w:r>
      <w:r w:rsidR="00372A57">
        <w:rPr>
          <w:rFonts w:ascii="Arial" w:hAnsi="Arial" w:cs="Arial"/>
          <w:iCs/>
          <w:sz w:val="21"/>
          <w:szCs w:val="21"/>
        </w:rPr>
        <w:t xml:space="preserve"> Abitazione, acqua, elettricità e combustibili (-0,</w:t>
      </w:r>
      <w:r w:rsidR="000D3381">
        <w:rPr>
          <w:rFonts w:ascii="Arial" w:hAnsi="Arial" w:cs="Arial"/>
          <w:iCs/>
          <w:sz w:val="21"/>
          <w:szCs w:val="21"/>
        </w:rPr>
        <w:t>2</w:t>
      </w:r>
      <w:r w:rsidR="00DF0100">
        <w:rPr>
          <w:rFonts w:ascii="Arial" w:hAnsi="Arial" w:cs="Arial"/>
          <w:iCs/>
          <w:sz w:val="21"/>
          <w:szCs w:val="21"/>
        </w:rPr>
        <w:t>26</w:t>
      </w:r>
      <w:r w:rsidR="00372A57">
        <w:rPr>
          <w:rFonts w:ascii="Arial" w:hAnsi="Arial" w:cs="Arial"/>
          <w:iCs/>
          <w:sz w:val="21"/>
          <w:szCs w:val="21"/>
        </w:rPr>
        <w:t>)</w:t>
      </w:r>
      <w:r w:rsidR="0095148F">
        <w:rPr>
          <w:rFonts w:ascii="Arial" w:hAnsi="Arial" w:cs="Arial"/>
          <w:iCs/>
          <w:sz w:val="21"/>
          <w:szCs w:val="21"/>
        </w:rPr>
        <w:t>,</w:t>
      </w:r>
      <w:r w:rsidR="006E12BC">
        <w:rPr>
          <w:rFonts w:ascii="Arial" w:hAnsi="Arial" w:cs="Arial"/>
          <w:iCs/>
          <w:sz w:val="21"/>
          <w:szCs w:val="21"/>
        </w:rPr>
        <w:t xml:space="preserve"> Comunicazioni (-0,</w:t>
      </w:r>
      <w:r w:rsidR="0095148F">
        <w:rPr>
          <w:rFonts w:ascii="Arial" w:hAnsi="Arial" w:cs="Arial"/>
          <w:iCs/>
          <w:sz w:val="21"/>
          <w:szCs w:val="21"/>
        </w:rPr>
        <w:t>09</w:t>
      </w:r>
      <w:r w:rsidR="00DF0100">
        <w:rPr>
          <w:rFonts w:ascii="Arial" w:hAnsi="Arial" w:cs="Arial"/>
          <w:iCs/>
          <w:sz w:val="21"/>
          <w:szCs w:val="21"/>
        </w:rPr>
        <w:t>1</w:t>
      </w:r>
      <w:r w:rsidR="006E12BC">
        <w:rPr>
          <w:rFonts w:ascii="Arial" w:hAnsi="Arial" w:cs="Arial"/>
          <w:iCs/>
          <w:sz w:val="21"/>
          <w:szCs w:val="21"/>
        </w:rPr>
        <w:t>)</w:t>
      </w:r>
      <w:r w:rsidR="0095148F">
        <w:rPr>
          <w:rFonts w:ascii="Arial" w:hAnsi="Arial" w:cs="Arial"/>
          <w:iCs/>
          <w:sz w:val="21"/>
          <w:szCs w:val="21"/>
        </w:rPr>
        <w:t xml:space="preserve"> e Trasporti (-0,00</w:t>
      </w:r>
      <w:r w:rsidR="00DF0100">
        <w:rPr>
          <w:rFonts w:ascii="Arial" w:hAnsi="Arial" w:cs="Arial"/>
          <w:iCs/>
          <w:sz w:val="21"/>
          <w:szCs w:val="21"/>
        </w:rPr>
        <w:t>1</w:t>
      </w:r>
      <w:r w:rsidR="0095148F">
        <w:rPr>
          <w:rFonts w:ascii="Arial" w:hAnsi="Arial" w:cs="Arial"/>
          <w:iCs/>
          <w:sz w:val="21"/>
          <w:szCs w:val="21"/>
        </w:rPr>
        <w:t>)</w:t>
      </w:r>
      <w:r w:rsidR="00656CD0">
        <w:rPr>
          <w:rFonts w:ascii="Arial" w:hAnsi="Arial" w:cs="Arial"/>
          <w:iCs/>
          <w:sz w:val="21"/>
          <w:szCs w:val="21"/>
        </w:rPr>
        <w:t>.</w:t>
      </w:r>
    </w:p>
    <w:p w14:paraId="680E6A20" w14:textId="77777777" w:rsidR="006651AB" w:rsidRPr="00262F9D" w:rsidRDefault="006651AB" w:rsidP="006651AB">
      <w:pPr>
        <w:tabs>
          <w:tab w:val="left" w:pos="851"/>
          <w:tab w:val="left" w:pos="9639"/>
        </w:tabs>
        <w:spacing w:before="0" w:after="120"/>
        <w:jc w:val="both"/>
        <w:rPr>
          <w:rFonts w:ascii="Arial" w:hAnsi="Arial" w:cs="Arial"/>
          <w:iCs/>
          <w:sz w:val="12"/>
          <w:szCs w:val="12"/>
        </w:rPr>
      </w:pPr>
    </w:p>
    <w:p w14:paraId="0C0A40F1" w14:textId="77777777" w:rsidR="00704407" w:rsidRDefault="005F50EA" w:rsidP="00704407">
      <w:pPr>
        <w:pStyle w:val="Corpotesto"/>
        <w:tabs>
          <w:tab w:val="left" w:pos="6237"/>
        </w:tabs>
        <w:spacing w:line="240" w:lineRule="exact"/>
        <w:jc w:val="both"/>
        <w:rPr>
          <w:rFonts w:ascii="Arial Narrow" w:hAnsi="Arial Narrow" w:cs="Calibri"/>
          <w:b/>
          <w:bCs/>
          <w:color w:val="5F5F5F"/>
          <w:kern w:val="0"/>
          <w:sz w:val="22"/>
          <w:szCs w:val="22"/>
        </w:rPr>
      </w:pPr>
      <w:r w:rsidRPr="00C8504B">
        <w:rPr>
          <w:rFonts w:ascii="Arial Narrow" w:hAnsi="Arial Narrow" w:cs="Arial"/>
          <w:b/>
          <w:color w:val="E42618"/>
          <w:sz w:val="22"/>
          <w:szCs w:val="22"/>
        </w:rPr>
        <w:t xml:space="preserve">PROSPETTO </w:t>
      </w:r>
      <w:r w:rsidR="00E74721" w:rsidRPr="00C8504B">
        <w:rPr>
          <w:rFonts w:ascii="Arial Narrow" w:hAnsi="Arial Narrow" w:cs="Arial"/>
          <w:b/>
          <w:color w:val="E42618"/>
          <w:sz w:val="22"/>
          <w:szCs w:val="22"/>
        </w:rPr>
        <w:t>2</w:t>
      </w:r>
      <w:r w:rsidRPr="00C8504B">
        <w:rPr>
          <w:rFonts w:ascii="Arial Narrow" w:hAnsi="Arial Narrow" w:cs="Arial"/>
          <w:b/>
          <w:color w:val="E42618"/>
          <w:sz w:val="22"/>
          <w:szCs w:val="22"/>
        </w:rPr>
        <w:t>.</w:t>
      </w:r>
      <w:r w:rsidRPr="00C8504B">
        <w:rPr>
          <w:rFonts w:ascii="Arial Narrow" w:hAnsi="Arial Narrow" w:cs="Arial"/>
          <w:b/>
          <w:color w:val="2298D1"/>
          <w:sz w:val="22"/>
          <w:szCs w:val="22"/>
        </w:rPr>
        <w:t xml:space="preserve"> </w:t>
      </w:r>
      <w:r w:rsidR="00C423DB" w:rsidRPr="00C8504B">
        <w:rPr>
          <w:rFonts w:ascii="Arial Narrow" w:hAnsi="Arial Narrow" w:cs="Calibri"/>
          <w:b/>
          <w:bCs/>
          <w:color w:val="5F5F5F"/>
          <w:kern w:val="0"/>
          <w:sz w:val="22"/>
          <w:szCs w:val="22"/>
        </w:rPr>
        <w:t>I</w:t>
      </w:r>
      <w:r w:rsidR="00FA79D6" w:rsidRPr="00C8504B">
        <w:rPr>
          <w:rFonts w:ascii="Arial Narrow" w:hAnsi="Arial Narrow" w:cs="Calibri"/>
          <w:b/>
          <w:bCs/>
          <w:color w:val="5F5F5F"/>
          <w:kern w:val="0"/>
          <w:sz w:val="22"/>
          <w:szCs w:val="22"/>
        </w:rPr>
        <w:t>NDICI DEI PREZZI AL CONSUMO NIC</w:t>
      </w:r>
      <w:r w:rsidR="00C423DB" w:rsidRPr="00C8504B">
        <w:rPr>
          <w:rFonts w:ascii="Arial Narrow" w:hAnsi="Arial Narrow" w:cs="Calibri"/>
          <w:b/>
          <w:bCs/>
          <w:color w:val="5F5F5F"/>
          <w:kern w:val="0"/>
          <w:sz w:val="22"/>
          <w:szCs w:val="22"/>
        </w:rPr>
        <w:t xml:space="preserve"> PER DIVISIONE DI SPESA</w:t>
      </w:r>
      <w:r w:rsidR="00B359A0">
        <w:rPr>
          <w:rFonts w:ascii="Arial Narrow" w:hAnsi="Arial Narrow" w:cs="Calibri"/>
          <w:b/>
          <w:bCs/>
          <w:color w:val="5F5F5F"/>
          <w:kern w:val="0"/>
          <w:sz w:val="22"/>
          <w:szCs w:val="22"/>
        </w:rPr>
        <w:t xml:space="preserve">, </w:t>
      </w:r>
    </w:p>
    <w:p w14:paraId="006A25F0" w14:textId="3E2FB3D1" w:rsidR="00C423DB" w:rsidRPr="00C8504B" w:rsidRDefault="002C0265" w:rsidP="00201869">
      <w:pPr>
        <w:pStyle w:val="Corpotesto"/>
        <w:tabs>
          <w:tab w:val="left" w:pos="6237"/>
        </w:tabs>
        <w:spacing w:after="120" w:line="240" w:lineRule="exact"/>
        <w:jc w:val="both"/>
        <w:rPr>
          <w:rFonts w:ascii="Arial Narrow" w:hAnsi="Arial Narrow" w:cs="Arial"/>
          <w:color w:val="5F5F5F"/>
        </w:rPr>
      </w:pPr>
      <w:r>
        <w:rPr>
          <w:rFonts w:ascii="Arial Narrow" w:hAnsi="Arial Narrow" w:cs="Arial"/>
          <w:color w:val="5F5F5F"/>
        </w:rPr>
        <w:t>Novembre</w:t>
      </w:r>
      <w:r w:rsidR="0009240D">
        <w:rPr>
          <w:rFonts w:ascii="Arial Narrow" w:hAnsi="Arial Narrow" w:cs="Arial"/>
          <w:color w:val="5F5F5F"/>
        </w:rPr>
        <w:t xml:space="preserve"> 202</w:t>
      </w:r>
      <w:r w:rsidR="00E06C6C">
        <w:rPr>
          <w:rFonts w:ascii="Arial Narrow" w:hAnsi="Arial Narrow" w:cs="Arial"/>
          <w:color w:val="5F5F5F"/>
        </w:rPr>
        <w:t>5</w:t>
      </w:r>
      <w:r w:rsidR="003630E3" w:rsidRPr="00C8504B">
        <w:rPr>
          <w:rFonts w:ascii="Arial Narrow" w:hAnsi="Arial Narrow" w:cs="Arial"/>
          <w:color w:val="5F5F5F"/>
        </w:rPr>
        <w:t xml:space="preserve">, pesi, </w:t>
      </w:r>
      <w:r w:rsidR="002A44B4">
        <w:rPr>
          <w:rFonts w:ascii="Arial Narrow" w:hAnsi="Arial Narrow" w:cs="Arial"/>
          <w:color w:val="5F5F5F"/>
        </w:rPr>
        <w:t>variazioni perc</w:t>
      </w:r>
      <w:r w:rsidR="006C5F1A">
        <w:rPr>
          <w:rFonts w:ascii="Arial Narrow" w:hAnsi="Arial Narrow" w:cs="Arial"/>
          <w:color w:val="5F5F5F"/>
        </w:rPr>
        <w:t>entuali</w:t>
      </w:r>
      <w:r w:rsidR="0060323E" w:rsidRPr="00C8504B">
        <w:rPr>
          <w:rFonts w:ascii="Arial Narrow" w:hAnsi="Arial Narrow" w:cs="Arial"/>
          <w:color w:val="5F5F5F"/>
        </w:rPr>
        <w:t xml:space="preserve"> congiunturali e tendenziali (base 2015=100)</w:t>
      </w:r>
      <w:r w:rsidR="00A25192" w:rsidRPr="00C8504B">
        <w:rPr>
          <w:rFonts w:ascii="Arial Narrow" w:hAnsi="Arial Narrow" w:cs="Arial"/>
          <w:color w:val="5F5F5F"/>
        </w:rPr>
        <w:t xml:space="preserve"> e</w:t>
      </w:r>
      <w:r w:rsidR="003630E3" w:rsidRPr="00C8504B">
        <w:rPr>
          <w:rFonts w:ascii="Arial Narrow" w:hAnsi="Arial Narrow" w:cs="Arial"/>
          <w:color w:val="5F5F5F"/>
        </w:rPr>
        <w:t xml:space="preserve"> contributi</w:t>
      </w:r>
      <w:r w:rsidR="00A25192" w:rsidRPr="00C8504B">
        <w:rPr>
          <w:rFonts w:ascii="Arial Narrow" w:hAnsi="Arial Narrow" w:cs="Arial"/>
          <w:color w:val="5F5F5F"/>
        </w:rPr>
        <w:t xml:space="preserve"> </w:t>
      </w:r>
      <w:r w:rsidR="00C17464" w:rsidRPr="00C8504B">
        <w:rPr>
          <w:rFonts w:ascii="Arial Narrow" w:hAnsi="Arial Narrow" w:cs="Arial"/>
          <w:color w:val="5F5F5F"/>
        </w:rPr>
        <w:t xml:space="preserve">alla variazione </w:t>
      </w:r>
      <w:proofErr w:type="spellStart"/>
      <w:r w:rsidR="00C17464" w:rsidRPr="00C8504B">
        <w:rPr>
          <w:rFonts w:ascii="Arial Narrow" w:hAnsi="Arial Narrow" w:cs="Arial"/>
          <w:color w:val="5F5F5F"/>
        </w:rPr>
        <w:t>tend</w:t>
      </w:r>
      <w:proofErr w:type="spellEnd"/>
      <w:r w:rsidR="00704407">
        <w:rPr>
          <w:rFonts w:ascii="Arial Narrow" w:hAnsi="Arial Narrow" w:cs="Arial"/>
          <w:color w:val="5F5F5F"/>
        </w:rPr>
        <w:t>.</w:t>
      </w:r>
      <w:r w:rsidR="00C17464" w:rsidRPr="00C8504B">
        <w:rPr>
          <w:rFonts w:ascii="Arial Narrow" w:hAnsi="Arial Narrow" w:cs="Arial"/>
          <w:color w:val="5F5F5F"/>
        </w:rPr>
        <w:t xml:space="preserve"> dell’indice generale</w:t>
      </w:r>
    </w:p>
    <w:tbl>
      <w:tblPr>
        <w:tblW w:w="10348" w:type="dxa"/>
        <w:tblInd w:w="70" w:type="dxa"/>
        <w:tblBorders>
          <w:top w:val="single" w:sz="4" w:space="0" w:color="000000"/>
          <w:bottom w:val="single" w:sz="4" w:space="0" w:color="000000"/>
          <w:insideH w:val="single" w:sz="4" w:space="0" w:color="000000"/>
        </w:tblBorders>
        <w:tblCellMar>
          <w:left w:w="70" w:type="dxa"/>
          <w:right w:w="0" w:type="dxa"/>
        </w:tblCellMar>
        <w:tblLook w:val="0000" w:firstRow="0" w:lastRow="0" w:firstColumn="0" w:lastColumn="0" w:noHBand="0" w:noVBand="0"/>
      </w:tblPr>
      <w:tblGrid>
        <w:gridCol w:w="3119"/>
        <w:gridCol w:w="1018"/>
        <w:gridCol w:w="845"/>
        <w:gridCol w:w="972"/>
        <w:gridCol w:w="931"/>
        <w:gridCol w:w="931"/>
        <w:gridCol w:w="1540"/>
        <w:gridCol w:w="992"/>
      </w:tblGrid>
      <w:tr w:rsidR="00B33C41" w:rsidRPr="00C8504B" w14:paraId="550D4E85" w14:textId="77777777" w:rsidTr="0037471D">
        <w:trPr>
          <w:trHeight w:val="311"/>
        </w:trPr>
        <w:tc>
          <w:tcPr>
            <w:tcW w:w="3119" w:type="dxa"/>
            <w:vMerge w:val="restart"/>
            <w:vAlign w:val="center"/>
          </w:tcPr>
          <w:p w14:paraId="033E0723" w14:textId="77777777" w:rsidR="00B33C41" w:rsidRPr="00C8504B" w:rsidRDefault="00B33C41" w:rsidP="00B33C41">
            <w:pPr>
              <w:spacing w:before="40" w:after="20"/>
              <w:rPr>
                <w:rFonts w:ascii="Arial Narrow" w:hAnsi="Arial Narrow" w:cs="Arial"/>
                <w:bCs/>
                <w:sz w:val="18"/>
                <w:szCs w:val="18"/>
              </w:rPr>
            </w:pPr>
            <w:bookmarkStart w:id="0" w:name="OLE_LINK2"/>
            <w:r w:rsidRPr="00C8504B">
              <w:rPr>
                <w:rFonts w:ascii="Arial Narrow" w:hAnsi="Arial Narrow" w:cs="Arial"/>
                <w:b/>
                <w:bCs/>
                <w:sz w:val="18"/>
                <w:szCs w:val="18"/>
              </w:rPr>
              <w:t>DIVISIONI DI SPESA</w:t>
            </w:r>
          </w:p>
        </w:tc>
        <w:tc>
          <w:tcPr>
            <w:tcW w:w="1018" w:type="dxa"/>
            <w:vMerge w:val="restart"/>
            <w:shd w:val="clear" w:color="auto" w:fill="D9D9D9"/>
            <w:vAlign w:val="center"/>
          </w:tcPr>
          <w:p w14:paraId="7DA47DDD" w14:textId="77777777" w:rsidR="00B33C41" w:rsidRPr="00C8504B" w:rsidRDefault="00B33C41" w:rsidP="00B33C41">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817" w:type="dxa"/>
            <w:gridSpan w:val="2"/>
            <w:vAlign w:val="center"/>
          </w:tcPr>
          <w:p w14:paraId="2A7D7CCF" w14:textId="77777777"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862" w:type="dxa"/>
            <w:gridSpan w:val="2"/>
            <w:shd w:val="clear" w:color="auto" w:fill="D9D9D9"/>
            <w:vAlign w:val="center"/>
          </w:tcPr>
          <w:p w14:paraId="2B29E38C" w14:textId="77777777"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540" w:type="dxa"/>
            <w:vMerge w:val="restart"/>
            <w:vAlign w:val="center"/>
          </w:tcPr>
          <w:p w14:paraId="010B3D3E" w14:textId="77777777" w:rsidR="00B33C41" w:rsidRPr="00C8504B" w:rsidRDefault="00B33C41" w:rsidP="00B33C41">
            <w:pPr>
              <w:tabs>
                <w:tab w:val="left" w:pos="5093"/>
              </w:tabs>
              <w:spacing w:before="40" w:after="20"/>
              <w:ind w:right="57"/>
              <w:jc w:val="right"/>
              <w:rPr>
                <w:rFonts w:ascii="Arial Narrow" w:hAnsi="Arial Narrow" w:cs="Arial"/>
                <w:b/>
                <w:bCs/>
                <w:sz w:val="18"/>
                <w:szCs w:val="18"/>
              </w:rPr>
            </w:pPr>
            <w:r w:rsidRPr="00C8504B">
              <w:rPr>
                <w:rFonts w:ascii="Arial Narrow" w:hAnsi="Arial Narrow" w:cs="Arial"/>
                <w:b/>
                <w:bCs/>
                <w:sz w:val="18"/>
                <w:szCs w:val="18"/>
              </w:rPr>
              <w:t>Contributo alla variazione tendenziale dell’indice generale</w:t>
            </w:r>
            <w:r w:rsidRPr="00C8504B" w:rsidDel="00CB4E07">
              <w:rPr>
                <w:rFonts w:ascii="Arial Narrow" w:hAnsi="Arial Narrow" w:cs="Arial"/>
                <w:b/>
                <w:bCs/>
                <w:snapToGrid w:val="0"/>
                <w:sz w:val="18"/>
                <w:szCs w:val="18"/>
              </w:rPr>
              <w:t xml:space="preserve"> </w:t>
            </w:r>
          </w:p>
        </w:tc>
        <w:tc>
          <w:tcPr>
            <w:tcW w:w="992" w:type="dxa"/>
            <w:vMerge w:val="restart"/>
            <w:shd w:val="clear" w:color="auto" w:fill="D9D9D9"/>
            <w:vAlign w:val="center"/>
          </w:tcPr>
          <w:p w14:paraId="27391CA9" w14:textId="663F98A6" w:rsidR="00B33C41" w:rsidRPr="00C8504B" w:rsidRDefault="00FE6C8D" w:rsidP="00742B36">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w:t>
            </w:r>
            <w:r w:rsidR="00D47171">
              <w:rPr>
                <w:rFonts w:ascii="Arial Narrow" w:hAnsi="Arial Narrow" w:cs="Arial"/>
                <w:b/>
                <w:bCs/>
                <w:kern w:val="0"/>
                <w:sz w:val="18"/>
                <w:szCs w:val="18"/>
              </w:rPr>
              <w:t xml:space="preserve"> </w:t>
            </w:r>
            <w:r w:rsidR="002C0265">
              <w:rPr>
                <w:rFonts w:ascii="Arial Narrow" w:hAnsi="Arial Narrow" w:cs="Arial"/>
                <w:b/>
                <w:bCs/>
                <w:kern w:val="0"/>
                <w:sz w:val="18"/>
                <w:szCs w:val="18"/>
              </w:rPr>
              <w:t>novembre</w:t>
            </w:r>
          </w:p>
        </w:tc>
      </w:tr>
      <w:tr w:rsidR="00FE6C8D" w:rsidRPr="00C8504B" w14:paraId="511896B3" w14:textId="77777777" w:rsidTr="003750EC">
        <w:trPr>
          <w:trHeight w:val="454"/>
        </w:trPr>
        <w:tc>
          <w:tcPr>
            <w:tcW w:w="3119" w:type="dxa"/>
            <w:vMerge/>
            <w:vAlign w:val="center"/>
          </w:tcPr>
          <w:p w14:paraId="7A8A2276" w14:textId="77777777" w:rsidR="00FE6C8D" w:rsidRPr="00C8504B" w:rsidRDefault="00FE6C8D" w:rsidP="00FE6C8D">
            <w:pPr>
              <w:spacing w:before="40" w:after="20"/>
              <w:rPr>
                <w:rFonts w:ascii="Arial Narrow" w:hAnsi="Arial Narrow" w:cs="Arial"/>
                <w:b/>
                <w:bCs/>
                <w:sz w:val="18"/>
                <w:szCs w:val="18"/>
              </w:rPr>
            </w:pPr>
          </w:p>
        </w:tc>
        <w:tc>
          <w:tcPr>
            <w:tcW w:w="1018" w:type="dxa"/>
            <w:vMerge/>
            <w:shd w:val="clear" w:color="auto" w:fill="D9D9D9"/>
            <w:vAlign w:val="center"/>
          </w:tcPr>
          <w:p w14:paraId="2058FECE" w14:textId="77777777" w:rsidR="00FE6C8D" w:rsidRPr="00C8504B" w:rsidRDefault="00FE6C8D" w:rsidP="00FE6C8D">
            <w:pPr>
              <w:spacing w:before="40" w:after="20"/>
              <w:ind w:right="57"/>
              <w:jc w:val="right"/>
              <w:rPr>
                <w:rFonts w:ascii="Arial Narrow" w:hAnsi="Arial Narrow" w:cs="Arial"/>
                <w:b/>
                <w:bCs/>
                <w:sz w:val="18"/>
                <w:szCs w:val="18"/>
              </w:rPr>
            </w:pPr>
          </w:p>
        </w:tc>
        <w:tc>
          <w:tcPr>
            <w:tcW w:w="845" w:type="dxa"/>
            <w:vAlign w:val="center"/>
          </w:tcPr>
          <w:p w14:paraId="1133FB15" w14:textId="19857564" w:rsidR="00FE6C8D" w:rsidRDefault="002C0265" w:rsidP="00613DEC">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FE6C8D">
              <w:rPr>
                <w:rFonts w:ascii="Arial Narrow" w:hAnsi="Arial Narrow" w:cs="Arial"/>
                <w:kern w:val="0"/>
                <w:sz w:val="18"/>
                <w:szCs w:val="18"/>
                <w:u w:val="single"/>
              </w:rPr>
              <w:t>-2</w:t>
            </w:r>
            <w:r w:rsidR="00E06C6C">
              <w:rPr>
                <w:rFonts w:ascii="Arial Narrow" w:hAnsi="Arial Narrow" w:cs="Arial"/>
                <w:kern w:val="0"/>
                <w:sz w:val="18"/>
                <w:szCs w:val="18"/>
                <w:u w:val="single"/>
              </w:rPr>
              <w:t>5</w:t>
            </w:r>
          </w:p>
          <w:p w14:paraId="12340ABB" w14:textId="7CE04BAD" w:rsidR="00FE6C8D" w:rsidRPr="00E03E58" w:rsidRDefault="002C0265" w:rsidP="00742B36">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ott</w:t>
            </w:r>
            <w:r w:rsidR="00FE6C8D">
              <w:rPr>
                <w:rFonts w:ascii="Arial Narrow" w:hAnsi="Arial Narrow" w:cs="Arial"/>
                <w:kern w:val="0"/>
                <w:sz w:val="18"/>
                <w:szCs w:val="18"/>
              </w:rPr>
              <w:t>-2</w:t>
            </w:r>
            <w:r w:rsidR="00742B36">
              <w:rPr>
                <w:rFonts w:ascii="Arial Narrow" w:hAnsi="Arial Narrow" w:cs="Arial"/>
                <w:kern w:val="0"/>
                <w:sz w:val="18"/>
                <w:szCs w:val="18"/>
              </w:rPr>
              <w:t>5</w:t>
            </w:r>
          </w:p>
        </w:tc>
        <w:tc>
          <w:tcPr>
            <w:tcW w:w="972" w:type="dxa"/>
            <w:vAlign w:val="center"/>
          </w:tcPr>
          <w:p w14:paraId="718C60F4" w14:textId="48700964" w:rsidR="00FE6C8D" w:rsidRDefault="002C0265" w:rsidP="00613DEC">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FE6C8D">
              <w:rPr>
                <w:rFonts w:ascii="Arial Narrow" w:hAnsi="Arial Narrow" w:cs="Arial"/>
                <w:kern w:val="0"/>
                <w:sz w:val="18"/>
                <w:szCs w:val="18"/>
                <w:u w:val="single"/>
              </w:rPr>
              <w:t>-2</w:t>
            </w:r>
            <w:r w:rsidR="00E06C6C">
              <w:rPr>
                <w:rFonts w:ascii="Arial Narrow" w:hAnsi="Arial Narrow" w:cs="Arial"/>
                <w:kern w:val="0"/>
                <w:sz w:val="18"/>
                <w:szCs w:val="18"/>
                <w:u w:val="single"/>
              </w:rPr>
              <w:t>4</w:t>
            </w:r>
          </w:p>
          <w:p w14:paraId="3170533F" w14:textId="3A8032C7" w:rsidR="00FE6C8D" w:rsidRPr="008814F3" w:rsidRDefault="002C0265" w:rsidP="00742B36">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w:t>
            </w:r>
            <w:r w:rsidR="00FE6C8D">
              <w:rPr>
                <w:rFonts w:ascii="Arial Narrow" w:hAnsi="Arial Narrow" w:cs="Arial"/>
                <w:kern w:val="0"/>
                <w:sz w:val="18"/>
                <w:szCs w:val="18"/>
              </w:rPr>
              <w:t>-2</w:t>
            </w:r>
            <w:r w:rsidR="00742B36">
              <w:rPr>
                <w:rFonts w:ascii="Arial Narrow" w:hAnsi="Arial Narrow" w:cs="Arial"/>
                <w:kern w:val="0"/>
                <w:sz w:val="18"/>
                <w:szCs w:val="18"/>
              </w:rPr>
              <w:t>4</w:t>
            </w:r>
          </w:p>
        </w:tc>
        <w:tc>
          <w:tcPr>
            <w:tcW w:w="931" w:type="dxa"/>
            <w:vAlign w:val="center"/>
          </w:tcPr>
          <w:p w14:paraId="3D36733A" w14:textId="3CE255E7" w:rsidR="00FE6C8D" w:rsidRDefault="002C0265" w:rsidP="00613DEC">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FE6C8D">
              <w:rPr>
                <w:rFonts w:ascii="Arial Narrow" w:hAnsi="Arial Narrow" w:cs="Arial"/>
                <w:kern w:val="0"/>
                <w:sz w:val="18"/>
                <w:szCs w:val="18"/>
                <w:u w:val="single"/>
              </w:rPr>
              <w:t>-2</w:t>
            </w:r>
            <w:r w:rsidR="00E06C6C">
              <w:rPr>
                <w:rFonts w:ascii="Arial Narrow" w:hAnsi="Arial Narrow" w:cs="Arial"/>
                <w:kern w:val="0"/>
                <w:sz w:val="18"/>
                <w:szCs w:val="18"/>
                <w:u w:val="single"/>
              </w:rPr>
              <w:t>5</w:t>
            </w:r>
          </w:p>
          <w:p w14:paraId="6CEF3BA7" w14:textId="20A326F7" w:rsidR="00FE6C8D" w:rsidRPr="008814F3" w:rsidRDefault="002C0265" w:rsidP="00FE75C1">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w:t>
            </w:r>
            <w:r w:rsidR="00FE6C8D">
              <w:rPr>
                <w:rFonts w:ascii="Arial Narrow" w:hAnsi="Arial Narrow" w:cs="Arial"/>
                <w:kern w:val="0"/>
                <w:sz w:val="18"/>
                <w:szCs w:val="18"/>
              </w:rPr>
              <w:t>-2</w:t>
            </w:r>
            <w:r w:rsidR="00E06C6C">
              <w:rPr>
                <w:rFonts w:ascii="Arial Narrow" w:hAnsi="Arial Narrow" w:cs="Arial"/>
                <w:kern w:val="0"/>
                <w:sz w:val="18"/>
                <w:szCs w:val="18"/>
              </w:rPr>
              <w:t>4</w:t>
            </w:r>
          </w:p>
        </w:tc>
        <w:tc>
          <w:tcPr>
            <w:tcW w:w="931" w:type="dxa"/>
            <w:vAlign w:val="center"/>
          </w:tcPr>
          <w:p w14:paraId="30D06FBA" w14:textId="31CA1ACA" w:rsidR="00FE6C8D" w:rsidRDefault="002C0265" w:rsidP="00613DEC">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w:t>
            </w:r>
            <w:r w:rsidR="00FE6C8D">
              <w:rPr>
                <w:rFonts w:ascii="Arial Narrow" w:hAnsi="Arial Narrow" w:cs="Arial"/>
                <w:kern w:val="0"/>
                <w:sz w:val="18"/>
                <w:szCs w:val="18"/>
                <w:u w:val="single"/>
              </w:rPr>
              <w:t>-2</w:t>
            </w:r>
            <w:r w:rsidR="00742B36">
              <w:rPr>
                <w:rFonts w:ascii="Arial Narrow" w:hAnsi="Arial Narrow" w:cs="Arial"/>
                <w:kern w:val="0"/>
                <w:sz w:val="18"/>
                <w:szCs w:val="18"/>
                <w:u w:val="single"/>
              </w:rPr>
              <w:t>5</w:t>
            </w:r>
          </w:p>
          <w:p w14:paraId="475B085D" w14:textId="4CFF6695" w:rsidR="00FE6C8D" w:rsidRPr="008814F3" w:rsidRDefault="002C0265" w:rsidP="00742B36">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w:t>
            </w:r>
            <w:r w:rsidR="00E06C6C">
              <w:rPr>
                <w:rFonts w:ascii="Arial Narrow" w:hAnsi="Arial Narrow" w:cs="Arial"/>
                <w:kern w:val="0"/>
                <w:sz w:val="18"/>
                <w:szCs w:val="18"/>
              </w:rPr>
              <w:t>-</w:t>
            </w:r>
            <w:r w:rsidR="00FE6C8D">
              <w:rPr>
                <w:rFonts w:ascii="Arial Narrow" w:hAnsi="Arial Narrow" w:cs="Arial"/>
                <w:kern w:val="0"/>
                <w:sz w:val="18"/>
                <w:szCs w:val="18"/>
              </w:rPr>
              <w:t>2</w:t>
            </w:r>
            <w:r w:rsidR="00742B36">
              <w:rPr>
                <w:rFonts w:ascii="Arial Narrow" w:hAnsi="Arial Narrow" w:cs="Arial"/>
                <w:kern w:val="0"/>
                <w:sz w:val="18"/>
                <w:szCs w:val="18"/>
              </w:rPr>
              <w:t>4</w:t>
            </w:r>
          </w:p>
        </w:tc>
        <w:tc>
          <w:tcPr>
            <w:tcW w:w="1540" w:type="dxa"/>
            <w:vMerge/>
          </w:tcPr>
          <w:p w14:paraId="0A5CB0CE" w14:textId="77777777" w:rsidR="00FE6C8D" w:rsidRPr="00C8504B" w:rsidRDefault="00FE6C8D" w:rsidP="00FE6C8D">
            <w:pPr>
              <w:spacing w:before="40" w:after="20"/>
              <w:ind w:right="57"/>
              <w:jc w:val="right"/>
              <w:rPr>
                <w:rFonts w:ascii="Arial Narrow" w:hAnsi="Arial Narrow" w:cs="Arial"/>
                <w:b/>
                <w:bCs/>
                <w:snapToGrid w:val="0"/>
                <w:sz w:val="18"/>
                <w:szCs w:val="18"/>
              </w:rPr>
            </w:pPr>
          </w:p>
        </w:tc>
        <w:tc>
          <w:tcPr>
            <w:tcW w:w="992" w:type="dxa"/>
            <w:vMerge/>
            <w:shd w:val="clear" w:color="auto" w:fill="D9D9D9"/>
            <w:vAlign w:val="center"/>
          </w:tcPr>
          <w:p w14:paraId="20F77A39" w14:textId="77777777" w:rsidR="00FE6C8D" w:rsidRPr="00C8504B" w:rsidRDefault="00FE6C8D" w:rsidP="00FE6C8D">
            <w:pPr>
              <w:spacing w:before="40" w:after="20"/>
              <w:ind w:right="57"/>
              <w:jc w:val="right"/>
              <w:rPr>
                <w:rFonts w:ascii="Arial Narrow" w:hAnsi="Arial Narrow" w:cs="Arial"/>
                <w:b/>
                <w:bCs/>
                <w:sz w:val="18"/>
                <w:szCs w:val="18"/>
              </w:rPr>
            </w:pPr>
          </w:p>
        </w:tc>
      </w:tr>
      <w:tr w:rsidR="00AB5495" w:rsidRPr="00C8504B" w14:paraId="5BFC7130" w14:textId="77777777" w:rsidTr="00AB5495">
        <w:trPr>
          <w:trHeight w:val="255"/>
        </w:trPr>
        <w:tc>
          <w:tcPr>
            <w:tcW w:w="3119" w:type="dxa"/>
            <w:vAlign w:val="center"/>
          </w:tcPr>
          <w:p w14:paraId="375A417F"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Prodotti alimentari e bevande analcoliche</w:t>
            </w:r>
          </w:p>
        </w:tc>
        <w:tc>
          <w:tcPr>
            <w:tcW w:w="1018" w:type="dxa"/>
            <w:shd w:val="clear" w:color="auto" w:fill="D9D9D9"/>
            <w:vAlign w:val="center"/>
          </w:tcPr>
          <w:p w14:paraId="1C8F7144"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171.290</w:t>
            </w:r>
          </w:p>
        </w:tc>
        <w:tc>
          <w:tcPr>
            <w:tcW w:w="845" w:type="dxa"/>
            <w:vAlign w:val="center"/>
          </w:tcPr>
          <w:p w14:paraId="45F90629" w14:textId="006A11E5"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+0,1</w:t>
            </w:r>
          </w:p>
        </w:tc>
        <w:tc>
          <w:tcPr>
            <w:tcW w:w="972" w:type="dxa"/>
            <w:shd w:val="clear" w:color="auto" w:fill="D9D9D9"/>
            <w:vAlign w:val="center"/>
          </w:tcPr>
          <w:p w14:paraId="7D6E1F2B" w14:textId="46CF7CFC"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+0,7</w:t>
            </w:r>
          </w:p>
        </w:tc>
        <w:tc>
          <w:tcPr>
            <w:tcW w:w="931" w:type="dxa"/>
            <w:vAlign w:val="center"/>
          </w:tcPr>
          <w:p w14:paraId="04AEB161" w14:textId="4A0356CF"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+1,9</w:t>
            </w:r>
          </w:p>
        </w:tc>
        <w:tc>
          <w:tcPr>
            <w:tcW w:w="931" w:type="dxa"/>
            <w:shd w:val="clear" w:color="auto" w:fill="D9D9D9"/>
            <w:vAlign w:val="center"/>
          </w:tcPr>
          <w:p w14:paraId="3CD79A59" w14:textId="3AB6347C"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+2,5</w:t>
            </w:r>
          </w:p>
        </w:tc>
        <w:tc>
          <w:tcPr>
            <w:tcW w:w="1540" w:type="dxa"/>
            <w:tcMar>
              <w:left w:w="284" w:type="dxa"/>
              <w:right w:w="57" w:type="dxa"/>
            </w:tcMar>
            <w:vAlign w:val="center"/>
          </w:tcPr>
          <w:p w14:paraId="36492671" w14:textId="0A4695CB"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0,325</w:t>
            </w:r>
          </w:p>
        </w:tc>
        <w:tc>
          <w:tcPr>
            <w:tcW w:w="992" w:type="dxa"/>
            <w:shd w:val="clear" w:color="auto" w:fill="D9D9D9"/>
            <w:vAlign w:val="center"/>
          </w:tcPr>
          <w:p w14:paraId="2F549C49" w14:textId="3B1001FF"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+2,9</w:t>
            </w:r>
          </w:p>
        </w:tc>
      </w:tr>
      <w:tr w:rsidR="00AB5495" w:rsidRPr="00C8504B" w14:paraId="2B60A2F2" w14:textId="77777777" w:rsidTr="00AB5495">
        <w:trPr>
          <w:trHeight w:val="255"/>
        </w:trPr>
        <w:tc>
          <w:tcPr>
            <w:tcW w:w="3119" w:type="dxa"/>
            <w:vAlign w:val="center"/>
          </w:tcPr>
          <w:p w14:paraId="7E8F2204"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Bevande alcoliche e tabacchi</w:t>
            </w:r>
          </w:p>
        </w:tc>
        <w:tc>
          <w:tcPr>
            <w:tcW w:w="1018" w:type="dxa"/>
            <w:shd w:val="clear" w:color="auto" w:fill="D9D9D9"/>
            <w:vAlign w:val="center"/>
          </w:tcPr>
          <w:p w14:paraId="5418DCA7"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30.112</w:t>
            </w:r>
          </w:p>
        </w:tc>
        <w:tc>
          <w:tcPr>
            <w:tcW w:w="845" w:type="dxa"/>
            <w:vAlign w:val="center"/>
          </w:tcPr>
          <w:p w14:paraId="58D5CD68" w14:textId="00C6EE15"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w:t>
            </w:r>
          </w:p>
        </w:tc>
        <w:tc>
          <w:tcPr>
            <w:tcW w:w="972" w:type="dxa"/>
            <w:shd w:val="clear" w:color="auto" w:fill="D9D9D9"/>
            <w:vAlign w:val="center"/>
          </w:tcPr>
          <w:p w14:paraId="1D35E759" w14:textId="556596B0"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+0,1</w:t>
            </w:r>
          </w:p>
        </w:tc>
        <w:tc>
          <w:tcPr>
            <w:tcW w:w="931" w:type="dxa"/>
            <w:vAlign w:val="center"/>
          </w:tcPr>
          <w:p w14:paraId="37F90FA2" w14:textId="43EDA19C"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+1,9</w:t>
            </w:r>
          </w:p>
        </w:tc>
        <w:tc>
          <w:tcPr>
            <w:tcW w:w="931" w:type="dxa"/>
            <w:shd w:val="clear" w:color="auto" w:fill="D9D9D9"/>
            <w:vAlign w:val="center"/>
          </w:tcPr>
          <w:p w14:paraId="68D98C92" w14:textId="3A0E6884"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+2,0</w:t>
            </w:r>
          </w:p>
        </w:tc>
        <w:tc>
          <w:tcPr>
            <w:tcW w:w="1540" w:type="dxa"/>
            <w:tcMar>
              <w:left w:w="284" w:type="dxa"/>
              <w:right w:w="57" w:type="dxa"/>
            </w:tcMar>
            <w:vAlign w:val="center"/>
          </w:tcPr>
          <w:p w14:paraId="7CF2AB41" w14:textId="1CD59000"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0,057</w:t>
            </w:r>
          </w:p>
        </w:tc>
        <w:tc>
          <w:tcPr>
            <w:tcW w:w="992" w:type="dxa"/>
            <w:shd w:val="clear" w:color="auto" w:fill="D9D9D9"/>
            <w:vAlign w:val="center"/>
          </w:tcPr>
          <w:p w14:paraId="04A0E43D" w14:textId="11D5FF47"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+2,2</w:t>
            </w:r>
          </w:p>
        </w:tc>
      </w:tr>
      <w:tr w:rsidR="00AB5495" w:rsidRPr="00C8504B" w14:paraId="6E7BE485" w14:textId="77777777" w:rsidTr="00AB5495">
        <w:trPr>
          <w:trHeight w:val="255"/>
        </w:trPr>
        <w:tc>
          <w:tcPr>
            <w:tcW w:w="3119" w:type="dxa"/>
            <w:vAlign w:val="center"/>
          </w:tcPr>
          <w:p w14:paraId="3557ECE4"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Abbigliamento e calzature</w:t>
            </w:r>
          </w:p>
        </w:tc>
        <w:tc>
          <w:tcPr>
            <w:tcW w:w="1018" w:type="dxa"/>
            <w:shd w:val="clear" w:color="auto" w:fill="D9D9D9"/>
            <w:vAlign w:val="center"/>
          </w:tcPr>
          <w:p w14:paraId="0927AB8B"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59.351</w:t>
            </w:r>
          </w:p>
        </w:tc>
        <w:tc>
          <w:tcPr>
            <w:tcW w:w="845" w:type="dxa"/>
            <w:vAlign w:val="center"/>
          </w:tcPr>
          <w:p w14:paraId="51EC9643" w14:textId="2A5388C3"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+0,2</w:t>
            </w:r>
          </w:p>
        </w:tc>
        <w:tc>
          <w:tcPr>
            <w:tcW w:w="972" w:type="dxa"/>
            <w:shd w:val="clear" w:color="auto" w:fill="D9D9D9"/>
            <w:vAlign w:val="center"/>
          </w:tcPr>
          <w:p w14:paraId="7C4D6CF7" w14:textId="176C9323"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+0,2</w:t>
            </w:r>
          </w:p>
        </w:tc>
        <w:tc>
          <w:tcPr>
            <w:tcW w:w="931" w:type="dxa"/>
            <w:vAlign w:val="center"/>
          </w:tcPr>
          <w:p w14:paraId="415A3DC3" w14:textId="5390A6E1"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+1,0</w:t>
            </w:r>
          </w:p>
        </w:tc>
        <w:tc>
          <w:tcPr>
            <w:tcW w:w="931" w:type="dxa"/>
            <w:shd w:val="clear" w:color="auto" w:fill="D9D9D9"/>
            <w:vAlign w:val="center"/>
          </w:tcPr>
          <w:p w14:paraId="3E002966" w14:textId="2588E461"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+1,0</w:t>
            </w:r>
          </w:p>
        </w:tc>
        <w:tc>
          <w:tcPr>
            <w:tcW w:w="1540" w:type="dxa"/>
            <w:tcMar>
              <w:left w:w="284" w:type="dxa"/>
              <w:right w:w="57" w:type="dxa"/>
            </w:tcMar>
            <w:vAlign w:val="center"/>
          </w:tcPr>
          <w:p w14:paraId="2740F371" w14:textId="27396652"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0,059</w:t>
            </w:r>
          </w:p>
        </w:tc>
        <w:tc>
          <w:tcPr>
            <w:tcW w:w="992" w:type="dxa"/>
            <w:shd w:val="clear" w:color="auto" w:fill="D9D9D9"/>
            <w:vAlign w:val="center"/>
          </w:tcPr>
          <w:p w14:paraId="01C7F12C" w14:textId="744805A0"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+1,0</w:t>
            </w:r>
          </w:p>
        </w:tc>
      </w:tr>
      <w:tr w:rsidR="00AB5495" w:rsidRPr="00C8504B" w14:paraId="2C556E60" w14:textId="77777777" w:rsidTr="00AB5495">
        <w:trPr>
          <w:trHeight w:val="255"/>
        </w:trPr>
        <w:tc>
          <w:tcPr>
            <w:tcW w:w="3119" w:type="dxa"/>
            <w:vAlign w:val="center"/>
          </w:tcPr>
          <w:p w14:paraId="21FAC3B9"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Abitazione, acqua, elettricità e combustibili</w:t>
            </w:r>
          </w:p>
        </w:tc>
        <w:tc>
          <w:tcPr>
            <w:tcW w:w="1018" w:type="dxa"/>
            <w:shd w:val="clear" w:color="auto" w:fill="D9D9D9"/>
            <w:vAlign w:val="center"/>
          </w:tcPr>
          <w:p w14:paraId="2C334EEC"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118.883</w:t>
            </w:r>
          </w:p>
        </w:tc>
        <w:tc>
          <w:tcPr>
            <w:tcW w:w="845" w:type="dxa"/>
            <w:vAlign w:val="center"/>
          </w:tcPr>
          <w:p w14:paraId="47678ED9" w14:textId="243251AF"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+0,1</w:t>
            </w:r>
          </w:p>
        </w:tc>
        <w:tc>
          <w:tcPr>
            <w:tcW w:w="972" w:type="dxa"/>
            <w:shd w:val="clear" w:color="auto" w:fill="D9D9D9"/>
            <w:vAlign w:val="center"/>
          </w:tcPr>
          <w:p w14:paraId="6ADFEFE0" w14:textId="42027BA0"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+0,3</w:t>
            </w:r>
          </w:p>
        </w:tc>
        <w:tc>
          <w:tcPr>
            <w:tcW w:w="931" w:type="dxa"/>
            <w:vAlign w:val="center"/>
          </w:tcPr>
          <w:p w14:paraId="2C02446F" w14:textId="5B38FFD3"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-1,9</w:t>
            </w:r>
          </w:p>
        </w:tc>
        <w:tc>
          <w:tcPr>
            <w:tcW w:w="931" w:type="dxa"/>
            <w:shd w:val="clear" w:color="auto" w:fill="D9D9D9"/>
            <w:vAlign w:val="center"/>
          </w:tcPr>
          <w:p w14:paraId="6E082B11" w14:textId="0CBDD88C"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-1,7</w:t>
            </w:r>
          </w:p>
        </w:tc>
        <w:tc>
          <w:tcPr>
            <w:tcW w:w="1540" w:type="dxa"/>
            <w:tcMar>
              <w:left w:w="284" w:type="dxa"/>
              <w:right w:w="57" w:type="dxa"/>
            </w:tcMar>
            <w:vAlign w:val="center"/>
          </w:tcPr>
          <w:p w14:paraId="4A6915B9" w14:textId="48BEB6C2"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-0,226</w:t>
            </w:r>
          </w:p>
        </w:tc>
        <w:tc>
          <w:tcPr>
            <w:tcW w:w="992" w:type="dxa"/>
            <w:shd w:val="clear" w:color="auto" w:fill="D9D9D9"/>
            <w:vAlign w:val="center"/>
          </w:tcPr>
          <w:p w14:paraId="3C733F70" w14:textId="65D59E56"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+1,1</w:t>
            </w:r>
          </w:p>
        </w:tc>
      </w:tr>
      <w:tr w:rsidR="00AB5495" w:rsidRPr="00C8504B" w14:paraId="12EEFAF8" w14:textId="77777777" w:rsidTr="00AB5495">
        <w:trPr>
          <w:trHeight w:val="255"/>
        </w:trPr>
        <w:tc>
          <w:tcPr>
            <w:tcW w:w="3119" w:type="dxa"/>
            <w:vAlign w:val="center"/>
          </w:tcPr>
          <w:p w14:paraId="647825AD"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Mobili, articoli e servizi per la casa</w:t>
            </w:r>
          </w:p>
        </w:tc>
        <w:tc>
          <w:tcPr>
            <w:tcW w:w="1018" w:type="dxa"/>
            <w:shd w:val="clear" w:color="auto" w:fill="D9D9D9"/>
            <w:vAlign w:val="center"/>
          </w:tcPr>
          <w:p w14:paraId="704A3EA7"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68.441</w:t>
            </w:r>
          </w:p>
        </w:tc>
        <w:tc>
          <w:tcPr>
            <w:tcW w:w="845" w:type="dxa"/>
            <w:vAlign w:val="center"/>
          </w:tcPr>
          <w:p w14:paraId="6B528094" w14:textId="579C2BD3"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w:t>
            </w:r>
          </w:p>
        </w:tc>
        <w:tc>
          <w:tcPr>
            <w:tcW w:w="972" w:type="dxa"/>
            <w:shd w:val="clear" w:color="auto" w:fill="D9D9D9"/>
            <w:vAlign w:val="center"/>
          </w:tcPr>
          <w:p w14:paraId="571BADF8" w14:textId="42E65B3B"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+0,2</w:t>
            </w:r>
          </w:p>
        </w:tc>
        <w:tc>
          <w:tcPr>
            <w:tcW w:w="931" w:type="dxa"/>
            <w:vAlign w:val="center"/>
          </w:tcPr>
          <w:p w14:paraId="5BEDD4D7" w14:textId="29E0315C"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+0,2</w:t>
            </w:r>
          </w:p>
        </w:tc>
        <w:tc>
          <w:tcPr>
            <w:tcW w:w="931" w:type="dxa"/>
            <w:shd w:val="clear" w:color="auto" w:fill="D9D9D9"/>
            <w:vAlign w:val="center"/>
          </w:tcPr>
          <w:p w14:paraId="4E0B1C76" w14:textId="5807BB9A"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+0,3</w:t>
            </w:r>
          </w:p>
        </w:tc>
        <w:tc>
          <w:tcPr>
            <w:tcW w:w="1540" w:type="dxa"/>
            <w:tcMar>
              <w:left w:w="284" w:type="dxa"/>
              <w:right w:w="57" w:type="dxa"/>
            </w:tcMar>
            <w:vAlign w:val="center"/>
          </w:tcPr>
          <w:p w14:paraId="1B4FCB56" w14:textId="27837A4B"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0,009</w:t>
            </w:r>
          </w:p>
        </w:tc>
        <w:tc>
          <w:tcPr>
            <w:tcW w:w="992" w:type="dxa"/>
            <w:shd w:val="clear" w:color="auto" w:fill="D9D9D9"/>
            <w:vAlign w:val="center"/>
          </w:tcPr>
          <w:p w14:paraId="5F386E5E" w14:textId="2028E977"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+0,3</w:t>
            </w:r>
          </w:p>
        </w:tc>
      </w:tr>
      <w:tr w:rsidR="00AB5495" w:rsidRPr="00C8504B" w14:paraId="30E0B6C7" w14:textId="77777777" w:rsidTr="00AB5495">
        <w:trPr>
          <w:trHeight w:val="255"/>
        </w:trPr>
        <w:tc>
          <w:tcPr>
            <w:tcW w:w="3119" w:type="dxa"/>
            <w:vAlign w:val="center"/>
          </w:tcPr>
          <w:p w14:paraId="751EC85E"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Servizi sanitari e spese per la salute</w:t>
            </w:r>
          </w:p>
        </w:tc>
        <w:tc>
          <w:tcPr>
            <w:tcW w:w="1018" w:type="dxa"/>
            <w:shd w:val="clear" w:color="auto" w:fill="D9D9D9"/>
            <w:vAlign w:val="center"/>
          </w:tcPr>
          <w:p w14:paraId="38F9BAE8"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81.284</w:t>
            </w:r>
          </w:p>
        </w:tc>
        <w:tc>
          <w:tcPr>
            <w:tcW w:w="845" w:type="dxa"/>
            <w:vAlign w:val="center"/>
          </w:tcPr>
          <w:p w14:paraId="5F841A64" w14:textId="49D53BF1"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+0,2</w:t>
            </w:r>
          </w:p>
        </w:tc>
        <w:tc>
          <w:tcPr>
            <w:tcW w:w="972" w:type="dxa"/>
            <w:shd w:val="clear" w:color="auto" w:fill="D9D9D9"/>
            <w:vAlign w:val="center"/>
          </w:tcPr>
          <w:p w14:paraId="69F54C70" w14:textId="2A4A9ED9"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w:t>
            </w:r>
          </w:p>
        </w:tc>
        <w:tc>
          <w:tcPr>
            <w:tcW w:w="931" w:type="dxa"/>
            <w:vAlign w:val="center"/>
          </w:tcPr>
          <w:p w14:paraId="028243ED" w14:textId="60177717"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+1,7</w:t>
            </w:r>
          </w:p>
        </w:tc>
        <w:tc>
          <w:tcPr>
            <w:tcW w:w="931" w:type="dxa"/>
            <w:shd w:val="clear" w:color="auto" w:fill="D9D9D9"/>
            <w:vAlign w:val="center"/>
          </w:tcPr>
          <w:p w14:paraId="5A748967" w14:textId="6D4F6FA3"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+1,5</w:t>
            </w:r>
          </w:p>
        </w:tc>
        <w:tc>
          <w:tcPr>
            <w:tcW w:w="1540" w:type="dxa"/>
            <w:tcMar>
              <w:left w:w="284" w:type="dxa"/>
              <w:right w:w="57" w:type="dxa"/>
            </w:tcMar>
            <w:vAlign w:val="center"/>
          </w:tcPr>
          <w:p w14:paraId="43C81800" w14:textId="4FD59360"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0,137</w:t>
            </w:r>
          </w:p>
        </w:tc>
        <w:tc>
          <w:tcPr>
            <w:tcW w:w="992" w:type="dxa"/>
            <w:shd w:val="clear" w:color="auto" w:fill="D9D9D9"/>
            <w:vAlign w:val="center"/>
          </w:tcPr>
          <w:p w14:paraId="6E4D91D6" w14:textId="090F8AF0"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+1,6</w:t>
            </w:r>
          </w:p>
        </w:tc>
      </w:tr>
      <w:tr w:rsidR="00AB5495" w:rsidRPr="00C8504B" w14:paraId="3544FC9E" w14:textId="77777777" w:rsidTr="00AB5495">
        <w:trPr>
          <w:trHeight w:val="255"/>
        </w:trPr>
        <w:tc>
          <w:tcPr>
            <w:tcW w:w="3119" w:type="dxa"/>
            <w:vAlign w:val="center"/>
          </w:tcPr>
          <w:p w14:paraId="37D0C9D5"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Trasporti</w:t>
            </w:r>
          </w:p>
        </w:tc>
        <w:tc>
          <w:tcPr>
            <w:tcW w:w="1018" w:type="dxa"/>
            <w:shd w:val="clear" w:color="auto" w:fill="D9D9D9"/>
            <w:vAlign w:val="center"/>
          </w:tcPr>
          <w:p w14:paraId="5FDBCC8A"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152.266</w:t>
            </w:r>
          </w:p>
        </w:tc>
        <w:tc>
          <w:tcPr>
            <w:tcW w:w="845" w:type="dxa"/>
            <w:vAlign w:val="center"/>
          </w:tcPr>
          <w:p w14:paraId="0E42B403" w14:textId="44082631"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-0,2</w:t>
            </w:r>
          </w:p>
        </w:tc>
        <w:tc>
          <w:tcPr>
            <w:tcW w:w="972" w:type="dxa"/>
            <w:shd w:val="clear" w:color="auto" w:fill="D9D9D9"/>
            <w:vAlign w:val="center"/>
          </w:tcPr>
          <w:p w14:paraId="30007D74" w14:textId="3B658F08"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+0,1</w:t>
            </w:r>
          </w:p>
        </w:tc>
        <w:tc>
          <w:tcPr>
            <w:tcW w:w="931" w:type="dxa"/>
            <w:vAlign w:val="center"/>
          </w:tcPr>
          <w:p w14:paraId="1DD9A4FB" w14:textId="53987158"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w:t>
            </w:r>
          </w:p>
        </w:tc>
        <w:tc>
          <w:tcPr>
            <w:tcW w:w="931" w:type="dxa"/>
            <w:shd w:val="clear" w:color="auto" w:fill="D9D9D9"/>
            <w:vAlign w:val="center"/>
          </w:tcPr>
          <w:p w14:paraId="419B02DB" w14:textId="4C8B0697"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+0,2</w:t>
            </w:r>
          </w:p>
        </w:tc>
        <w:tc>
          <w:tcPr>
            <w:tcW w:w="1540" w:type="dxa"/>
            <w:tcMar>
              <w:left w:w="284" w:type="dxa"/>
              <w:right w:w="57" w:type="dxa"/>
            </w:tcMar>
            <w:vAlign w:val="center"/>
          </w:tcPr>
          <w:p w14:paraId="72C964F2" w14:textId="700A79DD"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-0,001</w:t>
            </w:r>
          </w:p>
        </w:tc>
        <w:tc>
          <w:tcPr>
            <w:tcW w:w="992" w:type="dxa"/>
            <w:shd w:val="clear" w:color="auto" w:fill="D9D9D9"/>
            <w:vAlign w:val="center"/>
          </w:tcPr>
          <w:p w14:paraId="33328C81" w14:textId="4956489C"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-0,3</w:t>
            </w:r>
          </w:p>
        </w:tc>
      </w:tr>
      <w:tr w:rsidR="00AB5495" w:rsidRPr="00C8504B" w14:paraId="6A814530" w14:textId="77777777" w:rsidTr="00AB5495">
        <w:trPr>
          <w:trHeight w:val="255"/>
        </w:trPr>
        <w:tc>
          <w:tcPr>
            <w:tcW w:w="3119" w:type="dxa"/>
            <w:vAlign w:val="center"/>
          </w:tcPr>
          <w:p w14:paraId="329C0560"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Comunicazioni</w:t>
            </w:r>
          </w:p>
        </w:tc>
        <w:tc>
          <w:tcPr>
            <w:tcW w:w="1018" w:type="dxa"/>
            <w:shd w:val="clear" w:color="auto" w:fill="D9D9D9"/>
            <w:vAlign w:val="center"/>
          </w:tcPr>
          <w:p w14:paraId="268714C2"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19.136</w:t>
            </w:r>
          </w:p>
        </w:tc>
        <w:tc>
          <w:tcPr>
            <w:tcW w:w="845" w:type="dxa"/>
            <w:vAlign w:val="center"/>
          </w:tcPr>
          <w:p w14:paraId="27342AFF" w14:textId="56FA36B4"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-0,9</w:t>
            </w:r>
          </w:p>
        </w:tc>
        <w:tc>
          <w:tcPr>
            <w:tcW w:w="972" w:type="dxa"/>
            <w:shd w:val="clear" w:color="auto" w:fill="D9D9D9"/>
            <w:vAlign w:val="center"/>
          </w:tcPr>
          <w:p w14:paraId="17624E48" w14:textId="2F37A15C"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-1,1</w:t>
            </w:r>
          </w:p>
        </w:tc>
        <w:tc>
          <w:tcPr>
            <w:tcW w:w="931" w:type="dxa"/>
            <w:vAlign w:val="center"/>
          </w:tcPr>
          <w:p w14:paraId="3161EB3C" w14:textId="27AC481D"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-4,8</w:t>
            </w:r>
          </w:p>
        </w:tc>
        <w:tc>
          <w:tcPr>
            <w:tcW w:w="931" w:type="dxa"/>
            <w:shd w:val="clear" w:color="auto" w:fill="D9D9D9"/>
            <w:vAlign w:val="center"/>
          </w:tcPr>
          <w:p w14:paraId="148A36CA" w14:textId="0B025FC5"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-5,1</w:t>
            </w:r>
          </w:p>
        </w:tc>
        <w:tc>
          <w:tcPr>
            <w:tcW w:w="1540" w:type="dxa"/>
            <w:tcMar>
              <w:left w:w="284" w:type="dxa"/>
              <w:right w:w="57" w:type="dxa"/>
            </w:tcMar>
            <w:vAlign w:val="center"/>
          </w:tcPr>
          <w:p w14:paraId="15649CA2" w14:textId="037BE7F1"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-0,091</w:t>
            </w:r>
          </w:p>
        </w:tc>
        <w:tc>
          <w:tcPr>
            <w:tcW w:w="992" w:type="dxa"/>
            <w:shd w:val="clear" w:color="auto" w:fill="D9D9D9"/>
            <w:vAlign w:val="center"/>
          </w:tcPr>
          <w:p w14:paraId="4FD99DA3" w14:textId="46F708FF"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-4,7</w:t>
            </w:r>
          </w:p>
        </w:tc>
      </w:tr>
      <w:tr w:rsidR="00AB5495" w:rsidRPr="00C8504B" w14:paraId="08CC2D7D" w14:textId="77777777" w:rsidTr="00AB5495">
        <w:trPr>
          <w:trHeight w:val="255"/>
        </w:trPr>
        <w:tc>
          <w:tcPr>
            <w:tcW w:w="3119" w:type="dxa"/>
            <w:vAlign w:val="center"/>
          </w:tcPr>
          <w:p w14:paraId="7C482D82"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Ricreazione, spettacoli e cultura</w:t>
            </w:r>
          </w:p>
        </w:tc>
        <w:tc>
          <w:tcPr>
            <w:tcW w:w="1018" w:type="dxa"/>
            <w:shd w:val="clear" w:color="auto" w:fill="D9D9D9"/>
            <w:vAlign w:val="center"/>
          </w:tcPr>
          <w:p w14:paraId="7806C3B7"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74.624</w:t>
            </w:r>
          </w:p>
        </w:tc>
        <w:tc>
          <w:tcPr>
            <w:tcW w:w="845" w:type="dxa"/>
            <w:vAlign w:val="center"/>
          </w:tcPr>
          <w:p w14:paraId="368F4E79" w14:textId="1F59CF7B"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-0,4</w:t>
            </w:r>
          </w:p>
        </w:tc>
        <w:tc>
          <w:tcPr>
            <w:tcW w:w="972" w:type="dxa"/>
            <w:shd w:val="clear" w:color="auto" w:fill="D9D9D9"/>
            <w:vAlign w:val="center"/>
          </w:tcPr>
          <w:p w14:paraId="32C24FB3" w14:textId="7387F7C0"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-0,6</w:t>
            </w:r>
          </w:p>
        </w:tc>
        <w:tc>
          <w:tcPr>
            <w:tcW w:w="931" w:type="dxa"/>
            <w:vAlign w:val="center"/>
          </w:tcPr>
          <w:p w14:paraId="63785467" w14:textId="0A33FF5C"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+0,7</w:t>
            </w:r>
          </w:p>
        </w:tc>
        <w:tc>
          <w:tcPr>
            <w:tcW w:w="931" w:type="dxa"/>
            <w:shd w:val="clear" w:color="auto" w:fill="D9D9D9"/>
            <w:vAlign w:val="center"/>
          </w:tcPr>
          <w:p w14:paraId="1A4ACD1C" w14:textId="0AA29CD7"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+0,5</w:t>
            </w:r>
          </w:p>
        </w:tc>
        <w:tc>
          <w:tcPr>
            <w:tcW w:w="1540" w:type="dxa"/>
            <w:tcMar>
              <w:left w:w="284" w:type="dxa"/>
              <w:right w:w="57" w:type="dxa"/>
            </w:tcMar>
            <w:vAlign w:val="center"/>
          </w:tcPr>
          <w:p w14:paraId="42AB6EE8" w14:textId="715CD338"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0,052</w:t>
            </w:r>
          </w:p>
        </w:tc>
        <w:tc>
          <w:tcPr>
            <w:tcW w:w="992" w:type="dxa"/>
            <w:shd w:val="clear" w:color="auto" w:fill="D9D9D9"/>
            <w:vAlign w:val="center"/>
          </w:tcPr>
          <w:p w14:paraId="45CA9BEA" w14:textId="13BB7EF4"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+0,8</w:t>
            </w:r>
          </w:p>
        </w:tc>
      </w:tr>
      <w:tr w:rsidR="00AB5495" w:rsidRPr="00C8504B" w14:paraId="4F97A131" w14:textId="77777777" w:rsidTr="00AB5495">
        <w:trPr>
          <w:trHeight w:val="255"/>
        </w:trPr>
        <w:tc>
          <w:tcPr>
            <w:tcW w:w="3119" w:type="dxa"/>
            <w:vAlign w:val="center"/>
          </w:tcPr>
          <w:p w14:paraId="1BF9C0D8"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Istruzione</w:t>
            </w:r>
          </w:p>
        </w:tc>
        <w:tc>
          <w:tcPr>
            <w:tcW w:w="1018" w:type="dxa"/>
            <w:shd w:val="clear" w:color="auto" w:fill="D9D9D9"/>
            <w:vAlign w:val="center"/>
          </w:tcPr>
          <w:p w14:paraId="5767ED4B"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9.210</w:t>
            </w:r>
          </w:p>
        </w:tc>
        <w:tc>
          <w:tcPr>
            <w:tcW w:w="845" w:type="dxa"/>
            <w:vAlign w:val="center"/>
          </w:tcPr>
          <w:p w14:paraId="49073362" w14:textId="3A58FAE8"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w:t>
            </w:r>
          </w:p>
        </w:tc>
        <w:tc>
          <w:tcPr>
            <w:tcW w:w="972" w:type="dxa"/>
            <w:shd w:val="clear" w:color="auto" w:fill="D9D9D9"/>
            <w:vAlign w:val="center"/>
          </w:tcPr>
          <w:p w14:paraId="344B07FA" w14:textId="0F66334C"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w:t>
            </w:r>
          </w:p>
        </w:tc>
        <w:tc>
          <w:tcPr>
            <w:tcW w:w="931" w:type="dxa"/>
            <w:vAlign w:val="center"/>
          </w:tcPr>
          <w:p w14:paraId="3D7DBF56" w14:textId="1D2B45AA"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+1,5</w:t>
            </w:r>
          </w:p>
        </w:tc>
        <w:tc>
          <w:tcPr>
            <w:tcW w:w="931" w:type="dxa"/>
            <w:shd w:val="clear" w:color="auto" w:fill="D9D9D9"/>
            <w:vAlign w:val="center"/>
          </w:tcPr>
          <w:p w14:paraId="1C2224F4" w14:textId="75DFDD3A"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+1,5</w:t>
            </w:r>
          </w:p>
        </w:tc>
        <w:tc>
          <w:tcPr>
            <w:tcW w:w="1540" w:type="dxa"/>
            <w:tcMar>
              <w:left w:w="284" w:type="dxa"/>
              <w:right w:w="57" w:type="dxa"/>
            </w:tcMar>
            <w:vAlign w:val="center"/>
          </w:tcPr>
          <w:p w14:paraId="64F06EE5" w14:textId="5CEA86AE"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0,015</w:t>
            </w:r>
          </w:p>
        </w:tc>
        <w:tc>
          <w:tcPr>
            <w:tcW w:w="992" w:type="dxa"/>
            <w:shd w:val="clear" w:color="auto" w:fill="D9D9D9"/>
            <w:vAlign w:val="center"/>
          </w:tcPr>
          <w:p w14:paraId="76DB2141" w14:textId="544C5E0E"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+2,6</w:t>
            </w:r>
          </w:p>
        </w:tc>
      </w:tr>
      <w:tr w:rsidR="00AB5495" w:rsidRPr="00C8504B" w14:paraId="47FBA2D7" w14:textId="77777777" w:rsidTr="00AB5495">
        <w:trPr>
          <w:trHeight w:val="255"/>
        </w:trPr>
        <w:tc>
          <w:tcPr>
            <w:tcW w:w="3119" w:type="dxa"/>
            <w:vAlign w:val="center"/>
          </w:tcPr>
          <w:p w14:paraId="070FA1E8"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Servizi ricettivi e di ristorazione</w:t>
            </w:r>
          </w:p>
        </w:tc>
        <w:tc>
          <w:tcPr>
            <w:tcW w:w="1018" w:type="dxa"/>
            <w:shd w:val="clear" w:color="auto" w:fill="D9D9D9"/>
            <w:vAlign w:val="center"/>
          </w:tcPr>
          <w:p w14:paraId="7DC2F13B"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119.507</w:t>
            </w:r>
          </w:p>
        </w:tc>
        <w:tc>
          <w:tcPr>
            <w:tcW w:w="845" w:type="dxa"/>
            <w:vAlign w:val="center"/>
          </w:tcPr>
          <w:p w14:paraId="3AAD6E3A" w14:textId="5C6A1C4F"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-2,2</w:t>
            </w:r>
          </w:p>
        </w:tc>
        <w:tc>
          <w:tcPr>
            <w:tcW w:w="972" w:type="dxa"/>
            <w:shd w:val="clear" w:color="auto" w:fill="D9D9D9"/>
            <w:vAlign w:val="center"/>
          </w:tcPr>
          <w:p w14:paraId="2A6A8269" w14:textId="6A012B9A"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-1,9</w:t>
            </w:r>
          </w:p>
        </w:tc>
        <w:tc>
          <w:tcPr>
            <w:tcW w:w="931" w:type="dxa"/>
            <w:vAlign w:val="center"/>
          </w:tcPr>
          <w:p w14:paraId="5319B9BB" w14:textId="7A743CA7"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+3,5</w:t>
            </w:r>
          </w:p>
        </w:tc>
        <w:tc>
          <w:tcPr>
            <w:tcW w:w="931" w:type="dxa"/>
            <w:shd w:val="clear" w:color="auto" w:fill="D9D9D9"/>
            <w:vAlign w:val="center"/>
          </w:tcPr>
          <w:p w14:paraId="1CF70EA2" w14:textId="5488DCBE"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+3,9</w:t>
            </w:r>
          </w:p>
        </w:tc>
        <w:tc>
          <w:tcPr>
            <w:tcW w:w="1540" w:type="dxa"/>
            <w:tcMar>
              <w:left w:w="284" w:type="dxa"/>
              <w:right w:w="57" w:type="dxa"/>
            </w:tcMar>
            <w:vAlign w:val="center"/>
          </w:tcPr>
          <w:p w14:paraId="4CF90C35" w14:textId="2BB8B961"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0,417</w:t>
            </w:r>
          </w:p>
        </w:tc>
        <w:tc>
          <w:tcPr>
            <w:tcW w:w="992" w:type="dxa"/>
            <w:shd w:val="clear" w:color="auto" w:fill="D9D9D9"/>
            <w:vAlign w:val="center"/>
          </w:tcPr>
          <w:p w14:paraId="09561F4E" w14:textId="3C005ABA"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+3,5</w:t>
            </w:r>
          </w:p>
        </w:tc>
      </w:tr>
      <w:tr w:rsidR="00AB5495" w:rsidRPr="00C8504B" w14:paraId="6978F30A" w14:textId="77777777" w:rsidTr="00AB5495">
        <w:trPr>
          <w:trHeight w:val="255"/>
        </w:trPr>
        <w:tc>
          <w:tcPr>
            <w:tcW w:w="3119" w:type="dxa"/>
            <w:vAlign w:val="center"/>
          </w:tcPr>
          <w:p w14:paraId="1BA2F217" w14:textId="77777777" w:rsidR="00AB5495" w:rsidRPr="006B1710" w:rsidRDefault="00AB5495" w:rsidP="00AB5495">
            <w:pPr>
              <w:spacing w:before="40" w:after="20"/>
              <w:rPr>
                <w:rFonts w:ascii="Arial Narrow" w:hAnsi="Arial Narrow" w:cs="Arial"/>
                <w:sz w:val="18"/>
                <w:szCs w:val="18"/>
              </w:rPr>
            </w:pPr>
            <w:r w:rsidRPr="006B1710">
              <w:rPr>
                <w:rFonts w:ascii="Arial Narrow" w:hAnsi="Arial Narrow" w:cs="Arial"/>
                <w:sz w:val="18"/>
                <w:szCs w:val="18"/>
              </w:rPr>
              <w:t>Altri beni e servizi</w:t>
            </w:r>
          </w:p>
        </w:tc>
        <w:tc>
          <w:tcPr>
            <w:tcW w:w="1018" w:type="dxa"/>
            <w:shd w:val="clear" w:color="auto" w:fill="D9D9D9"/>
            <w:vAlign w:val="center"/>
          </w:tcPr>
          <w:p w14:paraId="552E29FB" w14:textId="77777777" w:rsidR="00AB5495" w:rsidRPr="00DA2BAD" w:rsidRDefault="00AB5495" w:rsidP="00AB5495">
            <w:pPr>
              <w:spacing w:before="40" w:after="20"/>
              <w:ind w:right="57"/>
              <w:jc w:val="right"/>
              <w:rPr>
                <w:rFonts w:ascii="Arial Narrow" w:hAnsi="Arial Narrow" w:cs="Arial"/>
                <w:sz w:val="18"/>
                <w:szCs w:val="18"/>
              </w:rPr>
            </w:pPr>
            <w:r w:rsidRPr="00DA2BAD">
              <w:rPr>
                <w:rFonts w:ascii="Arial Narrow" w:hAnsi="Arial Narrow" w:cs="Arial"/>
                <w:sz w:val="18"/>
                <w:szCs w:val="18"/>
              </w:rPr>
              <w:t>95.896</w:t>
            </w:r>
          </w:p>
        </w:tc>
        <w:tc>
          <w:tcPr>
            <w:tcW w:w="845" w:type="dxa"/>
            <w:vAlign w:val="center"/>
          </w:tcPr>
          <w:p w14:paraId="670D62EA" w14:textId="0B1335EE"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+0,2</w:t>
            </w:r>
          </w:p>
        </w:tc>
        <w:tc>
          <w:tcPr>
            <w:tcW w:w="972" w:type="dxa"/>
            <w:shd w:val="clear" w:color="auto" w:fill="D9D9D9"/>
            <w:vAlign w:val="center"/>
          </w:tcPr>
          <w:p w14:paraId="079897F5" w14:textId="14A3B06A"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+0,3</w:t>
            </w:r>
          </w:p>
        </w:tc>
        <w:tc>
          <w:tcPr>
            <w:tcW w:w="931" w:type="dxa"/>
            <w:vAlign w:val="center"/>
          </w:tcPr>
          <w:p w14:paraId="040A4988" w14:textId="11C5D399"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+3,2</w:t>
            </w:r>
          </w:p>
        </w:tc>
        <w:tc>
          <w:tcPr>
            <w:tcW w:w="931" w:type="dxa"/>
            <w:shd w:val="clear" w:color="auto" w:fill="D9D9D9"/>
            <w:vAlign w:val="center"/>
          </w:tcPr>
          <w:p w14:paraId="19B38A60" w14:textId="31FCD6B9"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+3,2</w:t>
            </w:r>
          </w:p>
        </w:tc>
        <w:tc>
          <w:tcPr>
            <w:tcW w:w="1540" w:type="dxa"/>
            <w:tcMar>
              <w:left w:w="284" w:type="dxa"/>
              <w:right w:w="57" w:type="dxa"/>
            </w:tcMar>
            <w:vAlign w:val="center"/>
          </w:tcPr>
          <w:p w14:paraId="17D03F8C" w14:textId="0EC1B1D5"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0,308</w:t>
            </w:r>
          </w:p>
        </w:tc>
        <w:tc>
          <w:tcPr>
            <w:tcW w:w="992" w:type="dxa"/>
            <w:shd w:val="clear" w:color="auto" w:fill="D9D9D9"/>
            <w:vAlign w:val="center"/>
          </w:tcPr>
          <w:p w14:paraId="2B2299F4" w14:textId="3FD43401" w:rsidR="00AB5495" w:rsidRPr="00AB5495" w:rsidRDefault="00AB5495" w:rsidP="00AB5495">
            <w:pPr>
              <w:spacing w:before="40" w:after="20"/>
              <w:ind w:right="57"/>
              <w:jc w:val="right"/>
              <w:rPr>
                <w:rFonts w:ascii="Arial Narrow" w:hAnsi="Arial Narrow" w:cs="Arial"/>
                <w:sz w:val="18"/>
                <w:szCs w:val="18"/>
              </w:rPr>
            </w:pPr>
            <w:r w:rsidRPr="00AB5495">
              <w:rPr>
                <w:rFonts w:ascii="Arial Narrow" w:hAnsi="Arial Narrow" w:cs="Arial"/>
                <w:sz w:val="18"/>
                <w:szCs w:val="18"/>
              </w:rPr>
              <w:t>+3,0</w:t>
            </w:r>
          </w:p>
        </w:tc>
      </w:tr>
      <w:tr w:rsidR="00AB5495" w:rsidRPr="00AB5495" w14:paraId="4FB30AA1" w14:textId="77777777" w:rsidTr="00AB5495">
        <w:trPr>
          <w:trHeight w:val="255"/>
        </w:trPr>
        <w:tc>
          <w:tcPr>
            <w:tcW w:w="3119" w:type="dxa"/>
            <w:shd w:val="clear" w:color="auto" w:fill="E42618"/>
            <w:vAlign w:val="center"/>
          </w:tcPr>
          <w:p w14:paraId="6010B8D2" w14:textId="77777777" w:rsidR="00AB5495" w:rsidRPr="00C8504B" w:rsidRDefault="00AB5495" w:rsidP="00AB5495">
            <w:pPr>
              <w:spacing w:before="0" w:after="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018" w:type="dxa"/>
            <w:shd w:val="clear" w:color="auto" w:fill="E42618"/>
            <w:vAlign w:val="center"/>
          </w:tcPr>
          <w:p w14:paraId="7C8F4998" w14:textId="77777777" w:rsidR="00AB5495" w:rsidRPr="00DA2BAD" w:rsidRDefault="00AB5495" w:rsidP="00AB5495">
            <w:pPr>
              <w:spacing w:before="40" w:after="20"/>
              <w:ind w:right="57"/>
              <w:jc w:val="right"/>
              <w:rPr>
                <w:rFonts w:ascii="Arial Narrow" w:hAnsi="Arial Narrow" w:cs="Arial"/>
                <w:b/>
                <w:bCs/>
                <w:color w:val="FFFFFF"/>
                <w:sz w:val="18"/>
                <w:szCs w:val="18"/>
              </w:rPr>
            </w:pPr>
            <w:r w:rsidRPr="00DA2BAD">
              <w:rPr>
                <w:rFonts w:ascii="Arial Narrow" w:hAnsi="Arial Narrow" w:cs="Arial"/>
                <w:b/>
                <w:bCs/>
                <w:color w:val="FFFFFF"/>
                <w:sz w:val="18"/>
                <w:szCs w:val="18"/>
              </w:rPr>
              <w:t>1.000.000</w:t>
            </w:r>
          </w:p>
        </w:tc>
        <w:tc>
          <w:tcPr>
            <w:tcW w:w="845" w:type="dxa"/>
            <w:shd w:val="clear" w:color="auto" w:fill="E42618"/>
            <w:vAlign w:val="center"/>
          </w:tcPr>
          <w:p w14:paraId="20074F58" w14:textId="71CB652E" w:rsidR="00AB5495" w:rsidRPr="00AB5495" w:rsidRDefault="00AB5495" w:rsidP="00AB5495">
            <w:pPr>
              <w:spacing w:before="40" w:after="20"/>
              <w:ind w:right="57"/>
              <w:jc w:val="right"/>
              <w:rPr>
                <w:rFonts w:ascii="Arial Narrow" w:hAnsi="Arial Narrow" w:cs="Arial"/>
                <w:b/>
                <w:bCs/>
                <w:color w:val="FFFFFF" w:themeColor="background1"/>
                <w:sz w:val="18"/>
                <w:szCs w:val="18"/>
              </w:rPr>
            </w:pPr>
            <w:r w:rsidRPr="00AB5495">
              <w:rPr>
                <w:rFonts w:ascii="Arial Narrow" w:hAnsi="Arial Narrow" w:cs="Arial"/>
                <w:b/>
                <w:bCs/>
                <w:color w:val="FFFFFF" w:themeColor="background1"/>
                <w:sz w:val="18"/>
                <w:szCs w:val="18"/>
              </w:rPr>
              <w:t>-0,2</w:t>
            </w:r>
          </w:p>
        </w:tc>
        <w:tc>
          <w:tcPr>
            <w:tcW w:w="972" w:type="dxa"/>
            <w:shd w:val="clear" w:color="auto" w:fill="E42618"/>
            <w:vAlign w:val="center"/>
          </w:tcPr>
          <w:p w14:paraId="537BB803" w14:textId="3FD8E289" w:rsidR="00AB5495" w:rsidRPr="00AB5495" w:rsidRDefault="00AB5495" w:rsidP="00AB5495">
            <w:pPr>
              <w:spacing w:before="40" w:after="20"/>
              <w:ind w:right="57"/>
              <w:jc w:val="right"/>
              <w:rPr>
                <w:rFonts w:ascii="Arial Narrow" w:hAnsi="Arial Narrow" w:cs="Arial"/>
                <w:b/>
                <w:bCs/>
                <w:color w:val="FFFFFF" w:themeColor="background1"/>
                <w:sz w:val="18"/>
                <w:szCs w:val="18"/>
              </w:rPr>
            </w:pPr>
            <w:r w:rsidRPr="00AB5495">
              <w:rPr>
                <w:rFonts w:ascii="Arial Narrow" w:hAnsi="Arial Narrow" w:cs="Arial"/>
                <w:b/>
                <w:bCs/>
                <w:color w:val="FFFFFF" w:themeColor="background1"/>
                <w:sz w:val="18"/>
                <w:szCs w:val="18"/>
              </w:rPr>
              <w:t>-0,1</w:t>
            </w:r>
          </w:p>
        </w:tc>
        <w:tc>
          <w:tcPr>
            <w:tcW w:w="931" w:type="dxa"/>
            <w:shd w:val="clear" w:color="auto" w:fill="E42618"/>
            <w:vAlign w:val="center"/>
          </w:tcPr>
          <w:p w14:paraId="4C4F2B26" w14:textId="4749D2CD" w:rsidR="00AB5495" w:rsidRPr="00AB5495" w:rsidRDefault="00AB5495" w:rsidP="00AB5495">
            <w:pPr>
              <w:spacing w:before="40" w:after="20"/>
              <w:ind w:right="57"/>
              <w:jc w:val="right"/>
              <w:rPr>
                <w:rFonts w:ascii="Arial Narrow" w:hAnsi="Arial Narrow" w:cs="Arial"/>
                <w:b/>
                <w:bCs/>
                <w:color w:val="FFFFFF" w:themeColor="background1"/>
                <w:sz w:val="18"/>
                <w:szCs w:val="18"/>
              </w:rPr>
            </w:pPr>
            <w:r w:rsidRPr="00AB5495">
              <w:rPr>
                <w:rFonts w:ascii="Arial Narrow" w:hAnsi="Arial Narrow" w:cs="Arial"/>
                <w:b/>
                <w:bCs/>
                <w:color w:val="FFFFFF" w:themeColor="background1"/>
                <w:sz w:val="18"/>
                <w:szCs w:val="18"/>
              </w:rPr>
              <w:t>+1,1</w:t>
            </w:r>
          </w:p>
        </w:tc>
        <w:tc>
          <w:tcPr>
            <w:tcW w:w="931" w:type="dxa"/>
            <w:shd w:val="clear" w:color="auto" w:fill="E42618"/>
            <w:vAlign w:val="center"/>
          </w:tcPr>
          <w:p w14:paraId="14372567" w14:textId="1B6D1A26" w:rsidR="00AB5495" w:rsidRPr="00AB5495" w:rsidRDefault="00AB5495" w:rsidP="00AB5495">
            <w:pPr>
              <w:spacing w:before="40" w:after="20"/>
              <w:ind w:right="57"/>
              <w:jc w:val="right"/>
              <w:rPr>
                <w:rFonts w:ascii="Arial Narrow" w:hAnsi="Arial Narrow" w:cs="Arial"/>
                <w:b/>
                <w:bCs/>
                <w:color w:val="FFFFFF" w:themeColor="background1"/>
                <w:sz w:val="18"/>
                <w:szCs w:val="18"/>
              </w:rPr>
            </w:pPr>
            <w:r w:rsidRPr="00AB5495">
              <w:rPr>
                <w:rFonts w:ascii="Arial Narrow" w:hAnsi="Arial Narrow" w:cs="Arial"/>
                <w:b/>
                <w:bCs/>
                <w:color w:val="FFFFFF" w:themeColor="background1"/>
                <w:sz w:val="18"/>
                <w:szCs w:val="18"/>
              </w:rPr>
              <w:t>+1,2</w:t>
            </w:r>
          </w:p>
        </w:tc>
        <w:tc>
          <w:tcPr>
            <w:tcW w:w="1540" w:type="dxa"/>
            <w:shd w:val="clear" w:color="auto" w:fill="E42618"/>
            <w:tcMar>
              <w:left w:w="284" w:type="dxa"/>
              <w:right w:w="57" w:type="dxa"/>
            </w:tcMar>
            <w:vAlign w:val="center"/>
          </w:tcPr>
          <w:p w14:paraId="22A296AB" w14:textId="77777777" w:rsidR="00AB5495" w:rsidRPr="00AB5495" w:rsidRDefault="00AB5495" w:rsidP="00AB5495">
            <w:pPr>
              <w:spacing w:before="40" w:after="20"/>
              <w:ind w:right="57"/>
              <w:jc w:val="right"/>
              <w:rPr>
                <w:rFonts w:ascii="Arial Narrow" w:hAnsi="Arial Narrow" w:cs="Arial"/>
                <w:b/>
                <w:bCs/>
                <w:color w:val="FFFFFF" w:themeColor="background1"/>
                <w:sz w:val="18"/>
                <w:szCs w:val="18"/>
              </w:rPr>
            </w:pPr>
          </w:p>
        </w:tc>
        <w:tc>
          <w:tcPr>
            <w:tcW w:w="992" w:type="dxa"/>
            <w:shd w:val="clear" w:color="auto" w:fill="E42618"/>
            <w:vAlign w:val="center"/>
          </w:tcPr>
          <w:p w14:paraId="527AE514" w14:textId="262CBC01" w:rsidR="00AB5495" w:rsidRPr="00AB5495" w:rsidRDefault="00AB5495" w:rsidP="00AB5495">
            <w:pPr>
              <w:spacing w:before="40" w:after="20"/>
              <w:ind w:right="57"/>
              <w:jc w:val="right"/>
              <w:rPr>
                <w:rFonts w:ascii="Arial Narrow" w:hAnsi="Arial Narrow" w:cs="Arial"/>
                <w:b/>
                <w:bCs/>
                <w:color w:val="FFFFFF" w:themeColor="background1"/>
                <w:sz w:val="18"/>
                <w:szCs w:val="18"/>
              </w:rPr>
            </w:pPr>
            <w:r w:rsidRPr="00AB5495">
              <w:rPr>
                <w:rFonts w:ascii="Arial Narrow" w:hAnsi="Arial Narrow" w:cs="Arial"/>
                <w:b/>
                <w:bCs/>
                <w:color w:val="FFFFFF" w:themeColor="background1"/>
                <w:sz w:val="18"/>
                <w:szCs w:val="18"/>
              </w:rPr>
              <w:t>+1,5</w:t>
            </w:r>
          </w:p>
        </w:tc>
      </w:tr>
      <w:bookmarkEnd w:id="0"/>
    </w:tbl>
    <w:p w14:paraId="22AB9E94" w14:textId="77777777" w:rsidR="006651AB" w:rsidRPr="00262F9D" w:rsidRDefault="006651AB" w:rsidP="006651AB">
      <w:pPr>
        <w:tabs>
          <w:tab w:val="left" w:pos="851"/>
          <w:tab w:val="left" w:pos="9639"/>
        </w:tabs>
        <w:spacing w:before="0" w:after="120"/>
        <w:jc w:val="both"/>
        <w:rPr>
          <w:rFonts w:ascii="Arial" w:hAnsi="Arial" w:cs="Arial"/>
          <w:iCs/>
          <w:sz w:val="16"/>
          <w:szCs w:val="16"/>
        </w:rPr>
      </w:pPr>
    </w:p>
    <w:p w14:paraId="2CEF504F" w14:textId="77777777" w:rsidR="00184B06" w:rsidRPr="004324F0" w:rsidRDefault="00184B06" w:rsidP="00C1564D">
      <w:pPr>
        <w:spacing w:before="0" w:after="0"/>
        <w:rPr>
          <w:rFonts w:ascii="Arial Narrow" w:hAnsi="Arial Narrow" w:cs="Calibri"/>
          <w:b/>
          <w:bCs/>
          <w:color w:val="5F5F5F"/>
          <w:kern w:val="0"/>
          <w:sz w:val="22"/>
          <w:szCs w:val="22"/>
        </w:rPr>
      </w:pPr>
      <w:r w:rsidRPr="004324F0">
        <w:rPr>
          <w:rFonts w:ascii="Arial Narrow" w:hAnsi="Arial Narrow" w:cs="Arial"/>
          <w:b/>
          <w:color w:val="E42618"/>
          <w:sz w:val="22"/>
          <w:szCs w:val="22"/>
        </w:rPr>
        <w:t xml:space="preserve">FIGURA 2. </w:t>
      </w:r>
      <w:r w:rsidRPr="004324F0">
        <w:rPr>
          <w:rFonts w:ascii="Arial Narrow" w:hAnsi="Arial Narrow" w:cs="Calibri"/>
          <w:b/>
          <w:bCs/>
          <w:color w:val="5F5F5F"/>
          <w:kern w:val="0"/>
          <w:sz w:val="22"/>
          <w:szCs w:val="22"/>
        </w:rPr>
        <w:t>INDICI DEI PREZZI AL CONSUMO NIC PER DIVISIONE DI SPESA</w:t>
      </w:r>
    </w:p>
    <w:p w14:paraId="73E8B78B" w14:textId="0F1ED503" w:rsidR="00184B06" w:rsidRDefault="00DC4815" w:rsidP="00C30CFD">
      <w:pPr>
        <w:pStyle w:val="001TitoGra"/>
        <w:spacing w:after="120" w:line="240" w:lineRule="auto"/>
        <w:rPr>
          <w:rFonts w:cs="Calibri"/>
          <w:b w:val="0"/>
          <w:kern w:val="0"/>
          <w:sz w:val="20"/>
          <w:szCs w:val="20"/>
        </w:rPr>
      </w:pPr>
      <w:r>
        <w:rPr>
          <w:b w:val="0"/>
          <w:sz w:val="20"/>
          <w:szCs w:val="20"/>
        </w:rPr>
        <w:t>Novembre</w:t>
      </w:r>
      <w:r w:rsidR="00E06C6C">
        <w:rPr>
          <w:b w:val="0"/>
          <w:sz w:val="20"/>
          <w:szCs w:val="20"/>
        </w:rPr>
        <w:t xml:space="preserve"> 2025</w:t>
      </w:r>
      <w:r w:rsidR="00184B06" w:rsidRPr="00BB71FB">
        <w:rPr>
          <w:rFonts w:cs="Calibri"/>
          <w:b w:val="0"/>
          <w:kern w:val="0"/>
          <w:sz w:val="20"/>
          <w:szCs w:val="20"/>
        </w:rPr>
        <w:t>, variazioni percentuali tendenziali</w:t>
      </w:r>
      <w:r w:rsidR="00184B06" w:rsidRPr="004324F0">
        <w:rPr>
          <w:rFonts w:cs="Calibri"/>
          <w:b w:val="0"/>
          <w:kern w:val="0"/>
          <w:sz w:val="20"/>
          <w:szCs w:val="20"/>
        </w:rPr>
        <w:t xml:space="preserve"> (base 2015=100)</w:t>
      </w:r>
    </w:p>
    <w:p w14:paraId="41D64F53" w14:textId="2CBC7369" w:rsidR="00665C10" w:rsidRPr="00C8504B" w:rsidRDefault="009E35D6" w:rsidP="002B0DBA">
      <w:pPr>
        <w:pStyle w:val="001TitoGra"/>
        <w:spacing w:after="60" w:line="240" w:lineRule="auto"/>
        <w:rPr>
          <w:rFonts w:cs="Calibri"/>
          <w:b w:val="0"/>
          <w:kern w:val="0"/>
          <w:sz w:val="20"/>
          <w:szCs w:val="20"/>
        </w:rPr>
      </w:pPr>
      <w:r>
        <w:rPr>
          <w:rFonts w:cs="Calibri"/>
          <w:b w:val="0"/>
          <w:noProof/>
          <w:kern w:val="0"/>
          <w:sz w:val="20"/>
          <w:szCs w:val="20"/>
        </w:rPr>
        <w:drawing>
          <wp:inline distT="0" distB="0" distL="0" distR="0" wp14:anchorId="462FFF6F" wp14:editId="2153F3CB">
            <wp:extent cx="6663690" cy="2164080"/>
            <wp:effectExtent l="0" t="0" r="3810" b="7620"/>
            <wp:docPr id="12306622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3690" cy="2164080"/>
                    </a:xfrm>
                    <a:prstGeom prst="rect">
                      <a:avLst/>
                    </a:prstGeom>
                    <a:noFill/>
                  </pic:spPr>
                </pic:pic>
              </a:graphicData>
            </a:graphic>
          </wp:inline>
        </w:drawing>
      </w:r>
    </w:p>
    <w:p w14:paraId="0E22F5B5" w14:textId="77777777" w:rsidR="00695F65" w:rsidRPr="00E64513" w:rsidRDefault="00695F65" w:rsidP="00E64513">
      <w:pPr>
        <w:spacing w:before="0" w:after="80"/>
        <w:jc w:val="both"/>
        <w:rPr>
          <w:rFonts w:ascii="Arial" w:hAnsi="Arial"/>
          <w:kern w:val="0"/>
          <w:sz w:val="21"/>
          <w:szCs w:val="21"/>
        </w:rPr>
      </w:pPr>
    </w:p>
    <w:p w14:paraId="6E38E4DC" w14:textId="77777777" w:rsidR="004B33E4" w:rsidRPr="00C8504B" w:rsidRDefault="005B1978" w:rsidP="00F27D3B">
      <w:pPr>
        <w:pStyle w:val="001TitoloBolocco"/>
        <w:spacing w:after="80" w:line="240" w:lineRule="auto"/>
        <w:rPr>
          <w:szCs w:val="26"/>
        </w:rPr>
      </w:pPr>
      <w:r w:rsidRPr="00C8504B">
        <w:rPr>
          <w:szCs w:val="26"/>
        </w:rPr>
        <w:lastRenderedPageBreak/>
        <w:t>Le TIPOLOGIE DI PRODOTTO</w:t>
      </w:r>
    </w:p>
    <w:p w14:paraId="3C3300EC" w14:textId="6E08E616" w:rsidR="00AE5023" w:rsidRDefault="00DD26ED" w:rsidP="007F7081">
      <w:pPr>
        <w:spacing w:before="0" w:after="80"/>
        <w:jc w:val="both"/>
        <w:rPr>
          <w:rFonts w:ascii="Arial" w:hAnsi="Arial" w:cs="Arial"/>
          <w:color w:val="000000"/>
          <w:kern w:val="0"/>
          <w:sz w:val="21"/>
          <w:szCs w:val="21"/>
        </w:rPr>
      </w:pPr>
      <w:r w:rsidRPr="003873C5">
        <w:rPr>
          <w:rFonts w:ascii="Arial" w:hAnsi="Arial" w:cs="Arial"/>
          <w:color w:val="000000"/>
          <w:kern w:val="0"/>
          <w:sz w:val="21"/>
          <w:szCs w:val="21"/>
        </w:rPr>
        <w:t>A</w:t>
      </w:r>
      <w:r w:rsidR="00744DE8">
        <w:rPr>
          <w:rFonts w:ascii="Arial" w:hAnsi="Arial" w:cs="Arial"/>
          <w:color w:val="000000"/>
          <w:kern w:val="0"/>
          <w:sz w:val="21"/>
          <w:szCs w:val="21"/>
        </w:rPr>
        <w:t xml:space="preserve"> </w:t>
      </w:r>
      <w:r w:rsidR="00E85629">
        <w:rPr>
          <w:rFonts w:ascii="Arial" w:hAnsi="Arial" w:cs="Arial"/>
          <w:color w:val="000000"/>
          <w:kern w:val="0"/>
          <w:sz w:val="21"/>
          <w:szCs w:val="21"/>
        </w:rPr>
        <w:t>novembre</w:t>
      </w:r>
      <w:r w:rsidR="00744DE8">
        <w:rPr>
          <w:rFonts w:ascii="Arial" w:hAnsi="Arial" w:cs="Arial"/>
          <w:color w:val="000000"/>
          <w:kern w:val="0"/>
          <w:sz w:val="21"/>
          <w:szCs w:val="21"/>
        </w:rPr>
        <w:t xml:space="preserve"> </w:t>
      </w:r>
      <w:r w:rsidRPr="003873C5">
        <w:rPr>
          <w:rFonts w:ascii="Arial" w:hAnsi="Arial" w:cs="Arial"/>
          <w:color w:val="000000"/>
          <w:kern w:val="0"/>
          <w:sz w:val="21"/>
          <w:szCs w:val="21"/>
        </w:rPr>
        <w:t xml:space="preserve">l’inflazione </w:t>
      </w:r>
      <w:r w:rsidR="00744DE8">
        <w:rPr>
          <w:rFonts w:ascii="Arial" w:hAnsi="Arial" w:cs="Arial"/>
          <w:color w:val="000000"/>
          <w:kern w:val="0"/>
          <w:sz w:val="21"/>
          <w:szCs w:val="21"/>
        </w:rPr>
        <w:t>scende</w:t>
      </w:r>
      <w:r w:rsidR="00744DE8" w:rsidRPr="003873C5">
        <w:rPr>
          <w:rFonts w:ascii="Arial" w:hAnsi="Arial" w:cs="Arial"/>
          <w:color w:val="000000"/>
          <w:kern w:val="0"/>
          <w:sz w:val="21"/>
          <w:szCs w:val="21"/>
        </w:rPr>
        <w:t xml:space="preserve"> a </w:t>
      </w:r>
      <w:r w:rsidR="00744DE8">
        <w:rPr>
          <w:rFonts w:ascii="Arial" w:hAnsi="Arial" w:cs="Arial"/>
          <w:color w:val="000000"/>
          <w:kern w:val="0"/>
          <w:sz w:val="21"/>
          <w:szCs w:val="21"/>
        </w:rPr>
        <w:t>+1,</w:t>
      </w:r>
      <w:r w:rsidR="00E85629">
        <w:rPr>
          <w:rFonts w:ascii="Arial" w:hAnsi="Arial" w:cs="Arial"/>
          <w:color w:val="000000"/>
          <w:kern w:val="0"/>
          <w:sz w:val="21"/>
          <w:szCs w:val="21"/>
        </w:rPr>
        <w:t>1</w:t>
      </w:r>
      <w:r w:rsidR="00ED2906">
        <w:rPr>
          <w:rFonts w:ascii="Arial" w:hAnsi="Arial" w:cs="Arial"/>
          <w:color w:val="000000"/>
          <w:kern w:val="0"/>
          <w:sz w:val="21"/>
          <w:szCs w:val="21"/>
        </w:rPr>
        <w:t>%,</w:t>
      </w:r>
      <w:r w:rsidR="00ED2906" w:rsidRPr="00ED2906">
        <w:rPr>
          <w:rFonts w:ascii="Arial" w:hAnsi="Arial" w:cs="Arial"/>
          <w:color w:val="000000"/>
          <w:kern w:val="0"/>
          <w:sz w:val="21"/>
          <w:szCs w:val="21"/>
        </w:rPr>
        <w:t xml:space="preserve"> </w:t>
      </w:r>
      <w:r w:rsidR="00ED2906">
        <w:rPr>
          <w:rFonts w:ascii="Arial" w:hAnsi="Arial" w:cs="Arial"/>
          <w:color w:val="000000"/>
          <w:kern w:val="0"/>
          <w:sz w:val="21"/>
          <w:szCs w:val="21"/>
        </w:rPr>
        <w:t xml:space="preserve">per effetto della decelerazione dei prezzi dei </w:t>
      </w:r>
      <w:r w:rsidR="0042476E">
        <w:rPr>
          <w:rFonts w:ascii="Arial" w:hAnsi="Arial" w:cs="Arial"/>
          <w:color w:val="000000"/>
          <w:kern w:val="0"/>
          <w:sz w:val="21"/>
          <w:szCs w:val="21"/>
        </w:rPr>
        <w:t>servizi (da +2,6% a +2,</w:t>
      </w:r>
      <w:r w:rsidR="00F726C3">
        <w:rPr>
          <w:rFonts w:ascii="Arial" w:hAnsi="Arial" w:cs="Arial"/>
          <w:color w:val="000000"/>
          <w:kern w:val="0"/>
          <w:sz w:val="21"/>
          <w:szCs w:val="21"/>
        </w:rPr>
        <w:t>3</w:t>
      </w:r>
      <w:r w:rsidR="0042476E">
        <w:rPr>
          <w:rFonts w:ascii="Arial" w:hAnsi="Arial" w:cs="Arial"/>
          <w:color w:val="000000"/>
          <w:kern w:val="0"/>
          <w:sz w:val="21"/>
          <w:szCs w:val="21"/>
        </w:rPr>
        <w:t>%; -0,</w:t>
      </w:r>
      <w:r w:rsidR="00F726C3">
        <w:rPr>
          <w:rFonts w:ascii="Arial" w:hAnsi="Arial" w:cs="Arial"/>
          <w:color w:val="000000"/>
          <w:kern w:val="0"/>
          <w:sz w:val="21"/>
          <w:szCs w:val="21"/>
        </w:rPr>
        <w:t>7</w:t>
      </w:r>
      <w:r w:rsidR="0042476E">
        <w:rPr>
          <w:rFonts w:ascii="Arial" w:hAnsi="Arial" w:cs="Arial"/>
          <w:color w:val="000000"/>
          <w:kern w:val="0"/>
          <w:sz w:val="21"/>
          <w:szCs w:val="21"/>
        </w:rPr>
        <w:t>% su ottobre)</w:t>
      </w:r>
      <w:r w:rsidR="00F726C3">
        <w:rPr>
          <w:rFonts w:ascii="Arial" w:hAnsi="Arial" w:cs="Arial"/>
          <w:color w:val="000000"/>
          <w:kern w:val="0"/>
          <w:sz w:val="21"/>
          <w:szCs w:val="21"/>
        </w:rPr>
        <w:t xml:space="preserve"> e, in misura minore, dei</w:t>
      </w:r>
      <w:r w:rsidR="00ED2906">
        <w:rPr>
          <w:rFonts w:ascii="Arial" w:hAnsi="Arial" w:cs="Arial"/>
          <w:color w:val="000000"/>
          <w:kern w:val="0"/>
          <w:sz w:val="21"/>
          <w:szCs w:val="21"/>
        </w:rPr>
        <w:t xml:space="preserve"> </w:t>
      </w:r>
      <w:r w:rsidR="0042476E">
        <w:rPr>
          <w:rFonts w:ascii="Arial" w:hAnsi="Arial" w:cs="Arial"/>
          <w:color w:val="000000"/>
          <w:kern w:val="0"/>
          <w:sz w:val="21"/>
          <w:szCs w:val="21"/>
        </w:rPr>
        <w:t>beni</w:t>
      </w:r>
      <w:r w:rsidR="00ED2906">
        <w:rPr>
          <w:rFonts w:ascii="Arial" w:hAnsi="Arial" w:cs="Arial"/>
          <w:color w:val="000000"/>
          <w:kern w:val="0"/>
          <w:sz w:val="21"/>
          <w:szCs w:val="21"/>
        </w:rPr>
        <w:t xml:space="preserve"> (</w:t>
      </w:r>
      <w:r w:rsidR="00F726C3">
        <w:rPr>
          <w:rFonts w:ascii="Arial" w:hAnsi="Arial" w:cs="Arial"/>
          <w:color w:val="000000"/>
          <w:kern w:val="0"/>
          <w:sz w:val="21"/>
          <w:szCs w:val="21"/>
        </w:rPr>
        <w:t>d</w:t>
      </w:r>
      <w:r w:rsidR="00ED2906" w:rsidRPr="003873C5">
        <w:rPr>
          <w:rFonts w:ascii="Arial" w:hAnsi="Arial" w:cs="Arial"/>
          <w:color w:val="000000"/>
          <w:kern w:val="0"/>
          <w:sz w:val="21"/>
          <w:szCs w:val="21"/>
        </w:rPr>
        <w:t>a +</w:t>
      </w:r>
      <w:r w:rsidR="0042476E">
        <w:rPr>
          <w:rFonts w:ascii="Arial" w:hAnsi="Arial" w:cs="Arial"/>
          <w:color w:val="000000"/>
          <w:kern w:val="0"/>
          <w:sz w:val="21"/>
          <w:szCs w:val="21"/>
        </w:rPr>
        <w:t>0,2</w:t>
      </w:r>
      <w:r w:rsidR="00ED2906" w:rsidRPr="003873C5">
        <w:rPr>
          <w:rFonts w:ascii="Arial" w:hAnsi="Arial" w:cs="Arial"/>
          <w:color w:val="000000"/>
          <w:kern w:val="0"/>
          <w:sz w:val="21"/>
          <w:szCs w:val="21"/>
        </w:rPr>
        <w:t>%</w:t>
      </w:r>
      <w:r w:rsidR="00F726C3">
        <w:rPr>
          <w:rFonts w:ascii="Arial" w:hAnsi="Arial" w:cs="Arial"/>
          <w:color w:val="000000"/>
          <w:kern w:val="0"/>
          <w:sz w:val="21"/>
          <w:szCs w:val="21"/>
        </w:rPr>
        <w:t xml:space="preserve"> a +0,1%</w:t>
      </w:r>
      <w:r w:rsidR="00ED2906" w:rsidRPr="003873C5">
        <w:rPr>
          <w:rFonts w:ascii="Arial" w:hAnsi="Arial" w:cs="Arial"/>
          <w:color w:val="000000"/>
          <w:kern w:val="0"/>
          <w:sz w:val="21"/>
          <w:szCs w:val="21"/>
        </w:rPr>
        <w:t xml:space="preserve">; </w:t>
      </w:r>
      <w:r w:rsidR="0042476E">
        <w:rPr>
          <w:rFonts w:ascii="Arial" w:hAnsi="Arial" w:cs="Arial"/>
          <w:color w:val="000000"/>
          <w:kern w:val="0"/>
          <w:sz w:val="21"/>
          <w:szCs w:val="21"/>
        </w:rPr>
        <w:t>+0,</w:t>
      </w:r>
      <w:r w:rsidR="00F726C3">
        <w:rPr>
          <w:rFonts w:ascii="Arial" w:hAnsi="Arial" w:cs="Arial"/>
          <w:color w:val="000000"/>
          <w:kern w:val="0"/>
          <w:sz w:val="21"/>
          <w:szCs w:val="21"/>
        </w:rPr>
        <w:t>1</w:t>
      </w:r>
      <w:r w:rsidR="00ED2906" w:rsidRPr="003873C5">
        <w:rPr>
          <w:rFonts w:ascii="Arial" w:hAnsi="Arial" w:cs="Arial"/>
          <w:color w:val="000000"/>
          <w:kern w:val="0"/>
          <w:sz w:val="21"/>
          <w:szCs w:val="21"/>
        </w:rPr>
        <w:t xml:space="preserve">% su </w:t>
      </w:r>
      <w:r w:rsidR="0042476E">
        <w:rPr>
          <w:rFonts w:ascii="Arial" w:hAnsi="Arial" w:cs="Arial"/>
          <w:color w:val="000000"/>
          <w:kern w:val="0"/>
          <w:sz w:val="21"/>
          <w:szCs w:val="21"/>
        </w:rPr>
        <w:t>ottobre</w:t>
      </w:r>
      <w:r w:rsidR="00ED2906" w:rsidRPr="003873C5">
        <w:rPr>
          <w:rFonts w:ascii="Arial" w:hAnsi="Arial" w:cs="Arial"/>
          <w:color w:val="000000"/>
          <w:kern w:val="0"/>
          <w:sz w:val="21"/>
          <w:szCs w:val="21"/>
        </w:rPr>
        <w:t>)</w:t>
      </w:r>
      <w:r w:rsidR="00ED2906">
        <w:rPr>
          <w:rFonts w:ascii="Arial" w:hAnsi="Arial" w:cs="Arial"/>
          <w:color w:val="000000"/>
          <w:kern w:val="0"/>
          <w:sz w:val="21"/>
          <w:szCs w:val="21"/>
        </w:rPr>
        <w:t>.</w:t>
      </w:r>
      <w:r w:rsidR="00ED2906" w:rsidRPr="003873C5">
        <w:rPr>
          <w:rFonts w:ascii="Arial" w:hAnsi="Arial" w:cs="Arial"/>
          <w:color w:val="000000"/>
          <w:kern w:val="0"/>
          <w:sz w:val="21"/>
          <w:szCs w:val="21"/>
        </w:rPr>
        <w:t xml:space="preserve"> </w:t>
      </w:r>
      <w:r w:rsidR="00ED2906">
        <w:rPr>
          <w:rFonts w:ascii="Arial" w:hAnsi="Arial" w:cs="Arial"/>
          <w:color w:val="000000"/>
          <w:kern w:val="0"/>
          <w:sz w:val="21"/>
          <w:szCs w:val="21"/>
        </w:rPr>
        <w:t>I</w:t>
      </w:r>
      <w:r w:rsidR="00ED2906" w:rsidRPr="003873C5">
        <w:rPr>
          <w:rFonts w:ascii="Arial" w:hAnsi="Arial" w:cs="Arial"/>
          <w:color w:val="000000"/>
          <w:kern w:val="0"/>
          <w:sz w:val="21"/>
          <w:szCs w:val="21"/>
        </w:rPr>
        <w:t>l differenziale inflazionistico tra i prezzi dei servizi e quelli dei ben</w:t>
      </w:r>
      <w:r w:rsidR="00ED2906">
        <w:rPr>
          <w:rFonts w:ascii="Arial" w:hAnsi="Arial" w:cs="Arial"/>
          <w:color w:val="000000"/>
          <w:kern w:val="0"/>
          <w:sz w:val="21"/>
          <w:szCs w:val="21"/>
        </w:rPr>
        <w:t>i, pertanto, s</w:t>
      </w:r>
      <w:r w:rsidR="0042476E">
        <w:rPr>
          <w:rFonts w:ascii="Arial" w:hAnsi="Arial" w:cs="Arial"/>
          <w:color w:val="000000"/>
          <w:kern w:val="0"/>
          <w:sz w:val="21"/>
          <w:szCs w:val="21"/>
        </w:rPr>
        <w:t>cende</w:t>
      </w:r>
      <w:r w:rsidR="00ED2906">
        <w:rPr>
          <w:rFonts w:ascii="Arial" w:hAnsi="Arial" w:cs="Arial"/>
          <w:color w:val="000000"/>
          <w:kern w:val="0"/>
          <w:sz w:val="21"/>
          <w:szCs w:val="21"/>
        </w:rPr>
        <w:t xml:space="preserve"> a </w:t>
      </w:r>
      <w:r w:rsidR="00ED2906" w:rsidRPr="003873C5">
        <w:rPr>
          <w:rFonts w:ascii="Arial" w:hAnsi="Arial" w:cs="Arial"/>
          <w:color w:val="000000"/>
          <w:kern w:val="0"/>
          <w:sz w:val="21"/>
          <w:szCs w:val="21"/>
        </w:rPr>
        <w:t>+</w:t>
      </w:r>
      <w:r w:rsidR="00ED2906">
        <w:rPr>
          <w:rFonts w:ascii="Arial" w:hAnsi="Arial" w:cs="Arial"/>
          <w:color w:val="000000"/>
          <w:kern w:val="0"/>
          <w:sz w:val="21"/>
          <w:szCs w:val="21"/>
        </w:rPr>
        <w:t>2,</w:t>
      </w:r>
      <w:r w:rsidR="00F726C3">
        <w:rPr>
          <w:rFonts w:ascii="Arial" w:hAnsi="Arial" w:cs="Arial"/>
          <w:color w:val="000000"/>
          <w:kern w:val="0"/>
          <w:sz w:val="21"/>
          <w:szCs w:val="21"/>
        </w:rPr>
        <w:t>2</w:t>
      </w:r>
      <w:r w:rsidR="00ED2906" w:rsidRPr="003873C5">
        <w:rPr>
          <w:rFonts w:ascii="Arial" w:hAnsi="Arial" w:cs="Arial"/>
          <w:color w:val="000000"/>
          <w:kern w:val="0"/>
          <w:sz w:val="21"/>
          <w:szCs w:val="21"/>
        </w:rPr>
        <w:t xml:space="preserve"> punti percentuali</w:t>
      </w:r>
      <w:r w:rsidR="00ED2906">
        <w:rPr>
          <w:rFonts w:ascii="Arial" w:hAnsi="Arial" w:cs="Arial"/>
          <w:color w:val="000000"/>
          <w:kern w:val="0"/>
          <w:sz w:val="21"/>
          <w:szCs w:val="21"/>
        </w:rPr>
        <w:t xml:space="preserve"> (</w:t>
      </w:r>
      <w:r w:rsidR="00ED2906" w:rsidRPr="003873C5">
        <w:rPr>
          <w:rFonts w:ascii="Arial" w:hAnsi="Arial" w:cs="Arial"/>
          <w:color w:val="000000"/>
          <w:kern w:val="0"/>
          <w:sz w:val="21"/>
          <w:szCs w:val="21"/>
        </w:rPr>
        <w:t>da</w:t>
      </w:r>
      <w:r w:rsidR="00ED2906">
        <w:rPr>
          <w:rFonts w:ascii="Arial" w:hAnsi="Arial" w:cs="Arial"/>
          <w:color w:val="000000"/>
          <w:kern w:val="0"/>
          <w:sz w:val="21"/>
          <w:szCs w:val="21"/>
        </w:rPr>
        <w:t>i</w:t>
      </w:r>
      <w:r w:rsidR="00ED2906" w:rsidRPr="003873C5">
        <w:rPr>
          <w:rFonts w:ascii="Arial" w:hAnsi="Arial" w:cs="Arial"/>
          <w:color w:val="000000"/>
          <w:kern w:val="0"/>
          <w:sz w:val="21"/>
          <w:szCs w:val="21"/>
        </w:rPr>
        <w:t xml:space="preserve"> +</w:t>
      </w:r>
      <w:r w:rsidR="00ED2906">
        <w:rPr>
          <w:rFonts w:ascii="Arial" w:hAnsi="Arial" w:cs="Arial"/>
          <w:color w:val="000000"/>
          <w:kern w:val="0"/>
          <w:sz w:val="21"/>
          <w:szCs w:val="21"/>
        </w:rPr>
        <w:t>2,</w:t>
      </w:r>
      <w:r w:rsidR="0042476E">
        <w:rPr>
          <w:rFonts w:ascii="Arial" w:hAnsi="Arial" w:cs="Arial"/>
          <w:color w:val="000000"/>
          <w:kern w:val="0"/>
          <w:sz w:val="21"/>
          <w:szCs w:val="21"/>
        </w:rPr>
        <w:t>4</w:t>
      </w:r>
      <w:r w:rsidR="00ED2906" w:rsidRPr="003873C5">
        <w:rPr>
          <w:rFonts w:ascii="Arial" w:hAnsi="Arial" w:cs="Arial"/>
          <w:color w:val="000000"/>
          <w:kern w:val="0"/>
          <w:sz w:val="21"/>
          <w:szCs w:val="21"/>
        </w:rPr>
        <w:t xml:space="preserve"> </w:t>
      </w:r>
      <w:r w:rsidR="00E909FD">
        <w:rPr>
          <w:rFonts w:ascii="Arial" w:hAnsi="Arial" w:cs="Arial"/>
          <w:color w:val="000000"/>
          <w:kern w:val="0"/>
          <w:sz w:val="21"/>
          <w:szCs w:val="21"/>
        </w:rPr>
        <w:t xml:space="preserve">punti percentuali </w:t>
      </w:r>
      <w:r w:rsidR="00ED2906">
        <w:rPr>
          <w:rFonts w:ascii="Arial" w:hAnsi="Arial" w:cs="Arial"/>
          <w:color w:val="000000"/>
          <w:kern w:val="0"/>
          <w:sz w:val="21"/>
          <w:szCs w:val="21"/>
        </w:rPr>
        <w:t>del mese precedente</w:t>
      </w:r>
      <w:r w:rsidR="00ED2906" w:rsidRPr="003873C5">
        <w:rPr>
          <w:rFonts w:ascii="Arial" w:hAnsi="Arial" w:cs="Arial"/>
          <w:color w:val="000000"/>
          <w:kern w:val="0"/>
          <w:sz w:val="21"/>
          <w:szCs w:val="21"/>
        </w:rPr>
        <w:t>)</w:t>
      </w:r>
      <w:r w:rsidR="00ED2906">
        <w:rPr>
          <w:rFonts w:ascii="Arial" w:hAnsi="Arial" w:cs="Arial"/>
          <w:color w:val="000000"/>
          <w:kern w:val="0"/>
          <w:sz w:val="21"/>
          <w:szCs w:val="21"/>
        </w:rPr>
        <w:t>.</w:t>
      </w:r>
    </w:p>
    <w:p w14:paraId="2FE76B4D" w14:textId="1ECACA5C" w:rsidR="004F69CF" w:rsidRDefault="003322C0" w:rsidP="007F7081">
      <w:pPr>
        <w:spacing w:before="0" w:after="80"/>
        <w:jc w:val="both"/>
        <w:rPr>
          <w:rFonts w:ascii="Arial" w:hAnsi="Arial" w:cs="Arial"/>
          <w:color w:val="000000"/>
          <w:kern w:val="0"/>
          <w:sz w:val="21"/>
          <w:szCs w:val="21"/>
        </w:rPr>
      </w:pPr>
      <w:r w:rsidRPr="003873C5">
        <w:rPr>
          <w:rFonts w:ascii="Arial" w:hAnsi="Arial" w:cs="Arial"/>
          <w:color w:val="000000"/>
          <w:kern w:val="0"/>
          <w:sz w:val="21"/>
          <w:szCs w:val="21"/>
        </w:rPr>
        <w:t xml:space="preserve">La </w:t>
      </w:r>
      <w:r w:rsidR="00F726C3">
        <w:rPr>
          <w:rFonts w:ascii="Arial" w:hAnsi="Arial" w:cs="Arial"/>
          <w:color w:val="000000"/>
          <w:kern w:val="0"/>
          <w:sz w:val="21"/>
          <w:szCs w:val="21"/>
        </w:rPr>
        <w:t>dinamica</w:t>
      </w:r>
      <w:r w:rsidR="008A74F1">
        <w:rPr>
          <w:rFonts w:ascii="Arial" w:hAnsi="Arial" w:cs="Arial"/>
          <w:color w:val="000000"/>
          <w:kern w:val="0"/>
          <w:sz w:val="21"/>
          <w:szCs w:val="21"/>
        </w:rPr>
        <w:t xml:space="preserve"> </w:t>
      </w:r>
      <w:r w:rsidR="00597A37">
        <w:rPr>
          <w:rFonts w:ascii="Arial" w:hAnsi="Arial" w:cs="Arial"/>
          <w:color w:val="000000"/>
          <w:kern w:val="0"/>
          <w:sz w:val="21"/>
          <w:szCs w:val="21"/>
        </w:rPr>
        <w:t xml:space="preserve">della </w:t>
      </w:r>
      <w:r w:rsidR="008A74F1">
        <w:rPr>
          <w:rFonts w:ascii="Arial" w:hAnsi="Arial" w:cs="Arial"/>
          <w:color w:val="000000"/>
          <w:kern w:val="0"/>
          <w:sz w:val="21"/>
          <w:szCs w:val="21"/>
        </w:rPr>
        <w:t xml:space="preserve">crescita </w:t>
      </w:r>
      <w:r w:rsidRPr="003873C5">
        <w:rPr>
          <w:rFonts w:ascii="Arial" w:hAnsi="Arial" w:cs="Arial"/>
          <w:color w:val="000000"/>
          <w:kern w:val="0"/>
          <w:sz w:val="21"/>
          <w:szCs w:val="21"/>
        </w:rPr>
        <w:t xml:space="preserve">tendenziale dei </w:t>
      </w:r>
      <w:r>
        <w:rPr>
          <w:rFonts w:ascii="Arial" w:hAnsi="Arial" w:cs="Arial"/>
          <w:color w:val="000000"/>
          <w:kern w:val="0"/>
          <w:sz w:val="21"/>
          <w:szCs w:val="21"/>
        </w:rPr>
        <w:t xml:space="preserve">prezzi dei </w:t>
      </w:r>
      <w:r w:rsidRPr="003873C5">
        <w:rPr>
          <w:rFonts w:ascii="Arial" w:hAnsi="Arial" w:cs="Arial"/>
          <w:color w:val="000000"/>
          <w:kern w:val="0"/>
          <w:sz w:val="21"/>
          <w:szCs w:val="21"/>
        </w:rPr>
        <w:t xml:space="preserve">beni </w:t>
      </w:r>
      <w:r w:rsidR="00597A37">
        <w:rPr>
          <w:rFonts w:ascii="Arial" w:hAnsi="Arial" w:cs="Arial"/>
          <w:color w:val="000000"/>
          <w:kern w:val="0"/>
          <w:sz w:val="21"/>
          <w:szCs w:val="21"/>
        </w:rPr>
        <w:t>è sintesi de</w:t>
      </w:r>
      <w:r w:rsidR="00BF7041">
        <w:rPr>
          <w:rFonts w:ascii="Arial" w:hAnsi="Arial" w:cs="Arial"/>
          <w:color w:val="000000"/>
          <w:kern w:val="0"/>
          <w:sz w:val="21"/>
          <w:szCs w:val="21"/>
        </w:rPr>
        <w:t xml:space="preserve">gli </w:t>
      </w:r>
      <w:r w:rsidR="00597A37">
        <w:rPr>
          <w:rFonts w:ascii="Arial" w:hAnsi="Arial" w:cs="Arial"/>
          <w:color w:val="000000"/>
          <w:kern w:val="0"/>
          <w:sz w:val="21"/>
          <w:szCs w:val="21"/>
        </w:rPr>
        <w:t xml:space="preserve">andamenti </w:t>
      </w:r>
      <w:r w:rsidR="00BF7041">
        <w:rPr>
          <w:rFonts w:ascii="Arial" w:hAnsi="Arial" w:cs="Arial"/>
          <w:color w:val="000000"/>
          <w:kern w:val="0"/>
          <w:sz w:val="21"/>
          <w:szCs w:val="21"/>
        </w:rPr>
        <w:t xml:space="preserve">differenziati </w:t>
      </w:r>
      <w:r w:rsidR="00597A37">
        <w:rPr>
          <w:rFonts w:ascii="Arial" w:hAnsi="Arial" w:cs="Arial"/>
          <w:color w:val="000000"/>
          <w:kern w:val="0"/>
          <w:sz w:val="21"/>
          <w:szCs w:val="21"/>
        </w:rPr>
        <w:t>dei</w:t>
      </w:r>
      <w:r w:rsidR="00F726C3">
        <w:rPr>
          <w:rFonts w:ascii="Arial" w:hAnsi="Arial" w:cs="Arial"/>
          <w:color w:val="000000"/>
          <w:kern w:val="0"/>
          <w:sz w:val="21"/>
          <w:szCs w:val="21"/>
        </w:rPr>
        <w:t xml:space="preserve"> diversi raggruppamenti </w:t>
      </w:r>
      <w:r w:rsidR="00597A37">
        <w:rPr>
          <w:rFonts w:ascii="Arial" w:hAnsi="Arial" w:cs="Arial"/>
          <w:color w:val="000000"/>
          <w:kern w:val="0"/>
          <w:sz w:val="21"/>
          <w:szCs w:val="21"/>
        </w:rPr>
        <w:t xml:space="preserve">di spesa del comparto. </w:t>
      </w:r>
    </w:p>
    <w:p w14:paraId="3028160D" w14:textId="034F83B6" w:rsidR="00597A37" w:rsidRDefault="008A74F1" w:rsidP="007F7081">
      <w:pPr>
        <w:spacing w:before="0" w:after="80"/>
        <w:jc w:val="both"/>
        <w:rPr>
          <w:rFonts w:ascii="Arial" w:hAnsi="Arial" w:cs="Arial"/>
          <w:color w:val="000000"/>
          <w:kern w:val="0"/>
          <w:sz w:val="21"/>
          <w:szCs w:val="21"/>
        </w:rPr>
      </w:pPr>
      <w:r>
        <w:rPr>
          <w:rFonts w:ascii="Arial" w:hAnsi="Arial" w:cs="Arial"/>
          <w:color w:val="000000"/>
          <w:kern w:val="0"/>
          <w:sz w:val="21"/>
          <w:szCs w:val="21"/>
        </w:rPr>
        <w:t>N</w:t>
      </w:r>
      <w:r w:rsidR="00597A37">
        <w:rPr>
          <w:rFonts w:ascii="Arial" w:hAnsi="Arial" w:cs="Arial"/>
          <w:color w:val="000000"/>
          <w:kern w:val="0"/>
          <w:sz w:val="21"/>
          <w:szCs w:val="21"/>
        </w:rPr>
        <w:t>el settore alimentare la dinamica dei prezzi evidenzia segnali di rallentamento (da +2,3% a +</w:t>
      </w:r>
      <w:r w:rsidR="00F726C3">
        <w:rPr>
          <w:rFonts w:ascii="Arial" w:hAnsi="Arial" w:cs="Arial"/>
          <w:color w:val="000000"/>
          <w:kern w:val="0"/>
          <w:sz w:val="21"/>
          <w:szCs w:val="21"/>
        </w:rPr>
        <w:t>1,8</w:t>
      </w:r>
      <w:r w:rsidR="00597A37">
        <w:rPr>
          <w:rFonts w:ascii="Arial" w:hAnsi="Arial" w:cs="Arial"/>
          <w:color w:val="000000"/>
          <w:kern w:val="0"/>
          <w:sz w:val="21"/>
          <w:szCs w:val="21"/>
        </w:rPr>
        <w:t>%; +0,</w:t>
      </w:r>
      <w:r w:rsidR="00F726C3">
        <w:rPr>
          <w:rFonts w:ascii="Arial" w:hAnsi="Arial" w:cs="Arial"/>
          <w:color w:val="000000"/>
          <w:kern w:val="0"/>
          <w:sz w:val="21"/>
          <w:szCs w:val="21"/>
        </w:rPr>
        <w:t>1</w:t>
      </w:r>
      <w:r w:rsidR="00597A37">
        <w:rPr>
          <w:rFonts w:ascii="Arial" w:hAnsi="Arial" w:cs="Arial"/>
          <w:color w:val="000000"/>
          <w:kern w:val="0"/>
          <w:sz w:val="21"/>
          <w:szCs w:val="21"/>
        </w:rPr>
        <w:t xml:space="preserve">% su ottobre), che riguardano </w:t>
      </w:r>
      <w:r w:rsidR="00F726C3">
        <w:rPr>
          <w:rFonts w:ascii="Arial" w:hAnsi="Arial" w:cs="Arial"/>
          <w:color w:val="000000"/>
          <w:kern w:val="0"/>
          <w:sz w:val="21"/>
          <w:szCs w:val="21"/>
        </w:rPr>
        <w:t xml:space="preserve">sia gli Alimentari lavorati (da +2,5% a +2,1%; </w:t>
      </w:r>
      <w:r w:rsidR="00F726C3" w:rsidRPr="00562E86">
        <w:rPr>
          <w:rFonts w:ascii="Arial" w:hAnsi="Arial" w:cs="Arial"/>
          <w:color w:val="000000"/>
          <w:kern w:val="0"/>
          <w:sz w:val="21"/>
          <w:szCs w:val="21"/>
        </w:rPr>
        <w:t xml:space="preserve">-0,1% su ottobre) sia </w:t>
      </w:r>
      <w:r w:rsidR="00597A37" w:rsidRPr="00562E86">
        <w:rPr>
          <w:rFonts w:ascii="Arial" w:hAnsi="Arial" w:cs="Arial"/>
          <w:color w:val="000000"/>
          <w:kern w:val="0"/>
          <w:sz w:val="21"/>
          <w:szCs w:val="21"/>
        </w:rPr>
        <w:t>gli Alimentari non lavorati (da +1,9% a +1,</w:t>
      </w:r>
      <w:r w:rsidR="00F726C3" w:rsidRPr="00562E86">
        <w:rPr>
          <w:rFonts w:ascii="Arial" w:hAnsi="Arial" w:cs="Arial"/>
          <w:color w:val="000000"/>
          <w:kern w:val="0"/>
          <w:sz w:val="21"/>
          <w:szCs w:val="21"/>
        </w:rPr>
        <w:t>1</w:t>
      </w:r>
      <w:r w:rsidR="00597A37" w:rsidRPr="00562E86">
        <w:rPr>
          <w:rFonts w:ascii="Arial" w:hAnsi="Arial" w:cs="Arial"/>
          <w:color w:val="000000"/>
          <w:kern w:val="0"/>
          <w:sz w:val="21"/>
          <w:szCs w:val="21"/>
        </w:rPr>
        <w:t>%; +0,</w:t>
      </w:r>
      <w:r w:rsidR="00F726C3" w:rsidRPr="00562E86">
        <w:rPr>
          <w:rFonts w:ascii="Arial" w:hAnsi="Arial" w:cs="Arial"/>
          <w:color w:val="000000"/>
          <w:kern w:val="0"/>
          <w:sz w:val="21"/>
          <w:szCs w:val="21"/>
        </w:rPr>
        <w:t>4</w:t>
      </w:r>
      <w:r w:rsidR="00597A37" w:rsidRPr="00562E86">
        <w:rPr>
          <w:rFonts w:ascii="Arial" w:hAnsi="Arial" w:cs="Arial"/>
          <w:color w:val="000000"/>
          <w:kern w:val="0"/>
          <w:sz w:val="21"/>
          <w:szCs w:val="21"/>
        </w:rPr>
        <w:t>% su ottobre)</w:t>
      </w:r>
      <w:r w:rsidR="00DD3F10">
        <w:rPr>
          <w:rFonts w:ascii="Arial" w:hAnsi="Arial" w:cs="Arial"/>
          <w:color w:val="000000"/>
          <w:kern w:val="0"/>
          <w:sz w:val="21"/>
          <w:szCs w:val="21"/>
        </w:rPr>
        <w:t>.</w:t>
      </w:r>
      <w:r w:rsidR="00F726C3" w:rsidRPr="00562E86">
        <w:rPr>
          <w:rFonts w:ascii="Arial" w:hAnsi="Arial" w:cs="Arial"/>
          <w:color w:val="000000"/>
          <w:kern w:val="0"/>
          <w:sz w:val="21"/>
          <w:szCs w:val="21"/>
        </w:rPr>
        <w:t xml:space="preserve"> </w:t>
      </w:r>
      <w:r w:rsidR="00DD3F10">
        <w:rPr>
          <w:rFonts w:ascii="Arial" w:hAnsi="Arial" w:cs="Arial"/>
          <w:color w:val="000000"/>
          <w:kern w:val="0"/>
          <w:sz w:val="21"/>
          <w:szCs w:val="21"/>
        </w:rPr>
        <w:t>P</w:t>
      </w:r>
      <w:r w:rsidR="00F726C3" w:rsidRPr="00562E86">
        <w:rPr>
          <w:rFonts w:ascii="Arial" w:hAnsi="Arial" w:cs="Arial"/>
          <w:color w:val="000000"/>
          <w:kern w:val="0"/>
          <w:sz w:val="21"/>
          <w:szCs w:val="21"/>
        </w:rPr>
        <w:t>er questi ultimi</w:t>
      </w:r>
      <w:r w:rsidR="00597A37" w:rsidRPr="00562E86">
        <w:rPr>
          <w:rFonts w:ascii="Arial" w:hAnsi="Arial" w:cs="Arial"/>
          <w:color w:val="000000"/>
          <w:kern w:val="0"/>
          <w:sz w:val="21"/>
          <w:szCs w:val="21"/>
        </w:rPr>
        <w:t xml:space="preserve"> i prezzi della Frutta fresca o refrigerata diminuiscono, registrando un’inversione di tendenza (da +0,8% a -1,</w:t>
      </w:r>
      <w:r w:rsidR="002F0050" w:rsidRPr="00562E86">
        <w:rPr>
          <w:rFonts w:ascii="Arial" w:hAnsi="Arial" w:cs="Arial"/>
          <w:color w:val="000000"/>
          <w:kern w:val="0"/>
          <w:sz w:val="21"/>
          <w:szCs w:val="21"/>
        </w:rPr>
        <w:t>6</w:t>
      </w:r>
      <w:r w:rsidR="00597A37" w:rsidRPr="00562E86">
        <w:rPr>
          <w:rFonts w:ascii="Arial" w:hAnsi="Arial" w:cs="Arial"/>
          <w:color w:val="000000"/>
          <w:kern w:val="0"/>
          <w:sz w:val="21"/>
          <w:szCs w:val="21"/>
        </w:rPr>
        <w:t>%; +</w:t>
      </w:r>
      <w:r w:rsidR="002F0050" w:rsidRPr="00562E86">
        <w:rPr>
          <w:rFonts w:ascii="Arial" w:hAnsi="Arial" w:cs="Arial"/>
          <w:color w:val="000000"/>
          <w:kern w:val="0"/>
          <w:sz w:val="21"/>
          <w:szCs w:val="21"/>
        </w:rPr>
        <w:t>1,6</w:t>
      </w:r>
      <w:r w:rsidR="00597A37" w:rsidRPr="00562E86">
        <w:rPr>
          <w:rFonts w:ascii="Arial" w:hAnsi="Arial" w:cs="Arial"/>
          <w:color w:val="000000"/>
          <w:kern w:val="0"/>
          <w:sz w:val="21"/>
          <w:szCs w:val="21"/>
        </w:rPr>
        <w:t>% su ottobre), quelli dei Vegetali freschi o refrigerati diversi dalle patate ampliano la flessione (da -6,4% a -</w:t>
      </w:r>
      <w:r w:rsidR="002F0050" w:rsidRPr="00562E86">
        <w:rPr>
          <w:rFonts w:ascii="Arial" w:hAnsi="Arial" w:cs="Arial"/>
          <w:color w:val="000000"/>
          <w:kern w:val="0"/>
          <w:sz w:val="21"/>
          <w:szCs w:val="21"/>
        </w:rPr>
        <w:t>8,2</w:t>
      </w:r>
      <w:r w:rsidR="00597A37" w:rsidRPr="00562E86">
        <w:rPr>
          <w:rFonts w:ascii="Arial" w:hAnsi="Arial" w:cs="Arial"/>
          <w:color w:val="000000"/>
          <w:kern w:val="0"/>
          <w:sz w:val="21"/>
          <w:szCs w:val="21"/>
        </w:rPr>
        <w:t>%; -0,</w:t>
      </w:r>
      <w:r w:rsidR="002F0050" w:rsidRPr="00562E86">
        <w:rPr>
          <w:rFonts w:ascii="Arial" w:hAnsi="Arial" w:cs="Arial"/>
          <w:color w:val="000000"/>
          <w:kern w:val="0"/>
          <w:sz w:val="21"/>
          <w:szCs w:val="21"/>
        </w:rPr>
        <w:t>7</w:t>
      </w:r>
      <w:r w:rsidR="00597A37" w:rsidRPr="00562E86">
        <w:rPr>
          <w:rFonts w:ascii="Arial" w:hAnsi="Arial" w:cs="Arial"/>
          <w:color w:val="000000"/>
          <w:kern w:val="0"/>
          <w:sz w:val="21"/>
          <w:szCs w:val="21"/>
        </w:rPr>
        <w:t>% su ottobre).</w:t>
      </w:r>
      <w:r w:rsidR="00597A37">
        <w:rPr>
          <w:rFonts w:ascii="Arial" w:hAnsi="Arial" w:cs="Arial"/>
          <w:color w:val="000000"/>
          <w:kern w:val="0"/>
          <w:sz w:val="21"/>
          <w:szCs w:val="21"/>
        </w:rPr>
        <w:t xml:space="preserve"> </w:t>
      </w:r>
    </w:p>
    <w:p w14:paraId="400989B9" w14:textId="01F77DCD" w:rsidR="004F0C88" w:rsidRDefault="008D3FC9" w:rsidP="004F0C88">
      <w:pPr>
        <w:spacing w:before="0" w:after="80"/>
        <w:jc w:val="both"/>
        <w:rPr>
          <w:rFonts w:ascii="Arial" w:hAnsi="Arial" w:cs="Arial"/>
          <w:color w:val="000000"/>
          <w:kern w:val="0"/>
          <w:sz w:val="21"/>
          <w:szCs w:val="21"/>
        </w:rPr>
      </w:pPr>
      <w:r>
        <w:rPr>
          <w:rFonts w:ascii="Arial" w:hAnsi="Arial" w:cs="Arial"/>
          <w:color w:val="000000"/>
          <w:kern w:val="0"/>
          <w:sz w:val="21"/>
          <w:szCs w:val="21"/>
        </w:rPr>
        <w:t>I</w:t>
      </w:r>
      <w:r w:rsidR="004D6DDE">
        <w:rPr>
          <w:rFonts w:ascii="Arial" w:hAnsi="Arial" w:cs="Arial"/>
          <w:color w:val="000000"/>
          <w:kern w:val="0"/>
          <w:sz w:val="21"/>
          <w:szCs w:val="21"/>
        </w:rPr>
        <w:t xml:space="preserve"> prezzi</w:t>
      </w:r>
      <w:r w:rsidR="003322C0">
        <w:rPr>
          <w:rFonts w:ascii="Arial" w:hAnsi="Arial" w:cs="Arial"/>
          <w:color w:val="000000"/>
          <w:kern w:val="0"/>
          <w:sz w:val="21"/>
          <w:szCs w:val="21"/>
        </w:rPr>
        <w:t xml:space="preserve"> dei Beni energetici </w:t>
      </w:r>
      <w:r w:rsidR="004D6DDE">
        <w:rPr>
          <w:rFonts w:ascii="Arial" w:hAnsi="Arial" w:cs="Arial"/>
          <w:color w:val="000000"/>
          <w:kern w:val="0"/>
          <w:sz w:val="21"/>
          <w:szCs w:val="21"/>
        </w:rPr>
        <w:t xml:space="preserve">mostrano una flessione meno ampia </w:t>
      </w:r>
      <w:r w:rsidR="003322C0">
        <w:rPr>
          <w:rFonts w:ascii="Arial" w:hAnsi="Arial" w:cs="Arial"/>
          <w:color w:val="000000"/>
          <w:kern w:val="0"/>
          <w:sz w:val="21"/>
          <w:szCs w:val="21"/>
        </w:rPr>
        <w:t>(da -4,4% a -4,2%; +0,6% su ottobre)</w:t>
      </w:r>
      <w:r w:rsidR="004D6DDE">
        <w:rPr>
          <w:rFonts w:ascii="Arial" w:hAnsi="Arial" w:cs="Arial"/>
          <w:color w:val="000000"/>
          <w:kern w:val="0"/>
          <w:sz w:val="21"/>
          <w:szCs w:val="21"/>
        </w:rPr>
        <w:t>,</w:t>
      </w:r>
      <w:r>
        <w:rPr>
          <w:rFonts w:ascii="Arial" w:hAnsi="Arial" w:cs="Arial"/>
          <w:color w:val="000000"/>
          <w:kern w:val="0"/>
          <w:sz w:val="21"/>
          <w:szCs w:val="21"/>
        </w:rPr>
        <w:t xml:space="preserve"> che riflette la sensibile risalita dei prezzi</w:t>
      </w:r>
      <w:r w:rsidRPr="003370AE">
        <w:rPr>
          <w:rFonts w:ascii="Arial" w:hAnsi="Arial" w:cs="Arial"/>
          <w:color w:val="000000"/>
          <w:kern w:val="0"/>
          <w:sz w:val="21"/>
          <w:szCs w:val="21"/>
        </w:rPr>
        <w:t xml:space="preserve"> degli Energetici non regolamentati </w:t>
      </w:r>
      <w:r>
        <w:rPr>
          <w:rFonts w:ascii="Arial" w:hAnsi="Arial" w:cs="Arial"/>
          <w:color w:val="000000"/>
          <w:kern w:val="0"/>
          <w:sz w:val="21"/>
          <w:szCs w:val="21"/>
        </w:rPr>
        <w:t>(da -4,9% a -4,</w:t>
      </w:r>
      <w:r w:rsidR="00F726C3">
        <w:rPr>
          <w:rFonts w:ascii="Arial" w:hAnsi="Arial" w:cs="Arial"/>
          <w:color w:val="000000"/>
          <w:kern w:val="0"/>
          <w:sz w:val="21"/>
          <w:szCs w:val="21"/>
        </w:rPr>
        <w:t>3</w:t>
      </w:r>
      <w:r>
        <w:rPr>
          <w:rFonts w:ascii="Arial" w:hAnsi="Arial" w:cs="Arial"/>
          <w:color w:val="000000"/>
          <w:kern w:val="0"/>
          <w:sz w:val="21"/>
          <w:szCs w:val="21"/>
        </w:rPr>
        <w:t>%; +0,</w:t>
      </w:r>
      <w:r w:rsidR="00F726C3">
        <w:rPr>
          <w:rFonts w:ascii="Arial" w:hAnsi="Arial" w:cs="Arial"/>
          <w:color w:val="000000"/>
          <w:kern w:val="0"/>
          <w:sz w:val="21"/>
          <w:szCs w:val="21"/>
        </w:rPr>
        <w:t>7</w:t>
      </w:r>
      <w:r>
        <w:rPr>
          <w:rFonts w:ascii="Arial" w:hAnsi="Arial" w:cs="Arial"/>
          <w:color w:val="000000"/>
          <w:kern w:val="0"/>
          <w:sz w:val="21"/>
          <w:szCs w:val="21"/>
        </w:rPr>
        <w:t>% su ottobre)</w:t>
      </w:r>
      <w:r w:rsidR="004D33C6">
        <w:rPr>
          <w:rFonts w:ascii="Arial" w:hAnsi="Arial" w:cs="Arial"/>
          <w:color w:val="000000"/>
          <w:kern w:val="0"/>
          <w:sz w:val="21"/>
          <w:szCs w:val="21"/>
        </w:rPr>
        <w:t xml:space="preserve"> solo in parte controbilanciata dall’accentuarsi del calo dei prezzi dei Beni </w:t>
      </w:r>
      <w:r w:rsidR="00365B94">
        <w:rPr>
          <w:rFonts w:ascii="Arial" w:hAnsi="Arial" w:cs="Arial"/>
          <w:color w:val="000000"/>
          <w:kern w:val="0"/>
          <w:sz w:val="21"/>
          <w:szCs w:val="21"/>
        </w:rPr>
        <w:t>e</w:t>
      </w:r>
      <w:r w:rsidR="004D33C6">
        <w:rPr>
          <w:rFonts w:ascii="Arial" w:hAnsi="Arial" w:cs="Arial"/>
          <w:color w:val="000000"/>
          <w:kern w:val="0"/>
          <w:sz w:val="21"/>
          <w:szCs w:val="21"/>
        </w:rPr>
        <w:t>nergetici regolamentati (da -0,5% a -3,</w:t>
      </w:r>
      <w:r w:rsidR="00F726C3">
        <w:rPr>
          <w:rFonts w:ascii="Arial" w:hAnsi="Arial" w:cs="Arial"/>
          <w:color w:val="000000"/>
          <w:kern w:val="0"/>
          <w:sz w:val="21"/>
          <w:szCs w:val="21"/>
        </w:rPr>
        <w:t>2</w:t>
      </w:r>
      <w:r w:rsidR="004D33C6">
        <w:rPr>
          <w:rFonts w:ascii="Arial" w:hAnsi="Arial" w:cs="Arial"/>
          <w:color w:val="000000"/>
          <w:kern w:val="0"/>
          <w:sz w:val="21"/>
          <w:szCs w:val="21"/>
        </w:rPr>
        <w:t>%%; -0,</w:t>
      </w:r>
      <w:r w:rsidR="00F726C3">
        <w:rPr>
          <w:rFonts w:ascii="Arial" w:hAnsi="Arial" w:cs="Arial"/>
          <w:color w:val="000000"/>
          <w:kern w:val="0"/>
          <w:sz w:val="21"/>
          <w:szCs w:val="21"/>
        </w:rPr>
        <w:t>1</w:t>
      </w:r>
      <w:r w:rsidR="004D33C6">
        <w:rPr>
          <w:rFonts w:ascii="Arial" w:hAnsi="Arial" w:cs="Arial"/>
          <w:color w:val="000000"/>
          <w:kern w:val="0"/>
          <w:sz w:val="21"/>
          <w:szCs w:val="21"/>
        </w:rPr>
        <w:t>% su ottobre</w:t>
      </w:r>
      <w:r w:rsidR="004D33C6" w:rsidRPr="00C7654F">
        <w:rPr>
          <w:rFonts w:ascii="Arial" w:hAnsi="Arial" w:cs="Arial"/>
          <w:color w:val="000000"/>
          <w:kern w:val="0"/>
          <w:sz w:val="21"/>
          <w:szCs w:val="21"/>
        </w:rPr>
        <w:t>)</w:t>
      </w:r>
      <w:r w:rsidR="004D33C6">
        <w:rPr>
          <w:rFonts w:ascii="Arial" w:hAnsi="Arial" w:cs="Arial"/>
          <w:color w:val="000000"/>
          <w:kern w:val="0"/>
          <w:sz w:val="21"/>
          <w:szCs w:val="21"/>
        </w:rPr>
        <w:t>.</w:t>
      </w:r>
      <w:r w:rsidR="00042109">
        <w:rPr>
          <w:rFonts w:ascii="Arial" w:hAnsi="Arial" w:cs="Arial"/>
          <w:color w:val="000000"/>
          <w:kern w:val="0"/>
          <w:sz w:val="21"/>
          <w:szCs w:val="21"/>
        </w:rPr>
        <w:t xml:space="preserve"> </w:t>
      </w:r>
    </w:p>
    <w:p w14:paraId="4C330052" w14:textId="77777777" w:rsidR="008B1F50" w:rsidRPr="004F0C88" w:rsidRDefault="008B1F50" w:rsidP="004F0C88">
      <w:pPr>
        <w:spacing w:before="0" w:after="80"/>
        <w:jc w:val="both"/>
        <w:rPr>
          <w:rFonts w:ascii="Arial" w:hAnsi="Arial" w:cs="Arial"/>
          <w:color w:val="000000"/>
          <w:kern w:val="0"/>
        </w:rPr>
      </w:pPr>
    </w:p>
    <w:p w14:paraId="27A188AC" w14:textId="77777777" w:rsidR="005B1978" w:rsidRPr="00C8504B" w:rsidRDefault="003961E3" w:rsidP="009612C2">
      <w:pPr>
        <w:spacing w:before="0" w:after="0"/>
        <w:jc w:val="both"/>
        <w:rPr>
          <w:rFonts w:ascii="Arial Narrow" w:hAnsi="Arial Narrow" w:cs="Arial"/>
          <w:b/>
          <w:color w:val="5F5F5F"/>
          <w:sz w:val="22"/>
          <w:szCs w:val="22"/>
        </w:rPr>
      </w:pPr>
      <w:r w:rsidRPr="00C8504B">
        <w:rPr>
          <w:rFonts w:ascii="Arial Narrow" w:hAnsi="Arial Narrow" w:cs="Arial"/>
          <w:b/>
          <w:color w:val="E42618"/>
          <w:sz w:val="22"/>
          <w:szCs w:val="22"/>
        </w:rPr>
        <w:t>PROSPETTO</w:t>
      </w:r>
      <w:r w:rsidR="005B1978" w:rsidRPr="00C8504B">
        <w:rPr>
          <w:rFonts w:ascii="Arial Narrow" w:hAnsi="Arial Narrow" w:cs="Arial"/>
          <w:b/>
          <w:color w:val="E42618"/>
          <w:sz w:val="22"/>
          <w:szCs w:val="22"/>
        </w:rPr>
        <w:t xml:space="preserve"> </w:t>
      </w:r>
      <w:r w:rsidR="00E74721" w:rsidRPr="00C8504B">
        <w:rPr>
          <w:rFonts w:ascii="Arial Narrow" w:hAnsi="Arial Narrow" w:cs="Arial"/>
          <w:b/>
          <w:color w:val="E42618"/>
          <w:sz w:val="22"/>
          <w:szCs w:val="22"/>
        </w:rPr>
        <w:t>3</w:t>
      </w:r>
      <w:r w:rsidRPr="00C8504B">
        <w:rPr>
          <w:rFonts w:ascii="Arial Narrow" w:hAnsi="Arial Narrow" w:cs="Arial"/>
          <w:b/>
          <w:color w:val="E42618"/>
          <w:sz w:val="22"/>
          <w:szCs w:val="22"/>
        </w:rPr>
        <w:t>.</w:t>
      </w:r>
      <w:r w:rsidRPr="00C8504B">
        <w:rPr>
          <w:rFonts w:ascii="Arial Narrow" w:hAnsi="Arial Narrow" w:cs="Arial"/>
          <w:b/>
          <w:color w:val="5F5F5F"/>
        </w:rPr>
        <w:t xml:space="preserve"> </w:t>
      </w:r>
      <w:r w:rsidR="005B1978" w:rsidRPr="00C8504B">
        <w:rPr>
          <w:rFonts w:ascii="Arial Narrow" w:hAnsi="Arial Narrow" w:cs="Calibri"/>
          <w:b/>
          <w:bCs/>
          <w:color w:val="5F5F5F"/>
          <w:kern w:val="0"/>
          <w:sz w:val="22"/>
          <w:szCs w:val="22"/>
        </w:rPr>
        <w:t>INDICE DEI PREZZI AL CONSUMO NIC PER TIPOLOGIA DI PRODOTTO</w:t>
      </w:r>
    </w:p>
    <w:p w14:paraId="7B0507F2" w14:textId="7D7524DB" w:rsidR="005B1978" w:rsidRPr="00C8504B" w:rsidRDefault="00DC4815" w:rsidP="005B1978">
      <w:pPr>
        <w:spacing w:before="0" w:after="120"/>
        <w:jc w:val="both"/>
        <w:rPr>
          <w:rFonts w:ascii="Arial Narrow" w:hAnsi="Arial Narrow" w:cs="Arial"/>
          <w:color w:val="5F5F5F"/>
        </w:rPr>
      </w:pPr>
      <w:r>
        <w:rPr>
          <w:rFonts w:ascii="Arial Narrow" w:hAnsi="Arial Narrow" w:cs="Arial"/>
          <w:color w:val="5F5F5F"/>
        </w:rPr>
        <w:t>Novembre</w:t>
      </w:r>
      <w:r w:rsidR="0009240D">
        <w:rPr>
          <w:rFonts w:ascii="Arial Narrow" w:hAnsi="Arial Narrow" w:cs="Arial"/>
          <w:color w:val="5F5F5F"/>
        </w:rPr>
        <w:t xml:space="preserve"> 202</w:t>
      </w:r>
      <w:r w:rsidR="00405C6D">
        <w:rPr>
          <w:rFonts w:ascii="Arial Narrow" w:hAnsi="Arial Narrow" w:cs="Arial"/>
          <w:color w:val="5F5F5F"/>
        </w:rPr>
        <w:t>5</w:t>
      </w:r>
      <w:r w:rsidR="00CB0759" w:rsidRPr="00C8504B">
        <w:rPr>
          <w:rFonts w:ascii="Arial Narrow" w:hAnsi="Arial Narrow" w:cs="Arial"/>
          <w:color w:val="5F5F5F"/>
        </w:rPr>
        <w:t>,</w:t>
      </w:r>
      <w:r w:rsidR="00A25192" w:rsidRPr="00C8504B">
        <w:rPr>
          <w:rFonts w:ascii="Arial Narrow" w:hAnsi="Arial Narrow" w:cs="Arial"/>
          <w:color w:val="5F5F5F"/>
        </w:rPr>
        <w:t xml:space="preserve"> pesi e </w:t>
      </w:r>
      <w:r w:rsidR="005B1978" w:rsidRPr="00C8504B">
        <w:rPr>
          <w:rFonts w:ascii="Arial Narrow" w:hAnsi="Arial Narrow" w:cs="Arial"/>
          <w:color w:val="5F5F5F"/>
        </w:rPr>
        <w:t xml:space="preserve">variazioni </w:t>
      </w:r>
      <w:r w:rsidR="00A1287A" w:rsidRPr="00C8504B">
        <w:rPr>
          <w:rFonts w:ascii="Arial Narrow" w:hAnsi="Arial Narrow" w:cs="Arial"/>
          <w:color w:val="5F5F5F"/>
        </w:rPr>
        <w:t xml:space="preserve">congiunturali e tendenziali </w:t>
      </w:r>
      <w:r w:rsidR="005B1978" w:rsidRPr="00C8504B">
        <w:rPr>
          <w:rFonts w:ascii="Arial Narrow" w:hAnsi="Arial Narrow" w:cs="Arial"/>
          <w:color w:val="5F5F5F"/>
        </w:rPr>
        <w:t>percentuali (base 20</w:t>
      </w:r>
      <w:r w:rsidR="00FB2FA2" w:rsidRPr="00C8504B">
        <w:rPr>
          <w:rFonts w:ascii="Arial Narrow" w:hAnsi="Arial Narrow" w:cs="Arial"/>
          <w:color w:val="5F5F5F"/>
        </w:rPr>
        <w:t>15=100)</w:t>
      </w:r>
    </w:p>
    <w:tbl>
      <w:tblPr>
        <w:tblW w:w="10206" w:type="dxa"/>
        <w:tblInd w:w="70" w:type="dxa"/>
        <w:tblBorders>
          <w:top w:val="single" w:sz="4" w:space="0" w:color="auto"/>
          <w:bottom w:val="single" w:sz="4" w:space="0" w:color="auto"/>
          <w:insideH w:val="single" w:sz="4" w:space="0" w:color="auto"/>
        </w:tblBorders>
        <w:tblLayout w:type="fixed"/>
        <w:tblCellMar>
          <w:left w:w="70" w:type="dxa"/>
          <w:right w:w="0" w:type="dxa"/>
        </w:tblCellMar>
        <w:tblLook w:val="0400" w:firstRow="0" w:lastRow="0" w:firstColumn="0" w:lastColumn="0" w:noHBand="0" w:noVBand="1"/>
      </w:tblPr>
      <w:tblGrid>
        <w:gridCol w:w="4253"/>
        <w:gridCol w:w="992"/>
        <w:gridCol w:w="978"/>
        <w:gridCol w:w="1006"/>
        <w:gridCol w:w="992"/>
        <w:gridCol w:w="983"/>
        <w:gridCol w:w="1002"/>
      </w:tblGrid>
      <w:tr w:rsidR="00B33C41" w:rsidRPr="00C8504B" w14:paraId="5C6C5EF2" w14:textId="77777777" w:rsidTr="00851952">
        <w:trPr>
          <w:trHeight w:val="326"/>
          <w:tblHeader/>
        </w:trPr>
        <w:tc>
          <w:tcPr>
            <w:tcW w:w="4253" w:type="dxa"/>
            <w:vMerge w:val="restart"/>
            <w:vAlign w:val="center"/>
          </w:tcPr>
          <w:p w14:paraId="0B0ECA79" w14:textId="77777777" w:rsidR="00B33C41" w:rsidRPr="00C8504B" w:rsidRDefault="00B33C41" w:rsidP="00B33C41">
            <w:pPr>
              <w:spacing w:before="0" w:after="0"/>
              <w:ind w:left="-68"/>
              <w:rPr>
                <w:rFonts w:ascii="Arial Narrow" w:hAnsi="Arial Narrow" w:cs="Arial"/>
                <w:b/>
                <w:bCs/>
                <w:sz w:val="18"/>
                <w:szCs w:val="18"/>
              </w:rPr>
            </w:pPr>
            <w:r w:rsidRPr="00C8504B">
              <w:rPr>
                <w:rFonts w:ascii="Arial Narrow" w:hAnsi="Arial Narrow" w:cs="Arial"/>
                <w:b/>
                <w:bCs/>
                <w:sz w:val="18"/>
                <w:szCs w:val="18"/>
              </w:rPr>
              <w:t>TIPOLOGIE DI PRODOTTO</w:t>
            </w:r>
          </w:p>
        </w:tc>
        <w:tc>
          <w:tcPr>
            <w:tcW w:w="992" w:type="dxa"/>
            <w:vMerge w:val="restart"/>
            <w:shd w:val="clear" w:color="auto" w:fill="D9D9D9"/>
            <w:vAlign w:val="center"/>
          </w:tcPr>
          <w:p w14:paraId="517A4BAA" w14:textId="77777777" w:rsidR="00B33C41" w:rsidRPr="00C8504B" w:rsidRDefault="00B33C41" w:rsidP="00B33C41">
            <w:pPr>
              <w:spacing w:before="0" w:after="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984" w:type="dxa"/>
            <w:gridSpan w:val="2"/>
            <w:vAlign w:val="center"/>
          </w:tcPr>
          <w:p w14:paraId="5BB58C14" w14:textId="77777777" w:rsidR="00B33C41" w:rsidRPr="003750EC" w:rsidRDefault="00B33C41" w:rsidP="00B33C41">
            <w:pPr>
              <w:spacing w:before="0" w:after="0"/>
              <w:ind w:right="57"/>
              <w:jc w:val="right"/>
              <w:rPr>
                <w:rFonts w:ascii="Arial Narrow" w:hAnsi="Arial Narrow" w:cs="Arial"/>
                <w:b/>
                <w:bCs/>
                <w:sz w:val="18"/>
                <w:szCs w:val="18"/>
              </w:rPr>
            </w:pPr>
            <w:r w:rsidRPr="003750EC">
              <w:rPr>
                <w:rFonts w:ascii="Arial Narrow" w:hAnsi="Arial Narrow" w:cs="Arial"/>
                <w:b/>
                <w:bCs/>
                <w:sz w:val="18"/>
                <w:szCs w:val="18"/>
              </w:rPr>
              <w:t>Variazioni congiunturali</w:t>
            </w:r>
          </w:p>
        </w:tc>
        <w:tc>
          <w:tcPr>
            <w:tcW w:w="1975" w:type="dxa"/>
            <w:gridSpan w:val="2"/>
            <w:shd w:val="clear" w:color="auto" w:fill="D9D9D9"/>
            <w:vAlign w:val="center"/>
          </w:tcPr>
          <w:p w14:paraId="5ECBB481" w14:textId="77777777" w:rsidR="00B33C41" w:rsidRPr="003750EC" w:rsidRDefault="00B33C41" w:rsidP="00B33C41">
            <w:pPr>
              <w:spacing w:before="0" w:after="0"/>
              <w:ind w:right="57"/>
              <w:jc w:val="right"/>
              <w:rPr>
                <w:rFonts w:ascii="Arial Narrow" w:hAnsi="Arial Narrow" w:cs="Arial"/>
                <w:b/>
                <w:bCs/>
                <w:sz w:val="18"/>
                <w:szCs w:val="18"/>
              </w:rPr>
            </w:pPr>
            <w:r w:rsidRPr="003750EC">
              <w:rPr>
                <w:rFonts w:ascii="Arial Narrow" w:hAnsi="Arial Narrow" w:cs="Arial"/>
                <w:b/>
                <w:bCs/>
                <w:sz w:val="18"/>
                <w:szCs w:val="18"/>
              </w:rPr>
              <w:t>Variazioni tendenziali</w:t>
            </w:r>
          </w:p>
        </w:tc>
        <w:tc>
          <w:tcPr>
            <w:tcW w:w="1002" w:type="dxa"/>
            <w:vMerge w:val="restart"/>
            <w:vAlign w:val="center"/>
          </w:tcPr>
          <w:p w14:paraId="47D89F84" w14:textId="55F71324" w:rsidR="00B33C41" w:rsidRPr="00C8504B" w:rsidRDefault="00B33C41" w:rsidP="00195C52">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sidR="00202863">
              <w:rPr>
                <w:rFonts w:ascii="Arial Narrow" w:hAnsi="Arial Narrow" w:cs="Arial"/>
                <w:b/>
                <w:bCs/>
                <w:kern w:val="0"/>
                <w:sz w:val="18"/>
                <w:szCs w:val="18"/>
              </w:rPr>
              <w:t xml:space="preserve"> </w:t>
            </w:r>
            <w:r>
              <w:rPr>
                <w:rFonts w:ascii="Arial Narrow" w:hAnsi="Arial Narrow" w:cs="Arial"/>
                <w:b/>
                <w:bCs/>
                <w:kern w:val="0"/>
                <w:sz w:val="18"/>
                <w:szCs w:val="18"/>
              </w:rPr>
              <w:t>a</w:t>
            </w:r>
            <w:r w:rsidR="001E4776">
              <w:rPr>
                <w:rFonts w:ascii="Arial Narrow" w:hAnsi="Arial Narrow" w:cs="Arial"/>
                <w:b/>
                <w:bCs/>
                <w:kern w:val="0"/>
                <w:sz w:val="18"/>
                <w:szCs w:val="18"/>
              </w:rPr>
              <w:t xml:space="preserve"> </w:t>
            </w:r>
            <w:r w:rsidR="00DC4815">
              <w:rPr>
                <w:rFonts w:ascii="Arial Narrow" w:hAnsi="Arial Narrow" w:cs="Arial"/>
                <w:b/>
                <w:bCs/>
                <w:kern w:val="0"/>
                <w:sz w:val="18"/>
                <w:szCs w:val="18"/>
              </w:rPr>
              <w:t>novembre</w:t>
            </w:r>
          </w:p>
        </w:tc>
      </w:tr>
      <w:tr w:rsidR="00200BC8" w:rsidRPr="00C8504B" w14:paraId="24D9AE5C" w14:textId="77777777" w:rsidTr="00A170DD">
        <w:trPr>
          <w:trHeight w:val="381"/>
          <w:tblHeader/>
        </w:trPr>
        <w:tc>
          <w:tcPr>
            <w:tcW w:w="4253" w:type="dxa"/>
            <w:vMerge/>
            <w:vAlign w:val="center"/>
          </w:tcPr>
          <w:p w14:paraId="44835B81" w14:textId="77777777" w:rsidR="00200BC8" w:rsidRPr="00C8504B" w:rsidRDefault="00200BC8" w:rsidP="00200BC8">
            <w:pPr>
              <w:spacing w:before="40" w:after="20"/>
              <w:ind w:left="-68"/>
              <w:rPr>
                <w:rFonts w:ascii="Arial Narrow" w:hAnsi="Arial Narrow" w:cs="Arial"/>
                <w:b/>
                <w:bCs/>
                <w:sz w:val="18"/>
                <w:szCs w:val="18"/>
              </w:rPr>
            </w:pPr>
          </w:p>
        </w:tc>
        <w:tc>
          <w:tcPr>
            <w:tcW w:w="992" w:type="dxa"/>
            <w:vMerge/>
            <w:shd w:val="clear" w:color="auto" w:fill="D9D9D9"/>
            <w:vAlign w:val="center"/>
          </w:tcPr>
          <w:p w14:paraId="7E5A4BC9" w14:textId="77777777" w:rsidR="00200BC8" w:rsidRPr="00C8504B" w:rsidRDefault="00200BC8" w:rsidP="00200BC8">
            <w:pPr>
              <w:spacing w:before="40" w:after="20"/>
              <w:ind w:right="57"/>
              <w:jc w:val="right"/>
              <w:rPr>
                <w:rFonts w:ascii="Arial Narrow" w:hAnsi="Arial Narrow" w:cs="Arial"/>
                <w:b/>
                <w:bCs/>
                <w:sz w:val="18"/>
                <w:szCs w:val="18"/>
              </w:rPr>
            </w:pPr>
          </w:p>
        </w:tc>
        <w:tc>
          <w:tcPr>
            <w:tcW w:w="978" w:type="dxa"/>
            <w:vAlign w:val="center"/>
          </w:tcPr>
          <w:p w14:paraId="2420E1D0" w14:textId="5CFD9612" w:rsidR="00200BC8" w:rsidRDefault="00DC4815"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200BC8">
              <w:rPr>
                <w:rFonts w:ascii="Arial Narrow" w:hAnsi="Arial Narrow" w:cs="Arial"/>
                <w:kern w:val="0"/>
                <w:sz w:val="18"/>
                <w:szCs w:val="18"/>
                <w:u w:val="single"/>
              </w:rPr>
              <w:t>-25</w:t>
            </w:r>
          </w:p>
          <w:p w14:paraId="333EA6CC" w14:textId="178B90AD" w:rsidR="00200BC8" w:rsidRPr="00E03E58" w:rsidRDefault="00DC4815" w:rsidP="00200BC8">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ot</w:t>
            </w:r>
            <w:r w:rsidR="00200BC8">
              <w:rPr>
                <w:rFonts w:ascii="Arial Narrow" w:hAnsi="Arial Narrow" w:cs="Arial"/>
                <w:kern w:val="0"/>
                <w:sz w:val="18"/>
                <w:szCs w:val="18"/>
              </w:rPr>
              <w:t>t-25</w:t>
            </w:r>
          </w:p>
        </w:tc>
        <w:tc>
          <w:tcPr>
            <w:tcW w:w="1006" w:type="dxa"/>
            <w:vAlign w:val="center"/>
          </w:tcPr>
          <w:p w14:paraId="2D6BBBF2" w14:textId="737E3C1A" w:rsidR="00200BC8" w:rsidRDefault="00DC4815"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200BC8">
              <w:rPr>
                <w:rFonts w:ascii="Arial Narrow" w:hAnsi="Arial Narrow" w:cs="Arial"/>
                <w:kern w:val="0"/>
                <w:sz w:val="18"/>
                <w:szCs w:val="18"/>
                <w:u w:val="single"/>
              </w:rPr>
              <w:t>-24</w:t>
            </w:r>
          </w:p>
          <w:p w14:paraId="41FF17CE" w14:textId="5AA136E9" w:rsidR="00200BC8" w:rsidRPr="008814F3" w:rsidRDefault="00DC4815"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w:t>
            </w:r>
            <w:r w:rsidR="00200BC8">
              <w:rPr>
                <w:rFonts w:ascii="Arial Narrow" w:hAnsi="Arial Narrow" w:cs="Arial"/>
                <w:kern w:val="0"/>
                <w:sz w:val="18"/>
                <w:szCs w:val="18"/>
              </w:rPr>
              <w:t>-24</w:t>
            </w:r>
          </w:p>
        </w:tc>
        <w:tc>
          <w:tcPr>
            <w:tcW w:w="992" w:type="dxa"/>
            <w:vAlign w:val="center"/>
          </w:tcPr>
          <w:p w14:paraId="7F963E5C" w14:textId="73856CE6" w:rsidR="00200BC8" w:rsidRDefault="00DC4815"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200BC8">
              <w:rPr>
                <w:rFonts w:ascii="Arial Narrow" w:hAnsi="Arial Narrow" w:cs="Arial"/>
                <w:kern w:val="0"/>
                <w:sz w:val="18"/>
                <w:szCs w:val="18"/>
                <w:u w:val="single"/>
              </w:rPr>
              <w:t>-25</w:t>
            </w:r>
          </w:p>
          <w:p w14:paraId="43C81A9A" w14:textId="14356682" w:rsidR="00200BC8" w:rsidRPr="008814F3" w:rsidRDefault="00DC4815"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w:t>
            </w:r>
            <w:r w:rsidR="00200BC8">
              <w:rPr>
                <w:rFonts w:ascii="Arial Narrow" w:hAnsi="Arial Narrow" w:cs="Arial"/>
                <w:kern w:val="0"/>
                <w:sz w:val="18"/>
                <w:szCs w:val="18"/>
              </w:rPr>
              <w:t>-24</w:t>
            </w:r>
          </w:p>
        </w:tc>
        <w:tc>
          <w:tcPr>
            <w:tcW w:w="983" w:type="dxa"/>
            <w:vAlign w:val="center"/>
          </w:tcPr>
          <w:p w14:paraId="4B967310" w14:textId="4CC539FF" w:rsidR="00200BC8" w:rsidRDefault="00DC4815"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w:t>
            </w:r>
            <w:r w:rsidR="00200BC8">
              <w:rPr>
                <w:rFonts w:ascii="Arial Narrow" w:hAnsi="Arial Narrow" w:cs="Arial"/>
                <w:kern w:val="0"/>
                <w:sz w:val="18"/>
                <w:szCs w:val="18"/>
                <w:u w:val="single"/>
              </w:rPr>
              <w:t>-25</w:t>
            </w:r>
          </w:p>
          <w:p w14:paraId="22D494CD" w14:textId="5AFB53E2" w:rsidR="00200BC8" w:rsidRPr="008814F3" w:rsidRDefault="00DC4815"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w:t>
            </w:r>
            <w:r w:rsidR="00200BC8">
              <w:rPr>
                <w:rFonts w:ascii="Arial Narrow" w:hAnsi="Arial Narrow" w:cs="Arial"/>
                <w:kern w:val="0"/>
                <w:sz w:val="18"/>
                <w:szCs w:val="18"/>
              </w:rPr>
              <w:t>-24</w:t>
            </w:r>
          </w:p>
        </w:tc>
        <w:tc>
          <w:tcPr>
            <w:tcW w:w="1002" w:type="dxa"/>
            <w:vMerge/>
            <w:vAlign w:val="center"/>
          </w:tcPr>
          <w:p w14:paraId="505D42D4" w14:textId="77777777" w:rsidR="00200BC8" w:rsidRPr="00CF0807" w:rsidRDefault="00200BC8" w:rsidP="00200BC8">
            <w:pPr>
              <w:spacing w:before="0" w:after="0"/>
              <w:jc w:val="right"/>
              <w:rPr>
                <w:rFonts w:ascii="Arial Narrow" w:hAnsi="Arial Narrow" w:cs="Arial"/>
                <w:bCs/>
                <w:sz w:val="18"/>
                <w:szCs w:val="18"/>
              </w:rPr>
            </w:pPr>
          </w:p>
        </w:tc>
      </w:tr>
      <w:tr w:rsidR="00226A72" w:rsidRPr="001F398B" w14:paraId="153D775A" w14:textId="77777777" w:rsidTr="00226A72">
        <w:trPr>
          <w:trHeight w:val="255"/>
          <w:tblHeader/>
        </w:trPr>
        <w:tc>
          <w:tcPr>
            <w:tcW w:w="4253" w:type="dxa"/>
            <w:vAlign w:val="center"/>
          </w:tcPr>
          <w:p w14:paraId="4E02D61D" w14:textId="77777777" w:rsidR="00226A72" w:rsidRPr="00C8504B" w:rsidRDefault="00226A72" w:rsidP="00226A72">
            <w:pPr>
              <w:spacing w:before="40" w:after="20"/>
              <w:ind w:left="-68"/>
              <w:rPr>
                <w:rFonts w:ascii="Arial Narrow" w:hAnsi="Arial Narrow" w:cs="Arial"/>
                <w:sz w:val="18"/>
                <w:szCs w:val="18"/>
              </w:rPr>
            </w:pPr>
            <w:r w:rsidRPr="00C8504B">
              <w:rPr>
                <w:rFonts w:ascii="Arial Narrow" w:hAnsi="Arial Narrow" w:cs="Arial"/>
                <w:sz w:val="18"/>
                <w:szCs w:val="18"/>
              </w:rPr>
              <w:t>Beni alimentari, di cui:</w:t>
            </w:r>
          </w:p>
        </w:tc>
        <w:tc>
          <w:tcPr>
            <w:tcW w:w="992" w:type="dxa"/>
            <w:shd w:val="clear" w:color="auto" w:fill="D9D9D9"/>
            <w:vAlign w:val="center"/>
          </w:tcPr>
          <w:p w14:paraId="5DDCF671"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180.891</w:t>
            </w:r>
          </w:p>
        </w:tc>
        <w:tc>
          <w:tcPr>
            <w:tcW w:w="978" w:type="dxa"/>
            <w:tcMar>
              <w:left w:w="142" w:type="dxa"/>
            </w:tcMar>
            <w:vAlign w:val="center"/>
          </w:tcPr>
          <w:p w14:paraId="00E73A13" w14:textId="19843007"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+0,1</w:t>
            </w:r>
          </w:p>
        </w:tc>
        <w:tc>
          <w:tcPr>
            <w:tcW w:w="1006" w:type="dxa"/>
            <w:shd w:val="clear" w:color="auto" w:fill="D9D9D9"/>
            <w:tcMar>
              <w:left w:w="85" w:type="dxa"/>
            </w:tcMar>
            <w:vAlign w:val="center"/>
          </w:tcPr>
          <w:p w14:paraId="41ABA965" w14:textId="6C4CC463"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+0,6</w:t>
            </w:r>
          </w:p>
        </w:tc>
        <w:tc>
          <w:tcPr>
            <w:tcW w:w="992" w:type="dxa"/>
            <w:tcMar>
              <w:left w:w="85" w:type="dxa"/>
            </w:tcMar>
            <w:vAlign w:val="center"/>
          </w:tcPr>
          <w:p w14:paraId="718E4DE6" w14:textId="05E57145"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+1,8</w:t>
            </w:r>
          </w:p>
        </w:tc>
        <w:tc>
          <w:tcPr>
            <w:tcW w:w="983" w:type="dxa"/>
            <w:shd w:val="clear" w:color="auto" w:fill="D9D9D9"/>
            <w:tcMar>
              <w:left w:w="85" w:type="dxa"/>
            </w:tcMar>
            <w:vAlign w:val="center"/>
          </w:tcPr>
          <w:p w14:paraId="7B4F5D6C" w14:textId="32DC9DAD"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+2,3</w:t>
            </w:r>
          </w:p>
        </w:tc>
        <w:tc>
          <w:tcPr>
            <w:tcW w:w="1002" w:type="dxa"/>
            <w:tcMar>
              <w:left w:w="284" w:type="dxa"/>
              <w:right w:w="85" w:type="dxa"/>
            </w:tcMar>
            <w:vAlign w:val="center"/>
          </w:tcPr>
          <w:p w14:paraId="2EBFF597" w14:textId="2C42BECB"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+2,8</w:t>
            </w:r>
          </w:p>
        </w:tc>
      </w:tr>
      <w:tr w:rsidR="00226A72" w:rsidRPr="001F398B" w14:paraId="7C4FF213" w14:textId="77777777" w:rsidTr="00226A72">
        <w:trPr>
          <w:trHeight w:val="255"/>
          <w:tblHeader/>
        </w:trPr>
        <w:tc>
          <w:tcPr>
            <w:tcW w:w="4253" w:type="dxa"/>
            <w:vAlign w:val="center"/>
          </w:tcPr>
          <w:p w14:paraId="721874D6" w14:textId="77777777" w:rsidR="00226A72" w:rsidRPr="00C8504B" w:rsidRDefault="00226A72" w:rsidP="00226A72">
            <w:pPr>
              <w:spacing w:before="40" w:after="20"/>
              <w:ind w:firstLine="214"/>
              <w:rPr>
                <w:rFonts w:ascii="Arial Narrow" w:hAnsi="Arial Narrow" w:cs="Arial"/>
                <w:sz w:val="18"/>
                <w:szCs w:val="18"/>
              </w:rPr>
            </w:pPr>
            <w:r w:rsidRPr="00C8504B">
              <w:rPr>
                <w:rFonts w:ascii="Arial Narrow" w:hAnsi="Arial Narrow" w:cs="Arial"/>
                <w:sz w:val="18"/>
                <w:szCs w:val="18"/>
              </w:rPr>
              <w:t>Alimentari lavorati</w:t>
            </w:r>
          </w:p>
        </w:tc>
        <w:tc>
          <w:tcPr>
            <w:tcW w:w="992" w:type="dxa"/>
            <w:shd w:val="clear" w:color="auto" w:fill="D9D9D9"/>
            <w:vAlign w:val="center"/>
          </w:tcPr>
          <w:p w14:paraId="2F4717F9"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114.108</w:t>
            </w:r>
          </w:p>
        </w:tc>
        <w:tc>
          <w:tcPr>
            <w:tcW w:w="978" w:type="dxa"/>
            <w:tcMar>
              <w:left w:w="142" w:type="dxa"/>
            </w:tcMar>
            <w:vAlign w:val="center"/>
          </w:tcPr>
          <w:p w14:paraId="556F8A64" w14:textId="29E9E32A"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-0,1</w:t>
            </w:r>
          </w:p>
        </w:tc>
        <w:tc>
          <w:tcPr>
            <w:tcW w:w="1006" w:type="dxa"/>
            <w:shd w:val="clear" w:color="auto" w:fill="D9D9D9"/>
            <w:tcMar>
              <w:left w:w="85" w:type="dxa"/>
            </w:tcMar>
            <w:vAlign w:val="center"/>
          </w:tcPr>
          <w:p w14:paraId="331CFD7D" w14:textId="37E03DBC"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+0,3</w:t>
            </w:r>
          </w:p>
        </w:tc>
        <w:tc>
          <w:tcPr>
            <w:tcW w:w="992" w:type="dxa"/>
            <w:tcMar>
              <w:left w:w="85" w:type="dxa"/>
            </w:tcMar>
            <w:vAlign w:val="center"/>
          </w:tcPr>
          <w:p w14:paraId="7A35721C" w14:textId="7B66EC61"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+2,1</w:t>
            </w:r>
          </w:p>
        </w:tc>
        <w:tc>
          <w:tcPr>
            <w:tcW w:w="983" w:type="dxa"/>
            <w:shd w:val="clear" w:color="auto" w:fill="D9D9D9"/>
            <w:tcMar>
              <w:left w:w="85" w:type="dxa"/>
            </w:tcMar>
            <w:vAlign w:val="center"/>
          </w:tcPr>
          <w:p w14:paraId="6F6783DF" w14:textId="7EBC2F01"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+2,5</w:t>
            </w:r>
          </w:p>
        </w:tc>
        <w:tc>
          <w:tcPr>
            <w:tcW w:w="1002" w:type="dxa"/>
            <w:tcMar>
              <w:left w:w="284" w:type="dxa"/>
              <w:right w:w="85" w:type="dxa"/>
            </w:tcMar>
            <w:vAlign w:val="center"/>
          </w:tcPr>
          <w:p w14:paraId="713AEAD5" w14:textId="62777337"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+2,4</w:t>
            </w:r>
          </w:p>
        </w:tc>
      </w:tr>
      <w:tr w:rsidR="00226A72" w:rsidRPr="001F398B" w14:paraId="39C0BEC3" w14:textId="77777777" w:rsidTr="00226A72">
        <w:trPr>
          <w:trHeight w:val="255"/>
          <w:tblHeader/>
        </w:trPr>
        <w:tc>
          <w:tcPr>
            <w:tcW w:w="4253" w:type="dxa"/>
            <w:vAlign w:val="center"/>
          </w:tcPr>
          <w:p w14:paraId="2206B71E" w14:textId="77777777" w:rsidR="00226A72" w:rsidRPr="00C8504B" w:rsidRDefault="00226A72" w:rsidP="00226A72">
            <w:pPr>
              <w:spacing w:before="40" w:after="20"/>
              <w:ind w:firstLine="214"/>
              <w:rPr>
                <w:rFonts w:ascii="Arial Narrow" w:hAnsi="Arial Narrow" w:cs="Arial"/>
                <w:sz w:val="18"/>
                <w:szCs w:val="18"/>
              </w:rPr>
            </w:pPr>
            <w:r w:rsidRPr="00C8504B">
              <w:rPr>
                <w:rFonts w:ascii="Arial Narrow" w:hAnsi="Arial Narrow" w:cs="Arial"/>
                <w:sz w:val="18"/>
                <w:szCs w:val="18"/>
              </w:rPr>
              <w:t>Alimentari non lavorati</w:t>
            </w:r>
          </w:p>
        </w:tc>
        <w:tc>
          <w:tcPr>
            <w:tcW w:w="992" w:type="dxa"/>
            <w:shd w:val="clear" w:color="auto" w:fill="D9D9D9"/>
            <w:vAlign w:val="center"/>
          </w:tcPr>
          <w:p w14:paraId="76ABC93F"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66.783</w:t>
            </w:r>
          </w:p>
        </w:tc>
        <w:tc>
          <w:tcPr>
            <w:tcW w:w="978" w:type="dxa"/>
            <w:tcMar>
              <w:left w:w="142" w:type="dxa"/>
            </w:tcMar>
            <w:vAlign w:val="center"/>
          </w:tcPr>
          <w:p w14:paraId="37545D70" w14:textId="60548B6F"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+0,4</w:t>
            </w:r>
          </w:p>
        </w:tc>
        <w:tc>
          <w:tcPr>
            <w:tcW w:w="1006" w:type="dxa"/>
            <w:shd w:val="clear" w:color="auto" w:fill="D9D9D9"/>
            <w:tcMar>
              <w:left w:w="85" w:type="dxa"/>
            </w:tcMar>
            <w:vAlign w:val="center"/>
          </w:tcPr>
          <w:p w14:paraId="3A916CBA" w14:textId="18819CCD"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+1,2</w:t>
            </w:r>
          </w:p>
        </w:tc>
        <w:tc>
          <w:tcPr>
            <w:tcW w:w="992" w:type="dxa"/>
            <w:tcMar>
              <w:left w:w="85" w:type="dxa"/>
            </w:tcMar>
            <w:vAlign w:val="center"/>
          </w:tcPr>
          <w:p w14:paraId="7804E9A4" w14:textId="40329B25"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+1,1</w:t>
            </w:r>
          </w:p>
        </w:tc>
        <w:tc>
          <w:tcPr>
            <w:tcW w:w="983" w:type="dxa"/>
            <w:shd w:val="clear" w:color="auto" w:fill="D9D9D9"/>
            <w:tcMar>
              <w:left w:w="85" w:type="dxa"/>
            </w:tcMar>
            <w:vAlign w:val="center"/>
          </w:tcPr>
          <w:p w14:paraId="6F84431E" w14:textId="1450E6F2"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+1,9</w:t>
            </w:r>
          </w:p>
        </w:tc>
        <w:tc>
          <w:tcPr>
            <w:tcW w:w="1002" w:type="dxa"/>
            <w:tcMar>
              <w:left w:w="284" w:type="dxa"/>
              <w:right w:w="85" w:type="dxa"/>
            </w:tcMar>
            <w:vAlign w:val="center"/>
          </w:tcPr>
          <w:p w14:paraId="400FD08E" w14:textId="074CA5BB"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+3,4</w:t>
            </w:r>
          </w:p>
        </w:tc>
      </w:tr>
      <w:tr w:rsidR="00226A72" w:rsidRPr="001F398B" w14:paraId="286DF9F0" w14:textId="77777777" w:rsidTr="00226A72">
        <w:trPr>
          <w:trHeight w:val="255"/>
          <w:tblHeader/>
        </w:trPr>
        <w:tc>
          <w:tcPr>
            <w:tcW w:w="4253" w:type="dxa"/>
            <w:vAlign w:val="center"/>
          </w:tcPr>
          <w:p w14:paraId="32631D40" w14:textId="77777777" w:rsidR="00226A72" w:rsidRPr="00C8504B" w:rsidRDefault="00226A72" w:rsidP="00226A72">
            <w:pPr>
              <w:spacing w:before="40" w:after="20"/>
              <w:ind w:left="-68"/>
              <w:rPr>
                <w:rFonts w:ascii="Arial Narrow" w:hAnsi="Arial Narrow" w:cs="Arial"/>
                <w:sz w:val="18"/>
                <w:szCs w:val="18"/>
              </w:rPr>
            </w:pPr>
            <w:r w:rsidRPr="00C8504B">
              <w:rPr>
                <w:rFonts w:ascii="Arial Narrow" w:hAnsi="Arial Narrow" w:cs="Arial"/>
                <w:sz w:val="18"/>
                <w:szCs w:val="18"/>
              </w:rPr>
              <w:t>Beni energetici, di cui:</w:t>
            </w:r>
          </w:p>
        </w:tc>
        <w:tc>
          <w:tcPr>
            <w:tcW w:w="992" w:type="dxa"/>
            <w:shd w:val="clear" w:color="auto" w:fill="D9D9D9"/>
            <w:vAlign w:val="center"/>
          </w:tcPr>
          <w:p w14:paraId="1F65F4FF"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106.961</w:t>
            </w:r>
          </w:p>
        </w:tc>
        <w:tc>
          <w:tcPr>
            <w:tcW w:w="978" w:type="dxa"/>
            <w:tcMar>
              <w:left w:w="142" w:type="dxa"/>
            </w:tcMar>
            <w:vAlign w:val="center"/>
          </w:tcPr>
          <w:p w14:paraId="25749ED3" w14:textId="6DEF6BC0"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+0,6</w:t>
            </w:r>
          </w:p>
        </w:tc>
        <w:tc>
          <w:tcPr>
            <w:tcW w:w="1006" w:type="dxa"/>
            <w:shd w:val="clear" w:color="auto" w:fill="D9D9D9"/>
            <w:tcMar>
              <w:left w:w="85" w:type="dxa"/>
            </w:tcMar>
            <w:vAlign w:val="center"/>
          </w:tcPr>
          <w:p w14:paraId="05FDC35F" w14:textId="0FEFEBEE"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+0,3</w:t>
            </w:r>
          </w:p>
        </w:tc>
        <w:tc>
          <w:tcPr>
            <w:tcW w:w="992" w:type="dxa"/>
            <w:tcMar>
              <w:left w:w="85" w:type="dxa"/>
            </w:tcMar>
            <w:vAlign w:val="center"/>
          </w:tcPr>
          <w:p w14:paraId="733CC842" w14:textId="2620CA50"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-4,2</w:t>
            </w:r>
          </w:p>
        </w:tc>
        <w:tc>
          <w:tcPr>
            <w:tcW w:w="983" w:type="dxa"/>
            <w:shd w:val="clear" w:color="auto" w:fill="D9D9D9"/>
            <w:tcMar>
              <w:left w:w="85" w:type="dxa"/>
            </w:tcMar>
            <w:vAlign w:val="center"/>
          </w:tcPr>
          <w:p w14:paraId="7DDB8761" w14:textId="7BD195FF"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-4,4</w:t>
            </w:r>
          </w:p>
        </w:tc>
        <w:tc>
          <w:tcPr>
            <w:tcW w:w="1002" w:type="dxa"/>
            <w:tcMar>
              <w:left w:w="284" w:type="dxa"/>
              <w:right w:w="85" w:type="dxa"/>
            </w:tcMar>
            <w:vAlign w:val="center"/>
          </w:tcPr>
          <w:p w14:paraId="69E59ABB" w14:textId="357A17EC"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-2,3</w:t>
            </w:r>
          </w:p>
        </w:tc>
      </w:tr>
      <w:tr w:rsidR="00226A72" w:rsidRPr="001F398B" w14:paraId="2CE2E205" w14:textId="77777777" w:rsidTr="00226A72">
        <w:trPr>
          <w:trHeight w:val="255"/>
          <w:tblHeader/>
        </w:trPr>
        <w:tc>
          <w:tcPr>
            <w:tcW w:w="4253" w:type="dxa"/>
            <w:vAlign w:val="center"/>
          </w:tcPr>
          <w:p w14:paraId="1E1A2549" w14:textId="77777777" w:rsidR="00226A72" w:rsidRPr="00C8504B" w:rsidRDefault="00226A72" w:rsidP="00226A72">
            <w:pPr>
              <w:spacing w:before="40" w:after="20"/>
              <w:ind w:firstLine="214"/>
              <w:rPr>
                <w:rFonts w:ascii="Arial Narrow" w:hAnsi="Arial Narrow" w:cs="Arial"/>
                <w:sz w:val="18"/>
                <w:szCs w:val="18"/>
              </w:rPr>
            </w:pPr>
            <w:r w:rsidRPr="00C8504B">
              <w:rPr>
                <w:rFonts w:ascii="Arial Narrow" w:hAnsi="Arial Narrow" w:cs="Arial"/>
                <w:sz w:val="18"/>
                <w:szCs w:val="18"/>
              </w:rPr>
              <w:t>Energetici regolamentati</w:t>
            </w:r>
          </w:p>
        </w:tc>
        <w:tc>
          <w:tcPr>
            <w:tcW w:w="992" w:type="dxa"/>
            <w:shd w:val="clear" w:color="auto" w:fill="D9D9D9"/>
            <w:vAlign w:val="center"/>
          </w:tcPr>
          <w:p w14:paraId="6C1524BA"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7.331</w:t>
            </w:r>
          </w:p>
        </w:tc>
        <w:tc>
          <w:tcPr>
            <w:tcW w:w="978" w:type="dxa"/>
            <w:tcMar>
              <w:left w:w="142" w:type="dxa"/>
            </w:tcMar>
            <w:vAlign w:val="center"/>
          </w:tcPr>
          <w:p w14:paraId="022EF127" w14:textId="695DA8F7"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-0,1</w:t>
            </w:r>
          </w:p>
        </w:tc>
        <w:tc>
          <w:tcPr>
            <w:tcW w:w="1006" w:type="dxa"/>
            <w:shd w:val="clear" w:color="auto" w:fill="D9D9D9"/>
            <w:tcMar>
              <w:left w:w="85" w:type="dxa"/>
            </w:tcMar>
            <w:vAlign w:val="center"/>
          </w:tcPr>
          <w:p w14:paraId="5DE62920" w14:textId="1D482510"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+2,7</w:t>
            </w:r>
          </w:p>
        </w:tc>
        <w:tc>
          <w:tcPr>
            <w:tcW w:w="992" w:type="dxa"/>
            <w:tcMar>
              <w:left w:w="85" w:type="dxa"/>
            </w:tcMar>
            <w:vAlign w:val="center"/>
          </w:tcPr>
          <w:p w14:paraId="61C4A72A" w14:textId="0C4B0783"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-3,2</w:t>
            </w:r>
          </w:p>
        </w:tc>
        <w:tc>
          <w:tcPr>
            <w:tcW w:w="983" w:type="dxa"/>
            <w:shd w:val="clear" w:color="auto" w:fill="D9D9D9"/>
            <w:tcMar>
              <w:left w:w="85" w:type="dxa"/>
            </w:tcMar>
            <w:vAlign w:val="center"/>
          </w:tcPr>
          <w:p w14:paraId="504DCE5F" w14:textId="05CD85DF"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-0,5</w:t>
            </w:r>
          </w:p>
        </w:tc>
        <w:tc>
          <w:tcPr>
            <w:tcW w:w="1002" w:type="dxa"/>
            <w:tcMar>
              <w:left w:w="284" w:type="dxa"/>
              <w:right w:w="85" w:type="dxa"/>
            </w:tcMar>
            <w:vAlign w:val="center"/>
          </w:tcPr>
          <w:p w14:paraId="53F303BA" w14:textId="55DD775C"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+16,2</w:t>
            </w:r>
          </w:p>
        </w:tc>
      </w:tr>
      <w:tr w:rsidR="00226A72" w:rsidRPr="001F398B" w14:paraId="115060F4" w14:textId="77777777" w:rsidTr="00226A72">
        <w:trPr>
          <w:trHeight w:val="255"/>
          <w:tblHeader/>
        </w:trPr>
        <w:tc>
          <w:tcPr>
            <w:tcW w:w="4253" w:type="dxa"/>
            <w:vAlign w:val="center"/>
          </w:tcPr>
          <w:p w14:paraId="17059F6D" w14:textId="77777777" w:rsidR="00226A72" w:rsidRPr="00C8504B" w:rsidRDefault="00226A72" w:rsidP="00226A72">
            <w:pPr>
              <w:spacing w:before="40" w:after="20"/>
              <w:ind w:firstLine="214"/>
              <w:rPr>
                <w:rFonts w:ascii="Arial Narrow" w:hAnsi="Arial Narrow" w:cs="Arial"/>
                <w:sz w:val="18"/>
                <w:szCs w:val="18"/>
              </w:rPr>
            </w:pPr>
            <w:r w:rsidRPr="00C8504B">
              <w:rPr>
                <w:rFonts w:ascii="Arial Narrow" w:hAnsi="Arial Narrow" w:cs="Arial"/>
                <w:sz w:val="18"/>
                <w:szCs w:val="18"/>
              </w:rPr>
              <w:t>Energetici non regolamentati</w:t>
            </w:r>
          </w:p>
        </w:tc>
        <w:tc>
          <w:tcPr>
            <w:tcW w:w="992" w:type="dxa"/>
            <w:shd w:val="clear" w:color="auto" w:fill="D9D9D9"/>
            <w:vAlign w:val="center"/>
          </w:tcPr>
          <w:p w14:paraId="4DC1E89F"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99.630</w:t>
            </w:r>
          </w:p>
        </w:tc>
        <w:tc>
          <w:tcPr>
            <w:tcW w:w="978" w:type="dxa"/>
            <w:tcMar>
              <w:left w:w="142" w:type="dxa"/>
            </w:tcMar>
            <w:vAlign w:val="center"/>
          </w:tcPr>
          <w:p w14:paraId="2305F54E" w14:textId="1E90AC8C"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+0,7</w:t>
            </w:r>
          </w:p>
        </w:tc>
        <w:tc>
          <w:tcPr>
            <w:tcW w:w="1006" w:type="dxa"/>
            <w:shd w:val="clear" w:color="auto" w:fill="D9D9D9"/>
            <w:tcMar>
              <w:left w:w="85" w:type="dxa"/>
            </w:tcMar>
            <w:vAlign w:val="center"/>
          </w:tcPr>
          <w:p w14:paraId="36A06723" w14:textId="19A2EC92"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+0,1</w:t>
            </w:r>
          </w:p>
        </w:tc>
        <w:tc>
          <w:tcPr>
            <w:tcW w:w="992" w:type="dxa"/>
            <w:tcMar>
              <w:left w:w="85" w:type="dxa"/>
            </w:tcMar>
            <w:vAlign w:val="center"/>
          </w:tcPr>
          <w:p w14:paraId="42A16D3A" w14:textId="18144F81"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-4,3</w:t>
            </w:r>
          </w:p>
        </w:tc>
        <w:tc>
          <w:tcPr>
            <w:tcW w:w="983" w:type="dxa"/>
            <w:shd w:val="clear" w:color="auto" w:fill="D9D9D9"/>
            <w:tcMar>
              <w:left w:w="85" w:type="dxa"/>
            </w:tcMar>
            <w:vAlign w:val="center"/>
          </w:tcPr>
          <w:p w14:paraId="45E816CC" w14:textId="0FDB3724"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-4,9</w:t>
            </w:r>
          </w:p>
        </w:tc>
        <w:tc>
          <w:tcPr>
            <w:tcW w:w="1002" w:type="dxa"/>
            <w:tcMar>
              <w:left w:w="284" w:type="dxa"/>
              <w:right w:w="85" w:type="dxa"/>
            </w:tcMar>
            <w:vAlign w:val="center"/>
          </w:tcPr>
          <w:p w14:paraId="73BF69F2" w14:textId="74823A4E"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-3,8</w:t>
            </w:r>
          </w:p>
        </w:tc>
      </w:tr>
      <w:tr w:rsidR="00226A72" w:rsidRPr="001F398B" w14:paraId="0E4DB22D" w14:textId="77777777" w:rsidTr="00226A72">
        <w:trPr>
          <w:trHeight w:val="255"/>
          <w:tblHeader/>
        </w:trPr>
        <w:tc>
          <w:tcPr>
            <w:tcW w:w="4253" w:type="dxa"/>
            <w:vAlign w:val="center"/>
          </w:tcPr>
          <w:p w14:paraId="53A423D1" w14:textId="77777777" w:rsidR="00226A72" w:rsidRPr="00C8504B" w:rsidRDefault="00226A72" w:rsidP="00226A72">
            <w:pPr>
              <w:spacing w:before="40" w:after="20"/>
              <w:ind w:left="-68"/>
              <w:rPr>
                <w:rFonts w:ascii="Arial Narrow" w:hAnsi="Arial Narrow" w:cs="Arial"/>
                <w:sz w:val="18"/>
                <w:szCs w:val="18"/>
              </w:rPr>
            </w:pPr>
            <w:r w:rsidRPr="00C8504B">
              <w:rPr>
                <w:rFonts w:ascii="Arial Narrow" w:hAnsi="Arial Narrow" w:cs="Arial"/>
                <w:sz w:val="18"/>
                <w:szCs w:val="18"/>
              </w:rPr>
              <w:t>Tabacchi</w:t>
            </w:r>
          </w:p>
        </w:tc>
        <w:tc>
          <w:tcPr>
            <w:tcW w:w="992" w:type="dxa"/>
            <w:shd w:val="clear" w:color="auto" w:fill="D9D9D9"/>
            <w:vAlign w:val="center"/>
          </w:tcPr>
          <w:p w14:paraId="5AFEE516"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20.511</w:t>
            </w:r>
          </w:p>
        </w:tc>
        <w:tc>
          <w:tcPr>
            <w:tcW w:w="978" w:type="dxa"/>
            <w:tcMar>
              <w:left w:w="142" w:type="dxa"/>
            </w:tcMar>
            <w:vAlign w:val="center"/>
          </w:tcPr>
          <w:p w14:paraId="7FA766DD" w14:textId="028FF6C8"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0,0</w:t>
            </w:r>
          </w:p>
        </w:tc>
        <w:tc>
          <w:tcPr>
            <w:tcW w:w="1006" w:type="dxa"/>
            <w:shd w:val="clear" w:color="auto" w:fill="D9D9D9"/>
            <w:tcMar>
              <w:left w:w="85" w:type="dxa"/>
            </w:tcMar>
            <w:vAlign w:val="center"/>
          </w:tcPr>
          <w:p w14:paraId="54221F60" w14:textId="2267C70F"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0,0</w:t>
            </w:r>
          </w:p>
        </w:tc>
        <w:tc>
          <w:tcPr>
            <w:tcW w:w="992" w:type="dxa"/>
            <w:tcMar>
              <w:left w:w="85" w:type="dxa"/>
            </w:tcMar>
            <w:vAlign w:val="center"/>
          </w:tcPr>
          <w:p w14:paraId="3C1A7FB7" w14:textId="4229FC2F"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+3,2</w:t>
            </w:r>
          </w:p>
        </w:tc>
        <w:tc>
          <w:tcPr>
            <w:tcW w:w="983" w:type="dxa"/>
            <w:shd w:val="clear" w:color="auto" w:fill="D9D9D9"/>
            <w:tcMar>
              <w:left w:w="85" w:type="dxa"/>
            </w:tcMar>
            <w:vAlign w:val="center"/>
          </w:tcPr>
          <w:p w14:paraId="5FA26127" w14:textId="5A58F449"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+3,2</w:t>
            </w:r>
          </w:p>
        </w:tc>
        <w:tc>
          <w:tcPr>
            <w:tcW w:w="1002" w:type="dxa"/>
            <w:tcMar>
              <w:left w:w="284" w:type="dxa"/>
              <w:right w:w="85" w:type="dxa"/>
            </w:tcMar>
            <w:vAlign w:val="center"/>
          </w:tcPr>
          <w:p w14:paraId="7375EE8E" w14:textId="25EF8BFB"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+3,5</w:t>
            </w:r>
          </w:p>
        </w:tc>
      </w:tr>
      <w:tr w:rsidR="00226A72" w:rsidRPr="001F398B" w14:paraId="360C6DCD" w14:textId="77777777" w:rsidTr="00226A72">
        <w:trPr>
          <w:trHeight w:val="255"/>
          <w:tblHeader/>
        </w:trPr>
        <w:tc>
          <w:tcPr>
            <w:tcW w:w="4253" w:type="dxa"/>
            <w:vAlign w:val="center"/>
          </w:tcPr>
          <w:p w14:paraId="55B93419" w14:textId="77777777" w:rsidR="00226A72" w:rsidRPr="00C8504B" w:rsidRDefault="00226A72" w:rsidP="00226A72">
            <w:pPr>
              <w:spacing w:before="40" w:after="20"/>
              <w:ind w:left="-68"/>
              <w:rPr>
                <w:rFonts w:ascii="Arial Narrow" w:hAnsi="Arial Narrow" w:cs="Arial"/>
                <w:sz w:val="18"/>
                <w:szCs w:val="18"/>
              </w:rPr>
            </w:pPr>
            <w:r w:rsidRPr="00C8504B">
              <w:rPr>
                <w:rFonts w:ascii="Arial Narrow" w:hAnsi="Arial Narrow" w:cs="Arial"/>
                <w:sz w:val="18"/>
                <w:szCs w:val="18"/>
              </w:rPr>
              <w:t>Altri beni, di cui:</w:t>
            </w:r>
          </w:p>
        </w:tc>
        <w:tc>
          <w:tcPr>
            <w:tcW w:w="992" w:type="dxa"/>
            <w:shd w:val="clear" w:color="auto" w:fill="D9D9D9"/>
            <w:vAlign w:val="center"/>
          </w:tcPr>
          <w:p w14:paraId="3D10956C"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251.253</w:t>
            </w:r>
          </w:p>
        </w:tc>
        <w:tc>
          <w:tcPr>
            <w:tcW w:w="978" w:type="dxa"/>
            <w:tcMar>
              <w:left w:w="142" w:type="dxa"/>
            </w:tcMar>
            <w:vAlign w:val="center"/>
          </w:tcPr>
          <w:p w14:paraId="4041311E" w14:textId="4CE92D97"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-0,1</w:t>
            </w:r>
          </w:p>
        </w:tc>
        <w:tc>
          <w:tcPr>
            <w:tcW w:w="1006" w:type="dxa"/>
            <w:shd w:val="clear" w:color="auto" w:fill="D9D9D9"/>
            <w:tcMar>
              <w:left w:w="85" w:type="dxa"/>
            </w:tcMar>
            <w:vAlign w:val="center"/>
          </w:tcPr>
          <w:p w14:paraId="2006206B" w14:textId="591D9232"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-0,2</w:t>
            </w:r>
          </w:p>
        </w:tc>
        <w:tc>
          <w:tcPr>
            <w:tcW w:w="992" w:type="dxa"/>
            <w:tcMar>
              <w:left w:w="85" w:type="dxa"/>
            </w:tcMar>
            <w:vAlign w:val="center"/>
          </w:tcPr>
          <w:p w14:paraId="26167E84" w14:textId="3206CC16"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+0,5</w:t>
            </w:r>
          </w:p>
        </w:tc>
        <w:tc>
          <w:tcPr>
            <w:tcW w:w="983" w:type="dxa"/>
            <w:shd w:val="clear" w:color="auto" w:fill="D9D9D9"/>
            <w:tcMar>
              <w:left w:w="85" w:type="dxa"/>
            </w:tcMar>
            <w:vAlign w:val="center"/>
          </w:tcPr>
          <w:p w14:paraId="48005908" w14:textId="55BF56F2"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+0,4</w:t>
            </w:r>
          </w:p>
        </w:tc>
        <w:tc>
          <w:tcPr>
            <w:tcW w:w="1002" w:type="dxa"/>
            <w:tcMar>
              <w:left w:w="284" w:type="dxa"/>
              <w:right w:w="85" w:type="dxa"/>
            </w:tcMar>
            <w:vAlign w:val="center"/>
          </w:tcPr>
          <w:p w14:paraId="506461E5" w14:textId="086371A1"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+0,3</w:t>
            </w:r>
          </w:p>
        </w:tc>
      </w:tr>
      <w:tr w:rsidR="00226A72" w:rsidRPr="00C8504B" w14:paraId="5DCA2C52" w14:textId="77777777" w:rsidTr="00226A72">
        <w:trPr>
          <w:trHeight w:val="255"/>
          <w:tblHeader/>
        </w:trPr>
        <w:tc>
          <w:tcPr>
            <w:tcW w:w="4253" w:type="dxa"/>
            <w:vAlign w:val="center"/>
          </w:tcPr>
          <w:p w14:paraId="15DD229F" w14:textId="77777777" w:rsidR="00226A72" w:rsidRPr="00C8504B" w:rsidRDefault="00226A72" w:rsidP="00226A72">
            <w:pPr>
              <w:spacing w:before="40" w:after="20"/>
              <w:ind w:firstLine="214"/>
              <w:rPr>
                <w:rFonts w:ascii="Arial Narrow" w:hAnsi="Arial Narrow" w:cs="Arial"/>
                <w:sz w:val="18"/>
                <w:szCs w:val="18"/>
              </w:rPr>
            </w:pPr>
            <w:r w:rsidRPr="00C8504B">
              <w:rPr>
                <w:rFonts w:ascii="Arial Narrow" w:hAnsi="Arial Narrow" w:cs="Arial"/>
                <w:sz w:val="18"/>
                <w:szCs w:val="18"/>
              </w:rPr>
              <w:t>Beni durevoli</w:t>
            </w:r>
          </w:p>
        </w:tc>
        <w:tc>
          <w:tcPr>
            <w:tcW w:w="992" w:type="dxa"/>
            <w:shd w:val="clear" w:color="auto" w:fill="D9D9D9"/>
            <w:vAlign w:val="center"/>
          </w:tcPr>
          <w:p w14:paraId="5F85FCBC"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95.820</w:t>
            </w:r>
          </w:p>
        </w:tc>
        <w:tc>
          <w:tcPr>
            <w:tcW w:w="978" w:type="dxa"/>
            <w:tcMar>
              <w:left w:w="142" w:type="dxa"/>
            </w:tcMar>
            <w:vAlign w:val="center"/>
          </w:tcPr>
          <w:p w14:paraId="323DA35F" w14:textId="40DD98F3"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-0,3</w:t>
            </w:r>
          </w:p>
        </w:tc>
        <w:tc>
          <w:tcPr>
            <w:tcW w:w="1006" w:type="dxa"/>
            <w:shd w:val="clear" w:color="auto" w:fill="D9D9D9"/>
            <w:tcMar>
              <w:left w:w="85" w:type="dxa"/>
            </w:tcMar>
            <w:vAlign w:val="center"/>
          </w:tcPr>
          <w:p w14:paraId="01B13CA5" w14:textId="3D4E8509"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-0,6</w:t>
            </w:r>
          </w:p>
        </w:tc>
        <w:tc>
          <w:tcPr>
            <w:tcW w:w="992" w:type="dxa"/>
            <w:tcMar>
              <w:left w:w="85" w:type="dxa"/>
            </w:tcMar>
            <w:vAlign w:val="center"/>
          </w:tcPr>
          <w:p w14:paraId="07704436" w14:textId="5D671D17"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-0,6</w:t>
            </w:r>
          </w:p>
        </w:tc>
        <w:tc>
          <w:tcPr>
            <w:tcW w:w="983" w:type="dxa"/>
            <w:shd w:val="clear" w:color="auto" w:fill="D9D9D9"/>
            <w:tcMar>
              <w:left w:w="85" w:type="dxa"/>
            </w:tcMar>
            <w:vAlign w:val="center"/>
          </w:tcPr>
          <w:p w14:paraId="78F57CEB" w14:textId="743975BF"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-0,8</w:t>
            </w:r>
          </w:p>
        </w:tc>
        <w:tc>
          <w:tcPr>
            <w:tcW w:w="1002" w:type="dxa"/>
            <w:tcMar>
              <w:left w:w="284" w:type="dxa"/>
              <w:right w:w="85" w:type="dxa"/>
            </w:tcMar>
            <w:vAlign w:val="center"/>
          </w:tcPr>
          <w:p w14:paraId="7CC64822" w14:textId="1EC18DF3"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-0,9</w:t>
            </w:r>
          </w:p>
        </w:tc>
      </w:tr>
      <w:tr w:rsidR="00226A72" w:rsidRPr="00C8504B" w14:paraId="5715A4CF" w14:textId="77777777" w:rsidTr="00226A72">
        <w:trPr>
          <w:trHeight w:val="255"/>
          <w:tblHeader/>
        </w:trPr>
        <w:tc>
          <w:tcPr>
            <w:tcW w:w="4253" w:type="dxa"/>
            <w:vAlign w:val="center"/>
          </w:tcPr>
          <w:p w14:paraId="30133C41" w14:textId="77777777" w:rsidR="00226A72" w:rsidRPr="00C8504B" w:rsidRDefault="00226A72" w:rsidP="00226A72">
            <w:pPr>
              <w:spacing w:before="40" w:after="20"/>
              <w:ind w:firstLine="214"/>
              <w:rPr>
                <w:rFonts w:ascii="Arial Narrow" w:hAnsi="Arial Narrow" w:cs="Arial"/>
                <w:sz w:val="18"/>
                <w:szCs w:val="18"/>
              </w:rPr>
            </w:pPr>
            <w:r w:rsidRPr="00C8504B">
              <w:rPr>
                <w:rFonts w:ascii="Arial Narrow" w:hAnsi="Arial Narrow" w:cs="Arial"/>
                <w:sz w:val="18"/>
                <w:szCs w:val="18"/>
              </w:rPr>
              <w:t>Beni non durevoli</w:t>
            </w:r>
          </w:p>
        </w:tc>
        <w:tc>
          <w:tcPr>
            <w:tcW w:w="992" w:type="dxa"/>
            <w:shd w:val="clear" w:color="auto" w:fill="D9D9D9"/>
            <w:vAlign w:val="center"/>
          </w:tcPr>
          <w:p w14:paraId="6CFB43C1"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61.522</w:t>
            </w:r>
          </w:p>
        </w:tc>
        <w:tc>
          <w:tcPr>
            <w:tcW w:w="978" w:type="dxa"/>
            <w:tcMar>
              <w:left w:w="142" w:type="dxa"/>
            </w:tcMar>
            <w:vAlign w:val="center"/>
          </w:tcPr>
          <w:p w14:paraId="7E634184" w14:textId="061D87BE"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-0,1</w:t>
            </w:r>
          </w:p>
        </w:tc>
        <w:tc>
          <w:tcPr>
            <w:tcW w:w="1006" w:type="dxa"/>
            <w:shd w:val="clear" w:color="auto" w:fill="D9D9D9"/>
            <w:tcMar>
              <w:left w:w="85" w:type="dxa"/>
            </w:tcMar>
            <w:vAlign w:val="center"/>
          </w:tcPr>
          <w:p w14:paraId="40D54F47" w14:textId="6A685BCA"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+0,3</w:t>
            </w:r>
          </w:p>
        </w:tc>
        <w:tc>
          <w:tcPr>
            <w:tcW w:w="992" w:type="dxa"/>
            <w:tcMar>
              <w:left w:w="85" w:type="dxa"/>
            </w:tcMar>
            <w:vAlign w:val="center"/>
          </w:tcPr>
          <w:p w14:paraId="524F270A" w14:textId="60E49F6C"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+1,0</w:t>
            </w:r>
          </w:p>
        </w:tc>
        <w:tc>
          <w:tcPr>
            <w:tcW w:w="983" w:type="dxa"/>
            <w:shd w:val="clear" w:color="auto" w:fill="D9D9D9"/>
            <w:tcMar>
              <w:left w:w="85" w:type="dxa"/>
            </w:tcMar>
            <w:vAlign w:val="center"/>
          </w:tcPr>
          <w:p w14:paraId="41999914" w14:textId="45A71A9A"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+1,3</w:t>
            </w:r>
          </w:p>
        </w:tc>
        <w:tc>
          <w:tcPr>
            <w:tcW w:w="1002" w:type="dxa"/>
            <w:tcMar>
              <w:left w:w="284" w:type="dxa"/>
              <w:right w:w="85" w:type="dxa"/>
            </w:tcMar>
            <w:vAlign w:val="center"/>
          </w:tcPr>
          <w:p w14:paraId="3C926411" w14:textId="437794E9"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+1,2</w:t>
            </w:r>
          </w:p>
        </w:tc>
      </w:tr>
      <w:tr w:rsidR="00226A72" w:rsidRPr="00C8504B" w14:paraId="51269DF7" w14:textId="77777777" w:rsidTr="00226A72">
        <w:trPr>
          <w:trHeight w:val="255"/>
          <w:tblHeader/>
        </w:trPr>
        <w:tc>
          <w:tcPr>
            <w:tcW w:w="4253" w:type="dxa"/>
            <w:vAlign w:val="center"/>
          </w:tcPr>
          <w:p w14:paraId="746081B9" w14:textId="77777777" w:rsidR="00226A72" w:rsidRPr="00C8504B" w:rsidRDefault="00226A72" w:rsidP="00226A72">
            <w:pPr>
              <w:spacing w:before="40" w:after="20"/>
              <w:ind w:firstLine="214"/>
              <w:rPr>
                <w:rFonts w:ascii="Arial Narrow" w:hAnsi="Arial Narrow" w:cs="Arial"/>
                <w:sz w:val="18"/>
                <w:szCs w:val="18"/>
              </w:rPr>
            </w:pPr>
            <w:r w:rsidRPr="00C8504B">
              <w:rPr>
                <w:rFonts w:ascii="Arial Narrow" w:hAnsi="Arial Narrow" w:cs="Arial"/>
                <w:sz w:val="18"/>
                <w:szCs w:val="18"/>
              </w:rPr>
              <w:t>Beni semidurevoli</w:t>
            </w:r>
          </w:p>
        </w:tc>
        <w:tc>
          <w:tcPr>
            <w:tcW w:w="992" w:type="dxa"/>
            <w:shd w:val="clear" w:color="auto" w:fill="D9D9D9"/>
            <w:vAlign w:val="center"/>
          </w:tcPr>
          <w:p w14:paraId="355D7EF5"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93.911</w:t>
            </w:r>
          </w:p>
        </w:tc>
        <w:tc>
          <w:tcPr>
            <w:tcW w:w="978" w:type="dxa"/>
            <w:tcMar>
              <w:left w:w="142" w:type="dxa"/>
            </w:tcMar>
            <w:vAlign w:val="center"/>
          </w:tcPr>
          <w:p w14:paraId="5EDC5472" w14:textId="4225B2C9"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0,0</w:t>
            </w:r>
          </w:p>
        </w:tc>
        <w:tc>
          <w:tcPr>
            <w:tcW w:w="1006" w:type="dxa"/>
            <w:shd w:val="clear" w:color="auto" w:fill="D9D9D9"/>
            <w:tcMar>
              <w:left w:w="85" w:type="dxa"/>
            </w:tcMar>
            <w:vAlign w:val="center"/>
          </w:tcPr>
          <w:p w14:paraId="45A07247" w14:textId="6B6071D1"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0,0</w:t>
            </w:r>
          </w:p>
        </w:tc>
        <w:tc>
          <w:tcPr>
            <w:tcW w:w="992" w:type="dxa"/>
            <w:tcMar>
              <w:left w:w="85" w:type="dxa"/>
            </w:tcMar>
            <w:vAlign w:val="center"/>
          </w:tcPr>
          <w:p w14:paraId="374CF7F8" w14:textId="5E5DD3AB"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+1,0</w:t>
            </w:r>
          </w:p>
        </w:tc>
        <w:tc>
          <w:tcPr>
            <w:tcW w:w="983" w:type="dxa"/>
            <w:shd w:val="clear" w:color="auto" w:fill="D9D9D9"/>
            <w:tcMar>
              <w:left w:w="85" w:type="dxa"/>
            </w:tcMar>
            <w:vAlign w:val="center"/>
          </w:tcPr>
          <w:p w14:paraId="1ED1A755" w14:textId="7714D4BA"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+1,0</w:t>
            </w:r>
          </w:p>
        </w:tc>
        <w:tc>
          <w:tcPr>
            <w:tcW w:w="1002" w:type="dxa"/>
            <w:tcMar>
              <w:left w:w="284" w:type="dxa"/>
              <w:right w:w="85" w:type="dxa"/>
            </w:tcMar>
            <w:vAlign w:val="center"/>
          </w:tcPr>
          <w:p w14:paraId="6C0D313B" w14:textId="14584790"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+1,0</w:t>
            </w:r>
          </w:p>
        </w:tc>
      </w:tr>
      <w:tr w:rsidR="00226A72" w:rsidRPr="00730237" w14:paraId="29C04CC7" w14:textId="77777777" w:rsidTr="00226A72">
        <w:trPr>
          <w:trHeight w:val="255"/>
          <w:tblHeader/>
        </w:trPr>
        <w:tc>
          <w:tcPr>
            <w:tcW w:w="4253" w:type="dxa"/>
            <w:shd w:val="clear" w:color="auto" w:fill="808080"/>
            <w:vAlign w:val="center"/>
          </w:tcPr>
          <w:p w14:paraId="5186FE8C" w14:textId="77777777" w:rsidR="00226A72" w:rsidRPr="007A2B61" w:rsidRDefault="00226A72" w:rsidP="00226A72">
            <w:pPr>
              <w:spacing w:before="40" w:after="20"/>
              <w:rPr>
                <w:rFonts w:ascii="Arial Narrow" w:hAnsi="Arial Narrow" w:cs="Arial"/>
                <w:b/>
                <w:bCs/>
                <w:color w:val="FFFFFF"/>
                <w:sz w:val="18"/>
                <w:szCs w:val="18"/>
              </w:rPr>
            </w:pPr>
            <w:r w:rsidRPr="007A2B61">
              <w:rPr>
                <w:rFonts w:ascii="Arial Narrow" w:hAnsi="Arial Narrow" w:cs="Arial"/>
                <w:b/>
                <w:bCs/>
                <w:color w:val="FFFFFF"/>
                <w:sz w:val="18"/>
                <w:szCs w:val="18"/>
              </w:rPr>
              <w:t>Beni</w:t>
            </w:r>
          </w:p>
        </w:tc>
        <w:tc>
          <w:tcPr>
            <w:tcW w:w="992" w:type="dxa"/>
            <w:shd w:val="clear" w:color="auto" w:fill="808080"/>
            <w:vAlign w:val="center"/>
          </w:tcPr>
          <w:p w14:paraId="42E01754" w14:textId="77777777" w:rsidR="00226A72" w:rsidRPr="00BD1A65" w:rsidRDefault="00226A72" w:rsidP="00226A72">
            <w:pPr>
              <w:spacing w:before="40" w:after="20"/>
              <w:ind w:left="-68" w:right="57"/>
              <w:jc w:val="right"/>
              <w:rPr>
                <w:rFonts w:ascii="Arial Narrow" w:hAnsi="Arial Narrow" w:cs="Arial"/>
                <w:b/>
                <w:color w:val="FFFFFF" w:themeColor="background1"/>
                <w:sz w:val="18"/>
                <w:szCs w:val="18"/>
              </w:rPr>
            </w:pPr>
            <w:r w:rsidRPr="00BD1A65">
              <w:rPr>
                <w:rFonts w:ascii="Arial Narrow" w:hAnsi="Arial Narrow" w:cs="Arial"/>
                <w:b/>
                <w:color w:val="FFFFFF" w:themeColor="background1"/>
                <w:sz w:val="18"/>
                <w:szCs w:val="18"/>
              </w:rPr>
              <w:t>559.616</w:t>
            </w:r>
          </w:p>
        </w:tc>
        <w:tc>
          <w:tcPr>
            <w:tcW w:w="978" w:type="dxa"/>
            <w:shd w:val="clear" w:color="auto" w:fill="808080"/>
            <w:tcMar>
              <w:left w:w="142" w:type="dxa"/>
            </w:tcMar>
            <w:vAlign w:val="center"/>
          </w:tcPr>
          <w:p w14:paraId="29EBBC85" w14:textId="2B0EEAA0"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+0,1</w:t>
            </w:r>
          </w:p>
        </w:tc>
        <w:tc>
          <w:tcPr>
            <w:tcW w:w="1006" w:type="dxa"/>
            <w:shd w:val="clear" w:color="auto" w:fill="808080"/>
            <w:tcMar>
              <w:left w:w="85" w:type="dxa"/>
            </w:tcMar>
            <w:vAlign w:val="center"/>
          </w:tcPr>
          <w:p w14:paraId="53AC0D56" w14:textId="56003A8A"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+0,2</w:t>
            </w:r>
          </w:p>
        </w:tc>
        <w:tc>
          <w:tcPr>
            <w:tcW w:w="992" w:type="dxa"/>
            <w:shd w:val="clear" w:color="auto" w:fill="808080"/>
            <w:tcMar>
              <w:left w:w="85" w:type="dxa"/>
            </w:tcMar>
            <w:vAlign w:val="center"/>
          </w:tcPr>
          <w:p w14:paraId="0A887FFA" w14:textId="69E21AAD"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+0,1</w:t>
            </w:r>
          </w:p>
        </w:tc>
        <w:tc>
          <w:tcPr>
            <w:tcW w:w="983" w:type="dxa"/>
            <w:shd w:val="clear" w:color="auto" w:fill="808080"/>
            <w:tcMar>
              <w:left w:w="85" w:type="dxa"/>
            </w:tcMar>
            <w:vAlign w:val="center"/>
          </w:tcPr>
          <w:p w14:paraId="31A2443B" w14:textId="3164B213"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+0,2</w:t>
            </w:r>
          </w:p>
        </w:tc>
        <w:tc>
          <w:tcPr>
            <w:tcW w:w="1002" w:type="dxa"/>
            <w:shd w:val="clear" w:color="auto" w:fill="808080"/>
            <w:tcMar>
              <w:left w:w="284" w:type="dxa"/>
              <w:right w:w="85" w:type="dxa"/>
            </w:tcMar>
            <w:vAlign w:val="center"/>
          </w:tcPr>
          <w:p w14:paraId="39205DEE" w14:textId="2E86DBF1"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+0,7</w:t>
            </w:r>
          </w:p>
        </w:tc>
      </w:tr>
      <w:tr w:rsidR="00226A72" w:rsidRPr="00C8504B" w14:paraId="67B57B27" w14:textId="77777777" w:rsidTr="00226A72">
        <w:trPr>
          <w:trHeight w:val="255"/>
          <w:tblHeader/>
        </w:trPr>
        <w:tc>
          <w:tcPr>
            <w:tcW w:w="4253" w:type="dxa"/>
            <w:vAlign w:val="center"/>
          </w:tcPr>
          <w:p w14:paraId="514E358D" w14:textId="77777777" w:rsidR="00226A72" w:rsidRPr="00C8504B" w:rsidRDefault="00226A72" w:rsidP="00226A72">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all'abitazione</w:t>
            </w:r>
          </w:p>
        </w:tc>
        <w:tc>
          <w:tcPr>
            <w:tcW w:w="992" w:type="dxa"/>
            <w:shd w:val="clear" w:color="auto" w:fill="D9D9D9"/>
            <w:vAlign w:val="center"/>
          </w:tcPr>
          <w:p w14:paraId="40693219"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69.120</w:t>
            </w:r>
          </w:p>
        </w:tc>
        <w:tc>
          <w:tcPr>
            <w:tcW w:w="978" w:type="dxa"/>
            <w:tcMar>
              <w:left w:w="142" w:type="dxa"/>
            </w:tcMar>
            <w:vAlign w:val="center"/>
          </w:tcPr>
          <w:p w14:paraId="1EB3B4B0" w14:textId="3CB900A8"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+0,3</w:t>
            </w:r>
          </w:p>
        </w:tc>
        <w:tc>
          <w:tcPr>
            <w:tcW w:w="1006" w:type="dxa"/>
            <w:shd w:val="clear" w:color="auto" w:fill="D9D9D9"/>
            <w:tcMar>
              <w:left w:w="85" w:type="dxa"/>
            </w:tcMar>
            <w:vAlign w:val="center"/>
          </w:tcPr>
          <w:p w14:paraId="6F2781FA" w14:textId="5E4EB441"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+0,3</w:t>
            </w:r>
          </w:p>
        </w:tc>
        <w:tc>
          <w:tcPr>
            <w:tcW w:w="992" w:type="dxa"/>
            <w:tcMar>
              <w:left w:w="85" w:type="dxa"/>
            </w:tcMar>
            <w:vAlign w:val="center"/>
          </w:tcPr>
          <w:p w14:paraId="59B23CF2" w14:textId="3F1066F4"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+2,9</w:t>
            </w:r>
          </w:p>
        </w:tc>
        <w:tc>
          <w:tcPr>
            <w:tcW w:w="983" w:type="dxa"/>
            <w:shd w:val="clear" w:color="auto" w:fill="D9D9D9"/>
            <w:tcMar>
              <w:left w:w="85" w:type="dxa"/>
            </w:tcMar>
            <w:vAlign w:val="center"/>
          </w:tcPr>
          <w:p w14:paraId="25D8E3C3" w14:textId="07AFBE62"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+2,8</w:t>
            </w:r>
          </w:p>
        </w:tc>
        <w:tc>
          <w:tcPr>
            <w:tcW w:w="1002" w:type="dxa"/>
            <w:tcMar>
              <w:left w:w="284" w:type="dxa"/>
              <w:right w:w="85" w:type="dxa"/>
            </w:tcMar>
            <w:vAlign w:val="center"/>
          </w:tcPr>
          <w:p w14:paraId="0CA66D22" w14:textId="0C7E9265"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+2,8</w:t>
            </w:r>
          </w:p>
        </w:tc>
      </w:tr>
      <w:tr w:rsidR="00226A72" w:rsidRPr="00C8504B" w14:paraId="5A978C72" w14:textId="77777777" w:rsidTr="00226A72">
        <w:trPr>
          <w:trHeight w:val="255"/>
          <w:tblHeader/>
        </w:trPr>
        <w:tc>
          <w:tcPr>
            <w:tcW w:w="4253" w:type="dxa"/>
            <w:vAlign w:val="center"/>
          </w:tcPr>
          <w:p w14:paraId="38428426" w14:textId="77777777" w:rsidR="00226A72" w:rsidRPr="00C8504B" w:rsidRDefault="00226A72" w:rsidP="00226A72">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alle comunicazioni</w:t>
            </w:r>
          </w:p>
        </w:tc>
        <w:tc>
          <w:tcPr>
            <w:tcW w:w="992" w:type="dxa"/>
            <w:shd w:val="clear" w:color="auto" w:fill="D9D9D9"/>
            <w:vAlign w:val="center"/>
          </w:tcPr>
          <w:p w14:paraId="6AD47EBE"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12.700</w:t>
            </w:r>
          </w:p>
        </w:tc>
        <w:tc>
          <w:tcPr>
            <w:tcW w:w="978" w:type="dxa"/>
            <w:tcMar>
              <w:left w:w="142" w:type="dxa"/>
            </w:tcMar>
            <w:vAlign w:val="center"/>
          </w:tcPr>
          <w:p w14:paraId="750F302A" w14:textId="42F6BC20"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-0,2</w:t>
            </w:r>
          </w:p>
        </w:tc>
        <w:tc>
          <w:tcPr>
            <w:tcW w:w="1006" w:type="dxa"/>
            <w:shd w:val="clear" w:color="auto" w:fill="D9D9D9"/>
            <w:tcMar>
              <w:left w:w="85" w:type="dxa"/>
            </w:tcMar>
            <w:vAlign w:val="center"/>
          </w:tcPr>
          <w:p w14:paraId="62B79FE2" w14:textId="0D57CD41"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+0,2</w:t>
            </w:r>
          </w:p>
        </w:tc>
        <w:tc>
          <w:tcPr>
            <w:tcW w:w="992" w:type="dxa"/>
            <w:tcMar>
              <w:left w:w="85" w:type="dxa"/>
            </w:tcMar>
            <w:vAlign w:val="center"/>
          </w:tcPr>
          <w:p w14:paraId="397D9F35" w14:textId="06858330"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-0,8</w:t>
            </w:r>
          </w:p>
        </w:tc>
        <w:tc>
          <w:tcPr>
            <w:tcW w:w="983" w:type="dxa"/>
            <w:shd w:val="clear" w:color="auto" w:fill="D9D9D9"/>
            <w:tcMar>
              <w:left w:w="85" w:type="dxa"/>
            </w:tcMar>
            <w:vAlign w:val="center"/>
          </w:tcPr>
          <w:p w14:paraId="235182A2" w14:textId="50A4AA82"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-0,3</w:t>
            </w:r>
          </w:p>
        </w:tc>
        <w:tc>
          <w:tcPr>
            <w:tcW w:w="1002" w:type="dxa"/>
            <w:tcMar>
              <w:left w:w="284" w:type="dxa"/>
              <w:right w:w="85" w:type="dxa"/>
            </w:tcMar>
            <w:vAlign w:val="center"/>
          </w:tcPr>
          <w:p w14:paraId="090D342E" w14:textId="7EBE503C"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+0,3</w:t>
            </w:r>
          </w:p>
        </w:tc>
      </w:tr>
      <w:tr w:rsidR="00226A72" w:rsidRPr="00C8504B" w14:paraId="4E6C4EF8" w14:textId="77777777" w:rsidTr="00226A72">
        <w:trPr>
          <w:trHeight w:val="255"/>
          <w:tblHeader/>
        </w:trPr>
        <w:tc>
          <w:tcPr>
            <w:tcW w:w="4253" w:type="dxa"/>
            <w:vAlign w:val="center"/>
          </w:tcPr>
          <w:p w14:paraId="02F3D30D" w14:textId="77777777" w:rsidR="00226A72" w:rsidRPr="00C8504B" w:rsidRDefault="00226A72" w:rsidP="00226A72">
            <w:pPr>
              <w:tabs>
                <w:tab w:val="left" w:pos="290"/>
              </w:tabs>
              <w:spacing w:before="40" w:after="20"/>
              <w:ind w:left="-68"/>
              <w:rPr>
                <w:rFonts w:ascii="Arial Narrow" w:hAnsi="Arial Narrow" w:cs="Arial"/>
                <w:bCs/>
                <w:sz w:val="18"/>
                <w:szCs w:val="18"/>
              </w:rPr>
            </w:pPr>
            <w:r w:rsidRPr="00C8504B">
              <w:rPr>
                <w:rFonts w:ascii="Arial Narrow" w:hAnsi="Arial Narrow" w:cs="Arial"/>
                <w:bCs/>
                <w:sz w:val="18"/>
                <w:szCs w:val="18"/>
              </w:rPr>
              <w:t>Servizi ricreativi, culturali e per la cura della persona</w:t>
            </w:r>
          </w:p>
        </w:tc>
        <w:tc>
          <w:tcPr>
            <w:tcW w:w="992" w:type="dxa"/>
            <w:shd w:val="clear" w:color="auto" w:fill="D9D9D9"/>
            <w:vAlign w:val="center"/>
          </w:tcPr>
          <w:p w14:paraId="5EF440D5"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173.224</w:t>
            </w:r>
          </w:p>
        </w:tc>
        <w:tc>
          <w:tcPr>
            <w:tcW w:w="978" w:type="dxa"/>
            <w:tcMar>
              <w:left w:w="142" w:type="dxa"/>
            </w:tcMar>
            <w:vAlign w:val="center"/>
          </w:tcPr>
          <w:p w14:paraId="5B68248A" w14:textId="6BB656AC"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-1,6</w:t>
            </w:r>
          </w:p>
        </w:tc>
        <w:tc>
          <w:tcPr>
            <w:tcW w:w="1006" w:type="dxa"/>
            <w:shd w:val="clear" w:color="auto" w:fill="D9D9D9"/>
            <w:tcMar>
              <w:left w:w="85" w:type="dxa"/>
            </w:tcMar>
            <w:vAlign w:val="center"/>
          </w:tcPr>
          <w:p w14:paraId="454EA7F6" w14:textId="133A4669"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-1,2</w:t>
            </w:r>
          </w:p>
        </w:tc>
        <w:tc>
          <w:tcPr>
            <w:tcW w:w="992" w:type="dxa"/>
            <w:tcMar>
              <w:left w:w="85" w:type="dxa"/>
            </w:tcMar>
            <w:vAlign w:val="center"/>
          </w:tcPr>
          <w:p w14:paraId="758E5C6F" w14:textId="04BE15CF"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+3,0</w:t>
            </w:r>
          </w:p>
        </w:tc>
        <w:tc>
          <w:tcPr>
            <w:tcW w:w="983" w:type="dxa"/>
            <w:shd w:val="clear" w:color="auto" w:fill="D9D9D9"/>
            <w:tcMar>
              <w:left w:w="85" w:type="dxa"/>
            </w:tcMar>
            <w:vAlign w:val="center"/>
          </w:tcPr>
          <w:p w14:paraId="717D06E2" w14:textId="31BBEC26"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+3,3</w:t>
            </w:r>
          </w:p>
        </w:tc>
        <w:tc>
          <w:tcPr>
            <w:tcW w:w="1002" w:type="dxa"/>
            <w:tcMar>
              <w:left w:w="284" w:type="dxa"/>
              <w:right w:w="85" w:type="dxa"/>
            </w:tcMar>
            <w:vAlign w:val="center"/>
          </w:tcPr>
          <w:p w14:paraId="647DEFFB" w14:textId="0E85FF8A"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+3,1</w:t>
            </w:r>
          </w:p>
        </w:tc>
      </w:tr>
      <w:tr w:rsidR="00226A72" w:rsidRPr="00C8504B" w14:paraId="5CA680B9" w14:textId="77777777" w:rsidTr="00226A72">
        <w:trPr>
          <w:trHeight w:val="255"/>
          <w:tblHeader/>
        </w:trPr>
        <w:tc>
          <w:tcPr>
            <w:tcW w:w="4253" w:type="dxa"/>
            <w:vAlign w:val="center"/>
          </w:tcPr>
          <w:p w14:paraId="2C1E5151" w14:textId="77777777" w:rsidR="00226A72" w:rsidRPr="00C8504B" w:rsidRDefault="00226A72" w:rsidP="00226A72">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ai trasporti</w:t>
            </w:r>
          </w:p>
        </w:tc>
        <w:tc>
          <w:tcPr>
            <w:tcW w:w="992" w:type="dxa"/>
            <w:shd w:val="clear" w:color="auto" w:fill="D9D9D9"/>
            <w:vAlign w:val="center"/>
          </w:tcPr>
          <w:p w14:paraId="2222665F"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72.237</w:t>
            </w:r>
          </w:p>
        </w:tc>
        <w:tc>
          <w:tcPr>
            <w:tcW w:w="978" w:type="dxa"/>
            <w:tcMar>
              <w:left w:w="142" w:type="dxa"/>
            </w:tcMar>
            <w:vAlign w:val="center"/>
          </w:tcPr>
          <w:p w14:paraId="1CBE0B1A" w14:textId="026FEBD6"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-1,3</w:t>
            </w:r>
          </w:p>
        </w:tc>
        <w:tc>
          <w:tcPr>
            <w:tcW w:w="1006" w:type="dxa"/>
            <w:shd w:val="clear" w:color="auto" w:fill="D9D9D9"/>
            <w:tcMar>
              <w:left w:w="85" w:type="dxa"/>
            </w:tcMar>
            <w:vAlign w:val="center"/>
          </w:tcPr>
          <w:p w14:paraId="41BCADF3" w14:textId="7EC46C37"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-0,2</w:t>
            </w:r>
          </w:p>
        </w:tc>
        <w:tc>
          <w:tcPr>
            <w:tcW w:w="992" w:type="dxa"/>
            <w:tcMar>
              <w:left w:w="85" w:type="dxa"/>
            </w:tcMar>
            <w:vAlign w:val="center"/>
          </w:tcPr>
          <w:p w14:paraId="7E6A2462" w14:textId="3595D59F"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+0,9</w:t>
            </w:r>
          </w:p>
        </w:tc>
        <w:tc>
          <w:tcPr>
            <w:tcW w:w="983" w:type="dxa"/>
            <w:shd w:val="clear" w:color="auto" w:fill="D9D9D9"/>
            <w:tcMar>
              <w:left w:w="85" w:type="dxa"/>
            </w:tcMar>
            <w:vAlign w:val="center"/>
          </w:tcPr>
          <w:p w14:paraId="4902AD07" w14:textId="0191C395"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+2,0</w:t>
            </w:r>
          </w:p>
        </w:tc>
        <w:tc>
          <w:tcPr>
            <w:tcW w:w="1002" w:type="dxa"/>
            <w:tcMar>
              <w:left w:w="284" w:type="dxa"/>
              <w:right w:w="85" w:type="dxa"/>
            </w:tcMar>
            <w:vAlign w:val="center"/>
          </w:tcPr>
          <w:p w14:paraId="06B4AEE7" w14:textId="005C05F5"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+2,3</w:t>
            </w:r>
          </w:p>
        </w:tc>
      </w:tr>
      <w:tr w:rsidR="00226A72" w:rsidRPr="00C8504B" w14:paraId="10729F16" w14:textId="77777777" w:rsidTr="00226A72">
        <w:trPr>
          <w:trHeight w:val="255"/>
          <w:tblHeader/>
        </w:trPr>
        <w:tc>
          <w:tcPr>
            <w:tcW w:w="4253" w:type="dxa"/>
            <w:vAlign w:val="center"/>
          </w:tcPr>
          <w:p w14:paraId="7AA52ADF" w14:textId="77777777" w:rsidR="00226A72" w:rsidRPr="00C8504B" w:rsidRDefault="00226A72" w:rsidP="00226A72">
            <w:pPr>
              <w:spacing w:before="40" w:after="20"/>
              <w:ind w:left="-68"/>
              <w:rPr>
                <w:rFonts w:ascii="Arial Narrow" w:hAnsi="Arial Narrow" w:cs="Arial"/>
                <w:bCs/>
                <w:sz w:val="18"/>
                <w:szCs w:val="18"/>
              </w:rPr>
            </w:pPr>
            <w:r w:rsidRPr="00C8504B">
              <w:rPr>
                <w:rFonts w:ascii="Arial Narrow" w:hAnsi="Arial Narrow" w:cs="Arial"/>
                <w:bCs/>
                <w:sz w:val="18"/>
                <w:szCs w:val="18"/>
              </w:rPr>
              <w:t>Servizi vari</w:t>
            </w:r>
          </w:p>
        </w:tc>
        <w:tc>
          <w:tcPr>
            <w:tcW w:w="992" w:type="dxa"/>
            <w:shd w:val="clear" w:color="auto" w:fill="D9D9D9"/>
            <w:vAlign w:val="center"/>
          </w:tcPr>
          <w:p w14:paraId="2D6A9BE8"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113.103</w:t>
            </w:r>
          </w:p>
        </w:tc>
        <w:tc>
          <w:tcPr>
            <w:tcW w:w="978" w:type="dxa"/>
            <w:tcMar>
              <w:left w:w="142" w:type="dxa"/>
            </w:tcMar>
            <w:vAlign w:val="center"/>
          </w:tcPr>
          <w:p w14:paraId="6DEBE686" w14:textId="46749BB3"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+0,2</w:t>
            </w:r>
          </w:p>
        </w:tc>
        <w:tc>
          <w:tcPr>
            <w:tcW w:w="1006" w:type="dxa"/>
            <w:shd w:val="clear" w:color="auto" w:fill="D9D9D9"/>
            <w:tcMar>
              <w:left w:w="85" w:type="dxa"/>
            </w:tcMar>
            <w:vAlign w:val="center"/>
          </w:tcPr>
          <w:p w14:paraId="0DF79B51" w14:textId="695002FD"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+0,1</w:t>
            </w:r>
          </w:p>
        </w:tc>
        <w:tc>
          <w:tcPr>
            <w:tcW w:w="992" w:type="dxa"/>
            <w:tcMar>
              <w:left w:w="85" w:type="dxa"/>
            </w:tcMar>
            <w:vAlign w:val="center"/>
          </w:tcPr>
          <w:p w14:paraId="6F0E36FC" w14:textId="4AE85197"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+2,0</w:t>
            </w:r>
          </w:p>
        </w:tc>
        <w:tc>
          <w:tcPr>
            <w:tcW w:w="983" w:type="dxa"/>
            <w:shd w:val="clear" w:color="auto" w:fill="D9D9D9"/>
            <w:tcMar>
              <w:left w:w="85" w:type="dxa"/>
            </w:tcMar>
            <w:vAlign w:val="center"/>
          </w:tcPr>
          <w:p w14:paraId="0F60431B" w14:textId="7CE2DA46"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+2,0</w:t>
            </w:r>
          </w:p>
        </w:tc>
        <w:tc>
          <w:tcPr>
            <w:tcW w:w="1002" w:type="dxa"/>
            <w:tcMar>
              <w:left w:w="284" w:type="dxa"/>
              <w:right w:w="85" w:type="dxa"/>
            </w:tcMar>
            <w:vAlign w:val="center"/>
          </w:tcPr>
          <w:p w14:paraId="7AFB2976" w14:textId="1EA3C7AB"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+1,9</w:t>
            </w:r>
          </w:p>
        </w:tc>
      </w:tr>
      <w:tr w:rsidR="00226A72" w:rsidRPr="007A2B61" w14:paraId="3563393E" w14:textId="77777777" w:rsidTr="00226A72">
        <w:trPr>
          <w:trHeight w:val="255"/>
          <w:tblHeader/>
        </w:trPr>
        <w:tc>
          <w:tcPr>
            <w:tcW w:w="4253" w:type="dxa"/>
            <w:shd w:val="clear" w:color="auto" w:fill="808080"/>
            <w:vAlign w:val="center"/>
          </w:tcPr>
          <w:p w14:paraId="184DD55A" w14:textId="77777777" w:rsidR="00226A72" w:rsidRPr="00C8504B" w:rsidRDefault="00226A72" w:rsidP="00226A72">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992" w:type="dxa"/>
            <w:shd w:val="clear" w:color="auto" w:fill="808080"/>
            <w:vAlign w:val="center"/>
          </w:tcPr>
          <w:p w14:paraId="7CFEA6AC" w14:textId="77777777" w:rsidR="00226A72" w:rsidRPr="00BD1A65" w:rsidRDefault="00226A72" w:rsidP="00226A72">
            <w:pPr>
              <w:spacing w:before="40" w:after="20"/>
              <w:ind w:left="-68" w:right="57"/>
              <w:jc w:val="right"/>
              <w:rPr>
                <w:rFonts w:ascii="Arial Narrow" w:hAnsi="Arial Narrow" w:cs="Arial"/>
                <w:b/>
                <w:color w:val="FFFFFF" w:themeColor="background1"/>
                <w:sz w:val="18"/>
                <w:szCs w:val="18"/>
              </w:rPr>
            </w:pPr>
            <w:r w:rsidRPr="00BD1A65">
              <w:rPr>
                <w:rFonts w:ascii="Arial Narrow" w:hAnsi="Arial Narrow" w:cs="Arial"/>
                <w:b/>
                <w:color w:val="FFFFFF" w:themeColor="background1"/>
                <w:sz w:val="18"/>
                <w:szCs w:val="18"/>
              </w:rPr>
              <w:t>440.384</w:t>
            </w:r>
          </w:p>
        </w:tc>
        <w:tc>
          <w:tcPr>
            <w:tcW w:w="978" w:type="dxa"/>
            <w:shd w:val="clear" w:color="auto" w:fill="808080"/>
            <w:tcMar>
              <w:left w:w="142" w:type="dxa"/>
            </w:tcMar>
            <w:vAlign w:val="center"/>
          </w:tcPr>
          <w:p w14:paraId="504D118A" w14:textId="1A03C3D5"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-0,7</w:t>
            </w:r>
          </w:p>
        </w:tc>
        <w:tc>
          <w:tcPr>
            <w:tcW w:w="1006" w:type="dxa"/>
            <w:shd w:val="clear" w:color="auto" w:fill="808080"/>
            <w:tcMar>
              <w:left w:w="85" w:type="dxa"/>
            </w:tcMar>
            <w:vAlign w:val="center"/>
          </w:tcPr>
          <w:p w14:paraId="37A6BB1E" w14:textId="4F654ED1"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-0,4</w:t>
            </w:r>
          </w:p>
        </w:tc>
        <w:tc>
          <w:tcPr>
            <w:tcW w:w="992" w:type="dxa"/>
            <w:shd w:val="clear" w:color="auto" w:fill="808080"/>
            <w:tcMar>
              <w:left w:w="85" w:type="dxa"/>
            </w:tcMar>
            <w:vAlign w:val="center"/>
          </w:tcPr>
          <w:p w14:paraId="12653B87" w14:textId="5F4D049E"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+2,3</w:t>
            </w:r>
          </w:p>
        </w:tc>
        <w:tc>
          <w:tcPr>
            <w:tcW w:w="983" w:type="dxa"/>
            <w:shd w:val="clear" w:color="auto" w:fill="808080"/>
            <w:tcMar>
              <w:left w:w="85" w:type="dxa"/>
            </w:tcMar>
            <w:vAlign w:val="center"/>
          </w:tcPr>
          <w:p w14:paraId="50A96469" w14:textId="12F8B4FC"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+2,6</w:t>
            </w:r>
          </w:p>
        </w:tc>
        <w:tc>
          <w:tcPr>
            <w:tcW w:w="1002" w:type="dxa"/>
            <w:shd w:val="clear" w:color="auto" w:fill="808080"/>
            <w:tcMar>
              <w:left w:w="284" w:type="dxa"/>
              <w:right w:w="85" w:type="dxa"/>
            </w:tcMar>
            <w:vAlign w:val="center"/>
          </w:tcPr>
          <w:p w14:paraId="0D7DFD18" w14:textId="499AB6D1"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+2,6</w:t>
            </w:r>
          </w:p>
        </w:tc>
      </w:tr>
      <w:tr w:rsidR="00226A72" w:rsidRPr="007A2B61" w14:paraId="501A6479" w14:textId="77777777" w:rsidTr="00226A72">
        <w:trPr>
          <w:trHeight w:val="255"/>
          <w:tblHeader/>
        </w:trPr>
        <w:tc>
          <w:tcPr>
            <w:tcW w:w="4253" w:type="dxa"/>
            <w:shd w:val="clear" w:color="auto" w:fill="E42618"/>
            <w:vAlign w:val="center"/>
          </w:tcPr>
          <w:p w14:paraId="3A97C9DA" w14:textId="77777777" w:rsidR="00226A72" w:rsidRPr="00C8504B" w:rsidRDefault="00226A72" w:rsidP="00226A72">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992" w:type="dxa"/>
            <w:shd w:val="clear" w:color="auto" w:fill="E42618"/>
            <w:vAlign w:val="center"/>
          </w:tcPr>
          <w:p w14:paraId="6C27913A" w14:textId="77777777" w:rsidR="00226A72" w:rsidRPr="00BD1A65" w:rsidRDefault="00226A72" w:rsidP="00226A72">
            <w:pPr>
              <w:spacing w:before="40" w:after="20"/>
              <w:ind w:left="-68" w:right="57"/>
              <w:jc w:val="right"/>
              <w:rPr>
                <w:rFonts w:ascii="Arial Narrow" w:hAnsi="Arial Narrow" w:cs="Arial"/>
                <w:b/>
                <w:color w:val="FFFFFF" w:themeColor="background1"/>
                <w:sz w:val="18"/>
                <w:szCs w:val="18"/>
              </w:rPr>
            </w:pPr>
            <w:r w:rsidRPr="00BD1A65">
              <w:rPr>
                <w:rFonts w:ascii="Arial Narrow" w:hAnsi="Arial Narrow" w:cs="Arial"/>
                <w:b/>
                <w:color w:val="FFFFFF" w:themeColor="background1"/>
                <w:sz w:val="18"/>
                <w:szCs w:val="18"/>
              </w:rPr>
              <w:t>1.000.000</w:t>
            </w:r>
          </w:p>
        </w:tc>
        <w:tc>
          <w:tcPr>
            <w:tcW w:w="978" w:type="dxa"/>
            <w:shd w:val="clear" w:color="auto" w:fill="E42618"/>
            <w:tcMar>
              <w:left w:w="142" w:type="dxa"/>
            </w:tcMar>
            <w:vAlign w:val="center"/>
          </w:tcPr>
          <w:p w14:paraId="44FB4087" w14:textId="53860BDC"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-0,2</w:t>
            </w:r>
          </w:p>
        </w:tc>
        <w:tc>
          <w:tcPr>
            <w:tcW w:w="1006" w:type="dxa"/>
            <w:shd w:val="clear" w:color="auto" w:fill="E42618"/>
            <w:tcMar>
              <w:left w:w="85" w:type="dxa"/>
            </w:tcMar>
            <w:vAlign w:val="center"/>
          </w:tcPr>
          <w:p w14:paraId="75E74897" w14:textId="08A289F6"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-0,1</w:t>
            </w:r>
          </w:p>
        </w:tc>
        <w:tc>
          <w:tcPr>
            <w:tcW w:w="992" w:type="dxa"/>
            <w:shd w:val="clear" w:color="auto" w:fill="E42618"/>
            <w:tcMar>
              <w:left w:w="85" w:type="dxa"/>
            </w:tcMar>
            <w:vAlign w:val="center"/>
          </w:tcPr>
          <w:p w14:paraId="44D8C8FC" w14:textId="56AFC15D"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+1,1</w:t>
            </w:r>
          </w:p>
        </w:tc>
        <w:tc>
          <w:tcPr>
            <w:tcW w:w="983" w:type="dxa"/>
            <w:shd w:val="clear" w:color="auto" w:fill="E42618"/>
            <w:tcMar>
              <w:left w:w="85" w:type="dxa"/>
            </w:tcMar>
            <w:vAlign w:val="center"/>
          </w:tcPr>
          <w:p w14:paraId="4BA33666" w14:textId="3D84E18F"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+1,2</w:t>
            </w:r>
          </w:p>
        </w:tc>
        <w:tc>
          <w:tcPr>
            <w:tcW w:w="1002" w:type="dxa"/>
            <w:shd w:val="clear" w:color="auto" w:fill="E42618"/>
            <w:tcMar>
              <w:left w:w="284" w:type="dxa"/>
              <w:right w:w="85" w:type="dxa"/>
            </w:tcMar>
            <w:vAlign w:val="center"/>
          </w:tcPr>
          <w:p w14:paraId="4F6AD280" w14:textId="5058F08F" w:rsidR="00226A72" w:rsidRPr="00226A72" w:rsidRDefault="00226A72" w:rsidP="00226A72">
            <w:pPr>
              <w:spacing w:before="40" w:after="20"/>
              <w:ind w:left="-68" w:right="57"/>
              <w:jc w:val="right"/>
              <w:rPr>
                <w:rFonts w:ascii="Arial Narrow" w:hAnsi="Arial Narrow" w:cs="Arial"/>
                <w:b/>
                <w:bCs/>
                <w:color w:val="FFFFFF" w:themeColor="background1"/>
                <w:sz w:val="18"/>
                <w:szCs w:val="18"/>
              </w:rPr>
            </w:pPr>
            <w:r w:rsidRPr="00226A72">
              <w:rPr>
                <w:rFonts w:ascii="Arial Narrow" w:hAnsi="Arial Narrow" w:cs="Arial"/>
                <w:b/>
                <w:bCs/>
                <w:color w:val="FFFFFF" w:themeColor="background1"/>
                <w:sz w:val="18"/>
                <w:szCs w:val="18"/>
              </w:rPr>
              <w:t>+1,5</w:t>
            </w:r>
          </w:p>
        </w:tc>
      </w:tr>
      <w:tr w:rsidR="00226A72" w:rsidRPr="00C8504B" w14:paraId="35223037" w14:textId="77777777" w:rsidTr="00226A72">
        <w:trPr>
          <w:trHeight w:val="255"/>
          <w:tblHeader/>
        </w:trPr>
        <w:tc>
          <w:tcPr>
            <w:tcW w:w="4253" w:type="dxa"/>
            <w:vAlign w:val="center"/>
          </w:tcPr>
          <w:p w14:paraId="1F8D45FC" w14:textId="77777777" w:rsidR="00226A72" w:rsidRPr="00C8504B" w:rsidRDefault="00226A72" w:rsidP="00226A72">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 e alimentari freschi (Componente di fondo)</w:t>
            </w:r>
          </w:p>
        </w:tc>
        <w:tc>
          <w:tcPr>
            <w:tcW w:w="992" w:type="dxa"/>
            <w:shd w:val="clear" w:color="auto" w:fill="D9D9D9"/>
            <w:vAlign w:val="center"/>
          </w:tcPr>
          <w:p w14:paraId="09C287BA"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826.256</w:t>
            </w:r>
          </w:p>
        </w:tc>
        <w:tc>
          <w:tcPr>
            <w:tcW w:w="978" w:type="dxa"/>
            <w:tcMar>
              <w:left w:w="142" w:type="dxa"/>
            </w:tcMar>
            <w:vAlign w:val="center"/>
          </w:tcPr>
          <w:p w14:paraId="06DDA05F" w14:textId="5CFC48BE"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-0,4</w:t>
            </w:r>
          </w:p>
        </w:tc>
        <w:tc>
          <w:tcPr>
            <w:tcW w:w="1006" w:type="dxa"/>
            <w:shd w:val="clear" w:color="auto" w:fill="D9D9D9"/>
            <w:tcMar>
              <w:left w:w="85" w:type="dxa"/>
            </w:tcMar>
            <w:vAlign w:val="center"/>
          </w:tcPr>
          <w:p w14:paraId="7F5E2005" w14:textId="1814B0E4"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-0,3</w:t>
            </w:r>
          </w:p>
        </w:tc>
        <w:tc>
          <w:tcPr>
            <w:tcW w:w="992" w:type="dxa"/>
            <w:tcMar>
              <w:left w:w="85" w:type="dxa"/>
            </w:tcMar>
            <w:vAlign w:val="center"/>
          </w:tcPr>
          <w:p w14:paraId="58FF52E8" w14:textId="6D27A4AE"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+1,7</w:t>
            </w:r>
          </w:p>
        </w:tc>
        <w:tc>
          <w:tcPr>
            <w:tcW w:w="983" w:type="dxa"/>
            <w:shd w:val="clear" w:color="auto" w:fill="D9D9D9"/>
            <w:tcMar>
              <w:left w:w="85" w:type="dxa"/>
            </w:tcMar>
            <w:vAlign w:val="center"/>
          </w:tcPr>
          <w:p w14:paraId="561C681F" w14:textId="168B7F55"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+1,9</w:t>
            </w:r>
          </w:p>
        </w:tc>
        <w:tc>
          <w:tcPr>
            <w:tcW w:w="1002" w:type="dxa"/>
            <w:tcMar>
              <w:left w:w="284" w:type="dxa"/>
              <w:right w:w="85" w:type="dxa"/>
            </w:tcMar>
            <w:vAlign w:val="center"/>
          </w:tcPr>
          <w:p w14:paraId="1AD33EF0" w14:textId="2A2B0847"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+1,8</w:t>
            </w:r>
          </w:p>
        </w:tc>
      </w:tr>
      <w:tr w:rsidR="00226A72" w:rsidRPr="00C8504B" w14:paraId="57341959" w14:textId="77777777" w:rsidTr="00226A72">
        <w:trPr>
          <w:trHeight w:val="255"/>
          <w:tblHeader/>
        </w:trPr>
        <w:tc>
          <w:tcPr>
            <w:tcW w:w="4253" w:type="dxa"/>
            <w:vAlign w:val="center"/>
          </w:tcPr>
          <w:p w14:paraId="7BA07C34" w14:textId="77777777" w:rsidR="00226A72" w:rsidRPr="00C8504B" w:rsidRDefault="00226A72" w:rsidP="00226A72">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degli alimentari (incluse bevande alcoliche) e tabacchi</w:t>
            </w:r>
          </w:p>
        </w:tc>
        <w:tc>
          <w:tcPr>
            <w:tcW w:w="992" w:type="dxa"/>
            <w:shd w:val="clear" w:color="auto" w:fill="D9D9D9"/>
            <w:vAlign w:val="center"/>
          </w:tcPr>
          <w:p w14:paraId="56C9C901"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691.637</w:t>
            </w:r>
          </w:p>
        </w:tc>
        <w:tc>
          <w:tcPr>
            <w:tcW w:w="978" w:type="dxa"/>
            <w:tcMar>
              <w:left w:w="142" w:type="dxa"/>
            </w:tcMar>
            <w:vAlign w:val="center"/>
          </w:tcPr>
          <w:p w14:paraId="16311DC8" w14:textId="4485DC36"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-0,4</w:t>
            </w:r>
          </w:p>
        </w:tc>
        <w:tc>
          <w:tcPr>
            <w:tcW w:w="1006" w:type="dxa"/>
            <w:shd w:val="clear" w:color="auto" w:fill="D9D9D9"/>
            <w:tcMar>
              <w:left w:w="85" w:type="dxa"/>
            </w:tcMar>
            <w:vAlign w:val="center"/>
          </w:tcPr>
          <w:p w14:paraId="75504324" w14:textId="518FC87A"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-0,4</w:t>
            </w:r>
          </w:p>
        </w:tc>
        <w:tc>
          <w:tcPr>
            <w:tcW w:w="992" w:type="dxa"/>
            <w:tcMar>
              <w:left w:w="85" w:type="dxa"/>
            </w:tcMar>
            <w:vAlign w:val="center"/>
          </w:tcPr>
          <w:p w14:paraId="232CB2D7" w14:textId="7F3C1E91"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+1,7</w:t>
            </w:r>
          </w:p>
        </w:tc>
        <w:tc>
          <w:tcPr>
            <w:tcW w:w="983" w:type="dxa"/>
            <w:shd w:val="clear" w:color="auto" w:fill="D9D9D9"/>
            <w:tcMar>
              <w:left w:w="85" w:type="dxa"/>
            </w:tcMar>
            <w:vAlign w:val="center"/>
          </w:tcPr>
          <w:p w14:paraId="04D5B834" w14:textId="4B092F4E"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+1,8</w:t>
            </w:r>
          </w:p>
        </w:tc>
        <w:tc>
          <w:tcPr>
            <w:tcW w:w="1002" w:type="dxa"/>
            <w:tcMar>
              <w:left w:w="284" w:type="dxa"/>
              <w:right w:w="85" w:type="dxa"/>
            </w:tcMar>
            <w:vAlign w:val="center"/>
          </w:tcPr>
          <w:p w14:paraId="16084B0E" w14:textId="5D8494F0"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+1,8</w:t>
            </w:r>
          </w:p>
        </w:tc>
      </w:tr>
      <w:tr w:rsidR="00226A72" w:rsidRPr="00C8504B" w14:paraId="275CB4CA" w14:textId="77777777" w:rsidTr="00226A72">
        <w:trPr>
          <w:trHeight w:val="255"/>
          <w:tblHeader/>
        </w:trPr>
        <w:tc>
          <w:tcPr>
            <w:tcW w:w="4253" w:type="dxa"/>
            <w:vAlign w:val="center"/>
          </w:tcPr>
          <w:p w14:paraId="04BD4D31" w14:textId="77777777" w:rsidR="00226A72" w:rsidRPr="00C8504B" w:rsidRDefault="00226A72" w:rsidP="00226A72">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w:t>
            </w:r>
          </w:p>
        </w:tc>
        <w:tc>
          <w:tcPr>
            <w:tcW w:w="992" w:type="dxa"/>
            <w:shd w:val="clear" w:color="auto" w:fill="D9D9D9"/>
            <w:vAlign w:val="center"/>
          </w:tcPr>
          <w:p w14:paraId="6D470CD1"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893.039</w:t>
            </w:r>
          </w:p>
        </w:tc>
        <w:tc>
          <w:tcPr>
            <w:tcW w:w="978" w:type="dxa"/>
            <w:tcMar>
              <w:left w:w="142" w:type="dxa"/>
            </w:tcMar>
            <w:vAlign w:val="center"/>
          </w:tcPr>
          <w:p w14:paraId="59C39AB8" w14:textId="7545DE0C"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-0,3</w:t>
            </w:r>
          </w:p>
        </w:tc>
        <w:tc>
          <w:tcPr>
            <w:tcW w:w="1006" w:type="dxa"/>
            <w:shd w:val="clear" w:color="auto" w:fill="D9D9D9"/>
            <w:tcMar>
              <w:left w:w="85" w:type="dxa"/>
            </w:tcMar>
            <w:vAlign w:val="center"/>
          </w:tcPr>
          <w:p w14:paraId="40137B28" w14:textId="6CAB6EB6"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-0,2</w:t>
            </w:r>
          </w:p>
        </w:tc>
        <w:tc>
          <w:tcPr>
            <w:tcW w:w="992" w:type="dxa"/>
            <w:tcMar>
              <w:left w:w="85" w:type="dxa"/>
            </w:tcMar>
            <w:vAlign w:val="center"/>
          </w:tcPr>
          <w:p w14:paraId="4668801A" w14:textId="63283E93"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+1,7</w:t>
            </w:r>
          </w:p>
        </w:tc>
        <w:tc>
          <w:tcPr>
            <w:tcW w:w="983" w:type="dxa"/>
            <w:shd w:val="clear" w:color="auto" w:fill="D9D9D9"/>
            <w:tcMar>
              <w:left w:w="85" w:type="dxa"/>
            </w:tcMar>
            <w:vAlign w:val="center"/>
          </w:tcPr>
          <w:p w14:paraId="320745BB" w14:textId="768F26CE"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+1,9</w:t>
            </w:r>
          </w:p>
        </w:tc>
        <w:tc>
          <w:tcPr>
            <w:tcW w:w="1002" w:type="dxa"/>
            <w:tcMar>
              <w:left w:w="284" w:type="dxa"/>
              <w:right w:w="85" w:type="dxa"/>
            </w:tcMar>
            <w:vAlign w:val="center"/>
          </w:tcPr>
          <w:p w14:paraId="5C0ADA11" w14:textId="1A9FA06C"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+2,0</w:t>
            </w:r>
          </w:p>
        </w:tc>
      </w:tr>
      <w:tr w:rsidR="00226A72" w:rsidRPr="00C8504B" w14:paraId="24CA9F8F" w14:textId="77777777" w:rsidTr="00226A72">
        <w:trPr>
          <w:trHeight w:val="255"/>
          <w:tblHeader/>
        </w:trPr>
        <w:tc>
          <w:tcPr>
            <w:tcW w:w="4253" w:type="dxa"/>
            <w:vAlign w:val="center"/>
          </w:tcPr>
          <w:p w14:paraId="2A907177" w14:textId="77777777" w:rsidR="00226A72" w:rsidRPr="00C8504B" w:rsidRDefault="00226A72" w:rsidP="00226A72">
            <w:pPr>
              <w:spacing w:before="40" w:after="20"/>
              <w:ind w:left="-68"/>
              <w:rPr>
                <w:rFonts w:ascii="Arial Narrow" w:hAnsi="Arial Narrow" w:cs="Arial"/>
                <w:bCs/>
                <w:sz w:val="18"/>
                <w:szCs w:val="18"/>
              </w:rPr>
            </w:pPr>
            <w:r w:rsidRPr="00C8504B">
              <w:rPr>
                <w:rFonts w:ascii="Arial Narrow" w:hAnsi="Arial Narrow" w:cs="Arial"/>
                <w:bCs/>
                <w:sz w:val="18"/>
                <w:szCs w:val="18"/>
              </w:rPr>
              <w:t>Indice dei beni alimentari, per la cura della casa e della persona</w:t>
            </w:r>
          </w:p>
        </w:tc>
        <w:tc>
          <w:tcPr>
            <w:tcW w:w="992" w:type="dxa"/>
            <w:shd w:val="clear" w:color="auto" w:fill="D9D9D9"/>
            <w:vAlign w:val="center"/>
          </w:tcPr>
          <w:p w14:paraId="025DB208" w14:textId="77777777" w:rsidR="00226A72" w:rsidRPr="00BD1A65" w:rsidRDefault="00226A72" w:rsidP="00226A72">
            <w:pPr>
              <w:spacing w:before="40" w:after="20"/>
              <w:ind w:left="-68" w:right="57"/>
              <w:jc w:val="right"/>
              <w:rPr>
                <w:rFonts w:ascii="Arial Narrow" w:hAnsi="Arial Narrow" w:cs="Arial"/>
                <w:sz w:val="18"/>
                <w:szCs w:val="18"/>
              </w:rPr>
            </w:pPr>
            <w:r w:rsidRPr="00BD1A65">
              <w:rPr>
                <w:rFonts w:ascii="Arial Narrow" w:hAnsi="Arial Narrow" w:cs="Arial"/>
                <w:sz w:val="18"/>
                <w:szCs w:val="18"/>
              </w:rPr>
              <w:t>204.301</w:t>
            </w:r>
          </w:p>
        </w:tc>
        <w:tc>
          <w:tcPr>
            <w:tcW w:w="978" w:type="dxa"/>
            <w:tcMar>
              <w:left w:w="142" w:type="dxa"/>
            </w:tcMar>
            <w:vAlign w:val="center"/>
          </w:tcPr>
          <w:p w14:paraId="5F83A18A" w14:textId="60B7B9FE"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0,0</w:t>
            </w:r>
          </w:p>
        </w:tc>
        <w:tc>
          <w:tcPr>
            <w:tcW w:w="1006" w:type="dxa"/>
            <w:shd w:val="clear" w:color="auto" w:fill="D9D9D9"/>
            <w:tcMar>
              <w:left w:w="85" w:type="dxa"/>
            </w:tcMar>
            <w:vAlign w:val="center"/>
          </w:tcPr>
          <w:p w14:paraId="57D913A9" w14:textId="276EDE35"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+0,6</w:t>
            </w:r>
          </w:p>
        </w:tc>
        <w:tc>
          <w:tcPr>
            <w:tcW w:w="992" w:type="dxa"/>
            <w:tcMar>
              <w:left w:w="85" w:type="dxa"/>
            </w:tcMar>
            <w:vAlign w:val="center"/>
          </w:tcPr>
          <w:p w14:paraId="3DD413C9" w14:textId="76FAD6AF"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+1,5</w:t>
            </w:r>
          </w:p>
        </w:tc>
        <w:tc>
          <w:tcPr>
            <w:tcW w:w="983" w:type="dxa"/>
            <w:shd w:val="clear" w:color="auto" w:fill="D9D9D9"/>
            <w:tcMar>
              <w:left w:w="85" w:type="dxa"/>
            </w:tcMar>
            <w:vAlign w:val="center"/>
          </w:tcPr>
          <w:p w14:paraId="0C07D440" w14:textId="0FB96014"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+2,1</w:t>
            </w:r>
          </w:p>
        </w:tc>
        <w:tc>
          <w:tcPr>
            <w:tcW w:w="1002" w:type="dxa"/>
            <w:tcMar>
              <w:left w:w="284" w:type="dxa"/>
              <w:right w:w="85" w:type="dxa"/>
            </w:tcMar>
            <w:vAlign w:val="center"/>
          </w:tcPr>
          <w:p w14:paraId="236640A4" w14:textId="18E072C2" w:rsidR="00226A72" w:rsidRPr="00226A72" w:rsidRDefault="00226A72" w:rsidP="00226A72">
            <w:pPr>
              <w:spacing w:before="40" w:after="20"/>
              <w:ind w:left="-68" w:right="57"/>
              <w:jc w:val="right"/>
              <w:rPr>
                <w:rFonts w:ascii="Arial Narrow" w:hAnsi="Arial Narrow" w:cs="Arial"/>
                <w:sz w:val="18"/>
                <w:szCs w:val="18"/>
              </w:rPr>
            </w:pPr>
            <w:r w:rsidRPr="00226A72">
              <w:rPr>
                <w:rFonts w:ascii="Arial Narrow" w:hAnsi="Arial Narrow" w:cs="Arial"/>
                <w:sz w:val="18"/>
                <w:szCs w:val="18"/>
              </w:rPr>
              <w:t>+2,4</w:t>
            </w:r>
          </w:p>
        </w:tc>
      </w:tr>
    </w:tbl>
    <w:p w14:paraId="5F9ECA52" w14:textId="3B5AA2D6" w:rsidR="00E10E2F" w:rsidRDefault="00E10E2F" w:rsidP="00BA5499">
      <w:pPr>
        <w:spacing w:before="0" w:after="80"/>
        <w:jc w:val="both"/>
        <w:rPr>
          <w:rFonts w:ascii="Arial" w:hAnsi="Arial" w:cs="Arial"/>
          <w:color w:val="000000"/>
          <w:kern w:val="0"/>
          <w:sz w:val="21"/>
          <w:szCs w:val="21"/>
        </w:rPr>
      </w:pPr>
    </w:p>
    <w:p w14:paraId="570F7724" w14:textId="77777777" w:rsidR="004F0C88" w:rsidRDefault="004F0C88" w:rsidP="00BA5499">
      <w:pPr>
        <w:spacing w:before="0" w:after="80"/>
        <w:jc w:val="both"/>
        <w:rPr>
          <w:rFonts w:ascii="Arial" w:hAnsi="Arial" w:cs="Arial"/>
          <w:color w:val="000000"/>
          <w:kern w:val="0"/>
          <w:sz w:val="21"/>
          <w:szCs w:val="21"/>
        </w:rPr>
      </w:pPr>
    </w:p>
    <w:p w14:paraId="35CA551F" w14:textId="77777777" w:rsidR="004F0C88" w:rsidRDefault="004F0C88" w:rsidP="00BA5499">
      <w:pPr>
        <w:spacing w:before="0" w:after="80"/>
        <w:jc w:val="both"/>
        <w:rPr>
          <w:rFonts w:ascii="Arial" w:hAnsi="Arial" w:cs="Arial"/>
          <w:color w:val="000000"/>
          <w:kern w:val="0"/>
          <w:sz w:val="21"/>
          <w:szCs w:val="21"/>
        </w:rPr>
      </w:pPr>
    </w:p>
    <w:p w14:paraId="135CF875" w14:textId="77777777" w:rsidR="004F0C88" w:rsidRDefault="004F0C88" w:rsidP="004F0C88">
      <w:pPr>
        <w:spacing w:before="0" w:after="80"/>
        <w:jc w:val="both"/>
        <w:rPr>
          <w:rFonts w:ascii="Arial" w:hAnsi="Arial" w:cs="Arial"/>
          <w:color w:val="000000"/>
          <w:kern w:val="0"/>
          <w:sz w:val="21"/>
          <w:szCs w:val="21"/>
        </w:rPr>
      </w:pPr>
    </w:p>
    <w:p w14:paraId="0CD858CC" w14:textId="1C7C89ED" w:rsidR="004F0C88" w:rsidRPr="00562E86" w:rsidRDefault="004F0C88" w:rsidP="004F0C88">
      <w:pPr>
        <w:spacing w:before="0" w:after="80"/>
        <w:jc w:val="both"/>
        <w:rPr>
          <w:rFonts w:ascii="Arial" w:hAnsi="Arial" w:cs="Arial"/>
          <w:color w:val="000000"/>
          <w:kern w:val="0"/>
          <w:sz w:val="21"/>
          <w:szCs w:val="21"/>
        </w:rPr>
      </w:pPr>
      <w:r w:rsidRPr="00562E86">
        <w:rPr>
          <w:rFonts w:ascii="Arial" w:hAnsi="Arial" w:cs="Arial"/>
          <w:color w:val="000000"/>
          <w:kern w:val="0"/>
          <w:sz w:val="21"/>
          <w:szCs w:val="21"/>
        </w:rPr>
        <w:lastRenderedPageBreak/>
        <w:t xml:space="preserve">Più in dettaglio, nel settore non regolamentato, accelerano i prezzi dei Combustibili solidi (da +1,7% a +4,4%; +1,6% su ottobre), del Gasolio per mezzi di trasporto (con l’inversione di tendenza da -0,1% a +2,1%; +2,6% su ottobre) e si attenua il calo dell’Energia elettrica mercato libero (da -9,9% a -7,3%; +0,4% su ottobre), del Gasolio per riscaldamento (da -1,4% a -0,3%; +1,9% su ottobre) e della Benzina (da -2,7% a -2,2%; +0,8% su ottobre); si amplia la flessione dei prezzi del Gas di città e gas naturale mercato libero (da -8,7% a </w:t>
      </w:r>
      <w:r w:rsidR="00365B94" w:rsidRPr="00562E86">
        <w:rPr>
          <w:rFonts w:ascii="Arial" w:hAnsi="Arial" w:cs="Arial"/>
          <w:color w:val="000000"/>
          <w:kern w:val="0"/>
          <w:sz w:val="21"/>
          <w:szCs w:val="21"/>
        </w:rPr>
        <w:t xml:space="preserve">                  </w:t>
      </w:r>
      <w:r w:rsidRPr="00562E86">
        <w:rPr>
          <w:rFonts w:ascii="Arial" w:hAnsi="Arial" w:cs="Arial"/>
          <w:color w:val="000000"/>
          <w:kern w:val="0"/>
          <w:sz w:val="21"/>
          <w:szCs w:val="21"/>
        </w:rPr>
        <w:t>-10,7%; -0,7% su ottobre) e degli Altri carburanti (da -2,0% a -3,5%; -0,4% su ottobre).</w:t>
      </w:r>
    </w:p>
    <w:p w14:paraId="026302DA" w14:textId="3BD4B84D" w:rsidR="00146498" w:rsidRPr="00562E86" w:rsidRDefault="004F0C88" w:rsidP="004F0C88">
      <w:pPr>
        <w:spacing w:before="0" w:after="80"/>
        <w:jc w:val="both"/>
        <w:rPr>
          <w:rFonts w:ascii="Arial" w:hAnsi="Arial" w:cs="Arial"/>
          <w:color w:val="000000"/>
          <w:kern w:val="0"/>
          <w:sz w:val="21"/>
          <w:szCs w:val="21"/>
        </w:rPr>
      </w:pPr>
      <w:r w:rsidRPr="00562E86">
        <w:rPr>
          <w:rFonts w:ascii="Arial" w:hAnsi="Arial" w:cs="Arial"/>
          <w:color w:val="000000"/>
          <w:kern w:val="0"/>
          <w:sz w:val="21"/>
          <w:szCs w:val="21"/>
        </w:rPr>
        <w:t>Per quanto riguarda</w:t>
      </w:r>
      <w:r w:rsidR="009C1CBC">
        <w:rPr>
          <w:rFonts w:ascii="Arial" w:hAnsi="Arial" w:cs="Arial"/>
          <w:color w:val="000000"/>
          <w:kern w:val="0"/>
          <w:sz w:val="21"/>
          <w:szCs w:val="21"/>
        </w:rPr>
        <w:t>,</w:t>
      </w:r>
      <w:r w:rsidRPr="00562E86">
        <w:rPr>
          <w:rFonts w:ascii="Arial" w:hAnsi="Arial" w:cs="Arial"/>
          <w:color w:val="000000"/>
          <w:kern w:val="0"/>
          <w:sz w:val="21"/>
          <w:szCs w:val="21"/>
        </w:rPr>
        <w:t xml:space="preserve"> invece</w:t>
      </w:r>
      <w:r w:rsidR="009C1CBC">
        <w:rPr>
          <w:rFonts w:ascii="Arial" w:hAnsi="Arial" w:cs="Arial"/>
          <w:color w:val="000000"/>
          <w:kern w:val="0"/>
          <w:sz w:val="21"/>
          <w:szCs w:val="21"/>
        </w:rPr>
        <w:t>,</w:t>
      </w:r>
      <w:r w:rsidRPr="00562E86">
        <w:rPr>
          <w:rFonts w:ascii="Arial" w:hAnsi="Arial" w:cs="Arial"/>
          <w:color w:val="000000"/>
          <w:kern w:val="0"/>
          <w:sz w:val="21"/>
          <w:szCs w:val="21"/>
        </w:rPr>
        <w:t xml:space="preserve"> la componente regolamentata del settore energetico, si accentua la discesa dei prezzi del Gas di città e gas naturale mercato tutelato (da -9,8% a -14,1%; -0,5% su ottobre), mentre i prezzi dell’Energia elettrica mercato tutelato risultano stabili (a +0,1%; nulla la variazione congiunturale).</w:t>
      </w:r>
    </w:p>
    <w:p w14:paraId="09B731FF" w14:textId="4D4F1D21" w:rsidR="00BC2504" w:rsidRDefault="00BC2504" w:rsidP="00BC2504">
      <w:pPr>
        <w:spacing w:before="0" w:after="80"/>
        <w:jc w:val="both"/>
        <w:rPr>
          <w:rFonts w:ascii="Arial" w:hAnsi="Arial" w:cs="Arial"/>
          <w:color w:val="000000"/>
          <w:kern w:val="0"/>
          <w:sz w:val="21"/>
          <w:szCs w:val="21"/>
        </w:rPr>
      </w:pPr>
      <w:r w:rsidRPr="00562E86">
        <w:rPr>
          <w:rFonts w:ascii="Arial" w:hAnsi="Arial" w:cs="Arial"/>
          <w:color w:val="000000"/>
          <w:kern w:val="0"/>
          <w:sz w:val="21"/>
          <w:szCs w:val="21"/>
        </w:rPr>
        <w:t>A novembre, i prezzi dei servizi rallentano, frenati da quelli dei Servizi relativi ai trasporti (da +2,0% a +0,9%;       -1,3% su ottobre, anche per</w:t>
      </w:r>
      <w:r w:rsidR="009C1CBC">
        <w:rPr>
          <w:rFonts w:ascii="Arial" w:hAnsi="Arial" w:cs="Arial"/>
          <w:color w:val="000000"/>
          <w:kern w:val="0"/>
          <w:sz w:val="21"/>
          <w:szCs w:val="21"/>
        </w:rPr>
        <w:t xml:space="preserve"> effetto di</w:t>
      </w:r>
      <w:r w:rsidRPr="00562E86">
        <w:rPr>
          <w:rFonts w:ascii="Arial" w:hAnsi="Arial" w:cs="Arial"/>
          <w:color w:val="000000"/>
          <w:kern w:val="0"/>
          <w:sz w:val="21"/>
          <w:szCs w:val="21"/>
        </w:rPr>
        <w:t xml:space="preserve"> fattori stagionali), soprattutto da quelli del Trasporto aereo passeggeri (da +3,5% a -7,9%; -13,7% su ottobre) e del Trasporto marittimo e per vie d’acqua interne (da +3,3% a +1,5%; -1,6% su ottobre). In decelerazione anche i prezzi dei Servizi ricreativi, culturali e per la cura della persona (da +3,3% a +3,0%; -1,6% su ottobre), ascrivibile ai Servizi di alloggio (da +4,5% a +3,4%; -8,8% su ottobre), e i</w:t>
      </w:r>
      <w:r w:rsidRPr="00562E86">
        <w:t xml:space="preserve"> </w:t>
      </w:r>
      <w:r w:rsidRPr="00562E86">
        <w:rPr>
          <w:rFonts w:ascii="Arial" w:hAnsi="Arial" w:cs="Arial"/>
          <w:color w:val="000000"/>
          <w:kern w:val="0"/>
          <w:sz w:val="21"/>
          <w:szCs w:val="21"/>
        </w:rPr>
        <w:t>Servizi relativi alle comunicazioni (da -0,3% a -0,8%; -0,2% su ottobre), per effetto dei prezzi dei Servizi di telefonia mobile (da -2,5% a -3,1%; -0,5% su ottobre).</w:t>
      </w:r>
    </w:p>
    <w:p w14:paraId="5B22CADC" w14:textId="0D1ABC8F" w:rsidR="007F7081" w:rsidRDefault="007F7081" w:rsidP="007F7081">
      <w:pPr>
        <w:pStyle w:val="Corpotesto"/>
        <w:tabs>
          <w:tab w:val="left" w:pos="6237"/>
        </w:tabs>
        <w:spacing w:after="80" w:line="240" w:lineRule="exact"/>
        <w:jc w:val="both"/>
        <w:rPr>
          <w:rFonts w:ascii="Arial" w:hAnsi="Arial" w:cs="Arial"/>
          <w:iCs/>
          <w:sz w:val="21"/>
          <w:szCs w:val="21"/>
        </w:rPr>
      </w:pPr>
      <w:r w:rsidRPr="00B7443E">
        <w:rPr>
          <w:rFonts w:ascii="Arial" w:hAnsi="Arial" w:cs="Arial"/>
          <w:iCs/>
          <w:sz w:val="21"/>
          <w:szCs w:val="21"/>
        </w:rPr>
        <w:t xml:space="preserve">L’impatto dell’evoluzione dei prezzi delle diverse tipologie di prodotto sul tasso di inflazione del mese di </w:t>
      </w:r>
      <w:r w:rsidR="00BC2504">
        <w:rPr>
          <w:rFonts w:ascii="Arial" w:hAnsi="Arial" w:cs="Arial"/>
          <w:iCs/>
          <w:sz w:val="21"/>
          <w:szCs w:val="21"/>
        </w:rPr>
        <w:t>novembre</w:t>
      </w:r>
      <w:r w:rsidRPr="00516709">
        <w:rPr>
          <w:rFonts w:ascii="Arial" w:hAnsi="Arial" w:cs="Arial"/>
          <w:iCs/>
          <w:sz w:val="21"/>
          <w:szCs w:val="21"/>
        </w:rPr>
        <w:t xml:space="preserve"> </w:t>
      </w:r>
      <w:r w:rsidRPr="00F157E2">
        <w:rPr>
          <w:rFonts w:ascii="Arial" w:hAnsi="Arial" w:cs="Arial"/>
          <w:iCs/>
          <w:sz w:val="21"/>
          <w:szCs w:val="21"/>
        </w:rPr>
        <w:t xml:space="preserve">è </w:t>
      </w:r>
      <w:r>
        <w:rPr>
          <w:rFonts w:ascii="Arial" w:hAnsi="Arial" w:cs="Arial"/>
          <w:iCs/>
          <w:sz w:val="21"/>
          <w:szCs w:val="21"/>
        </w:rPr>
        <w:t>misurato</w:t>
      </w:r>
      <w:r w:rsidRPr="00F157E2">
        <w:rPr>
          <w:rFonts w:ascii="Arial" w:hAnsi="Arial" w:cs="Arial"/>
          <w:iCs/>
          <w:sz w:val="21"/>
          <w:szCs w:val="21"/>
        </w:rPr>
        <w:t xml:space="preserve"> dai contributi alla variazione </w:t>
      </w:r>
      <w:r>
        <w:rPr>
          <w:rFonts w:ascii="Arial" w:hAnsi="Arial" w:cs="Arial"/>
          <w:iCs/>
          <w:sz w:val="21"/>
          <w:szCs w:val="21"/>
        </w:rPr>
        <w:t xml:space="preserve">tendenziale </w:t>
      </w:r>
      <w:r w:rsidRPr="00F157E2">
        <w:rPr>
          <w:rFonts w:ascii="Arial" w:hAnsi="Arial" w:cs="Arial"/>
          <w:iCs/>
          <w:sz w:val="21"/>
          <w:szCs w:val="21"/>
        </w:rPr>
        <w:t xml:space="preserve">dell’indice generale dei prezzi al consumo </w:t>
      </w:r>
      <w:r>
        <w:rPr>
          <w:rFonts w:ascii="Arial" w:hAnsi="Arial" w:cs="Arial"/>
          <w:iCs/>
          <w:sz w:val="21"/>
          <w:szCs w:val="21"/>
        </w:rPr>
        <w:t>(F</w:t>
      </w:r>
      <w:r w:rsidRPr="00F157E2">
        <w:rPr>
          <w:rFonts w:ascii="Arial" w:hAnsi="Arial" w:cs="Arial"/>
          <w:iCs/>
          <w:sz w:val="21"/>
          <w:szCs w:val="21"/>
        </w:rPr>
        <w:t>igura 4</w:t>
      </w:r>
      <w:r>
        <w:rPr>
          <w:rFonts w:ascii="Arial" w:hAnsi="Arial" w:cs="Arial"/>
          <w:iCs/>
          <w:sz w:val="21"/>
          <w:szCs w:val="21"/>
        </w:rPr>
        <w:t>)</w:t>
      </w:r>
      <w:r w:rsidRPr="00F157E2">
        <w:rPr>
          <w:rFonts w:ascii="Arial" w:hAnsi="Arial" w:cs="Arial"/>
          <w:iCs/>
          <w:sz w:val="21"/>
          <w:szCs w:val="21"/>
        </w:rPr>
        <w:t>.</w:t>
      </w:r>
    </w:p>
    <w:p w14:paraId="60CD4957" w14:textId="77777777" w:rsidR="001B5331" w:rsidRPr="002B4C24" w:rsidRDefault="001B5331" w:rsidP="002B4C24">
      <w:pPr>
        <w:spacing w:before="0" w:after="80"/>
        <w:jc w:val="both"/>
        <w:rPr>
          <w:rFonts w:ascii="Arial" w:hAnsi="Arial" w:cs="Arial"/>
          <w:color w:val="000000"/>
          <w:kern w:val="0"/>
          <w:sz w:val="21"/>
          <w:szCs w:val="21"/>
        </w:rPr>
      </w:pPr>
    </w:p>
    <w:p w14:paraId="3E836C44" w14:textId="77777777" w:rsidR="00184B06" w:rsidRPr="00C8504B" w:rsidRDefault="00184B06" w:rsidP="00184B06">
      <w:pPr>
        <w:pStyle w:val="001TitoGra"/>
        <w:spacing w:line="240" w:lineRule="auto"/>
      </w:pPr>
      <w:r w:rsidRPr="00C8504B">
        <w:rPr>
          <w:rFonts w:cs="Calibri"/>
          <w:bCs/>
          <w:color w:val="FF0000"/>
          <w:kern w:val="0"/>
        </w:rPr>
        <w:t xml:space="preserve">FIGURA 3. </w:t>
      </w:r>
      <w:r w:rsidRPr="00C8504B">
        <w:rPr>
          <w:rFonts w:cs="Calibri"/>
          <w:bCs/>
          <w:kern w:val="0"/>
        </w:rPr>
        <w:t>INDICI DEI PREZZI AL CONSU</w:t>
      </w:r>
      <w:r w:rsidR="00C17464" w:rsidRPr="00C8504B">
        <w:rPr>
          <w:rFonts w:cs="Calibri"/>
          <w:bCs/>
          <w:kern w:val="0"/>
        </w:rPr>
        <w:t>MO NIC PER CATEGORIE DI PRODOTTO</w:t>
      </w:r>
    </w:p>
    <w:p w14:paraId="52DD487D" w14:textId="568F87D2" w:rsidR="00184B06" w:rsidRDefault="00A1225D" w:rsidP="007C600E">
      <w:pPr>
        <w:pStyle w:val="001TitoGra"/>
        <w:spacing w:after="120" w:line="240" w:lineRule="auto"/>
        <w:rPr>
          <w:rFonts w:cs="Calibri"/>
          <w:b w:val="0"/>
          <w:kern w:val="0"/>
          <w:sz w:val="20"/>
          <w:szCs w:val="20"/>
        </w:rPr>
      </w:pPr>
      <w:r>
        <w:rPr>
          <w:b w:val="0"/>
          <w:sz w:val="20"/>
          <w:szCs w:val="20"/>
        </w:rPr>
        <w:t>Gennaio 2020</w:t>
      </w:r>
      <w:r w:rsidR="00141DAE" w:rsidRPr="00141DAE">
        <w:rPr>
          <w:b w:val="0"/>
          <w:sz w:val="20"/>
          <w:szCs w:val="20"/>
        </w:rPr>
        <w:t xml:space="preserve"> </w:t>
      </w:r>
      <w:r w:rsidR="00FF7AE4">
        <w:rPr>
          <w:b w:val="0"/>
          <w:sz w:val="20"/>
          <w:szCs w:val="20"/>
        </w:rPr>
        <w:t>–</w:t>
      </w:r>
      <w:r w:rsidR="00141DAE" w:rsidRPr="00141DAE">
        <w:rPr>
          <w:b w:val="0"/>
          <w:sz w:val="20"/>
          <w:szCs w:val="20"/>
        </w:rPr>
        <w:t xml:space="preserve"> </w:t>
      </w:r>
      <w:r w:rsidR="00053948">
        <w:rPr>
          <w:b w:val="0"/>
          <w:sz w:val="20"/>
          <w:szCs w:val="20"/>
        </w:rPr>
        <w:t>novembre</w:t>
      </w:r>
      <w:r w:rsidR="0009240D">
        <w:rPr>
          <w:b w:val="0"/>
          <w:sz w:val="20"/>
          <w:szCs w:val="20"/>
        </w:rPr>
        <w:t xml:space="preserve"> 202</w:t>
      </w:r>
      <w:r>
        <w:rPr>
          <w:b w:val="0"/>
          <w:sz w:val="20"/>
          <w:szCs w:val="20"/>
        </w:rPr>
        <w:t>5</w:t>
      </w:r>
      <w:r w:rsidR="00184B06" w:rsidRPr="000D11A3">
        <w:rPr>
          <w:rFonts w:cs="Calibri"/>
          <w:b w:val="0"/>
          <w:kern w:val="0"/>
          <w:sz w:val="20"/>
          <w:szCs w:val="20"/>
        </w:rPr>
        <w:t>, variazioni percentuali tendenziali (base 2015=100)</w:t>
      </w:r>
      <w:r w:rsidR="00D456A7" w:rsidRPr="000D11A3">
        <w:rPr>
          <w:rFonts w:cs="Calibri"/>
          <w:b w:val="0"/>
          <w:kern w:val="0"/>
          <w:sz w:val="20"/>
          <w:szCs w:val="20"/>
        </w:rPr>
        <w:t xml:space="preserve"> </w:t>
      </w:r>
    </w:p>
    <w:p w14:paraId="0E32D0CF" w14:textId="3E9E6AFA" w:rsidR="00BB2B45" w:rsidRPr="00BB2B45" w:rsidRDefault="00365B94" w:rsidP="00BB2B45">
      <w:pPr>
        <w:spacing w:before="0" w:after="120"/>
        <w:jc w:val="both"/>
        <w:rPr>
          <w:rFonts w:ascii="Arial" w:hAnsi="Arial" w:cs="Arial"/>
          <w:color w:val="000000"/>
          <w:kern w:val="0"/>
          <w:sz w:val="21"/>
          <w:szCs w:val="21"/>
        </w:rPr>
      </w:pPr>
      <w:r>
        <w:rPr>
          <w:rFonts w:ascii="Arial" w:hAnsi="Arial" w:cs="Arial"/>
          <w:noProof/>
          <w:color w:val="000000"/>
          <w:kern w:val="0"/>
          <w:sz w:val="21"/>
          <w:szCs w:val="21"/>
        </w:rPr>
        <w:drawing>
          <wp:inline distT="0" distB="0" distL="0" distR="0" wp14:anchorId="70E70EA8" wp14:editId="015896D0">
            <wp:extent cx="6633210" cy="2268220"/>
            <wp:effectExtent l="0" t="0" r="0" b="0"/>
            <wp:docPr id="5112675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3210" cy="2268220"/>
                    </a:xfrm>
                    <a:prstGeom prst="rect">
                      <a:avLst/>
                    </a:prstGeom>
                    <a:noFill/>
                  </pic:spPr>
                </pic:pic>
              </a:graphicData>
            </a:graphic>
          </wp:inline>
        </w:drawing>
      </w:r>
    </w:p>
    <w:p w14:paraId="3E397538" w14:textId="77777777" w:rsidR="007B647A" w:rsidRPr="00C62261" w:rsidRDefault="007B647A" w:rsidP="002B4C24">
      <w:pPr>
        <w:spacing w:before="0" w:after="80"/>
        <w:jc w:val="both"/>
        <w:rPr>
          <w:rFonts w:ascii="Arial" w:hAnsi="Arial"/>
          <w:color w:val="000000"/>
          <w:kern w:val="0"/>
          <w:sz w:val="22"/>
          <w:szCs w:val="22"/>
        </w:rPr>
      </w:pPr>
    </w:p>
    <w:p w14:paraId="2B23F83F" w14:textId="543E72DB" w:rsidR="00A93E6A" w:rsidRPr="00D926C0" w:rsidRDefault="00AE4283" w:rsidP="00427417">
      <w:pPr>
        <w:pStyle w:val="001SottotitoloGra"/>
        <w:spacing w:line="240" w:lineRule="auto"/>
        <w:jc w:val="both"/>
        <w:rPr>
          <w:color w:val="auto"/>
        </w:rPr>
      </w:pPr>
      <w:r w:rsidRPr="00D926C0">
        <w:rPr>
          <w:b/>
          <w:color w:val="E42618"/>
          <w:sz w:val="22"/>
          <w:szCs w:val="22"/>
        </w:rPr>
        <w:t>FIGURA 4</w:t>
      </w:r>
      <w:r w:rsidRPr="00D926C0">
        <w:rPr>
          <w:b/>
          <w:color w:val="E42618"/>
        </w:rPr>
        <w:t>.</w:t>
      </w:r>
      <w:r w:rsidRPr="00D926C0">
        <w:rPr>
          <w:b/>
        </w:rPr>
        <w:t xml:space="preserve"> </w:t>
      </w:r>
      <w:r w:rsidR="00DA7A68" w:rsidRPr="00D926C0">
        <w:rPr>
          <w:rFonts w:cs="Calibri"/>
          <w:b/>
          <w:bCs/>
          <w:kern w:val="0"/>
          <w:sz w:val="22"/>
          <w:szCs w:val="22"/>
        </w:rPr>
        <w:t>INDICE</w:t>
      </w:r>
      <w:r w:rsidRPr="00D926C0">
        <w:rPr>
          <w:rFonts w:cs="Calibri"/>
          <w:b/>
          <w:bCs/>
          <w:kern w:val="0"/>
          <w:sz w:val="22"/>
          <w:szCs w:val="22"/>
        </w:rPr>
        <w:t xml:space="preserve"> DEI PREZZI AL CONSUMO </w:t>
      </w:r>
      <w:r w:rsidR="00DA7A68" w:rsidRPr="00D926C0">
        <w:rPr>
          <w:rFonts w:cs="Calibri"/>
          <w:b/>
          <w:bCs/>
          <w:kern w:val="0"/>
          <w:sz w:val="22"/>
          <w:szCs w:val="22"/>
        </w:rPr>
        <w:t>NIC</w:t>
      </w:r>
      <w:r w:rsidR="00D926C0">
        <w:rPr>
          <w:rFonts w:cs="Calibri"/>
          <w:b/>
          <w:bCs/>
          <w:kern w:val="0"/>
          <w:sz w:val="22"/>
          <w:szCs w:val="22"/>
        </w:rPr>
        <w:t xml:space="preserve">, CONTRIBUTI ALLA VARIAZIONE TENDENZIALE </w:t>
      </w:r>
      <w:r w:rsidR="00DA7A68" w:rsidRPr="00D926C0">
        <w:rPr>
          <w:rFonts w:cs="Calibri"/>
          <w:b/>
          <w:bCs/>
          <w:kern w:val="0"/>
          <w:sz w:val="22"/>
          <w:szCs w:val="22"/>
        </w:rPr>
        <w:t>PER TIPOLOGIA DI PRODOTTO</w:t>
      </w:r>
      <w:r w:rsidR="007505FE" w:rsidRPr="00D926C0">
        <w:rPr>
          <w:rFonts w:cs="Calibri"/>
          <w:b/>
          <w:bCs/>
          <w:kern w:val="0"/>
          <w:sz w:val="22"/>
          <w:szCs w:val="22"/>
        </w:rPr>
        <w:t xml:space="preserve">. </w:t>
      </w:r>
      <w:r w:rsidR="00053948">
        <w:t>Novembre</w:t>
      </w:r>
      <w:r w:rsidR="0009240D" w:rsidRPr="00D926C0">
        <w:t xml:space="preserve"> 202</w:t>
      </w:r>
      <w:r w:rsidR="004461A2" w:rsidRPr="00D926C0">
        <w:t>5</w:t>
      </w:r>
      <w:r w:rsidR="00C85C69" w:rsidRPr="00D926C0">
        <w:t>, punti percentuali</w:t>
      </w:r>
    </w:p>
    <w:p w14:paraId="783AB222" w14:textId="75725E24" w:rsidR="00D926C0" w:rsidRDefault="00E22DF3" w:rsidP="00427417">
      <w:pPr>
        <w:pStyle w:val="001SottotitoloGra"/>
        <w:spacing w:line="240" w:lineRule="auto"/>
        <w:jc w:val="both"/>
        <w:rPr>
          <w:rFonts w:cs="Calibri"/>
          <w:b/>
          <w:bCs/>
          <w:kern w:val="0"/>
          <w:sz w:val="22"/>
          <w:szCs w:val="22"/>
        </w:rPr>
      </w:pPr>
      <w:r>
        <w:rPr>
          <w:rFonts w:cs="Calibri"/>
          <w:b/>
          <w:bCs/>
          <w:noProof/>
          <w:kern w:val="0"/>
          <w:sz w:val="22"/>
          <w:szCs w:val="22"/>
        </w:rPr>
        <w:drawing>
          <wp:inline distT="0" distB="0" distL="0" distR="0" wp14:anchorId="45C08815" wp14:editId="564D7AF1">
            <wp:extent cx="6492875" cy="2194560"/>
            <wp:effectExtent l="0" t="0" r="3175" b="0"/>
            <wp:docPr id="82267468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2875" cy="2194560"/>
                    </a:xfrm>
                    <a:prstGeom prst="rect">
                      <a:avLst/>
                    </a:prstGeom>
                    <a:noFill/>
                  </pic:spPr>
                </pic:pic>
              </a:graphicData>
            </a:graphic>
          </wp:inline>
        </w:drawing>
      </w:r>
    </w:p>
    <w:p w14:paraId="1DF75970" w14:textId="7ED0AD1F" w:rsidR="00A1287A" w:rsidRDefault="00A1287A" w:rsidP="002B4C24">
      <w:pPr>
        <w:spacing w:before="0" w:after="80"/>
        <w:jc w:val="both"/>
        <w:rPr>
          <w:rFonts w:ascii="Arial" w:hAnsi="Arial"/>
          <w:color w:val="000000"/>
          <w:kern w:val="0"/>
          <w:sz w:val="21"/>
          <w:szCs w:val="21"/>
        </w:rPr>
      </w:pPr>
    </w:p>
    <w:p w14:paraId="6732F1BA" w14:textId="77777777" w:rsidR="00C62261" w:rsidRPr="002B4C24" w:rsidRDefault="00C62261" w:rsidP="002B4C24">
      <w:pPr>
        <w:spacing w:before="0" w:after="80"/>
        <w:jc w:val="both"/>
        <w:rPr>
          <w:rFonts w:ascii="Arial" w:hAnsi="Arial"/>
          <w:color w:val="000000"/>
          <w:kern w:val="0"/>
          <w:sz w:val="21"/>
          <w:szCs w:val="21"/>
        </w:rPr>
      </w:pPr>
    </w:p>
    <w:p w14:paraId="619F1878" w14:textId="77777777" w:rsidR="00B32C69" w:rsidRPr="00C8504B" w:rsidRDefault="00B32C69" w:rsidP="00BD0487">
      <w:pPr>
        <w:pStyle w:val="001TitoloBolocco"/>
        <w:spacing w:after="120" w:line="240" w:lineRule="auto"/>
        <w:rPr>
          <w:szCs w:val="26"/>
        </w:rPr>
      </w:pPr>
      <w:r w:rsidRPr="00C8504B">
        <w:rPr>
          <w:szCs w:val="26"/>
        </w:rPr>
        <w:t>I BENI E I SERVIZI REGOLAMENTATI</w:t>
      </w:r>
    </w:p>
    <w:p w14:paraId="2F7AA017" w14:textId="77777777" w:rsidR="00B87271" w:rsidRPr="00A575BE" w:rsidRDefault="00B87271" w:rsidP="002C7A77">
      <w:pPr>
        <w:spacing w:before="0" w:after="120"/>
        <w:jc w:val="both"/>
        <w:rPr>
          <w:rFonts w:ascii="Arial" w:hAnsi="Arial" w:cs="Arial"/>
          <w:iCs/>
          <w:sz w:val="18"/>
          <w:szCs w:val="21"/>
        </w:rPr>
      </w:pPr>
    </w:p>
    <w:p w14:paraId="0E5C6CCC" w14:textId="5A1C63AC" w:rsidR="00045623" w:rsidRPr="00C8504B" w:rsidRDefault="00EE2474" w:rsidP="00045623">
      <w:pPr>
        <w:widowControl/>
        <w:tabs>
          <w:tab w:val="left" w:pos="2041"/>
        </w:tabs>
        <w:overflowPunct/>
        <w:autoSpaceDE/>
        <w:autoSpaceDN/>
        <w:adjustRightInd/>
        <w:spacing w:before="0" w:after="120"/>
        <w:jc w:val="both"/>
        <w:rPr>
          <w:rFonts w:ascii="Arial Narrow" w:hAnsi="Arial Narrow" w:cs="Arial"/>
          <w:color w:val="5F5F5F"/>
        </w:rPr>
      </w:pPr>
      <w:r w:rsidRPr="00C8504B">
        <w:rPr>
          <w:rFonts w:ascii="Arial Narrow" w:hAnsi="Arial Narrow" w:cs="Arial"/>
          <w:b/>
          <w:color w:val="E42618"/>
          <w:sz w:val="22"/>
          <w:szCs w:val="22"/>
        </w:rPr>
        <w:t xml:space="preserve">PROSPETTO </w:t>
      </w:r>
      <w:r w:rsidR="00E74721" w:rsidRPr="00C8504B">
        <w:rPr>
          <w:rFonts w:ascii="Arial Narrow" w:hAnsi="Arial Narrow" w:cs="Arial"/>
          <w:b/>
          <w:color w:val="E42618"/>
          <w:sz w:val="22"/>
          <w:szCs w:val="22"/>
        </w:rPr>
        <w:t>4</w:t>
      </w:r>
      <w:r w:rsidRPr="00C8504B">
        <w:rPr>
          <w:rFonts w:ascii="Arial Narrow" w:hAnsi="Arial Narrow" w:cs="Arial"/>
          <w:b/>
          <w:color w:val="E42618"/>
          <w:sz w:val="22"/>
          <w:szCs w:val="22"/>
        </w:rPr>
        <w:t>.</w:t>
      </w:r>
      <w:r w:rsidRPr="00C8504B">
        <w:rPr>
          <w:rFonts w:ascii="Arial Narrow" w:hAnsi="Arial Narrow" w:cs="Arial"/>
          <w:b/>
          <w:color w:val="5F5F5F"/>
        </w:rPr>
        <w:t xml:space="preserve"> </w:t>
      </w:r>
      <w:r w:rsidRPr="000345F9">
        <w:rPr>
          <w:rFonts w:ascii="Arial Narrow" w:hAnsi="Arial Narrow" w:cs="Calibri"/>
          <w:b/>
          <w:bCs/>
          <w:color w:val="5F5F5F"/>
          <w:kern w:val="0"/>
          <w:sz w:val="22"/>
          <w:szCs w:val="22"/>
        </w:rPr>
        <w:t>I</w:t>
      </w:r>
      <w:r w:rsidR="00C55B4B" w:rsidRPr="000345F9">
        <w:rPr>
          <w:rFonts w:ascii="Arial Narrow" w:hAnsi="Arial Narrow" w:cs="Calibri"/>
          <w:b/>
          <w:bCs/>
          <w:color w:val="5F5F5F"/>
          <w:kern w:val="0"/>
          <w:sz w:val="22"/>
          <w:szCs w:val="22"/>
        </w:rPr>
        <w:t>NDICI DEI PREZZI AL CONSUMO NIC</w:t>
      </w:r>
      <w:r w:rsidRPr="000345F9">
        <w:rPr>
          <w:rFonts w:ascii="Arial Narrow" w:hAnsi="Arial Narrow" w:cs="Calibri"/>
          <w:b/>
          <w:bCs/>
          <w:color w:val="5F5F5F"/>
          <w:kern w:val="0"/>
          <w:sz w:val="22"/>
          <w:szCs w:val="22"/>
        </w:rPr>
        <w:t xml:space="preserve"> PER BENI E SERVIZI REGOLAMENTATI E NON REGOLAMENTATI</w:t>
      </w:r>
      <w:r w:rsidR="00625F9C" w:rsidRPr="00C8504B">
        <w:rPr>
          <w:rFonts w:ascii="Arial Narrow" w:hAnsi="Arial Narrow" w:cs="Arial"/>
          <w:b/>
          <w:color w:val="5F5F5F"/>
          <w:sz w:val="22"/>
          <w:szCs w:val="22"/>
        </w:rPr>
        <w:br/>
      </w:r>
      <w:r w:rsidR="00053948">
        <w:rPr>
          <w:rFonts w:ascii="Arial Narrow" w:hAnsi="Arial Narrow" w:cs="Arial"/>
          <w:color w:val="5F5F5F"/>
        </w:rPr>
        <w:t>Novembre</w:t>
      </w:r>
      <w:r w:rsidR="00B279E5">
        <w:rPr>
          <w:rFonts w:ascii="Arial Narrow" w:hAnsi="Arial Narrow" w:cs="Arial"/>
          <w:color w:val="5F5F5F"/>
        </w:rPr>
        <w:t xml:space="preserve"> 2025</w:t>
      </w:r>
      <w:r w:rsidRPr="00C8504B">
        <w:rPr>
          <w:rFonts w:ascii="Arial Narrow" w:hAnsi="Arial Narrow" w:cs="Arial"/>
          <w:color w:val="5F5F5F"/>
        </w:rPr>
        <w:t xml:space="preserve">, pesi, variazioni </w:t>
      </w:r>
      <w:r w:rsidR="00625F9C" w:rsidRPr="00C8504B">
        <w:rPr>
          <w:rFonts w:ascii="Arial Narrow" w:hAnsi="Arial Narrow" w:cs="Arial"/>
          <w:color w:val="5F5F5F"/>
        </w:rPr>
        <w:t xml:space="preserve">percentuali congiunturali e tendenziali </w:t>
      </w:r>
      <w:r w:rsidRPr="00C8504B">
        <w:rPr>
          <w:rFonts w:ascii="Arial Narrow" w:hAnsi="Arial Narrow" w:cs="Arial"/>
          <w:color w:val="5F5F5F"/>
        </w:rPr>
        <w:t xml:space="preserve">e contributi alla variazione tendenziale dell’indice generale (base 2015=100) </w:t>
      </w:r>
    </w:p>
    <w:tbl>
      <w:tblPr>
        <w:tblW w:w="10278" w:type="dxa"/>
        <w:tblInd w:w="70" w:type="dxa"/>
        <w:tblBorders>
          <w:top w:val="single" w:sz="4" w:space="0" w:color="auto"/>
          <w:bottom w:val="single" w:sz="4" w:space="0" w:color="auto"/>
          <w:insideH w:val="single" w:sz="4" w:space="0" w:color="auto"/>
        </w:tblBorders>
        <w:tblLayout w:type="fixed"/>
        <w:tblCellMar>
          <w:left w:w="70" w:type="dxa"/>
          <w:right w:w="0" w:type="dxa"/>
        </w:tblCellMar>
        <w:tblLook w:val="0000" w:firstRow="0" w:lastRow="0" w:firstColumn="0" w:lastColumn="0" w:noHBand="0" w:noVBand="0"/>
      </w:tblPr>
      <w:tblGrid>
        <w:gridCol w:w="2698"/>
        <w:gridCol w:w="988"/>
        <w:gridCol w:w="1064"/>
        <w:gridCol w:w="992"/>
        <w:gridCol w:w="993"/>
        <w:gridCol w:w="966"/>
        <w:gridCol w:w="1585"/>
        <w:gridCol w:w="992"/>
      </w:tblGrid>
      <w:tr w:rsidR="00B33C41" w:rsidRPr="00C8504B" w14:paraId="6EAC4CC8" w14:textId="77777777" w:rsidTr="002D71E2">
        <w:trPr>
          <w:trHeight w:val="347"/>
        </w:trPr>
        <w:tc>
          <w:tcPr>
            <w:tcW w:w="2698" w:type="dxa"/>
            <w:vMerge w:val="restart"/>
            <w:vAlign w:val="center"/>
          </w:tcPr>
          <w:p w14:paraId="0AC68ACE" w14:textId="77777777" w:rsidR="00B33C41" w:rsidRPr="00C8504B" w:rsidRDefault="00B33C41" w:rsidP="00B33C41">
            <w:pPr>
              <w:spacing w:before="40" w:after="20"/>
              <w:ind w:left="-57"/>
              <w:rPr>
                <w:rFonts w:ascii="Arial Narrow" w:hAnsi="Arial Narrow" w:cs="Arial"/>
                <w:b/>
                <w:bCs/>
                <w:sz w:val="18"/>
                <w:szCs w:val="18"/>
              </w:rPr>
            </w:pPr>
            <w:r w:rsidRPr="00C8504B">
              <w:rPr>
                <w:rFonts w:ascii="Arial Narrow" w:hAnsi="Arial Narrow" w:cs="Arial"/>
                <w:b/>
                <w:bCs/>
                <w:sz w:val="18"/>
                <w:szCs w:val="18"/>
              </w:rPr>
              <w:t>TIPOLOGIE DI PRODOTTO</w:t>
            </w:r>
          </w:p>
        </w:tc>
        <w:tc>
          <w:tcPr>
            <w:tcW w:w="988" w:type="dxa"/>
            <w:vMerge w:val="restart"/>
            <w:shd w:val="clear" w:color="auto" w:fill="D9D9D9"/>
            <w:vAlign w:val="center"/>
          </w:tcPr>
          <w:p w14:paraId="7DC7B941" w14:textId="77777777" w:rsidR="00B33C41" w:rsidRPr="00C8504B"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Pesi</w:t>
            </w:r>
          </w:p>
        </w:tc>
        <w:tc>
          <w:tcPr>
            <w:tcW w:w="2056" w:type="dxa"/>
            <w:gridSpan w:val="2"/>
            <w:vAlign w:val="center"/>
          </w:tcPr>
          <w:p w14:paraId="721AEA32" w14:textId="77777777" w:rsidR="00B33C41" w:rsidRPr="00C8504B"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1959" w:type="dxa"/>
            <w:gridSpan w:val="2"/>
            <w:shd w:val="clear" w:color="auto" w:fill="D9D9D9"/>
            <w:vAlign w:val="center"/>
          </w:tcPr>
          <w:p w14:paraId="0D977C79" w14:textId="77777777" w:rsidR="00B33C41" w:rsidRPr="00C8504B"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585" w:type="dxa"/>
            <w:vMerge w:val="restart"/>
            <w:vAlign w:val="center"/>
          </w:tcPr>
          <w:p w14:paraId="078EEEA0" w14:textId="77777777" w:rsidR="00B33C41" w:rsidRPr="00CF0807"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Contributo alla variazione tendenziale dell’indice generale</w:t>
            </w:r>
          </w:p>
        </w:tc>
        <w:tc>
          <w:tcPr>
            <w:tcW w:w="992" w:type="dxa"/>
            <w:vMerge w:val="restart"/>
            <w:shd w:val="clear" w:color="auto" w:fill="D9D9D9"/>
            <w:vAlign w:val="center"/>
          </w:tcPr>
          <w:p w14:paraId="11651A3D" w14:textId="7D3EFCA3" w:rsidR="00B33C41" w:rsidRPr="00C8504B" w:rsidRDefault="00B33C41" w:rsidP="007C4489">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sidR="004D6F77">
              <w:rPr>
                <w:rFonts w:ascii="Arial Narrow" w:hAnsi="Arial Narrow" w:cs="Arial"/>
                <w:b/>
                <w:bCs/>
                <w:kern w:val="0"/>
                <w:sz w:val="18"/>
                <w:szCs w:val="18"/>
              </w:rPr>
              <w:t xml:space="preserve"> </w:t>
            </w:r>
            <w:r>
              <w:rPr>
                <w:rFonts w:ascii="Arial Narrow" w:hAnsi="Arial Narrow" w:cs="Arial"/>
                <w:b/>
                <w:bCs/>
                <w:kern w:val="0"/>
                <w:sz w:val="18"/>
                <w:szCs w:val="18"/>
              </w:rPr>
              <w:t>a</w:t>
            </w:r>
            <w:r w:rsidR="009125BA">
              <w:rPr>
                <w:rFonts w:ascii="Arial Narrow" w:hAnsi="Arial Narrow" w:cs="Arial"/>
                <w:b/>
                <w:bCs/>
                <w:kern w:val="0"/>
                <w:sz w:val="18"/>
                <w:szCs w:val="18"/>
              </w:rPr>
              <w:t xml:space="preserve"> </w:t>
            </w:r>
            <w:r w:rsidR="00053948">
              <w:rPr>
                <w:rFonts w:ascii="Arial Narrow" w:hAnsi="Arial Narrow" w:cs="Arial"/>
                <w:b/>
                <w:bCs/>
                <w:kern w:val="0"/>
                <w:sz w:val="18"/>
                <w:szCs w:val="18"/>
              </w:rPr>
              <w:t>novembre</w:t>
            </w:r>
          </w:p>
        </w:tc>
      </w:tr>
      <w:tr w:rsidR="00200BC8" w:rsidRPr="00C8504B" w14:paraId="2EFC74D7" w14:textId="77777777" w:rsidTr="002D71E2">
        <w:trPr>
          <w:trHeight w:val="346"/>
        </w:trPr>
        <w:tc>
          <w:tcPr>
            <w:tcW w:w="2698" w:type="dxa"/>
            <w:vMerge/>
            <w:vAlign w:val="center"/>
          </w:tcPr>
          <w:p w14:paraId="630A7E74" w14:textId="77777777" w:rsidR="00200BC8" w:rsidRPr="00C8504B" w:rsidRDefault="00200BC8" w:rsidP="00200BC8">
            <w:pPr>
              <w:spacing w:before="40" w:after="20"/>
              <w:ind w:left="-57"/>
              <w:rPr>
                <w:rFonts w:ascii="Arial Narrow" w:hAnsi="Arial Narrow" w:cs="Arial"/>
                <w:b/>
                <w:bCs/>
                <w:sz w:val="18"/>
                <w:szCs w:val="18"/>
              </w:rPr>
            </w:pPr>
          </w:p>
        </w:tc>
        <w:tc>
          <w:tcPr>
            <w:tcW w:w="988" w:type="dxa"/>
            <w:vMerge/>
            <w:shd w:val="clear" w:color="auto" w:fill="D9D9D9"/>
            <w:vAlign w:val="center"/>
          </w:tcPr>
          <w:p w14:paraId="24A21444" w14:textId="77777777" w:rsidR="00200BC8" w:rsidRPr="00C8504B" w:rsidRDefault="00200BC8" w:rsidP="00200BC8">
            <w:pPr>
              <w:spacing w:before="40" w:after="20"/>
              <w:ind w:left="-57" w:right="57"/>
              <w:jc w:val="right"/>
              <w:rPr>
                <w:rFonts w:ascii="Arial Narrow" w:hAnsi="Arial Narrow" w:cs="Arial"/>
                <w:b/>
                <w:bCs/>
                <w:sz w:val="18"/>
                <w:szCs w:val="18"/>
              </w:rPr>
            </w:pPr>
          </w:p>
        </w:tc>
        <w:tc>
          <w:tcPr>
            <w:tcW w:w="1064" w:type="dxa"/>
            <w:vAlign w:val="center"/>
          </w:tcPr>
          <w:p w14:paraId="7C757633" w14:textId="79B0BD27" w:rsidR="00200BC8" w:rsidRDefault="00053948"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200BC8">
              <w:rPr>
                <w:rFonts w:ascii="Arial Narrow" w:hAnsi="Arial Narrow" w:cs="Arial"/>
                <w:kern w:val="0"/>
                <w:sz w:val="18"/>
                <w:szCs w:val="18"/>
                <w:u w:val="single"/>
              </w:rPr>
              <w:t>-25</w:t>
            </w:r>
          </w:p>
          <w:p w14:paraId="30E05745" w14:textId="67CF844A" w:rsidR="00200BC8" w:rsidRPr="00E03E58" w:rsidRDefault="00053948" w:rsidP="00200BC8">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ott</w:t>
            </w:r>
            <w:r w:rsidR="00200BC8">
              <w:rPr>
                <w:rFonts w:ascii="Arial Narrow" w:hAnsi="Arial Narrow" w:cs="Arial"/>
                <w:kern w:val="0"/>
                <w:sz w:val="18"/>
                <w:szCs w:val="18"/>
              </w:rPr>
              <w:t>-25</w:t>
            </w:r>
          </w:p>
        </w:tc>
        <w:tc>
          <w:tcPr>
            <w:tcW w:w="992" w:type="dxa"/>
            <w:vAlign w:val="center"/>
          </w:tcPr>
          <w:p w14:paraId="0F18FCFC" w14:textId="33212953" w:rsidR="00200BC8" w:rsidRDefault="00053948"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200BC8">
              <w:rPr>
                <w:rFonts w:ascii="Arial Narrow" w:hAnsi="Arial Narrow" w:cs="Arial"/>
                <w:kern w:val="0"/>
                <w:sz w:val="18"/>
                <w:szCs w:val="18"/>
                <w:u w:val="single"/>
              </w:rPr>
              <w:t>-24</w:t>
            </w:r>
          </w:p>
          <w:p w14:paraId="4D940F85" w14:textId="10C41C83" w:rsidR="00200BC8" w:rsidRPr="008814F3" w:rsidRDefault="00053948"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w:t>
            </w:r>
            <w:r w:rsidR="00200BC8">
              <w:rPr>
                <w:rFonts w:ascii="Arial Narrow" w:hAnsi="Arial Narrow" w:cs="Arial"/>
                <w:kern w:val="0"/>
                <w:sz w:val="18"/>
                <w:szCs w:val="18"/>
              </w:rPr>
              <w:t>-24</w:t>
            </w:r>
          </w:p>
        </w:tc>
        <w:tc>
          <w:tcPr>
            <w:tcW w:w="993" w:type="dxa"/>
            <w:vAlign w:val="center"/>
          </w:tcPr>
          <w:p w14:paraId="3C921017" w14:textId="2D6660FE" w:rsidR="00200BC8" w:rsidRDefault="00053948"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200BC8">
              <w:rPr>
                <w:rFonts w:ascii="Arial Narrow" w:hAnsi="Arial Narrow" w:cs="Arial"/>
                <w:kern w:val="0"/>
                <w:sz w:val="18"/>
                <w:szCs w:val="18"/>
                <w:u w:val="single"/>
              </w:rPr>
              <w:t>-25</w:t>
            </w:r>
          </w:p>
          <w:p w14:paraId="3FBB9FA6" w14:textId="738F74E7" w:rsidR="00200BC8" w:rsidRPr="008814F3" w:rsidRDefault="00053948"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w:t>
            </w:r>
            <w:r w:rsidR="00200BC8">
              <w:rPr>
                <w:rFonts w:ascii="Arial Narrow" w:hAnsi="Arial Narrow" w:cs="Arial"/>
                <w:kern w:val="0"/>
                <w:sz w:val="18"/>
                <w:szCs w:val="18"/>
              </w:rPr>
              <w:t>-24</w:t>
            </w:r>
          </w:p>
        </w:tc>
        <w:tc>
          <w:tcPr>
            <w:tcW w:w="966" w:type="dxa"/>
            <w:vAlign w:val="center"/>
          </w:tcPr>
          <w:p w14:paraId="5F1A4093" w14:textId="091E2522" w:rsidR="00200BC8" w:rsidRDefault="00053948"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w:t>
            </w:r>
            <w:r w:rsidR="00200BC8">
              <w:rPr>
                <w:rFonts w:ascii="Arial Narrow" w:hAnsi="Arial Narrow" w:cs="Arial"/>
                <w:kern w:val="0"/>
                <w:sz w:val="18"/>
                <w:szCs w:val="18"/>
                <w:u w:val="single"/>
              </w:rPr>
              <w:t>-25</w:t>
            </w:r>
          </w:p>
          <w:p w14:paraId="3FCE14DB" w14:textId="5E0E3B42" w:rsidR="00200BC8" w:rsidRPr="008814F3" w:rsidRDefault="00053948"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w:t>
            </w:r>
            <w:r w:rsidR="00200BC8">
              <w:rPr>
                <w:rFonts w:ascii="Arial Narrow" w:hAnsi="Arial Narrow" w:cs="Arial"/>
                <w:kern w:val="0"/>
                <w:sz w:val="18"/>
                <w:szCs w:val="18"/>
              </w:rPr>
              <w:t>-24</w:t>
            </w:r>
          </w:p>
        </w:tc>
        <w:tc>
          <w:tcPr>
            <w:tcW w:w="1585" w:type="dxa"/>
            <w:vMerge/>
            <w:vAlign w:val="center"/>
          </w:tcPr>
          <w:p w14:paraId="6002F863" w14:textId="77777777" w:rsidR="00200BC8" w:rsidRPr="00CF0807" w:rsidRDefault="00200BC8" w:rsidP="00200BC8">
            <w:pPr>
              <w:spacing w:before="40" w:after="20"/>
              <w:ind w:left="-57" w:right="57"/>
              <w:jc w:val="right"/>
              <w:rPr>
                <w:rFonts w:ascii="Arial Narrow" w:hAnsi="Arial Narrow" w:cs="Arial"/>
                <w:b/>
                <w:bCs/>
                <w:sz w:val="18"/>
                <w:szCs w:val="18"/>
              </w:rPr>
            </w:pPr>
          </w:p>
        </w:tc>
        <w:tc>
          <w:tcPr>
            <w:tcW w:w="992" w:type="dxa"/>
            <w:vMerge/>
            <w:shd w:val="clear" w:color="auto" w:fill="D9D9D9"/>
            <w:vAlign w:val="center"/>
          </w:tcPr>
          <w:p w14:paraId="6CFFDE34" w14:textId="77777777" w:rsidR="00200BC8" w:rsidRPr="00CF0807" w:rsidRDefault="00200BC8" w:rsidP="00200BC8">
            <w:pPr>
              <w:spacing w:before="40" w:after="20"/>
              <w:ind w:left="-57" w:right="57"/>
              <w:jc w:val="right"/>
              <w:rPr>
                <w:rFonts w:ascii="Arial Narrow" w:hAnsi="Arial Narrow" w:cs="Arial"/>
                <w:b/>
                <w:bCs/>
                <w:sz w:val="18"/>
                <w:szCs w:val="18"/>
              </w:rPr>
            </w:pPr>
          </w:p>
        </w:tc>
      </w:tr>
      <w:tr w:rsidR="001452DD" w:rsidRPr="00C8504B" w14:paraId="6A40F15E" w14:textId="77777777" w:rsidTr="00031158">
        <w:tblPrEx>
          <w:tblCellMar>
            <w:right w:w="70" w:type="dxa"/>
          </w:tblCellMar>
        </w:tblPrEx>
        <w:trPr>
          <w:trHeight w:val="255"/>
        </w:trPr>
        <w:tc>
          <w:tcPr>
            <w:tcW w:w="2698" w:type="dxa"/>
            <w:vAlign w:val="center"/>
          </w:tcPr>
          <w:p w14:paraId="261B3100" w14:textId="77777777" w:rsidR="001452DD" w:rsidRPr="00C8504B" w:rsidRDefault="001452DD" w:rsidP="001452DD">
            <w:pPr>
              <w:spacing w:before="40" w:after="20"/>
              <w:ind w:left="-57"/>
              <w:rPr>
                <w:rFonts w:ascii="Arial Narrow" w:hAnsi="Arial Narrow" w:cs="Arial"/>
                <w:sz w:val="18"/>
                <w:szCs w:val="18"/>
              </w:rPr>
            </w:pPr>
            <w:r w:rsidRPr="00C8504B">
              <w:rPr>
                <w:rFonts w:ascii="Arial Narrow" w:hAnsi="Arial Narrow" w:cs="Arial"/>
                <w:sz w:val="18"/>
                <w:szCs w:val="18"/>
              </w:rPr>
              <w:t>Beni non regolamentati</w:t>
            </w:r>
          </w:p>
        </w:tc>
        <w:tc>
          <w:tcPr>
            <w:tcW w:w="988" w:type="dxa"/>
            <w:shd w:val="clear" w:color="auto" w:fill="D9D9D9"/>
            <w:vAlign w:val="center"/>
          </w:tcPr>
          <w:p w14:paraId="7C339F1E" w14:textId="77777777" w:rsidR="001452DD" w:rsidRPr="00FD3124" w:rsidRDefault="001452DD" w:rsidP="001452DD">
            <w:pPr>
              <w:spacing w:before="40" w:after="20"/>
              <w:ind w:left="-57" w:right="57"/>
              <w:jc w:val="right"/>
              <w:rPr>
                <w:rFonts w:ascii="Arial Narrow" w:hAnsi="Arial Narrow" w:cs="Arial"/>
                <w:sz w:val="18"/>
                <w:szCs w:val="18"/>
              </w:rPr>
            </w:pPr>
            <w:r w:rsidRPr="00FD3124">
              <w:rPr>
                <w:rFonts w:ascii="Arial Narrow" w:hAnsi="Arial Narrow" w:cs="Arial"/>
                <w:sz w:val="18"/>
                <w:szCs w:val="18"/>
              </w:rPr>
              <w:t>532.428</w:t>
            </w:r>
          </w:p>
        </w:tc>
        <w:tc>
          <w:tcPr>
            <w:tcW w:w="1064" w:type="dxa"/>
          </w:tcPr>
          <w:p w14:paraId="636C4519" w14:textId="7C75311F"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+0,2</w:t>
            </w:r>
          </w:p>
        </w:tc>
        <w:tc>
          <w:tcPr>
            <w:tcW w:w="992" w:type="dxa"/>
            <w:shd w:val="clear" w:color="auto" w:fill="D9D9D9"/>
          </w:tcPr>
          <w:p w14:paraId="4BA3AC05" w14:textId="59F9DF34"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+0,2</w:t>
            </w:r>
          </w:p>
        </w:tc>
        <w:tc>
          <w:tcPr>
            <w:tcW w:w="993" w:type="dxa"/>
          </w:tcPr>
          <w:p w14:paraId="610B10C9" w14:textId="01BF6384"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+0,1</w:t>
            </w:r>
          </w:p>
        </w:tc>
        <w:tc>
          <w:tcPr>
            <w:tcW w:w="966" w:type="dxa"/>
            <w:shd w:val="clear" w:color="auto" w:fill="D9D9D9"/>
          </w:tcPr>
          <w:p w14:paraId="008FC81D" w14:textId="4F0968D6"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+0,1</w:t>
            </w:r>
          </w:p>
        </w:tc>
        <w:tc>
          <w:tcPr>
            <w:tcW w:w="1585" w:type="dxa"/>
          </w:tcPr>
          <w:p w14:paraId="26FCB2E4" w14:textId="3CC93514"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0,025</w:t>
            </w:r>
          </w:p>
        </w:tc>
        <w:tc>
          <w:tcPr>
            <w:tcW w:w="992" w:type="dxa"/>
            <w:shd w:val="clear" w:color="auto" w:fill="D9D9D9"/>
          </w:tcPr>
          <w:p w14:paraId="47678AB4" w14:textId="1A5B1889"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+0,4</w:t>
            </w:r>
          </w:p>
        </w:tc>
      </w:tr>
      <w:tr w:rsidR="001452DD" w:rsidRPr="00C8504B" w14:paraId="3DF4DC79" w14:textId="77777777" w:rsidTr="00031158">
        <w:tblPrEx>
          <w:tblCellMar>
            <w:right w:w="70" w:type="dxa"/>
          </w:tblCellMar>
        </w:tblPrEx>
        <w:trPr>
          <w:trHeight w:val="255"/>
        </w:trPr>
        <w:tc>
          <w:tcPr>
            <w:tcW w:w="2698" w:type="dxa"/>
            <w:vAlign w:val="center"/>
          </w:tcPr>
          <w:p w14:paraId="5878A0BA" w14:textId="77777777" w:rsidR="001452DD" w:rsidRPr="00C8504B" w:rsidRDefault="001452DD" w:rsidP="001452DD">
            <w:pPr>
              <w:spacing w:before="40" w:after="20"/>
              <w:ind w:left="-57"/>
              <w:rPr>
                <w:rFonts w:ascii="Arial Narrow" w:hAnsi="Arial Narrow" w:cs="Arial"/>
                <w:sz w:val="18"/>
                <w:szCs w:val="18"/>
              </w:rPr>
            </w:pPr>
            <w:r w:rsidRPr="00C8504B">
              <w:rPr>
                <w:rFonts w:ascii="Arial Narrow" w:hAnsi="Arial Narrow" w:cs="Arial"/>
                <w:sz w:val="18"/>
                <w:szCs w:val="18"/>
              </w:rPr>
              <w:t>Beni regolamentati, di cui:</w:t>
            </w:r>
          </w:p>
        </w:tc>
        <w:tc>
          <w:tcPr>
            <w:tcW w:w="988" w:type="dxa"/>
            <w:shd w:val="clear" w:color="auto" w:fill="D9D9D9"/>
            <w:vAlign w:val="center"/>
          </w:tcPr>
          <w:p w14:paraId="26BAE9E5" w14:textId="77777777" w:rsidR="001452DD" w:rsidRPr="00FD3124" w:rsidRDefault="001452DD" w:rsidP="001452DD">
            <w:pPr>
              <w:spacing w:before="40" w:after="20"/>
              <w:ind w:left="-57" w:right="57"/>
              <w:jc w:val="right"/>
              <w:rPr>
                <w:rFonts w:ascii="Arial Narrow" w:hAnsi="Arial Narrow" w:cs="Arial"/>
                <w:sz w:val="18"/>
                <w:szCs w:val="18"/>
              </w:rPr>
            </w:pPr>
            <w:r w:rsidRPr="00FD3124">
              <w:rPr>
                <w:rFonts w:ascii="Arial Narrow" w:hAnsi="Arial Narrow" w:cs="Arial"/>
                <w:sz w:val="18"/>
                <w:szCs w:val="18"/>
              </w:rPr>
              <w:t>27.188</w:t>
            </w:r>
          </w:p>
        </w:tc>
        <w:tc>
          <w:tcPr>
            <w:tcW w:w="1064" w:type="dxa"/>
          </w:tcPr>
          <w:p w14:paraId="6BABC65D" w14:textId="4213E7EF"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+0,1</w:t>
            </w:r>
          </w:p>
        </w:tc>
        <w:tc>
          <w:tcPr>
            <w:tcW w:w="992" w:type="dxa"/>
            <w:shd w:val="clear" w:color="auto" w:fill="D9D9D9"/>
          </w:tcPr>
          <w:p w14:paraId="37E5C543" w14:textId="2191A88D"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+0,8</w:t>
            </w:r>
          </w:p>
        </w:tc>
        <w:tc>
          <w:tcPr>
            <w:tcW w:w="993" w:type="dxa"/>
          </w:tcPr>
          <w:p w14:paraId="04CD6F57" w14:textId="3CB55E01"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+0,5</w:t>
            </w:r>
          </w:p>
        </w:tc>
        <w:tc>
          <w:tcPr>
            <w:tcW w:w="966" w:type="dxa"/>
            <w:shd w:val="clear" w:color="auto" w:fill="D9D9D9"/>
          </w:tcPr>
          <w:p w14:paraId="58350178" w14:textId="0EEDF253"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+1,3</w:t>
            </w:r>
          </w:p>
        </w:tc>
        <w:tc>
          <w:tcPr>
            <w:tcW w:w="1585" w:type="dxa"/>
          </w:tcPr>
          <w:p w14:paraId="04864086" w14:textId="2373CE74"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0,017</w:t>
            </w:r>
          </w:p>
        </w:tc>
        <w:tc>
          <w:tcPr>
            <w:tcW w:w="992" w:type="dxa"/>
            <w:shd w:val="clear" w:color="auto" w:fill="D9D9D9"/>
          </w:tcPr>
          <w:p w14:paraId="2D6605AF" w14:textId="7401D4C2"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+5,9</w:t>
            </w:r>
          </w:p>
        </w:tc>
      </w:tr>
      <w:tr w:rsidR="001452DD" w:rsidRPr="00E92779" w14:paraId="3270E232" w14:textId="77777777" w:rsidTr="00031158">
        <w:tblPrEx>
          <w:tblCellMar>
            <w:right w:w="70" w:type="dxa"/>
          </w:tblCellMar>
        </w:tblPrEx>
        <w:trPr>
          <w:trHeight w:val="255"/>
        </w:trPr>
        <w:tc>
          <w:tcPr>
            <w:tcW w:w="2698" w:type="dxa"/>
          </w:tcPr>
          <w:p w14:paraId="75BAD5E3" w14:textId="77777777" w:rsidR="001452DD" w:rsidRPr="00E92779" w:rsidRDefault="001452DD" w:rsidP="001452DD">
            <w:pPr>
              <w:spacing w:before="40" w:after="20"/>
              <w:ind w:left="-57"/>
              <w:rPr>
                <w:rFonts w:ascii="Arial Narrow" w:hAnsi="Arial Narrow" w:cs="Arial"/>
                <w:sz w:val="18"/>
                <w:szCs w:val="18"/>
              </w:rPr>
            </w:pPr>
            <w:r w:rsidRPr="00E92779">
              <w:rPr>
                <w:rFonts w:ascii="Arial Narrow" w:hAnsi="Arial Narrow" w:cs="Arial"/>
                <w:sz w:val="18"/>
                <w:szCs w:val="18"/>
              </w:rPr>
              <w:t xml:space="preserve">   Energetici regolamentati </w:t>
            </w:r>
          </w:p>
        </w:tc>
        <w:tc>
          <w:tcPr>
            <w:tcW w:w="988" w:type="dxa"/>
            <w:shd w:val="clear" w:color="auto" w:fill="D9D9D9"/>
            <w:vAlign w:val="center"/>
          </w:tcPr>
          <w:p w14:paraId="1BAC4DB1" w14:textId="77777777" w:rsidR="001452DD" w:rsidRPr="00FD3124" w:rsidRDefault="001452DD" w:rsidP="001452DD">
            <w:pPr>
              <w:spacing w:before="40" w:after="20"/>
              <w:ind w:left="-57" w:right="57"/>
              <w:jc w:val="right"/>
              <w:rPr>
                <w:rFonts w:ascii="Arial Narrow" w:hAnsi="Arial Narrow" w:cs="Arial"/>
                <w:sz w:val="18"/>
                <w:szCs w:val="18"/>
              </w:rPr>
            </w:pPr>
            <w:r w:rsidRPr="00FD3124">
              <w:rPr>
                <w:rFonts w:ascii="Arial Narrow" w:hAnsi="Arial Narrow" w:cs="Arial"/>
                <w:sz w:val="18"/>
                <w:szCs w:val="18"/>
              </w:rPr>
              <w:t>7.331</w:t>
            </w:r>
          </w:p>
        </w:tc>
        <w:tc>
          <w:tcPr>
            <w:tcW w:w="1064" w:type="dxa"/>
          </w:tcPr>
          <w:p w14:paraId="3C2D4C41" w14:textId="4EC4D45C"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-0,1</w:t>
            </w:r>
          </w:p>
        </w:tc>
        <w:tc>
          <w:tcPr>
            <w:tcW w:w="992" w:type="dxa"/>
            <w:shd w:val="clear" w:color="auto" w:fill="D9D9D9"/>
          </w:tcPr>
          <w:p w14:paraId="30D321FF" w14:textId="3E32596F"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+2,7</w:t>
            </w:r>
          </w:p>
        </w:tc>
        <w:tc>
          <w:tcPr>
            <w:tcW w:w="993" w:type="dxa"/>
          </w:tcPr>
          <w:p w14:paraId="2ECBF8F2" w14:textId="3BC49D12"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-3,2</w:t>
            </w:r>
          </w:p>
        </w:tc>
        <w:tc>
          <w:tcPr>
            <w:tcW w:w="966" w:type="dxa"/>
            <w:shd w:val="clear" w:color="auto" w:fill="D9D9D9"/>
          </w:tcPr>
          <w:p w14:paraId="621A366D" w14:textId="762AC368"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-0,5</w:t>
            </w:r>
          </w:p>
        </w:tc>
        <w:tc>
          <w:tcPr>
            <w:tcW w:w="1585" w:type="dxa"/>
          </w:tcPr>
          <w:p w14:paraId="22A6DDA0" w14:textId="0A7ECE5A"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-0,020</w:t>
            </w:r>
          </w:p>
        </w:tc>
        <w:tc>
          <w:tcPr>
            <w:tcW w:w="992" w:type="dxa"/>
            <w:shd w:val="clear" w:color="auto" w:fill="D9D9D9"/>
          </w:tcPr>
          <w:p w14:paraId="7690F76C" w14:textId="65007048"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+16,2</w:t>
            </w:r>
          </w:p>
        </w:tc>
      </w:tr>
      <w:tr w:rsidR="001452DD" w:rsidRPr="00E92779" w14:paraId="647AA711" w14:textId="77777777" w:rsidTr="00031158">
        <w:tblPrEx>
          <w:tblCellMar>
            <w:right w:w="70" w:type="dxa"/>
          </w:tblCellMar>
        </w:tblPrEx>
        <w:trPr>
          <w:trHeight w:val="255"/>
        </w:trPr>
        <w:tc>
          <w:tcPr>
            <w:tcW w:w="2698" w:type="dxa"/>
          </w:tcPr>
          <w:p w14:paraId="2FA26AA9" w14:textId="77777777" w:rsidR="001452DD" w:rsidRPr="00E92779" w:rsidRDefault="001452DD" w:rsidP="001452DD">
            <w:pPr>
              <w:spacing w:before="40" w:after="20"/>
              <w:ind w:left="-57"/>
              <w:rPr>
                <w:rFonts w:ascii="Arial Narrow" w:hAnsi="Arial Narrow" w:cs="Arial"/>
                <w:sz w:val="18"/>
                <w:szCs w:val="18"/>
              </w:rPr>
            </w:pPr>
            <w:r w:rsidRPr="00E92779">
              <w:rPr>
                <w:rFonts w:ascii="Arial Narrow" w:hAnsi="Arial Narrow" w:cs="Arial"/>
                <w:sz w:val="18"/>
                <w:szCs w:val="18"/>
              </w:rPr>
              <w:t xml:space="preserve">   Altri beni regolamentati</w:t>
            </w:r>
          </w:p>
        </w:tc>
        <w:tc>
          <w:tcPr>
            <w:tcW w:w="988" w:type="dxa"/>
            <w:shd w:val="clear" w:color="auto" w:fill="D9D9D9"/>
            <w:vAlign w:val="center"/>
          </w:tcPr>
          <w:p w14:paraId="04E2AEB7" w14:textId="77777777" w:rsidR="001452DD" w:rsidRPr="00FD3124" w:rsidRDefault="001452DD" w:rsidP="001452DD">
            <w:pPr>
              <w:spacing w:before="40" w:after="20"/>
              <w:ind w:left="-57" w:right="57"/>
              <w:jc w:val="right"/>
              <w:rPr>
                <w:rFonts w:ascii="Arial Narrow" w:hAnsi="Arial Narrow" w:cs="Arial"/>
                <w:sz w:val="18"/>
                <w:szCs w:val="18"/>
              </w:rPr>
            </w:pPr>
            <w:r w:rsidRPr="00FD3124">
              <w:rPr>
                <w:rFonts w:ascii="Arial Narrow" w:hAnsi="Arial Narrow" w:cs="Arial"/>
                <w:sz w:val="18"/>
                <w:szCs w:val="18"/>
              </w:rPr>
              <w:t>19.857</w:t>
            </w:r>
          </w:p>
        </w:tc>
        <w:tc>
          <w:tcPr>
            <w:tcW w:w="1064" w:type="dxa"/>
          </w:tcPr>
          <w:p w14:paraId="07554361" w14:textId="29FC9605"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0,0</w:t>
            </w:r>
          </w:p>
        </w:tc>
        <w:tc>
          <w:tcPr>
            <w:tcW w:w="992" w:type="dxa"/>
            <w:shd w:val="clear" w:color="auto" w:fill="D9D9D9"/>
          </w:tcPr>
          <w:p w14:paraId="6D0689BF" w14:textId="4C69E168"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0,0</w:t>
            </w:r>
          </w:p>
        </w:tc>
        <w:tc>
          <w:tcPr>
            <w:tcW w:w="993" w:type="dxa"/>
          </w:tcPr>
          <w:p w14:paraId="2EDF565B" w14:textId="3600C3A2"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+1,8</w:t>
            </w:r>
          </w:p>
        </w:tc>
        <w:tc>
          <w:tcPr>
            <w:tcW w:w="966" w:type="dxa"/>
            <w:shd w:val="clear" w:color="auto" w:fill="D9D9D9"/>
          </w:tcPr>
          <w:p w14:paraId="49009F2D" w14:textId="6CE2FF42"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+1,8</w:t>
            </w:r>
          </w:p>
        </w:tc>
        <w:tc>
          <w:tcPr>
            <w:tcW w:w="1585" w:type="dxa"/>
          </w:tcPr>
          <w:p w14:paraId="37E74B14" w14:textId="291696F2"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0,036</w:t>
            </w:r>
          </w:p>
        </w:tc>
        <w:tc>
          <w:tcPr>
            <w:tcW w:w="992" w:type="dxa"/>
            <w:shd w:val="clear" w:color="auto" w:fill="D9D9D9"/>
          </w:tcPr>
          <w:p w14:paraId="3F380DEA" w14:textId="1E283F8A"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+1,8</w:t>
            </w:r>
          </w:p>
        </w:tc>
      </w:tr>
      <w:tr w:rsidR="001452DD" w:rsidRPr="00AC07E2" w14:paraId="53478613" w14:textId="77777777" w:rsidTr="00031158">
        <w:tblPrEx>
          <w:tblCellMar>
            <w:right w:w="70" w:type="dxa"/>
          </w:tblCellMar>
        </w:tblPrEx>
        <w:trPr>
          <w:trHeight w:val="255"/>
        </w:trPr>
        <w:tc>
          <w:tcPr>
            <w:tcW w:w="2698" w:type="dxa"/>
            <w:shd w:val="clear" w:color="auto" w:fill="808080" w:themeFill="background1" w:themeFillShade="80"/>
          </w:tcPr>
          <w:p w14:paraId="506827F1" w14:textId="77777777" w:rsidR="001452DD" w:rsidRPr="00E92779" w:rsidRDefault="001452DD" w:rsidP="001452DD">
            <w:pPr>
              <w:spacing w:before="40" w:after="20"/>
              <w:rPr>
                <w:rFonts w:ascii="Arial Narrow" w:hAnsi="Arial Narrow" w:cs="Arial"/>
                <w:b/>
                <w:bCs/>
                <w:color w:val="FFFFFF"/>
                <w:sz w:val="18"/>
                <w:szCs w:val="18"/>
              </w:rPr>
            </w:pPr>
            <w:r w:rsidRPr="00E92779">
              <w:rPr>
                <w:rFonts w:ascii="Arial Narrow" w:hAnsi="Arial Narrow" w:cs="Arial"/>
                <w:b/>
                <w:bCs/>
                <w:color w:val="FFFFFF"/>
                <w:sz w:val="18"/>
                <w:szCs w:val="18"/>
              </w:rPr>
              <w:t>Beni</w:t>
            </w:r>
          </w:p>
        </w:tc>
        <w:tc>
          <w:tcPr>
            <w:tcW w:w="988" w:type="dxa"/>
            <w:shd w:val="clear" w:color="auto" w:fill="808080" w:themeFill="background1" w:themeFillShade="80"/>
            <w:vAlign w:val="center"/>
          </w:tcPr>
          <w:p w14:paraId="46D1308D" w14:textId="77777777" w:rsidR="001452DD" w:rsidRPr="00FD3124" w:rsidRDefault="001452DD" w:rsidP="001452DD">
            <w:pPr>
              <w:widowControl/>
              <w:overflowPunct/>
              <w:autoSpaceDE/>
              <w:autoSpaceDN/>
              <w:adjustRightInd/>
              <w:spacing w:before="0" w:after="0"/>
              <w:jc w:val="right"/>
              <w:rPr>
                <w:rFonts w:ascii="Arial Narrow" w:hAnsi="Arial Narrow" w:cs="Arial"/>
                <w:b/>
                <w:bCs/>
                <w:color w:val="FFFFFF"/>
                <w:sz w:val="18"/>
                <w:szCs w:val="18"/>
              </w:rPr>
            </w:pPr>
            <w:r w:rsidRPr="00FD3124">
              <w:rPr>
                <w:rFonts w:ascii="Arial Narrow" w:hAnsi="Arial Narrow" w:cs="Arial"/>
                <w:b/>
                <w:bCs/>
                <w:color w:val="FFFFFF"/>
                <w:sz w:val="18"/>
                <w:szCs w:val="18"/>
              </w:rPr>
              <w:t>559.</w:t>
            </w:r>
            <w:r w:rsidRPr="00F57DF9">
              <w:rPr>
                <w:rFonts w:ascii="Arial Narrow" w:hAnsi="Arial Narrow" w:cs="Arial"/>
                <w:b/>
                <w:bCs/>
                <w:color w:val="FFFFFF"/>
                <w:sz w:val="18"/>
                <w:szCs w:val="18"/>
              </w:rPr>
              <w:t>616</w:t>
            </w:r>
          </w:p>
        </w:tc>
        <w:tc>
          <w:tcPr>
            <w:tcW w:w="1064" w:type="dxa"/>
            <w:shd w:val="clear" w:color="auto" w:fill="808080" w:themeFill="background1" w:themeFillShade="80"/>
          </w:tcPr>
          <w:p w14:paraId="62406F8E" w14:textId="5305A0F8"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+0,1</w:t>
            </w:r>
          </w:p>
        </w:tc>
        <w:tc>
          <w:tcPr>
            <w:tcW w:w="992" w:type="dxa"/>
            <w:shd w:val="clear" w:color="auto" w:fill="808080" w:themeFill="background1" w:themeFillShade="80"/>
          </w:tcPr>
          <w:p w14:paraId="5D048EB9" w14:textId="1F04FD40"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+0,2</w:t>
            </w:r>
          </w:p>
        </w:tc>
        <w:tc>
          <w:tcPr>
            <w:tcW w:w="993" w:type="dxa"/>
            <w:shd w:val="clear" w:color="auto" w:fill="808080" w:themeFill="background1" w:themeFillShade="80"/>
          </w:tcPr>
          <w:p w14:paraId="12E43DE1" w14:textId="0E899164"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+0,1</w:t>
            </w:r>
          </w:p>
        </w:tc>
        <w:tc>
          <w:tcPr>
            <w:tcW w:w="966" w:type="dxa"/>
            <w:shd w:val="clear" w:color="auto" w:fill="808080" w:themeFill="background1" w:themeFillShade="80"/>
          </w:tcPr>
          <w:p w14:paraId="59269F14" w14:textId="3AF628FB"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+0,2</w:t>
            </w:r>
          </w:p>
        </w:tc>
        <w:tc>
          <w:tcPr>
            <w:tcW w:w="1585" w:type="dxa"/>
            <w:shd w:val="clear" w:color="auto" w:fill="808080" w:themeFill="background1" w:themeFillShade="80"/>
          </w:tcPr>
          <w:p w14:paraId="39B1A0E7" w14:textId="57844A3D"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0,042</w:t>
            </w:r>
          </w:p>
        </w:tc>
        <w:tc>
          <w:tcPr>
            <w:tcW w:w="992" w:type="dxa"/>
            <w:shd w:val="clear" w:color="auto" w:fill="808080" w:themeFill="background1" w:themeFillShade="80"/>
          </w:tcPr>
          <w:p w14:paraId="6E768133" w14:textId="51AD9E96"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+0,7</w:t>
            </w:r>
          </w:p>
        </w:tc>
      </w:tr>
      <w:tr w:rsidR="001452DD" w:rsidRPr="00524BE4" w14:paraId="4FE83143" w14:textId="77777777" w:rsidTr="00031158">
        <w:tblPrEx>
          <w:tblCellMar>
            <w:right w:w="70" w:type="dxa"/>
          </w:tblCellMar>
        </w:tblPrEx>
        <w:trPr>
          <w:trHeight w:val="255"/>
        </w:trPr>
        <w:tc>
          <w:tcPr>
            <w:tcW w:w="2698" w:type="dxa"/>
            <w:vAlign w:val="center"/>
          </w:tcPr>
          <w:p w14:paraId="79EF6D2D" w14:textId="77777777" w:rsidR="001452DD" w:rsidRPr="00C8504B" w:rsidRDefault="001452DD" w:rsidP="001452DD">
            <w:pPr>
              <w:spacing w:before="40" w:after="20"/>
              <w:ind w:left="-57"/>
              <w:rPr>
                <w:rFonts w:ascii="Arial Narrow" w:hAnsi="Arial Narrow" w:cs="Arial"/>
                <w:sz w:val="18"/>
                <w:szCs w:val="18"/>
              </w:rPr>
            </w:pPr>
            <w:r w:rsidRPr="00C8504B">
              <w:rPr>
                <w:rFonts w:ascii="Arial Narrow" w:hAnsi="Arial Narrow" w:cs="Arial"/>
                <w:sz w:val="18"/>
                <w:szCs w:val="18"/>
              </w:rPr>
              <w:t>Servizi non regolamentati</w:t>
            </w:r>
          </w:p>
        </w:tc>
        <w:tc>
          <w:tcPr>
            <w:tcW w:w="988" w:type="dxa"/>
            <w:shd w:val="clear" w:color="auto" w:fill="D9D9D9" w:themeFill="background1" w:themeFillShade="D9"/>
            <w:vAlign w:val="center"/>
          </w:tcPr>
          <w:p w14:paraId="713C5539" w14:textId="77777777" w:rsidR="001452DD" w:rsidRPr="00FD3124" w:rsidRDefault="001452DD" w:rsidP="001452DD">
            <w:pPr>
              <w:spacing w:before="40" w:after="20"/>
              <w:ind w:left="-57" w:right="57"/>
              <w:jc w:val="right"/>
              <w:rPr>
                <w:rFonts w:ascii="Arial Narrow" w:hAnsi="Arial Narrow" w:cs="Arial"/>
                <w:sz w:val="18"/>
                <w:szCs w:val="18"/>
              </w:rPr>
            </w:pPr>
            <w:r w:rsidRPr="00FD3124">
              <w:rPr>
                <w:rFonts w:ascii="Arial Narrow" w:hAnsi="Arial Narrow" w:cs="Arial"/>
                <w:sz w:val="18"/>
                <w:szCs w:val="18"/>
              </w:rPr>
              <w:t>384.590</w:t>
            </w:r>
          </w:p>
        </w:tc>
        <w:tc>
          <w:tcPr>
            <w:tcW w:w="1064" w:type="dxa"/>
          </w:tcPr>
          <w:p w14:paraId="329E71E8" w14:textId="69915BB1"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-0,9</w:t>
            </w:r>
          </w:p>
        </w:tc>
        <w:tc>
          <w:tcPr>
            <w:tcW w:w="992" w:type="dxa"/>
            <w:shd w:val="clear" w:color="auto" w:fill="D9D9D9" w:themeFill="background1" w:themeFillShade="D9"/>
          </w:tcPr>
          <w:p w14:paraId="0384910D" w14:textId="6B14910C"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-0,5</w:t>
            </w:r>
          </w:p>
        </w:tc>
        <w:tc>
          <w:tcPr>
            <w:tcW w:w="993" w:type="dxa"/>
          </w:tcPr>
          <w:p w14:paraId="0FBD42F1" w14:textId="0FF25E09"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+2,4</w:t>
            </w:r>
          </w:p>
        </w:tc>
        <w:tc>
          <w:tcPr>
            <w:tcW w:w="966" w:type="dxa"/>
            <w:shd w:val="clear" w:color="auto" w:fill="D9D9D9" w:themeFill="background1" w:themeFillShade="D9"/>
          </w:tcPr>
          <w:p w14:paraId="6ABDD943" w14:textId="1C503477"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+2,8</w:t>
            </w:r>
          </w:p>
        </w:tc>
        <w:tc>
          <w:tcPr>
            <w:tcW w:w="1585" w:type="dxa"/>
          </w:tcPr>
          <w:p w14:paraId="1044C4A5" w14:textId="3DBA6BAC"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0,936</w:t>
            </w:r>
          </w:p>
        </w:tc>
        <w:tc>
          <w:tcPr>
            <w:tcW w:w="992" w:type="dxa"/>
            <w:shd w:val="clear" w:color="auto" w:fill="D9D9D9" w:themeFill="background1" w:themeFillShade="D9"/>
          </w:tcPr>
          <w:p w14:paraId="3938B799" w14:textId="20F6880F"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+2,7</w:t>
            </w:r>
          </w:p>
        </w:tc>
      </w:tr>
      <w:tr w:rsidR="001452DD" w:rsidRPr="00524BE4" w14:paraId="3DFCFAB1" w14:textId="77777777" w:rsidTr="00031158">
        <w:tblPrEx>
          <w:tblCellMar>
            <w:right w:w="70" w:type="dxa"/>
          </w:tblCellMar>
        </w:tblPrEx>
        <w:trPr>
          <w:trHeight w:val="255"/>
        </w:trPr>
        <w:tc>
          <w:tcPr>
            <w:tcW w:w="2698" w:type="dxa"/>
            <w:vAlign w:val="center"/>
          </w:tcPr>
          <w:p w14:paraId="19B6B886" w14:textId="77777777" w:rsidR="001452DD" w:rsidRPr="00C8504B" w:rsidRDefault="001452DD" w:rsidP="001452DD">
            <w:pPr>
              <w:spacing w:before="40" w:after="20"/>
              <w:ind w:left="-57"/>
              <w:rPr>
                <w:rFonts w:ascii="Arial Narrow" w:hAnsi="Arial Narrow" w:cs="Arial"/>
                <w:sz w:val="18"/>
                <w:szCs w:val="18"/>
              </w:rPr>
            </w:pPr>
            <w:r w:rsidRPr="00C8504B">
              <w:rPr>
                <w:rFonts w:ascii="Arial Narrow" w:hAnsi="Arial Narrow" w:cs="Arial"/>
                <w:sz w:val="18"/>
                <w:szCs w:val="18"/>
              </w:rPr>
              <w:t>Servizi regolamentati</w:t>
            </w:r>
          </w:p>
        </w:tc>
        <w:tc>
          <w:tcPr>
            <w:tcW w:w="988" w:type="dxa"/>
            <w:shd w:val="clear" w:color="auto" w:fill="D9D9D9" w:themeFill="background1" w:themeFillShade="D9"/>
            <w:vAlign w:val="center"/>
          </w:tcPr>
          <w:p w14:paraId="11D1B6B6" w14:textId="77777777" w:rsidR="001452DD" w:rsidRPr="00FD3124" w:rsidRDefault="001452DD" w:rsidP="001452DD">
            <w:pPr>
              <w:spacing w:before="40" w:after="20"/>
              <w:ind w:left="-57" w:right="57"/>
              <w:jc w:val="right"/>
              <w:rPr>
                <w:rFonts w:ascii="Arial Narrow" w:hAnsi="Arial Narrow" w:cs="Arial"/>
                <w:sz w:val="18"/>
                <w:szCs w:val="18"/>
              </w:rPr>
            </w:pPr>
            <w:r w:rsidRPr="00FD3124">
              <w:rPr>
                <w:rFonts w:ascii="Arial Narrow" w:hAnsi="Arial Narrow" w:cs="Arial"/>
                <w:sz w:val="18"/>
                <w:szCs w:val="18"/>
              </w:rPr>
              <w:t>55.794</w:t>
            </w:r>
          </w:p>
        </w:tc>
        <w:tc>
          <w:tcPr>
            <w:tcW w:w="1064" w:type="dxa"/>
          </w:tcPr>
          <w:p w14:paraId="355B2947" w14:textId="0762BB28"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+0,3</w:t>
            </w:r>
          </w:p>
        </w:tc>
        <w:tc>
          <w:tcPr>
            <w:tcW w:w="992" w:type="dxa"/>
            <w:shd w:val="clear" w:color="auto" w:fill="D9D9D9" w:themeFill="background1" w:themeFillShade="D9"/>
          </w:tcPr>
          <w:p w14:paraId="054B5560" w14:textId="6C6D402E"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+0,2</w:t>
            </w:r>
          </w:p>
        </w:tc>
        <w:tc>
          <w:tcPr>
            <w:tcW w:w="993" w:type="dxa"/>
          </w:tcPr>
          <w:p w14:paraId="3616E96A" w14:textId="6F153914"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+1,5</w:t>
            </w:r>
          </w:p>
        </w:tc>
        <w:tc>
          <w:tcPr>
            <w:tcW w:w="966" w:type="dxa"/>
            <w:shd w:val="clear" w:color="auto" w:fill="D9D9D9" w:themeFill="background1" w:themeFillShade="D9"/>
          </w:tcPr>
          <w:p w14:paraId="2805616C" w14:textId="3A1F8A69"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+1,4</w:t>
            </w:r>
          </w:p>
        </w:tc>
        <w:tc>
          <w:tcPr>
            <w:tcW w:w="1585" w:type="dxa"/>
          </w:tcPr>
          <w:p w14:paraId="717744DF" w14:textId="160A1CB2"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0,083</w:t>
            </w:r>
          </w:p>
        </w:tc>
        <w:tc>
          <w:tcPr>
            <w:tcW w:w="992" w:type="dxa"/>
            <w:shd w:val="clear" w:color="auto" w:fill="D9D9D9" w:themeFill="background1" w:themeFillShade="D9"/>
          </w:tcPr>
          <w:p w14:paraId="079A1AA6" w14:textId="77E60223" w:rsidR="001452DD" w:rsidRPr="001452DD" w:rsidRDefault="001452DD" w:rsidP="001452DD">
            <w:pPr>
              <w:spacing w:before="40" w:after="20"/>
              <w:ind w:left="-57" w:right="57"/>
              <w:jc w:val="right"/>
              <w:rPr>
                <w:rFonts w:ascii="Arial Narrow" w:hAnsi="Arial Narrow" w:cs="Arial"/>
                <w:sz w:val="18"/>
                <w:szCs w:val="18"/>
              </w:rPr>
            </w:pPr>
            <w:r w:rsidRPr="001452DD">
              <w:rPr>
                <w:rFonts w:ascii="Arial Narrow" w:hAnsi="Arial Narrow" w:cs="Arial"/>
                <w:sz w:val="18"/>
                <w:szCs w:val="18"/>
              </w:rPr>
              <w:t>+1,6</w:t>
            </w:r>
          </w:p>
        </w:tc>
      </w:tr>
      <w:tr w:rsidR="001452DD" w:rsidRPr="00CF6371" w14:paraId="73CC5C45" w14:textId="77777777" w:rsidTr="00031158">
        <w:tblPrEx>
          <w:tblCellMar>
            <w:right w:w="70" w:type="dxa"/>
          </w:tblCellMar>
        </w:tblPrEx>
        <w:trPr>
          <w:trHeight w:val="255"/>
        </w:trPr>
        <w:tc>
          <w:tcPr>
            <w:tcW w:w="2698" w:type="dxa"/>
            <w:shd w:val="clear" w:color="auto" w:fill="808080"/>
            <w:vAlign w:val="center"/>
          </w:tcPr>
          <w:p w14:paraId="2D2A2E78" w14:textId="77777777" w:rsidR="001452DD" w:rsidRPr="00C8504B" w:rsidRDefault="001452DD" w:rsidP="001452DD">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988" w:type="dxa"/>
            <w:shd w:val="clear" w:color="auto" w:fill="808080"/>
            <w:vAlign w:val="center"/>
          </w:tcPr>
          <w:p w14:paraId="46458716" w14:textId="77777777" w:rsidR="001452DD" w:rsidRPr="00FD3124" w:rsidRDefault="001452DD" w:rsidP="001452DD">
            <w:pPr>
              <w:spacing w:before="40" w:after="20"/>
              <w:ind w:left="-57" w:right="57"/>
              <w:jc w:val="right"/>
              <w:rPr>
                <w:rFonts w:ascii="Arial Narrow" w:hAnsi="Arial Narrow" w:cs="Arial"/>
                <w:b/>
                <w:bCs/>
                <w:color w:val="FFFFFF"/>
                <w:sz w:val="18"/>
                <w:szCs w:val="18"/>
              </w:rPr>
            </w:pPr>
            <w:r w:rsidRPr="00FD3124">
              <w:rPr>
                <w:rFonts w:ascii="Arial Narrow" w:hAnsi="Arial Narrow" w:cs="Arial"/>
                <w:b/>
                <w:bCs/>
                <w:color w:val="FFFFFF"/>
                <w:sz w:val="18"/>
                <w:szCs w:val="18"/>
              </w:rPr>
              <w:t>440.384</w:t>
            </w:r>
          </w:p>
        </w:tc>
        <w:tc>
          <w:tcPr>
            <w:tcW w:w="1064" w:type="dxa"/>
            <w:shd w:val="clear" w:color="auto" w:fill="808080"/>
          </w:tcPr>
          <w:p w14:paraId="745C3A7E" w14:textId="15C5D054"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-0,7</w:t>
            </w:r>
          </w:p>
        </w:tc>
        <w:tc>
          <w:tcPr>
            <w:tcW w:w="992" w:type="dxa"/>
            <w:shd w:val="clear" w:color="auto" w:fill="808080"/>
          </w:tcPr>
          <w:p w14:paraId="113CFC5F" w14:textId="06A2DC40"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-0,4</w:t>
            </w:r>
          </w:p>
        </w:tc>
        <w:tc>
          <w:tcPr>
            <w:tcW w:w="993" w:type="dxa"/>
            <w:shd w:val="clear" w:color="auto" w:fill="808080"/>
          </w:tcPr>
          <w:p w14:paraId="6BAA8115" w14:textId="59CA153F"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+2,3</w:t>
            </w:r>
          </w:p>
        </w:tc>
        <w:tc>
          <w:tcPr>
            <w:tcW w:w="966" w:type="dxa"/>
            <w:shd w:val="clear" w:color="auto" w:fill="808080"/>
          </w:tcPr>
          <w:p w14:paraId="0726E1CB" w14:textId="1FB095FE"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+2,6</w:t>
            </w:r>
          </w:p>
        </w:tc>
        <w:tc>
          <w:tcPr>
            <w:tcW w:w="1585" w:type="dxa"/>
            <w:shd w:val="clear" w:color="auto" w:fill="808080"/>
          </w:tcPr>
          <w:p w14:paraId="79B0D03B" w14:textId="713DBF64"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1,018</w:t>
            </w:r>
          </w:p>
        </w:tc>
        <w:tc>
          <w:tcPr>
            <w:tcW w:w="992" w:type="dxa"/>
            <w:shd w:val="clear" w:color="auto" w:fill="808080"/>
          </w:tcPr>
          <w:p w14:paraId="0F315D13" w14:textId="1C2ED65C"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+2,6</w:t>
            </w:r>
          </w:p>
        </w:tc>
      </w:tr>
      <w:tr w:rsidR="001452DD" w:rsidRPr="00CF6371" w14:paraId="243FAEE7" w14:textId="77777777" w:rsidTr="00031158">
        <w:tblPrEx>
          <w:tblCellMar>
            <w:right w:w="70" w:type="dxa"/>
          </w:tblCellMar>
        </w:tblPrEx>
        <w:trPr>
          <w:trHeight w:val="255"/>
        </w:trPr>
        <w:tc>
          <w:tcPr>
            <w:tcW w:w="2698" w:type="dxa"/>
            <w:shd w:val="clear" w:color="auto" w:fill="E42618"/>
            <w:vAlign w:val="center"/>
          </w:tcPr>
          <w:p w14:paraId="01FCB004" w14:textId="77777777" w:rsidR="001452DD" w:rsidRPr="00C8504B" w:rsidRDefault="001452DD" w:rsidP="001452DD">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988" w:type="dxa"/>
            <w:shd w:val="clear" w:color="auto" w:fill="E42618"/>
            <w:vAlign w:val="center"/>
          </w:tcPr>
          <w:p w14:paraId="55F94120" w14:textId="77777777" w:rsidR="001452DD" w:rsidRPr="00FD3124" w:rsidRDefault="001452DD" w:rsidP="001452DD">
            <w:pPr>
              <w:spacing w:before="40" w:after="20"/>
              <w:ind w:left="-57" w:right="57"/>
              <w:jc w:val="right"/>
              <w:rPr>
                <w:rFonts w:ascii="Arial Narrow" w:hAnsi="Arial Narrow" w:cs="Arial"/>
                <w:b/>
                <w:color w:val="FFFFFF" w:themeColor="background1"/>
                <w:sz w:val="18"/>
                <w:szCs w:val="18"/>
              </w:rPr>
            </w:pPr>
            <w:r w:rsidRPr="00FD3124">
              <w:rPr>
                <w:rFonts w:ascii="Arial Narrow" w:hAnsi="Arial Narrow" w:cs="Arial"/>
                <w:b/>
                <w:color w:val="FFFFFF" w:themeColor="background1"/>
                <w:sz w:val="18"/>
                <w:szCs w:val="18"/>
              </w:rPr>
              <w:t>1.000.000</w:t>
            </w:r>
          </w:p>
        </w:tc>
        <w:tc>
          <w:tcPr>
            <w:tcW w:w="1064" w:type="dxa"/>
            <w:shd w:val="clear" w:color="auto" w:fill="E42618"/>
          </w:tcPr>
          <w:p w14:paraId="564440E4" w14:textId="439DDCD6"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-0,2</w:t>
            </w:r>
          </w:p>
        </w:tc>
        <w:tc>
          <w:tcPr>
            <w:tcW w:w="992" w:type="dxa"/>
            <w:shd w:val="clear" w:color="auto" w:fill="E42618"/>
          </w:tcPr>
          <w:p w14:paraId="137A5AA0" w14:textId="6A3BB1BD"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-0,1</w:t>
            </w:r>
          </w:p>
        </w:tc>
        <w:tc>
          <w:tcPr>
            <w:tcW w:w="993" w:type="dxa"/>
            <w:shd w:val="clear" w:color="auto" w:fill="E42618"/>
          </w:tcPr>
          <w:p w14:paraId="57F35FE6" w14:textId="2540CEF3"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+1,1</w:t>
            </w:r>
          </w:p>
        </w:tc>
        <w:tc>
          <w:tcPr>
            <w:tcW w:w="966" w:type="dxa"/>
            <w:shd w:val="clear" w:color="auto" w:fill="E42618"/>
          </w:tcPr>
          <w:p w14:paraId="2EB2E81A" w14:textId="140FB935"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+1,2</w:t>
            </w:r>
          </w:p>
        </w:tc>
        <w:tc>
          <w:tcPr>
            <w:tcW w:w="1585" w:type="dxa"/>
            <w:shd w:val="clear" w:color="auto" w:fill="E42618"/>
          </w:tcPr>
          <w:p w14:paraId="207EF65A" w14:textId="35732014"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p>
        </w:tc>
        <w:tc>
          <w:tcPr>
            <w:tcW w:w="992" w:type="dxa"/>
            <w:shd w:val="clear" w:color="auto" w:fill="E42618"/>
          </w:tcPr>
          <w:p w14:paraId="41BDAA6B" w14:textId="63B45AB3" w:rsidR="001452DD" w:rsidRPr="001452DD" w:rsidRDefault="001452DD" w:rsidP="001452DD">
            <w:pPr>
              <w:spacing w:before="40" w:after="20"/>
              <w:ind w:left="-57" w:right="57"/>
              <w:jc w:val="right"/>
              <w:rPr>
                <w:rFonts w:ascii="Arial Narrow" w:hAnsi="Arial Narrow" w:cs="Arial"/>
                <w:b/>
                <w:bCs/>
                <w:color w:val="FFFFFF" w:themeColor="background1"/>
                <w:sz w:val="18"/>
                <w:szCs w:val="18"/>
              </w:rPr>
            </w:pPr>
            <w:r w:rsidRPr="001452DD">
              <w:rPr>
                <w:rFonts w:ascii="Arial Narrow" w:hAnsi="Arial Narrow" w:cs="Arial"/>
                <w:b/>
                <w:bCs/>
                <w:color w:val="FFFFFF" w:themeColor="background1"/>
                <w:sz w:val="18"/>
                <w:szCs w:val="18"/>
              </w:rPr>
              <w:t>+1,5</w:t>
            </w:r>
          </w:p>
        </w:tc>
      </w:tr>
    </w:tbl>
    <w:p w14:paraId="3A259A34" w14:textId="77777777" w:rsidR="003232CA" w:rsidRPr="00D76635" w:rsidRDefault="003232CA" w:rsidP="003232CA">
      <w:pPr>
        <w:spacing w:before="60" w:after="120"/>
        <w:rPr>
          <w:sz w:val="14"/>
          <w:szCs w:val="14"/>
        </w:rPr>
      </w:pPr>
    </w:p>
    <w:p w14:paraId="4F997EE7" w14:textId="77777777" w:rsidR="00F24676" w:rsidRPr="00C8504B" w:rsidRDefault="00F24676" w:rsidP="00F24676">
      <w:pPr>
        <w:pStyle w:val="001TitoloBolocco"/>
        <w:spacing w:after="120" w:line="240" w:lineRule="auto"/>
        <w:rPr>
          <w:szCs w:val="26"/>
        </w:rPr>
      </w:pPr>
      <w:r w:rsidRPr="00C8504B">
        <w:rPr>
          <w:szCs w:val="26"/>
        </w:rPr>
        <w:t>I prodotti per frequenza di acquisto</w:t>
      </w:r>
    </w:p>
    <w:p w14:paraId="4EA63EBB" w14:textId="77777777" w:rsidR="00B87271" w:rsidRPr="00491FE4" w:rsidRDefault="00B87271" w:rsidP="00566441">
      <w:pPr>
        <w:spacing w:before="0" w:after="120"/>
        <w:rPr>
          <w:sz w:val="16"/>
          <w:szCs w:val="26"/>
        </w:rPr>
      </w:pPr>
    </w:p>
    <w:p w14:paraId="5AC16B77" w14:textId="3A007881" w:rsidR="00D76635" w:rsidRPr="00C8504B" w:rsidRDefault="00A6652B" w:rsidP="00D76635">
      <w:pPr>
        <w:pStyle w:val="Corpotesto"/>
        <w:spacing w:after="120" w:line="240" w:lineRule="auto"/>
        <w:jc w:val="both"/>
        <w:rPr>
          <w:rFonts w:ascii="Arial Narrow" w:hAnsi="Arial Narrow" w:cs="Arial"/>
          <w:color w:val="5F5F5F"/>
        </w:rPr>
      </w:pPr>
      <w:r w:rsidRPr="00C8504B">
        <w:rPr>
          <w:rFonts w:ascii="Arial Narrow" w:hAnsi="Arial Narrow" w:cs="Arial"/>
          <w:b/>
          <w:color w:val="E42618"/>
          <w:kern w:val="0"/>
          <w:sz w:val="22"/>
          <w:szCs w:val="22"/>
        </w:rPr>
        <w:t xml:space="preserve">PROSPETTO </w:t>
      </w:r>
      <w:r w:rsidR="00E74721" w:rsidRPr="00C8504B">
        <w:rPr>
          <w:rFonts w:ascii="Arial Narrow" w:hAnsi="Arial Narrow" w:cs="Arial"/>
          <w:b/>
          <w:color w:val="E42618"/>
          <w:kern w:val="0"/>
          <w:sz w:val="22"/>
          <w:szCs w:val="22"/>
        </w:rPr>
        <w:t>5</w:t>
      </w:r>
      <w:r w:rsidRPr="00C8504B">
        <w:rPr>
          <w:rFonts w:ascii="Arial Narrow" w:hAnsi="Arial Narrow" w:cs="Arial"/>
          <w:b/>
          <w:color w:val="E42618"/>
          <w:kern w:val="0"/>
          <w:sz w:val="22"/>
          <w:szCs w:val="22"/>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 xml:space="preserve">INDICI DEI </w:t>
      </w:r>
      <w:r w:rsidRPr="00752767">
        <w:rPr>
          <w:rFonts w:ascii="Arial Narrow" w:hAnsi="Arial Narrow" w:cs="Calibri"/>
          <w:b/>
          <w:bCs/>
          <w:color w:val="5F5F5F"/>
          <w:kern w:val="0"/>
          <w:sz w:val="22"/>
          <w:szCs w:val="22"/>
        </w:rPr>
        <w:t>PREZZI AL CONSUMO NIC PER PRODOTTI</w:t>
      </w:r>
      <w:r w:rsidRPr="00C8504B">
        <w:rPr>
          <w:rFonts w:ascii="Arial Narrow" w:hAnsi="Arial Narrow" w:cs="Calibri"/>
          <w:b/>
          <w:bCs/>
          <w:color w:val="5F5F5F"/>
          <w:kern w:val="0"/>
          <w:sz w:val="22"/>
          <w:szCs w:val="22"/>
        </w:rPr>
        <w:t xml:space="preserve"> A DIVERSA FREQUENZA DI ACQUISTO</w:t>
      </w:r>
      <w:r w:rsidRPr="00C8504B">
        <w:rPr>
          <w:rFonts w:ascii="Arial Narrow" w:hAnsi="Arial Narrow" w:cs="Arial"/>
          <w:b/>
          <w:color w:val="5F5F5F"/>
          <w:sz w:val="22"/>
          <w:szCs w:val="22"/>
        </w:rPr>
        <w:br/>
      </w:r>
      <w:r w:rsidR="00C35A87">
        <w:rPr>
          <w:rFonts w:ascii="Arial Narrow" w:hAnsi="Arial Narrow" w:cs="Arial"/>
          <w:color w:val="5F5F5F"/>
        </w:rPr>
        <w:t>Novembre</w:t>
      </w:r>
      <w:r w:rsidR="0009240D">
        <w:rPr>
          <w:rFonts w:ascii="Arial Narrow" w:hAnsi="Arial Narrow" w:cs="Arial"/>
          <w:color w:val="5F5F5F"/>
        </w:rPr>
        <w:t xml:space="preserve"> 202</w:t>
      </w:r>
      <w:r w:rsidR="00784630">
        <w:rPr>
          <w:rFonts w:ascii="Arial Narrow" w:hAnsi="Arial Narrow" w:cs="Arial"/>
          <w:color w:val="5F5F5F"/>
        </w:rPr>
        <w:t>5</w:t>
      </w:r>
      <w:r w:rsidR="00D76635" w:rsidRPr="00C8504B">
        <w:rPr>
          <w:rFonts w:ascii="Arial Narrow" w:hAnsi="Arial Narrow" w:cs="Arial"/>
          <w:color w:val="5F5F5F"/>
        </w:rPr>
        <w:t>, pesi, variazioni percentuali congiunturali e tendenziali e contributi alla variazione tendenziale dell’indice generale (base 2015=100)</w:t>
      </w:r>
    </w:p>
    <w:tbl>
      <w:tblPr>
        <w:tblW w:w="10086" w:type="dxa"/>
        <w:jc w:val="center"/>
        <w:tblBorders>
          <w:top w:val="single" w:sz="4" w:space="0" w:color="auto"/>
          <w:bottom w:val="single" w:sz="4" w:space="0" w:color="auto"/>
          <w:insideH w:val="single" w:sz="4" w:space="0" w:color="auto"/>
        </w:tblBorders>
        <w:tblCellMar>
          <w:left w:w="70" w:type="dxa"/>
          <w:right w:w="0" w:type="dxa"/>
        </w:tblCellMar>
        <w:tblLook w:val="0000" w:firstRow="0" w:lastRow="0" w:firstColumn="0" w:lastColumn="0" w:noHBand="0" w:noVBand="0"/>
      </w:tblPr>
      <w:tblGrid>
        <w:gridCol w:w="1882"/>
        <w:gridCol w:w="1189"/>
        <w:gridCol w:w="1118"/>
        <w:gridCol w:w="1117"/>
        <w:gridCol w:w="1014"/>
        <w:gridCol w:w="1094"/>
        <w:gridCol w:w="40"/>
        <w:gridCol w:w="1577"/>
        <w:gridCol w:w="1055"/>
      </w:tblGrid>
      <w:tr w:rsidR="00B33C41" w:rsidRPr="00C8504B" w14:paraId="5BDCF6CD" w14:textId="77777777" w:rsidTr="00631826">
        <w:trPr>
          <w:trHeight w:val="347"/>
          <w:jc w:val="center"/>
        </w:trPr>
        <w:tc>
          <w:tcPr>
            <w:tcW w:w="1882" w:type="dxa"/>
            <w:vMerge w:val="restart"/>
            <w:vAlign w:val="center"/>
          </w:tcPr>
          <w:p w14:paraId="4944A4C6" w14:textId="77777777" w:rsidR="00B33C41" w:rsidRPr="00C8504B" w:rsidRDefault="00B33C41" w:rsidP="00B33C41">
            <w:pPr>
              <w:spacing w:before="40" w:after="20"/>
              <w:ind w:left="-57"/>
              <w:rPr>
                <w:rFonts w:ascii="Arial Narrow" w:hAnsi="Arial Narrow" w:cs="Arial"/>
                <w:sz w:val="18"/>
                <w:szCs w:val="18"/>
              </w:rPr>
            </w:pPr>
            <w:r w:rsidRPr="00C8504B">
              <w:rPr>
                <w:rFonts w:ascii="Arial Narrow" w:hAnsi="Arial Narrow" w:cs="Arial"/>
                <w:b/>
                <w:bCs/>
                <w:sz w:val="18"/>
                <w:szCs w:val="18"/>
              </w:rPr>
              <w:t>TIPOLOGIE DI PRODOTTO</w:t>
            </w:r>
          </w:p>
        </w:tc>
        <w:tc>
          <w:tcPr>
            <w:tcW w:w="1189" w:type="dxa"/>
            <w:vMerge w:val="restart"/>
            <w:shd w:val="clear" w:color="auto" w:fill="D9D9D9" w:themeFill="background1" w:themeFillShade="D9"/>
            <w:vAlign w:val="center"/>
          </w:tcPr>
          <w:p w14:paraId="69721306" w14:textId="77777777" w:rsidR="00B33C41" w:rsidRPr="00C8504B" w:rsidRDefault="00B33C41" w:rsidP="00B33C41">
            <w:pPr>
              <w:spacing w:before="40" w:after="20"/>
              <w:ind w:right="57"/>
              <w:jc w:val="right"/>
              <w:rPr>
                <w:rFonts w:ascii="Arial Narrow" w:hAnsi="Arial Narrow" w:cs="Arial"/>
                <w:sz w:val="18"/>
                <w:szCs w:val="18"/>
              </w:rPr>
            </w:pPr>
            <w:r w:rsidRPr="00C8504B">
              <w:rPr>
                <w:rFonts w:ascii="Arial Narrow" w:hAnsi="Arial Narrow" w:cs="Arial"/>
                <w:b/>
                <w:bCs/>
                <w:sz w:val="18"/>
                <w:szCs w:val="18"/>
              </w:rPr>
              <w:t>Pesi</w:t>
            </w:r>
          </w:p>
        </w:tc>
        <w:tc>
          <w:tcPr>
            <w:tcW w:w="2235" w:type="dxa"/>
            <w:gridSpan w:val="2"/>
            <w:vAlign w:val="center"/>
          </w:tcPr>
          <w:p w14:paraId="5850B7E0" w14:textId="77777777"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2108" w:type="dxa"/>
            <w:gridSpan w:val="2"/>
            <w:shd w:val="clear" w:color="auto" w:fill="D9D9D9"/>
            <w:vAlign w:val="center"/>
          </w:tcPr>
          <w:p w14:paraId="2BAAFF64" w14:textId="77777777"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617" w:type="dxa"/>
            <w:gridSpan w:val="2"/>
            <w:vMerge w:val="restart"/>
            <w:vAlign w:val="center"/>
          </w:tcPr>
          <w:p w14:paraId="5A147233" w14:textId="77777777" w:rsidR="00B33C41" w:rsidRPr="00C8504B" w:rsidRDefault="00B33C41" w:rsidP="00B33C41">
            <w:pPr>
              <w:spacing w:before="40" w:after="20"/>
              <w:ind w:left="-46" w:right="57"/>
              <w:jc w:val="right"/>
              <w:rPr>
                <w:rFonts w:ascii="Arial Narrow" w:hAnsi="Arial Narrow" w:cs="Arial"/>
                <w:sz w:val="18"/>
                <w:szCs w:val="18"/>
                <w:highlight w:val="yellow"/>
              </w:rPr>
            </w:pPr>
            <w:r w:rsidRPr="00C8504B">
              <w:rPr>
                <w:rFonts w:ascii="Arial Narrow" w:hAnsi="Arial Narrow" w:cs="Arial"/>
                <w:b/>
                <w:bCs/>
                <w:sz w:val="18"/>
                <w:szCs w:val="18"/>
              </w:rPr>
              <w:t>Contributo alla variazione tendenziale dell’indice generale</w:t>
            </w:r>
          </w:p>
        </w:tc>
        <w:tc>
          <w:tcPr>
            <w:tcW w:w="1055" w:type="dxa"/>
            <w:vMerge w:val="restart"/>
            <w:shd w:val="clear" w:color="auto" w:fill="D9D9D9"/>
            <w:vAlign w:val="center"/>
          </w:tcPr>
          <w:p w14:paraId="5D6DE452" w14:textId="28084653" w:rsidR="00B33C41" w:rsidRPr="00C8504B" w:rsidRDefault="00FE6C8D" w:rsidP="007C4489">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sidR="004D6F77">
              <w:rPr>
                <w:rFonts w:ascii="Arial Narrow" w:hAnsi="Arial Narrow" w:cs="Arial"/>
                <w:b/>
                <w:bCs/>
                <w:kern w:val="0"/>
                <w:sz w:val="18"/>
                <w:szCs w:val="18"/>
              </w:rPr>
              <w:t xml:space="preserve"> </w:t>
            </w:r>
            <w:r>
              <w:rPr>
                <w:rFonts w:ascii="Arial Narrow" w:hAnsi="Arial Narrow" w:cs="Arial"/>
                <w:b/>
                <w:bCs/>
                <w:kern w:val="0"/>
                <w:sz w:val="18"/>
                <w:szCs w:val="18"/>
              </w:rPr>
              <w:t>a</w:t>
            </w:r>
            <w:r w:rsidR="00200BC8">
              <w:rPr>
                <w:rFonts w:ascii="Arial Narrow" w:hAnsi="Arial Narrow" w:cs="Arial"/>
                <w:b/>
                <w:bCs/>
                <w:kern w:val="0"/>
                <w:sz w:val="18"/>
                <w:szCs w:val="18"/>
              </w:rPr>
              <w:t xml:space="preserve"> </w:t>
            </w:r>
            <w:r w:rsidR="00C35A87">
              <w:rPr>
                <w:rFonts w:ascii="Arial Narrow" w:hAnsi="Arial Narrow" w:cs="Arial"/>
                <w:b/>
                <w:bCs/>
                <w:kern w:val="0"/>
                <w:sz w:val="18"/>
                <w:szCs w:val="18"/>
              </w:rPr>
              <w:t>novembre</w:t>
            </w:r>
          </w:p>
        </w:tc>
      </w:tr>
      <w:tr w:rsidR="00C35A87" w:rsidRPr="00AF7AF5" w14:paraId="6BDDF0CB" w14:textId="77777777" w:rsidTr="00476619">
        <w:trPr>
          <w:trHeight w:val="346"/>
          <w:jc w:val="center"/>
        </w:trPr>
        <w:tc>
          <w:tcPr>
            <w:tcW w:w="1882" w:type="dxa"/>
            <w:vMerge/>
            <w:vAlign w:val="center"/>
          </w:tcPr>
          <w:p w14:paraId="46F50E95" w14:textId="77777777" w:rsidR="00C35A87" w:rsidRPr="00C8504B" w:rsidRDefault="00C35A87" w:rsidP="00C35A87">
            <w:pPr>
              <w:spacing w:before="40" w:after="20"/>
              <w:ind w:left="-57"/>
              <w:rPr>
                <w:rFonts w:ascii="Arial Narrow" w:hAnsi="Arial Narrow" w:cs="Arial"/>
                <w:b/>
                <w:bCs/>
                <w:sz w:val="18"/>
                <w:szCs w:val="18"/>
              </w:rPr>
            </w:pPr>
          </w:p>
        </w:tc>
        <w:tc>
          <w:tcPr>
            <w:tcW w:w="1189" w:type="dxa"/>
            <w:vMerge/>
            <w:shd w:val="clear" w:color="auto" w:fill="D9D9D9" w:themeFill="background1" w:themeFillShade="D9"/>
            <w:vAlign w:val="center"/>
          </w:tcPr>
          <w:p w14:paraId="423D4A7D" w14:textId="77777777" w:rsidR="00C35A87" w:rsidRPr="00C8504B" w:rsidRDefault="00C35A87" w:rsidP="00C35A87">
            <w:pPr>
              <w:spacing w:before="40" w:after="20"/>
              <w:ind w:right="57"/>
              <w:jc w:val="right"/>
              <w:rPr>
                <w:rFonts w:ascii="Arial Narrow" w:hAnsi="Arial Narrow" w:cs="Arial"/>
                <w:b/>
                <w:bCs/>
                <w:sz w:val="18"/>
                <w:szCs w:val="18"/>
              </w:rPr>
            </w:pPr>
          </w:p>
        </w:tc>
        <w:tc>
          <w:tcPr>
            <w:tcW w:w="1118" w:type="dxa"/>
            <w:vAlign w:val="center"/>
          </w:tcPr>
          <w:p w14:paraId="4D679939" w14:textId="77777777" w:rsidR="00C35A87" w:rsidRDefault="00C35A87" w:rsidP="00C35A8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nov-25</w:t>
            </w:r>
          </w:p>
          <w:p w14:paraId="1B12FF15" w14:textId="1A6DF08F" w:rsidR="00C35A87" w:rsidRPr="00E03E58" w:rsidRDefault="00C35A87" w:rsidP="00C35A87">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ott-25</w:t>
            </w:r>
          </w:p>
        </w:tc>
        <w:tc>
          <w:tcPr>
            <w:tcW w:w="1117" w:type="dxa"/>
            <w:vAlign w:val="center"/>
          </w:tcPr>
          <w:p w14:paraId="04041C17" w14:textId="77777777" w:rsidR="00C35A87" w:rsidRDefault="00C35A87" w:rsidP="00C35A8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nov-24</w:t>
            </w:r>
          </w:p>
          <w:p w14:paraId="565AC545" w14:textId="2CB64E03" w:rsidR="00C35A87" w:rsidRPr="008814F3" w:rsidRDefault="00C35A87" w:rsidP="00C35A8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ott-24</w:t>
            </w:r>
          </w:p>
        </w:tc>
        <w:tc>
          <w:tcPr>
            <w:tcW w:w="1014" w:type="dxa"/>
            <w:vAlign w:val="center"/>
          </w:tcPr>
          <w:p w14:paraId="4A48F5B0" w14:textId="77777777" w:rsidR="00C35A87" w:rsidRDefault="00C35A87" w:rsidP="00C35A8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nov-25</w:t>
            </w:r>
          </w:p>
          <w:p w14:paraId="2EED78E7" w14:textId="6C06426B" w:rsidR="00C35A87" w:rsidRPr="008814F3" w:rsidRDefault="00C35A87" w:rsidP="00C35A8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nov-24</w:t>
            </w:r>
          </w:p>
        </w:tc>
        <w:tc>
          <w:tcPr>
            <w:tcW w:w="1094" w:type="dxa"/>
            <w:vAlign w:val="center"/>
          </w:tcPr>
          <w:p w14:paraId="6DA4CEF7" w14:textId="77777777" w:rsidR="00C35A87" w:rsidRDefault="00C35A87" w:rsidP="00C35A8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ott-25</w:t>
            </w:r>
          </w:p>
          <w:p w14:paraId="38B5DBCE" w14:textId="66A4CE2B" w:rsidR="00C35A87" w:rsidRPr="008814F3" w:rsidRDefault="00C35A87" w:rsidP="00C35A8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ott-24</w:t>
            </w:r>
          </w:p>
        </w:tc>
        <w:tc>
          <w:tcPr>
            <w:tcW w:w="1617" w:type="dxa"/>
            <w:gridSpan w:val="2"/>
            <w:vMerge/>
            <w:vAlign w:val="center"/>
          </w:tcPr>
          <w:p w14:paraId="33BE4222" w14:textId="77777777" w:rsidR="00C35A87" w:rsidRPr="00C8504B" w:rsidRDefault="00C35A87" w:rsidP="00C35A87">
            <w:pPr>
              <w:spacing w:before="40" w:after="20"/>
              <w:ind w:left="-46" w:right="57"/>
              <w:jc w:val="right"/>
              <w:rPr>
                <w:rFonts w:ascii="Arial Narrow" w:hAnsi="Arial Narrow" w:cs="Arial"/>
                <w:b/>
                <w:bCs/>
                <w:snapToGrid w:val="0"/>
                <w:sz w:val="18"/>
                <w:szCs w:val="18"/>
              </w:rPr>
            </w:pPr>
          </w:p>
        </w:tc>
        <w:tc>
          <w:tcPr>
            <w:tcW w:w="1055" w:type="dxa"/>
            <w:vMerge/>
            <w:shd w:val="clear" w:color="auto" w:fill="D9D9D9"/>
            <w:vAlign w:val="center"/>
          </w:tcPr>
          <w:p w14:paraId="24FBD317" w14:textId="77777777" w:rsidR="00C35A87" w:rsidRPr="00C8504B" w:rsidRDefault="00C35A87" w:rsidP="00C35A87">
            <w:pPr>
              <w:spacing w:before="40" w:after="20"/>
              <w:ind w:right="57"/>
              <w:jc w:val="right"/>
              <w:rPr>
                <w:rFonts w:ascii="Arial Narrow" w:hAnsi="Arial Narrow" w:cs="Arial"/>
                <w:b/>
                <w:bCs/>
                <w:snapToGrid w:val="0"/>
                <w:sz w:val="18"/>
                <w:szCs w:val="18"/>
              </w:rPr>
            </w:pPr>
          </w:p>
        </w:tc>
      </w:tr>
      <w:tr w:rsidR="007B1F49" w:rsidRPr="00C8504B" w14:paraId="372F8ECC" w14:textId="77777777" w:rsidTr="007B1F49">
        <w:trPr>
          <w:trHeight w:val="134"/>
          <w:jc w:val="center"/>
        </w:trPr>
        <w:tc>
          <w:tcPr>
            <w:tcW w:w="1882" w:type="dxa"/>
            <w:vAlign w:val="center"/>
          </w:tcPr>
          <w:p w14:paraId="3C6B9AFA" w14:textId="77777777" w:rsidR="007B1F49" w:rsidRPr="00C8504B" w:rsidRDefault="007B1F49" w:rsidP="007B1F49">
            <w:pPr>
              <w:spacing w:before="40" w:after="20"/>
              <w:ind w:left="-57"/>
              <w:rPr>
                <w:rFonts w:ascii="Arial Narrow" w:hAnsi="Arial Narrow" w:cs="Arial"/>
                <w:sz w:val="18"/>
                <w:szCs w:val="18"/>
              </w:rPr>
            </w:pPr>
            <w:r w:rsidRPr="00C8504B">
              <w:rPr>
                <w:rFonts w:ascii="Arial Narrow" w:hAnsi="Arial Narrow" w:cs="Arial"/>
                <w:sz w:val="18"/>
                <w:szCs w:val="18"/>
              </w:rPr>
              <w:t>Alta frequenza</w:t>
            </w:r>
          </w:p>
        </w:tc>
        <w:tc>
          <w:tcPr>
            <w:tcW w:w="1189" w:type="dxa"/>
            <w:shd w:val="clear" w:color="auto" w:fill="D9D9D9"/>
            <w:vAlign w:val="center"/>
          </w:tcPr>
          <w:p w14:paraId="07252CC9" w14:textId="77777777" w:rsidR="007B1F49" w:rsidRPr="00557277" w:rsidRDefault="007B1F49" w:rsidP="007B1F49">
            <w:pPr>
              <w:spacing w:before="40" w:after="20"/>
              <w:ind w:left="-57" w:right="57"/>
              <w:jc w:val="right"/>
              <w:rPr>
                <w:rFonts w:ascii="Arial Narrow" w:hAnsi="Arial Narrow" w:cs="Arial"/>
                <w:sz w:val="18"/>
                <w:szCs w:val="18"/>
              </w:rPr>
            </w:pPr>
            <w:r w:rsidRPr="00557277">
              <w:rPr>
                <w:rFonts w:ascii="Arial Narrow" w:hAnsi="Arial Narrow" w:cs="Arial"/>
                <w:sz w:val="18"/>
                <w:szCs w:val="18"/>
              </w:rPr>
              <w:t>407.308</w:t>
            </w:r>
          </w:p>
        </w:tc>
        <w:tc>
          <w:tcPr>
            <w:tcW w:w="1118" w:type="dxa"/>
            <w:vAlign w:val="center"/>
          </w:tcPr>
          <w:p w14:paraId="3833C4D5" w14:textId="74C1C535"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+0,3</w:t>
            </w:r>
          </w:p>
        </w:tc>
        <w:tc>
          <w:tcPr>
            <w:tcW w:w="1117" w:type="dxa"/>
            <w:shd w:val="clear" w:color="auto" w:fill="D9D9D9"/>
            <w:vAlign w:val="center"/>
          </w:tcPr>
          <w:p w14:paraId="3512E07E" w14:textId="44312786"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+0,4</w:t>
            </w:r>
          </w:p>
        </w:tc>
        <w:tc>
          <w:tcPr>
            <w:tcW w:w="1014" w:type="dxa"/>
            <w:vAlign w:val="center"/>
          </w:tcPr>
          <w:p w14:paraId="303B15B2" w14:textId="452D07BE"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+2,0</w:t>
            </w:r>
          </w:p>
        </w:tc>
        <w:tc>
          <w:tcPr>
            <w:tcW w:w="1134" w:type="dxa"/>
            <w:gridSpan w:val="2"/>
            <w:shd w:val="clear" w:color="auto" w:fill="D9D9D9"/>
            <w:vAlign w:val="center"/>
          </w:tcPr>
          <w:p w14:paraId="65BC11EC" w14:textId="606135CC"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+2,1</w:t>
            </w:r>
          </w:p>
        </w:tc>
        <w:tc>
          <w:tcPr>
            <w:tcW w:w="1577" w:type="dxa"/>
            <w:vAlign w:val="center"/>
          </w:tcPr>
          <w:p w14:paraId="7B0876C7" w14:textId="66FC3B91"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0,828</w:t>
            </w:r>
          </w:p>
        </w:tc>
        <w:tc>
          <w:tcPr>
            <w:tcW w:w="1055" w:type="dxa"/>
            <w:shd w:val="clear" w:color="auto" w:fill="D9D9D9"/>
            <w:tcMar>
              <w:right w:w="57" w:type="dxa"/>
            </w:tcMar>
            <w:vAlign w:val="center"/>
          </w:tcPr>
          <w:p w14:paraId="0EC1ADA7" w14:textId="36FBAEAB"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+2,0</w:t>
            </w:r>
          </w:p>
        </w:tc>
      </w:tr>
      <w:tr w:rsidR="007B1F49" w:rsidRPr="00C8504B" w14:paraId="2B41D22C" w14:textId="77777777" w:rsidTr="007B1F49">
        <w:trPr>
          <w:trHeight w:val="255"/>
          <w:jc w:val="center"/>
        </w:trPr>
        <w:tc>
          <w:tcPr>
            <w:tcW w:w="1882" w:type="dxa"/>
            <w:vAlign w:val="center"/>
          </w:tcPr>
          <w:p w14:paraId="36860B9D" w14:textId="77777777" w:rsidR="007B1F49" w:rsidRPr="00C8504B" w:rsidRDefault="007B1F49" w:rsidP="007B1F49">
            <w:pPr>
              <w:spacing w:before="40" w:after="20"/>
              <w:ind w:left="-57"/>
              <w:rPr>
                <w:rFonts w:ascii="Arial Narrow" w:hAnsi="Arial Narrow" w:cs="Arial"/>
                <w:sz w:val="18"/>
                <w:szCs w:val="18"/>
              </w:rPr>
            </w:pPr>
            <w:r w:rsidRPr="00C8504B">
              <w:rPr>
                <w:rFonts w:ascii="Arial Narrow" w:hAnsi="Arial Narrow" w:cs="Arial"/>
                <w:sz w:val="18"/>
                <w:szCs w:val="18"/>
              </w:rPr>
              <w:t xml:space="preserve">Media frequenza </w:t>
            </w:r>
          </w:p>
        </w:tc>
        <w:tc>
          <w:tcPr>
            <w:tcW w:w="1189" w:type="dxa"/>
            <w:shd w:val="clear" w:color="auto" w:fill="D9D9D9"/>
            <w:vAlign w:val="center"/>
          </w:tcPr>
          <w:p w14:paraId="4F786844" w14:textId="77777777" w:rsidR="007B1F49" w:rsidRPr="00557277" w:rsidRDefault="007B1F49" w:rsidP="007B1F49">
            <w:pPr>
              <w:spacing w:before="40" w:after="20"/>
              <w:ind w:left="-57" w:right="57"/>
              <w:jc w:val="right"/>
              <w:rPr>
                <w:rFonts w:ascii="Arial Narrow" w:hAnsi="Arial Narrow" w:cs="Arial"/>
                <w:sz w:val="18"/>
                <w:szCs w:val="18"/>
              </w:rPr>
            </w:pPr>
            <w:r w:rsidRPr="00557277">
              <w:rPr>
                <w:rFonts w:ascii="Arial Narrow" w:hAnsi="Arial Narrow" w:cs="Arial"/>
                <w:sz w:val="18"/>
                <w:szCs w:val="18"/>
              </w:rPr>
              <w:t>402.385</w:t>
            </w:r>
          </w:p>
        </w:tc>
        <w:tc>
          <w:tcPr>
            <w:tcW w:w="1118" w:type="dxa"/>
            <w:vAlign w:val="center"/>
          </w:tcPr>
          <w:p w14:paraId="5944D790" w14:textId="7C5E3496"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-1,0</w:t>
            </w:r>
          </w:p>
        </w:tc>
        <w:tc>
          <w:tcPr>
            <w:tcW w:w="1117" w:type="dxa"/>
            <w:shd w:val="clear" w:color="auto" w:fill="D9D9D9"/>
            <w:vAlign w:val="center"/>
          </w:tcPr>
          <w:p w14:paraId="410E8781" w14:textId="3879304F"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-0,6</w:t>
            </w:r>
          </w:p>
        </w:tc>
        <w:tc>
          <w:tcPr>
            <w:tcW w:w="1014" w:type="dxa"/>
            <w:vAlign w:val="center"/>
          </w:tcPr>
          <w:p w14:paraId="657131AF" w14:textId="3D1DBC50"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+0,4</w:t>
            </w:r>
          </w:p>
        </w:tc>
        <w:tc>
          <w:tcPr>
            <w:tcW w:w="1134" w:type="dxa"/>
            <w:gridSpan w:val="2"/>
            <w:shd w:val="clear" w:color="auto" w:fill="D9D9D9"/>
            <w:vAlign w:val="center"/>
          </w:tcPr>
          <w:p w14:paraId="428BEDE7" w14:textId="579F23C5"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+0,8</w:t>
            </w:r>
          </w:p>
        </w:tc>
        <w:tc>
          <w:tcPr>
            <w:tcW w:w="1577" w:type="dxa"/>
            <w:vAlign w:val="center"/>
          </w:tcPr>
          <w:p w14:paraId="0D327CE8" w14:textId="2A477B3D"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0,141</w:t>
            </w:r>
          </w:p>
        </w:tc>
        <w:tc>
          <w:tcPr>
            <w:tcW w:w="1055" w:type="dxa"/>
            <w:shd w:val="clear" w:color="auto" w:fill="D9D9D9"/>
            <w:tcMar>
              <w:right w:w="57" w:type="dxa"/>
            </w:tcMar>
            <w:vAlign w:val="center"/>
          </w:tcPr>
          <w:p w14:paraId="64EE766B" w14:textId="6FCFABA6"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+1,6</w:t>
            </w:r>
          </w:p>
        </w:tc>
      </w:tr>
      <w:tr w:rsidR="007B1F49" w:rsidRPr="00C8504B" w14:paraId="5456A842" w14:textId="77777777" w:rsidTr="007B1F49">
        <w:trPr>
          <w:trHeight w:val="255"/>
          <w:jc w:val="center"/>
        </w:trPr>
        <w:tc>
          <w:tcPr>
            <w:tcW w:w="1882" w:type="dxa"/>
            <w:vAlign w:val="center"/>
          </w:tcPr>
          <w:p w14:paraId="172899A9" w14:textId="77777777" w:rsidR="007B1F49" w:rsidRPr="00C8504B" w:rsidRDefault="007B1F49" w:rsidP="007B1F49">
            <w:pPr>
              <w:spacing w:before="40" w:after="20"/>
              <w:ind w:left="-57"/>
              <w:rPr>
                <w:rFonts w:ascii="Arial Narrow" w:hAnsi="Arial Narrow" w:cs="Arial"/>
                <w:sz w:val="18"/>
                <w:szCs w:val="18"/>
              </w:rPr>
            </w:pPr>
            <w:r w:rsidRPr="00C8504B">
              <w:rPr>
                <w:rFonts w:ascii="Arial Narrow" w:hAnsi="Arial Narrow" w:cs="Arial"/>
                <w:sz w:val="18"/>
                <w:szCs w:val="18"/>
              </w:rPr>
              <w:t xml:space="preserve">Bassa frequenza </w:t>
            </w:r>
          </w:p>
        </w:tc>
        <w:tc>
          <w:tcPr>
            <w:tcW w:w="1189" w:type="dxa"/>
            <w:shd w:val="clear" w:color="auto" w:fill="D9D9D9"/>
            <w:vAlign w:val="center"/>
          </w:tcPr>
          <w:p w14:paraId="0B9B9A4D" w14:textId="77777777" w:rsidR="007B1F49" w:rsidRPr="00557277" w:rsidRDefault="007B1F49" w:rsidP="007B1F49">
            <w:pPr>
              <w:spacing w:before="40" w:after="20"/>
              <w:ind w:left="-57" w:right="57"/>
              <w:jc w:val="right"/>
              <w:rPr>
                <w:rFonts w:ascii="Arial Narrow" w:hAnsi="Arial Narrow" w:cs="Arial"/>
                <w:sz w:val="18"/>
                <w:szCs w:val="18"/>
              </w:rPr>
            </w:pPr>
            <w:r w:rsidRPr="00557277">
              <w:rPr>
                <w:rFonts w:ascii="Arial Narrow" w:hAnsi="Arial Narrow" w:cs="Arial"/>
                <w:sz w:val="18"/>
                <w:szCs w:val="18"/>
              </w:rPr>
              <w:t>190.307</w:t>
            </w:r>
          </w:p>
        </w:tc>
        <w:tc>
          <w:tcPr>
            <w:tcW w:w="1118" w:type="dxa"/>
            <w:vAlign w:val="center"/>
          </w:tcPr>
          <w:p w14:paraId="6B7B2E66" w14:textId="43DFB90B"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-0,1</w:t>
            </w:r>
          </w:p>
        </w:tc>
        <w:tc>
          <w:tcPr>
            <w:tcW w:w="1117" w:type="dxa"/>
            <w:shd w:val="clear" w:color="auto" w:fill="D9D9D9"/>
            <w:vAlign w:val="center"/>
          </w:tcPr>
          <w:p w14:paraId="6FAFE242" w14:textId="15DB4CA5"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-0,2</w:t>
            </w:r>
          </w:p>
        </w:tc>
        <w:tc>
          <w:tcPr>
            <w:tcW w:w="1014" w:type="dxa"/>
            <w:vAlign w:val="center"/>
          </w:tcPr>
          <w:p w14:paraId="4987EAB2" w14:textId="4E83AD9F"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+0,5</w:t>
            </w:r>
          </w:p>
        </w:tc>
        <w:tc>
          <w:tcPr>
            <w:tcW w:w="1134" w:type="dxa"/>
            <w:gridSpan w:val="2"/>
            <w:shd w:val="clear" w:color="auto" w:fill="D9D9D9"/>
            <w:vAlign w:val="center"/>
          </w:tcPr>
          <w:p w14:paraId="7E439E14" w14:textId="5B42F0F5"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+0,4</w:t>
            </w:r>
          </w:p>
        </w:tc>
        <w:tc>
          <w:tcPr>
            <w:tcW w:w="1577" w:type="dxa"/>
            <w:vAlign w:val="center"/>
          </w:tcPr>
          <w:p w14:paraId="0314694B" w14:textId="7B7222F2"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0,092</w:t>
            </w:r>
          </w:p>
        </w:tc>
        <w:tc>
          <w:tcPr>
            <w:tcW w:w="1055" w:type="dxa"/>
            <w:shd w:val="clear" w:color="auto" w:fill="D9D9D9"/>
            <w:tcMar>
              <w:right w:w="57" w:type="dxa"/>
            </w:tcMar>
            <w:vAlign w:val="center"/>
          </w:tcPr>
          <w:p w14:paraId="411817D2" w14:textId="59F3B493" w:rsidR="007B1F49" w:rsidRPr="007B1F49" w:rsidRDefault="007B1F49" w:rsidP="007B1F49">
            <w:pPr>
              <w:spacing w:before="40" w:after="20"/>
              <w:ind w:left="-57" w:right="57"/>
              <w:jc w:val="right"/>
              <w:rPr>
                <w:rFonts w:ascii="Arial Narrow" w:hAnsi="Arial Narrow" w:cs="Arial"/>
                <w:sz w:val="18"/>
                <w:szCs w:val="18"/>
              </w:rPr>
            </w:pPr>
            <w:r w:rsidRPr="007B1F49">
              <w:rPr>
                <w:rFonts w:ascii="Arial Narrow" w:hAnsi="Arial Narrow" w:cs="Arial"/>
                <w:sz w:val="18"/>
                <w:szCs w:val="18"/>
              </w:rPr>
              <w:t>+0,2</w:t>
            </w:r>
          </w:p>
        </w:tc>
      </w:tr>
      <w:tr w:rsidR="007B1F49" w:rsidRPr="00F27F12" w14:paraId="12001ED3" w14:textId="77777777" w:rsidTr="007B1F49">
        <w:trPr>
          <w:trHeight w:val="255"/>
          <w:jc w:val="center"/>
        </w:trPr>
        <w:tc>
          <w:tcPr>
            <w:tcW w:w="1882" w:type="dxa"/>
            <w:shd w:val="clear" w:color="auto" w:fill="E42618"/>
            <w:vAlign w:val="center"/>
          </w:tcPr>
          <w:p w14:paraId="1B81DC12" w14:textId="77777777" w:rsidR="007B1F49" w:rsidRPr="00476619" w:rsidRDefault="007B1F49" w:rsidP="007B1F49">
            <w:pPr>
              <w:spacing w:before="40" w:after="20"/>
              <w:ind w:left="-57"/>
              <w:rPr>
                <w:rFonts w:ascii="Arial Narrow" w:hAnsi="Arial Narrow" w:cs="Arial"/>
                <w:b/>
                <w:color w:val="FFFFFF" w:themeColor="background1"/>
                <w:sz w:val="18"/>
                <w:szCs w:val="18"/>
              </w:rPr>
            </w:pPr>
            <w:r w:rsidRPr="00476619">
              <w:rPr>
                <w:rFonts w:ascii="Arial Narrow" w:hAnsi="Arial Narrow" w:cs="Arial"/>
                <w:b/>
                <w:color w:val="FFFFFF" w:themeColor="background1"/>
                <w:sz w:val="18"/>
                <w:szCs w:val="18"/>
              </w:rPr>
              <w:t>Indice generale</w:t>
            </w:r>
          </w:p>
        </w:tc>
        <w:tc>
          <w:tcPr>
            <w:tcW w:w="1189" w:type="dxa"/>
            <w:shd w:val="clear" w:color="auto" w:fill="E42618"/>
            <w:vAlign w:val="center"/>
          </w:tcPr>
          <w:p w14:paraId="5FE46E30" w14:textId="77777777" w:rsidR="007B1F49" w:rsidRPr="00557277" w:rsidRDefault="007B1F49" w:rsidP="007B1F49">
            <w:pPr>
              <w:spacing w:before="40" w:after="20"/>
              <w:ind w:left="-57" w:right="57"/>
              <w:jc w:val="right"/>
              <w:rPr>
                <w:rFonts w:ascii="Arial Narrow" w:hAnsi="Arial Narrow" w:cs="Arial"/>
                <w:b/>
                <w:color w:val="FFFFFF" w:themeColor="background1"/>
                <w:sz w:val="18"/>
                <w:szCs w:val="18"/>
              </w:rPr>
            </w:pPr>
            <w:r w:rsidRPr="00557277">
              <w:rPr>
                <w:rFonts w:ascii="Arial Narrow" w:hAnsi="Arial Narrow" w:cs="Arial"/>
                <w:b/>
                <w:color w:val="FFFFFF" w:themeColor="background1"/>
                <w:sz w:val="18"/>
                <w:szCs w:val="18"/>
              </w:rPr>
              <w:t>1.000.000</w:t>
            </w:r>
          </w:p>
        </w:tc>
        <w:tc>
          <w:tcPr>
            <w:tcW w:w="1118" w:type="dxa"/>
            <w:shd w:val="clear" w:color="auto" w:fill="E42618"/>
            <w:vAlign w:val="center"/>
          </w:tcPr>
          <w:p w14:paraId="5964047F" w14:textId="7EFC2F51" w:rsidR="007B1F49" w:rsidRPr="007B1F49" w:rsidRDefault="007B1F49" w:rsidP="007B1F49">
            <w:pPr>
              <w:spacing w:before="40" w:after="20"/>
              <w:ind w:left="-57" w:right="57"/>
              <w:jc w:val="right"/>
              <w:rPr>
                <w:rFonts w:ascii="Arial Narrow" w:hAnsi="Arial Narrow" w:cs="Arial"/>
                <w:b/>
                <w:bCs/>
                <w:color w:val="FFFFFF" w:themeColor="background1"/>
                <w:sz w:val="18"/>
                <w:szCs w:val="18"/>
              </w:rPr>
            </w:pPr>
            <w:r w:rsidRPr="007B1F49">
              <w:rPr>
                <w:rFonts w:ascii="Arial Narrow" w:hAnsi="Arial Narrow" w:cs="Arial"/>
                <w:b/>
                <w:bCs/>
                <w:color w:val="FFFFFF" w:themeColor="background1"/>
                <w:sz w:val="18"/>
                <w:szCs w:val="18"/>
              </w:rPr>
              <w:t>-0,2</w:t>
            </w:r>
          </w:p>
        </w:tc>
        <w:tc>
          <w:tcPr>
            <w:tcW w:w="1117" w:type="dxa"/>
            <w:shd w:val="clear" w:color="auto" w:fill="E42618"/>
            <w:vAlign w:val="center"/>
          </w:tcPr>
          <w:p w14:paraId="6D0D6CE7" w14:textId="232F4499" w:rsidR="007B1F49" w:rsidRPr="007B1F49" w:rsidRDefault="007B1F49" w:rsidP="007B1F49">
            <w:pPr>
              <w:spacing w:before="40" w:after="20"/>
              <w:ind w:left="-57" w:right="57"/>
              <w:jc w:val="right"/>
              <w:rPr>
                <w:rFonts w:ascii="Arial Narrow" w:hAnsi="Arial Narrow" w:cs="Arial"/>
                <w:b/>
                <w:bCs/>
                <w:color w:val="FFFFFF" w:themeColor="background1"/>
                <w:sz w:val="18"/>
                <w:szCs w:val="18"/>
              </w:rPr>
            </w:pPr>
            <w:r w:rsidRPr="007B1F49">
              <w:rPr>
                <w:rFonts w:ascii="Arial Narrow" w:hAnsi="Arial Narrow" w:cs="Arial"/>
                <w:b/>
                <w:bCs/>
                <w:color w:val="FFFFFF" w:themeColor="background1"/>
                <w:sz w:val="18"/>
                <w:szCs w:val="18"/>
              </w:rPr>
              <w:t>-0,1</w:t>
            </w:r>
          </w:p>
        </w:tc>
        <w:tc>
          <w:tcPr>
            <w:tcW w:w="1014" w:type="dxa"/>
            <w:shd w:val="clear" w:color="auto" w:fill="E42618"/>
            <w:vAlign w:val="center"/>
          </w:tcPr>
          <w:p w14:paraId="3717C1EB" w14:textId="0519B0E3" w:rsidR="007B1F49" w:rsidRPr="007B1F49" w:rsidRDefault="007B1F49" w:rsidP="007B1F49">
            <w:pPr>
              <w:spacing w:before="40" w:after="20"/>
              <w:ind w:left="-57" w:right="57"/>
              <w:jc w:val="right"/>
              <w:rPr>
                <w:rFonts w:ascii="Arial Narrow" w:hAnsi="Arial Narrow" w:cs="Arial"/>
                <w:b/>
                <w:bCs/>
                <w:color w:val="FFFFFF" w:themeColor="background1"/>
                <w:sz w:val="18"/>
                <w:szCs w:val="18"/>
              </w:rPr>
            </w:pPr>
            <w:r w:rsidRPr="007B1F49">
              <w:rPr>
                <w:rFonts w:ascii="Arial Narrow" w:hAnsi="Arial Narrow" w:cs="Arial"/>
                <w:b/>
                <w:bCs/>
                <w:color w:val="FFFFFF" w:themeColor="background1"/>
                <w:sz w:val="18"/>
                <w:szCs w:val="18"/>
              </w:rPr>
              <w:t>+1,1</w:t>
            </w:r>
          </w:p>
        </w:tc>
        <w:tc>
          <w:tcPr>
            <w:tcW w:w="1134" w:type="dxa"/>
            <w:gridSpan w:val="2"/>
            <w:shd w:val="clear" w:color="auto" w:fill="E42618"/>
            <w:vAlign w:val="center"/>
          </w:tcPr>
          <w:p w14:paraId="257732B5" w14:textId="349F2101" w:rsidR="007B1F49" w:rsidRPr="007B1F49" w:rsidRDefault="007B1F49" w:rsidP="007B1F49">
            <w:pPr>
              <w:spacing w:before="40" w:after="20"/>
              <w:ind w:left="-57" w:right="57"/>
              <w:jc w:val="right"/>
              <w:rPr>
                <w:rFonts w:ascii="Arial Narrow" w:hAnsi="Arial Narrow" w:cs="Arial"/>
                <w:b/>
                <w:bCs/>
                <w:color w:val="FFFFFF" w:themeColor="background1"/>
                <w:sz w:val="18"/>
                <w:szCs w:val="18"/>
              </w:rPr>
            </w:pPr>
            <w:r w:rsidRPr="007B1F49">
              <w:rPr>
                <w:rFonts w:ascii="Arial Narrow" w:hAnsi="Arial Narrow" w:cs="Arial"/>
                <w:b/>
                <w:bCs/>
                <w:color w:val="FFFFFF" w:themeColor="background1"/>
                <w:sz w:val="18"/>
                <w:szCs w:val="18"/>
              </w:rPr>
              <w:t>+1,2</w:t>
            </w:r>
          </w:p>
        </w:tc>
        <w:tc>
          <w:tcPr>
            <w:tcW w:w="1577" w:type="dxa"/>
            <w:shd w:val="clear" w:color="auto" w:fill="E42618"/>
            <w:vAlign w:val="center"/>
          </w:tcPr>
          <w:p w14:paraId="68E11787" w14:textId="1F5FC6E1" w:rsidR="007B1F49" w:rsidRPr="007B1F49" w:rsidRDefault="007B1F49" w:rsidP="007B1F49">
            <w:pPr>
              <w:spacing w:before="40" w:after="20"/>
              <w:ind w:left="-57" w:right="57"/>
              <w:jc w:val="right"/>
              <w:rPr>
                <w:rFonts w:ascii="Arial Narrow" w:hAnsi="Arial Narrow" w:cs="Arial"/>
                <w:b/>
                <w:bCs/>
                <w:color w:val="FFFFFF" w:themeColor="background1"/>
                <w:sz w:val="18"/>
                <w:szCs w:val="18"/>
              </w:rPr>
            </w:pPr>
          </w:p>
        </w:tc>
        <w:tc>
          <w:tcPr>
            <w:tcW w:w="1055" w:type="dxa"/>
            <w:shd w:val="clear" w:color="auto" w:fill="E42618"/>
            <w:tcMar>
              <w:right w:w="57" w:type="dxa"/>
            </w:tcMar>
            <w:vAlign w:val="center"/>
          </w:tcPr>
          <w:p w14:paraId="1E5084B7" w14:textId="4857E2D9" w:rsidR="007B1F49" w:rsidRPr="007B1F49" w:rsidRDefault="007B1F49" w:rsidP="007B1F49">
            <w:pPr>
              <w:spacing w:before="40" w:after="20"/>
              <w:ind w:left="-57" w:right="57"/>
              <w:jc w:val="right"/>
              <w:rPr>
                <w:rFonts w:ascii="Arial Narrow" w:hAnsi="Arial Narrow" w:cs="Arial"/>
                <w:b/>
                <w:bCs/>
                <w:color w:val="FFFFFF" w:themeColor="background1"/>
                <w:sz w:val="18"/>
                <w:szCs w:val="18"/>
              </w:rPr>
            </w:pPr>
            <w:r w:rsidRPr="007B1F49">
              <w:rPr>
                <w:rFonts w:ascii="Arial Narrow" w:hAnsi="Arial Narrow" w:cs="Arial"/>
                <w:b/>
                <w:bCs/>
                <w:color w:val="FFFFFF" w:themeColor="background1"/>
                <w:sz w:val="18"/>
                <w:szCs w:val="18"/>
              </w:rPr>
              <w:t>+1,5</w:t>
            </w:r>
          </w:p>
        </w:tc>
      </w:tr>
    </w:tbl>
    <w:p w14:paraId="29AB3CED" w14:textId="77777777" w:rsidR="00E00390" w:rsidRPr="00450FE9" w:rsidRDefault="0047143B" w:rsidP="00450FE9">
      <w:pPr>
        <w:spacing w:before="0" w:after="80"/>
        <w:jc w:val="both"/>
        <w:rPr>
          <w:rFonts w:ascii="Arial" w:hAnsi="Arial"/>
          <w:kern w:val="0"/>
          <w:sz w:val="21"/>
          <w:szCs w:val="21"/>
        </w:rPr>
      </w:pPr>
      <w:r w:rsidRPr="00450FE9">
        <w:rPr>
          <w:rFonts w:ascii="Arial" w:hAnsi="Arial"/>
          <w:color w:val="000000"/>
          <w:kern w:val="0"/>
          <w:sz w:val="21"/>
          <w:szCs w:val="21"/>
        </w:rPr>
        <w:br w:type="page"/>
      </w:r>
    </w:p>
    <w:p w14:paraId="294D1363" w14:textId="77777777" w:rsidR="00C7029E" w:rsidRPr="00450FE9" w:rsidRDefault="00C7029E" w:rsidP="00450FE9">
      <w:pPr>
        <w:spacing w:before="0" w:after="80"/>
        <w:jc w:val="both"/>
        <w:rPr>
          <w:rFonts w:ascii="Arial" w:hAnsi="Arial"/>
          <w:color w:val="000000"/>
          <w:kern w:val="0"/>
          <w:sz w:val="21"/>
          <w:szCs w:val="21"/>
        </w:rPr>
      </w:pPr>
    </w:p>
    <w:p w14:paraId="0CED74CA" w14:textId="77777777" w:rsidR="00A64388" w:rsidRPr="00C8504B" w:rsidRDefault="00A64388" w:rsidP="00BD0487">
      <w:pPr>
        <w:pStyle w:val="001TitoloBolocco"/>
        <w:spacing w:after="120" w:line="240" w:lineRule="auto"/>
        <w:rPr>
          <w:szCs w:val="26"/>
        </w:rPr>
      </w:pPr>
      <w:r w:rsidRPr="00C8504B">
        <w:rPr>
          <w:szCs w:val="26"/>
        </w:rPr>
        <w:t>I dati del territorio</w:t>
      </w:r>
    </w:p>
    <w:p w14:paraId="0CA6293A" w14:textId="0E19D132" w:rsidR="006E171A" w:rsidRPr="00183A2A" w:rsidRDefault="00923E45" w:rsidP="006E171A">
      <w:pPr>
        <w:tabs>
          <w:tab w:val="left" w:pos="2940"/>
        </w:tabs>
        <w:spacing w:before="0" w:after="120"/>
        <w:jc w:val="both"/>
        <w:rPr>
          <w:rFonts w:ascii="Arial" w:hAnsi="Arial" w:cs="Arial"/>
          <w:iCs/>
          <w:sz w:val="21"/>
          <w:szCs w:val="21"/>
        </w:rPr>
      </w:pPr>
      <w:r w:rsidRPr="00183A2A">
        <w:rPr>
          <w:rFonts w:ascii="Arial" w:hAnsi="Arial" w:cs="Arial"/>
          <w:iCs/>
          <w:sz w:val="21"/>
          <w:szCs w:val="21"/>
        </w:rPr>
        <w:t xml:space="preserve">Con riferimento alle cinque ripartizioni </w:t>
      </w:r>
      <w:r w:rsidR="0067412F">
        <w:rPr>
          <w:rFonts w:ascii="Arial" w:hAnsi="Arial" w:cs="Arial"/>
          <w:iCs/>
          <w:sz w:val="21"/>
          <w:szCs w:val="21"/>
        </w:rPr>
        <w:t>geografiche</w:t>
      </w:r>
      <w:r w:rsidRPr="00183A2A">
        <w:rPr>
          <w:rFonts w:ascii="Arial" w:hAnsi="Arial" w:cs="Arial"/>
          <w:iCs/>
          <w:sz w:val="21"/>
          <w:szCs w:val="21"/>
        </w:rPr>
        <w:t xml:space="preserve"> (Figura 5), a</w:t>
      </w:r>
      <w:r w:rsidR="00693981">
        <w:rPr>
          <w:rFonts w:ascii="Arial" w:hAnsi="Arial" w:cs="Arial"/>
          <w:iCs/>
          <w:sz w:val="21"/>
          <w:szCs w:val="21"/>
        </w:rPr>
        <w:t xml:space="preserve"> </w:t>
      </w:r>
      <w:r w:rsidR="00770EF9">
        <w:rPr>
          <w:rFonts w:ascii="Arial" w:hAnsi="Arial" w:cs="Arial"/>
          <w:iCs/>
          <w:sz w:val="21"/>
          <w:szCs w:val="21"/>
        </w:rPr>
        <w:t>novembre</w:t>
      </w:r>
      <w:r w:rsidR="00693981">
        <w:rPr>
          <w:rFonts w:ascii="Arial" w:hAnsi="Arial" w:cs="Arial"/>
          <w:iCs/>
          <w:sz w:val="21"/>
          <w:szCs w:val="21"/>
        </w:rPr>
        <w:t xml:space="preserve"> </w:t>
      </w:r>
      <w:r w:rsidR="0067412F">
        <w:rPr>
          <w:rFonts w:ascii="Arial" w:hAnsi="Arial" w:cs="Arial"/>
          <w:iCs/>
          <w:sz w:val="21"/>
          <w:szCs w:val="21"/>
        </w:rPr>
        <w:t>2025</w:t>
      </w:r>
      <w:r w:rsidR="006E171A">
        <w:rPr>
          <w:rFonts w:ascii="Arial" w:hAnsi="Arial" w:cs="Arial"/>
          <w:iCs/>
          <w:sz w:val="21"/>
          <w:szCs w:val="21"/>
        </w:rPr>
        <w:t xml:space="preserve"> </w:t>
      </w:r>
      <w:r w:rsidR="00DB3ADB">
        <w:rPr>
          <w:rFonts w:ascii="Arial" w:hAnsi="Arial" w:cs="Arial"/>
          <w:iCs/>
          <w:sz w:val="21"/>
          <w:szCs w:val="21"/>
        </w:rPr>
        <w:t xml:space="preserve">la crescita </w:t>
      </w:r>
      <w:r w:rsidR="00517E10">
        <w:rPr>
          <w:rFonts w:ascii="Arial" w:hAnsi="Arial" w:cs="Arial"/>
          <w:iCs/>
          <w:sz w:val="21"/>
          <w:szCs w:val="21"/>
        </w:rPr>
        <w:t xml:space="preserve">tendenziale dei prezzi al consumo </w:t>
      </w:r>
      <w:r w:rsidR="003379C6">
        <w:rPr>
          <w:rFonts w:ascii="Arial" w:hAnsi="Arial" w:cs="Arial"/>
          <w:iCs/>
          <w:sz w:val="21"/>
          <w:szCs w:val="21"/>
        </w:rPr>
        <w:t xml:space="preserve">è più alta rispetto al dato nazionale </w:t>
      </w:r>
      <w:r w:rsidR="003F6BF7">
        <w:rPr>
          <w:rFonts w:ascii="Arial" w:hAnsi="Arial" w:cs="Arial"/>
          <w:iCs/>
          <w:sz w:val="21"/>
          <w:szCs w:val="21"/>
        </w:rPr>
        <w:t>nel Sud (</w:t>
      </w:r>
      <w:r w:rsidR="00281C52">
        <w:rPr>
          <w:rFonts w:ascii="Arial" w:hAnsi="Arial" w:cs="Arial"/>
          <w:iCs/>
          <w:sz w:val="21"/>
          <w:szCs w:val="21"/>
        </w:rPr>
        <w:t>+1,</w:t>
      </w:r>
      <w:r w:rsidR="00CE7A48">
        <w:rPr>
          <w:rFonts w:ascii="Arial" w:hAnsi="Arial" w:cs="Arial"/>
          <w:iCs/>
          <w:sz w:val="21"/>
          <w:szCs w:val="21"/>
        </w:rPr>
        <w:t>4</w:t>
      </w:r>
      <w:r w:rsidR="00281C52">
        <w:rPr>
          <w:rFonts w:ascii="Arial" w:hAnsi="Arial" w:cs="Arial"/>
          <w:iCs/>
          <w:sz w:val="21"/>
          <w:szCs w:val="21"/>
        </w:rPr>
        <w:t xml:space="preserve">%, </w:t>
      </w:r>
      <w:r w:rsidR="001F6C38">
        <w:rPr>
          <w:rFonts w:ascii="Arial" w:hAnsi="Arial" w:cs="Arial"/>
          <w:iCs/>
          <w:sz w:val="21"/>
          <w:szCs w:val="21"/>
        </w:rPr>
        <w:t xml:space="preserve">da </w:t>
      </w:r>
      <w:r w:rsidR="003F6BF7">
        <w:rPr>
          <w:rFonts w:ascii="Arial" w:hAnsi="Arial" w:cs="Arial"/>
          <w:iCs/>
          <w:sz w:val="21"/>
          <w:szCs w:val="21"/>
        </w:rPr>
        <w:t>+</w:t>
      </w:r>
      <w:r w:rsidR="002C7C0D">
        <w:rPr>
          <w:rFonts w:ascii="Arial" w:hAnsi="Arial" w:cs="Arial"/>
          <w:iCs/>
          <w:sz w:val="21"/>
          <w:szCs w:val="21"/>
        </w:rPr>
        <w:t>1,</w:t>
      </w:r>
      <w:r w:rsidR="00770EF9">
        <w:rPr>
          <w:rFonts w:ascii="Arial" w:hAnsi="Arial" w:cs="Arial"/>
          <w:iCs/>
          <w:sz w:val="21"/>
          <w:szCs w:val="21"/>
        </w:rPr>
        <w:t>6</w:t>
      </w:r>
      <w:r w:rsidR="001F6C38">
        <w:rPr>
          <w:rFonts w:ascii="Arial" w:hAnsi="Arial" w:cs="Arial"/>
          <w:iCs/>
          <w:sz w:val="21"/>
          <w:szCs w:val="21"/>
        </w:rPr>
        <w:t xml:space="preserve">% di </w:t>
      </w:r>
      <w:r w:rsidR="00770EF9">
        <w:rPr>
          <w:rFonts w:ascii="Arial" w:hAnsi="Arial" w:cs="Arial"/>
          <w:iCs/>
          <w:sz w:val="21"/>
          <w:szCs w:val="21"/>
        </w:rPr>
        <w:t>ottobre</w:t>
      </w:r>
      <w:r w:rsidR="00281C52">
        <w:rPr>
          <w:rFonts w:ascii="Arial" w:hAnsi="Arial" w:cs="Arial"/>
          <w:iCs/>
          <w:sz w:val="21"/>
          <w:szCs w:val="21"/>
        </w:rPr>
        <w:t>)</w:t>
      </w:r>
      <w:r w:rsidR="003379C6">
        <w:rPr>
          <w:rFonts w:ascii="Arial" w:hAnsi="Arial" w:cs="Arial"/>
          <w:iCs/>
          <w:sz w:val="21"/>
          <w:szCs w:val="21"/>
        </w:rPr>
        <w:t xml:space="preserve">, </w:t>
      </w:r>
      <w:r w:rsidR="00DB3ADB">
        <w:rPr>
          <w:rFonts w:ascii="Arial" w:hAnsi="Arial" w:cs="Arial"/>
          <w:iCs/>
          <w:sz w:val="21"/>
          <w:szCs w:val="21"/>
        </w:rPr>
        <w:t xml:space="preserve">nel </w:t>
      </w:r>
      <w:r w:rsidR="00DB3ADB" w:rsidRPr="00AF7508">
        <w:rPr>
          <w:rFonts w:ascii="Arial" w:hAnsi="Arial" w:cs="Arial"/>
          <w:iCs/>
          <w:sz w:val="21"/>
          <w:szCs w:val="21"/>
        </w:rPr>
        <w:t>Nord-Est</w:t>
      </w:r>
      <w:r w:rsidR="00DB3ADB">
        <w:rPr>
          <w:rFonts w:ascii="Arial" w:hAnsi="Arial" w:cs="Arial"/>
          <w:iCs/>
          <w:sz w:val="21"/>
          <w:szCs w:val="21"/>
        </w:rPr>
        <w:t xml:space="preserve"> e </w:t>
      </w:r>
      <w:r w:rsidR="001F6C38">
        <w:rPr>
          <w:rFonts w:ascii="Arial" w:hAnsi="Arial" w:cs="Arial"/>
          <w:iCs/>
          <w:sz w:val="21"/>
          <w:szCs w:val="21"/>
        </w:rPr>
        <w:t>nel Centro</w:t>
      </w:r>
      <w:r w:rsidR="00770EF9">
        <w:rPr>
          <w:rFonts w:ascii="Arial" w:hAnsi="Arial" w:cs="Arial"/>
          <w:iCs/>
          <w:sz w:val="21"/>
          <w:szCs w:val="21"/>
        </w:rPr>
        <w:t>, entrambe a +1,2% (rispettivamente da +1,4% e da +</w:t>
      </w:r>
      <w:r w:rsidR="001F6C38">
        <w:rPr>
          <w:rFonts w:ascii="Arial" w:hAnsi="Arial" w:cs="Arial"/>
          <w:iCs/>
          <w:sz w:val="21"/>
          <w:szCs w:val="21"/>
        </w:rPr>
        <w:t>1,</w:t>
      </w:r>
      <w:r w:rsidR="00770EF9">
        <w:rPr>
          <w:rFonts w:ascii="Arial" w:hAnsi="Arial" w:cs="Arial"/>
          <w:iCs/>
          <w:sz w:val="21"/>
          <w:szCs w:val="21"/>
        </w:rPr>
        <w:t>3</w:t>
      </w:r>
      <w:r w:rsidR="001F6C38">
        <w:rPr>
          <w:rFonts w:ascii="Arial" w:hAnsi="Arial" w:cs="Arial"/>
          <w:iCs/>
          <w:sz w:val="21"/>
          <w:szCs w:val="21"/>
        </w:rPr>
        <w:t>%)</w:t>
      </w:r>
      <w:r w:rsidR="003379C6">
        <w:rPr>
          <w:rFonts w:ascii="Arial" w:hAnsi="Arial" w:cs="Arial"/>
          <w:iCs/>
          <w:sz w:val="21"/>
          <w:szCs w:val="21"/>
        </w:rPr>
        <w:t>. R</w:t>
      </w:r>
      <w:r w:rsidR="00E633F1">
        <w:rPr>
          <w:rFonts w:ascii="Arial" w:hAnsi="Arial" w:cs="Arial"/>
          <w:iCs/>
          <w:sz w:val="21"/>
          <w:szCs w:val="21"/>
        </w:rPr>
        <w:t>isulta</w:t>
      </w:r>
      <w:r w:rsidR="003379C6">
        <w:rPr>
          <w:rFonts w:ascii="Arial" w:hAnsi="Arial" w:cs="Arial"/>
          <w:iCs/>
          <w:sz w:val="21"/>
          <w:szCs w:val="21"/>
        </w:rPr>
        <w:t>, invece,</w:t>
      </w:r>
      <w:r w:rsidR="00E633F1">
        <w:rPr>
          <w:rFonts w:ascii="Arial" w:hAnsi="Arial" w:cs="Arial"/>
          <w:iCs/>
          <w:sz w:val="21"/>
          <w:szCs w:val="21"/>
        </w:rPr>
        <w:t xml:space="preserve"> inferiore</w:t>
      </w:r>
      <w:r w:rsidR="00BF14A4">
        <w:rPr>
          <w:rFonts w:ascii="Arial" w:hAnsi="Arial" w:cs="Arial"/>
          <w:iCs/>
          <w:sz w:val="21"/>
          <w:szCs w:val="21"/>
        </w:rPr>
        <w:t xml:space="preserve"> </w:t>
      </w:r>
      <w:r w:rsidR="00770EF9">
        <w:rPr>
          <w:rFonts w:ascii="Arial" w:hAnsi="Arial" w:cs="Arial"/>
          <w:iCs/>
          <w:sz w:val="21"/>
          <w:szCs w:val="21"/>
        </w:rPr>
        <w:t>nelle Isole (+</w:t>
      </w:r>
      <w:r w:rsidR="00CE7A48">
        <w:rPr>
          <w:rFonts w:ascii="Arial" w:hAnsi="Arial" w:cs="Arial"/>
          <w:iCs/>
          <w:sz w:val="21"/>
          <w:szCs w:val="21"/>
        </w:rPr>
        <w:t>0,9</w:t>
      </w:r>
      <w:r w:rsidR="00770EF9">
        <w:rPr>
          <w:rFonts w:ascii="Arial" w:hAnsi="Arial" w:cs="Arial"/>
          <w:iCs/>
          <w:sz w:val="21"/>
          <w:szCs w:val="21"/>
        </w:rPr>
        <w:t xml:space="preserve">%, da +0,8%) e </w:t>
      </w:r>
      <w:r w:rsidR="002C7C0D">
        <w:rPr>
          <w:rFonts w:ascii="Arial" w:hAnsi="Arial" w:cs="Arial"/>
          <w:iCs/>
          <w:sz w:val="21"/>
          <w:szCs w:val="21"/>
        </w:rPr>
        <w:t>nel Nord-Ovest (</w:t>
      </w:r>
      <w:r w:rsidR="00281C52">
        <w:rPr>
          <w:rFonts w:ascii="Arial" w:hAnsi="Arial" w:cs="Arial"/>
          <w:iCs/>
          <w:sz w:val="21"/>
          <w:szCs w:val="21"/>
        </w:rPr>
        <w:t>+</w:t>
      </w:r>
      <w:r w:rsidR="00770EF9">
        <w:rPr>
          <w:rFonts w:ascii="Arial" w:hAnsi="Arial" w:cs="Arial"/>
          <w:iCs/>
          <w:sz w:val="21"/>
          <w:szCs w:val="21"/>
        </w:rPr>
        <w:t>0,8</w:t>
      </w:r>
      <w:r w:rsidR="00281C52">
        <w:rPr>
          <w:rFonts w:ascii="Arial" w:hAnsi="Arial" w:cs="Arial"/>
          <w:iCs/>
          <w:sz w:val="21"/>
          <w:szCs w:val="21"/>
        </w:rPr>
        <w:t xml:space="preserve">%, </w:t>
      </w:r>
      <w:r w:rsidR="002C7C0D">
        <w:rPr>
          <w:rFonts w:ascii="Arial" w:hAnsi="Arial" w:cs="Arial"/>
          <w:iCs/>
          <w:sz w:val="21"/>
          <w:szCs w:val="21"/>
        </w:rPr>
        <w:t>da +1,</w:t>
      </w:r>
      <w:r w:rsidR="00770EF9">
        <w:rPr>
          <w:rFonts w:ascii="Arial" w:hAnsi="Arial" w:cs="Arial"/>
          <w:iCs/>
          <w:sz w:val="21"/>
          <w:szCs w:val="21"/>
        </w:rPr>
        <w:t>1</w:t>
      </w:r>
      <w:r w:rsidR="002C7C0D">
        <w:rPr>
          <w:rFonts w:ascii="Arial" w:hAnsi="Arial" w:cs="Arial"/>
          <w:iCs/>
          <w:sz w:val="21"/>
          <w:szCs w:val="21"/>
        </w:rPr>
        <w:t>%)</w:t>
      </w:r>
      <w:r w:rsidR="005E0E5F">
        <w:rPr>
          <w:rFonts w:ascii="Arial" w:hAnsi="Arial" w:cs="Arial"/>
          <w:iCs/>
          <w:sz w:val="21"/>
          <w:szCs w:val="21"/>
        </w:rPr>
        <w:t>.</w:t>
      </w:r>
    </w:p>
    <w:p w14:paraId="5D884041" w14:textId="24FD8210" w:rsidR="006E171A" w:rsidRPr="00A70B4B" w:rsidRDefault="0017472E" w:rsidP="006E171A">
      <w:pPr>
        <w:tabs>
          <w:tab w:val="left" w:pos="2940"/>
        </w:tabs>
        <w:spacing w:before="0" w:after="120"/>
        <w:jc w:val="both"/>
        <w:rPr>
          <w:rFonts w:ascii="Arial" w:hAnsi="Arial" w:cs="Arial"/>
          <w:iCs/>
          <w:sz w:val="21"/>
          <w:szCs w:val="21"/>
        </w:rPr>
      </w:pPr>
      <w:r>
        <w:rPr>
          <w:rFonts w:ascii="Arial" w:hAnsi="Arial" w:cs="Arial"/>
          <w:iCs/>
          <w:sz w:val="21"/>
          <w:szCs w:val="21"/>
        </w:rPr>
        <w:t xml:space="preserve">Tra </w:t>
      </w:r>
      <w:r w:rsidR="006E171A" w:rsidRPr="00183A2A">
        <w:rPr>
          <w:rFonts w:ascii="Arial" w:hAnsi="Arial" w:cs="Arial"/>
          <w:iCs/>
          <w:sz w:val="21"/>
          <w:szCs w:val="21"/>
        </w:rPr>
        <w:t>i capoluoghi</w:t>
      </w:r>
      <w:r w:rsidR="004C4AA7">
        <w:rPr>
          <w:rFonts w:ascii="Arial" w:hAnsi="Arial" w:cs="Arial"/>
          <w:iCs/>
          <w:sz w:val="21"/>
          <w:szCs w:val="21"/>
        </w:rPr>
        <w:t>,</w:t>
      </w:r>
      <w:r w:rsidR="006E171A" w:rsidRPr="00183A2A">
        <w:rPr>
          <w:rFonts w:ascii="Arial" w:hAnsi="Arial" w:cs="Arial"/>
          <w:iCs/>
          <w:sz w:val="21"/>
          <w:szCs w:val="21"/>
        </w:rPr>
        <w:t xml:space="preserve"> delle regioni e delle province autonome</w:t>
      </w:r>
      <w:r w:rsidR="004C4AA7">
        <w:rPr>
          <w:rFonts w:ascii="Arial" w:hAnsi="Arial" w:cs="Arial"/>
          <w:iCs/>
          <w:sz w:val="21"/>
          <w:szCs w:val="21"/>
        </w:rPr>
        <w:t>,</w:t>
      </w:r>
      <w:r w:rsidR="006E171A" w:rsidRPr="00183A2A">
        <w:rPr>
          <w:rFonts w:ascii="Arial" w:hAnsi="Arial" w:cs="Arial"/>
          <w:iCs/>
          <w:sz w:val="21"/>
          <w:szCs w:val="21"/>
        </w:rPr>
        <w:t xml:space="preserve"> e i comuni non capoluoghi di regione con più di 150mila abitanti (Figura 6)</w:t>
      </w:r>
      <w:r w:rsidR="0067412F">
        <w:rPr>
          <w:rFonts w:ascii="Arial" w:hAnsi="Arial" w:cs="Arial"/>
          <w:iCs/>
          <w:sz w:val="21"/>
          <w:szCs w:val="21"/>
        </w:rPr>
        <w:t>,</w:t>
      </w:r>
      <w:r w:rsidR="006E171A" w:rsidRPr="00183A2A">
        <w:rPr>
          <w:rFonts w:ascii="Arial" w:hAnsi="Arial" w:cs="Arial"/>
          <w:iCs/>
          <w:sz w:val="21"/>
          <w:szCs w:val="21"/>
        </w:rPr>
        <w:t xml:space="preserve"> l’inflazione </w:t>
      </w:r>
      <w:r w:rsidR="00AA10C1">
        <w:rPr>
          <w:rFonts w:ascii="Arial" w:hAnsi="Arial" w:cs="Arial"/>
          <w:iCs/>
          <w:sz w:val="21"/>
          <w:szCs w:val="21"/>
        </w:rPr>
        <w:t xml:space="preserve">è </w:t>
      </w:r>
      <w:r w:rsidR="006E171A" w:rsidRPr="00183A2A">
        <w:rPr>
          <w:rFonts w:ascii="Arial" w:hAnsi="Arial" w:cs="Arial"/>
          <w:iCs/>
          <w:sz w:val="21"/>
          <w:szCs w:val="21"/>
        </w:rPr>
        <w:t xml:space="preserve">più elevata a </w:t>
      </w:r>
      <w:r w:rsidR="00770EF9">
        <w:rPr>
          <w:rFonts w:ascii="Arial" w:hAnsi="Arial" w:cs="Arial"/>
          <w:iCs/>
          <w:sz w:val="21"/>
          <w:szCs w:val="21"/>
        </w:rPr>
        <w:t xml:space="preserve">Bolzano </w:t>
      </w:r>
      <w:r w:rsidR="00927B2A">
        <w:rPr>
          <w:rFonts w:ascii="Arial" w:hAnsi="Arial" w:cs="Arial"/>
          <w:iCs/>
          <w:sz w:val="21"/>
          <w:szCs w:val="21"/>
        </w:rPr>
        <w:t>(+2,</w:t>
      </w:r>
      <w:r w:rsidR="004604CA">
        <w:rPr>
          <w:rFonts w:ascii="Arial" w:hAnsi="Arial" w:cs="Arial"/>
          <w:iCs/>
          <w:sz w:val="21"/>
          <w:szCs w:val="21"/>
        </w:rPr>
        <w:t>0</w:t>
      </w:r>
      <w:r w:rsidR="00927B2A">
        <w:rPr>
          <w:rFonts w:ascii="Arial" w:hAnsi="Arial" w:cs="Arial"/>
          <w:iCs/>
          <w:sz w:val="21"/>
          <w:szCs w:val="21"/>
        </w:rPr>
        <w:t>%)</w:t>
      </w:r>
      <w:r w:rsidR="00770EF9">
        <w:rPr>
          <w:rFonts w:ascii="Arial" w:hAnsi="Arial" w:cs="Arial"/>
          <w:iCs/>
          <w:sz w:val="21"/>
          <w:szCs w:val="21"/>
        </w:rPr>
        <w:t xml:space="preserve"> e</w:t>
      </w:r>
      <w:r w:rsidR="000A471A">
        <w:rPr>
          <w:rFonts w:ascii="Arial" w:hAnsi="Arial" w:cs="Arial"/>
          <w:iCs/>
          <w:sz w:val="21"/>
          <w:szCs w:val="21"/>
        </w:rPr>
        <w:t xml:space="preserve"> a </w:t>
      </w:r>
      <w:r w:rsidR="00770EF9">
        <w:rPr>
          <w:rFonts w:ascii="Arial" w:hAnsi="Arial" w:cs="Arial"/>
          <w:iCs/>
          <w:sz w:val="21"/>
          <w:szCs w:val="21"/>
        </w:rPr>
        <w:t>Napoli</w:t>
      </w:r>
      <w:r w:rsidR="004604CA">
        <w:rPr>
          <w:rFonts w:ascii="Arial" w:hAnsi="Arial" w:cs="Arial"/>
          <w:iCs/>
          <w:sz w:val="21"/>
          <w:szCs w:val="21"/>
        </w:rPr>
        <w:t xml:space="preserve"> </w:t>
      </w:r>
      <w:r w:rsidR="00927B2A">
        <w:rPr>
          <w:rFonts w:ascii="Arial" w:hAnsi="Arial" w:cs="Arial"/>
          <w:iCs/>
          <w:sz w:val="21"/>
          <w:szCs w:val="21"/>
        </w:rPr>
        <w:t>(+</w:t>
      </w:r>
      <w:r w:rsidR="004604CA">
        <w:rPr>
          <w:rFonts w:ascii="Arial" w:hAnsi="Arial" w:cs="Arial"/>
          <w:iCs/>
          <w:sz w:val="21"/>
          <w:szCs w:val="21"/>
        </w:rPr>
        <w:t>1,9</w:t>
      </w:r>
      <w:r w:rsidR="00927B2A">
        <w:rPr>
          <w:rFonts w:ascii="Arial" w:hAnsi="Arial" w:cs="Arial"/>
          <w:iCs/>
          <w:sz w:val="21"/>
          <w:szCs w:val="21"/>
        </w:rPr>
        <w:t>%)</w:t>
      </w:r>
      <w:r w:rsidR="00C36402">
        <w:rPr>
          <w:rFonts w:ascii="Arial" w:hAnsi="Arial" w:cs="Arial"/>
          <w:iCs/>
          <w:sz w:val="21"/>
          <w:szCs w:val="21"/>
        </w:rPr>
        <w:t>;</w:t>
      </w:r>
      <w:r w:rsidR="00766FB6">
        <w:rPr>
          <w:rFonts w:ascii="Arial" w:hAnsi="Arial" w:cs="Arial"/>
          <w:iCs/>
          <w:sz w:val="21"/>
          <w:szCs w:val="21"/>
        </w:rPr>
        <w:t xml:space="preserve"> </w:t>
      </w:r>
      <w:r w:rsidR="00AA10C1">
        <w:rPr>
          <w:rFonts w:ascii="Arial" w:hAnsi="Arial" w:cs="Arial"/>
          <w:iCs/>
          <w:sz w:val="21"/>
          <w:szCs w:val="21"/>
        </w:rPr>
        <w:t xml:space="preserve">Il tasso di </w:t>
      </w:r>
      <w:r w:rsidR="00607CA7">
        <w:rPr>
          <w:rFonts w:ascii="Arial" w:hAnsi="Arial" w:cs="Arial"/>
          <w:iCs/>
          <w:sz w:val="21"/>
          <w:szCs w:val="21"/>
        </w:rPr>
        <w:t xml:space="preserve">crescita dei prezzi risulta </w:t>
      </w:r>
      <w:r w:rsidR="002747BB">
        <w:rPr>
          <w:rFonts w:ascii="Arial" w:hAnsi="Arial" w:cs="Arial"/>
          <w:iCs/>
          <w:sz w:val="21"/>
          <w:szCs w:val="21"/>
        </w:rPr>
        <w:t>più contenut</w:t>
      </w:r>
      <w:r w:rsidR="00AA10C1">
        <w:rPr>
          <w:rFonts w:ascii="Arial" w:hAnsi="Arial" w:cs="Arial"/>
          <w:iCs/>
          <w:sz w:val="21"/>
          <w:szCs w:val="21"/>
        </w:rPr>
        <w:t>o</w:t>
      </w:r>
      <w:r w:rsidR="002747BB">
        <w:rPr>
          <w:rFonts w:ascii="Arial" w:hAnsi="Arial" w:cs="Arial"/>
          <w:iCs/>
          <w:sz w:val="21"/>
          <w:szCs w:val="21"/>
        </w:rPr>
        <w:t xml:space="preserve"> </w:t>
      </w:r>
      <w:r w:rsidR="00F22AD5">
        <w:rPr>
          <w:rFonts w:ascii="Arial" w:hAnsi="Arial" w:cs="Arial"/>
          <w:iCs/>
          <w:sz w:val="21"/>
          <w:szCs w:val="21"/>
        </w:rPr>
        <w:t>a</w:t>
      </w:r>
      <w:r w:rsidR="004C11C0">
        <w:rPr>
          <w:rFonts w:ascii="Arial" w:hAnsi="Arial" w:cs="Arial"/>
          <w:iCs/>
          <w:sz w:val="21"/>
          <w:szCs w:val="21"/>
        </w:rPr>
        <w:t xml:space="preserve"> </w:t>
      </w:r>
      <w:r w:rsidR="009C1CBC">
        <w:rPr>
          <w:rFonts w:ascii="Arial" w:hAnsi="Arial" w:cs="Arial"/>
          <w:iCs/>
          <w:sz w:val="21"/>
          <w:szCs w:val="21"/>
        </w:rPr>
        <w:t xml:space="preserve">Potenza, Aosta, </w:t>
      </w:r>
      <w:r w:rsidR="00770EF9">
        <w:rPr>
          <w:rFonts w:ascii="Arial" w:hAnsi="Arial" w:cs="Arial"/>
          <w:iCs/>
          <w:sz w:val="21"/>
          <w:szCs w:val="21"/>
        </w:rPr>
        <w:t>Ravenna, Genova</w:t>
      </w:r>
      <w:r w:rsidR="009C1CBC">
        <w:rPr>
          <w:rFonts w:ascii="Arial" w:hAnsi="Arial" w:cs="Arial"/>
          <w:iCs/>
          <w:sz w:val="21"/>
          <w:szCs w:val="21"/>
        </w:rPr>
        <w:t xml:space="preserve"> </w:t>
      </w:r>
      <w:r w:rsidR="00770EF9">
        <w:rPr>
          <w:rFonts w:ascii="Arial" w:hAnsi="Arial" w:cs="Arial"/>
          <w:iCs/>
          <w:sz w:val="21"/>
          <w:szCs w:val="21"/>
        </w:rPr>
        <w:t xml:space="preserve">e Ancona (tutte a +0,6%) ed è </w:t>
      </w:r>
      <w:r w:rsidR="009C1CBC">
        <w:rPr>
          <w:rFonts w:ascii="Arial" w:hAnsi="Arial" w:cs="Arial"/>
          <w:iCs/>
          <w:sz w:val="21"/>
          <w:szCs w:val="21"/>
        </w:rPr>
        <w:t>nullo</w:t>
      </w:r>
      <w:r w:rsidR="00770EF9">
        <w:rPr>
          <w:rFonts w:ascii="Arial" w:hAnsi="Arial" w:cs="Arial"/>
          <w:iCs/>
          <w:sz w:val="21"/>
          <w:szCs w:val="21"/>
        </w:rPr>
        <w:t xml:space="preserve"> a </w:t>
      </w:r>
      <w:r w:rsidR="00BD4C15">
        <w:rPr>
          <w:rFonts w:ascii="Arial" w:hAnsi="Arial" w:cs="Arial"/>
          <w:iCs/>
          <w:sz w:val="21"/>
          <w:szCs w:val="21"/>
        </w:rPr>
        <w:t>Campobasso</w:t>
      </w:r>
      <w:r w:rsidR="00927B2A">
        <w:rPr>
          <w:rFonts w:ascii="Arial" w:hAnsi="Arial" w:cs="Arial"/>
          <w:iCs/>
          <w:sz w:val="21"/>
          <w:szCs w:val="21"/>
        </w:rPr>
        <w:t xml:space="preserve"> (0,</w:t>
      </w:r>
      <w:r w:rsidR="009C1CBC">
        <w:rPr>
          <w:rFonts w:ascii="Arial" w:hAnsi="Arial" w:cs="Arial"/>
          <w:iCs/>
          <w:sz w:val="21"/>
          <w:szCs w:val="21"/>
        </w:rPr>
        <w:t>0</w:t>
      </w:r>
      <w:r w:rsidR="00927B2A">
        <w:rPr>
          <w:rFonts w:ascii="Arial" w:hAnsi="Arial" w:cs="Arial"/>
          <w:iCs/>
          <w:sz w:val="21"/>
          <w:szCs w:val="21"/>
        </w:rPr>
        <w:t>%)</w:t>
      </w:r>
      <w:r w:rsidR="00F22AD5">
        <w:rPr>
          <w:rFonts w:ascii="Arial" w:hAnsi="Arial" w:cs="Arial"/>
          <w:iCs/>
          <w:sz w:val="21"/>
          <w:szCs w:val="21"/>
        </w:rPr>
        <w:t>.</w:t>
      </w:r>
    </w:p>
    <w:p w14:paraId="4F15E191" w14:textId="77777777" w:rsidR="002C59AC" w:rsidRDefault="002C59AC" w:rsidP="006E171A">
      <w:pPr>
        <w:tabs>
          <w:tab w:val="left" w:pos="2940"/>
        </w:tabs>
        <w:spacing w:before="0" w:after="120"/>
        <w:jc w:val="both"/>
        <w:rPr>
          <w:rFonts w:ascii="Arial" w:hAnsi="Arial" w:cs="Arial"/>
          <w:iCs/>
          <w:sz w:val="21"/>
          <w:szCs w:val="21"/>
        </w:rPr>
      </w:pPr>
    </w:p>
    <w:p w14:paraId="157B5D5B" w14:textId="706FF87D" w:rsidR="00B1023A" w:rsidRDefault="00F53362" w:rsidP="009F6A3F">
      <w:pPr>
        <w:pStyle w:val="Titolo1"/>
        <w:rPr>
          <w:rFonts w:ascii="Arial Narrow" w:hAnsi="Arial Narrow" w:cs="Arial"/>
          <w:b w:val="0"/>
          <w:color w:val="5F5F5F"/>
          <w:kern w:val="28"/>
          <w:sz w:val="20"/>
        </w:rPr>
      </w:pPr>
      <w:r w:rsidRPr="00CC2304">
        <w:rPr>
          <w:rFonts w:ascii="Arial Narrow" w:hAnsi="Arial Narrow" w:cs="Arial"/>
          <w:color w:val="E42618"/>
          <w:kern w:val="0"/>
          <w:sz w:val="22"/>
          <w:szCs w:val="22"/>
        </w:rPr>
        <w:t>FIGURA 5</w:t>
      </w:r>
      <w:r w:rsidR="009F6A3F" w:rsidRPr="00CC2304">
        <w:rPr>
          <w:rFonts w:ascii="Arial Narrow" w:hAnsi="Arial Narrow" w:cs="Arial"/>
          <w:color w:val="E42618"/>
          <w:kern w:val="0"/>
          <w:sz w:val="22"/>
          <w:szCs w:val="22"/>
        </w:rPr>
        <w:t>.</w:t>
      </w:r>
      <w:r w:rsidR="009F6A3F" w:rsidRPr="00CC2304">
        <w:rPr>
          <w:rFonts w:ascii="Arial Narrow" w:hAnsi="Arial Narrow" w:cs="Arial"/>
          <w:color w:val="5F5F5F"/>
          <w:sz w:val="20"/>
        </w:rPr>
        <w:t xml:space="preserve"> </w:t>
      </w:r>
      <w:r w:rsidR="009F6A3F" w:rsidRPr="00CC2304">
        <w:rPr>
          <w:rFonts w:ascii="Arial Narrow" w:hAnsi="Arial Narrow" w:cs="Calibri"/>
          <w:bCs/>
          <w:color w:val="5F5F5F"/>
          <w:kern w:val="0"/>
          <w:sz w:val="22"/>
          <w:szCs w:val="22"/>
        </w:rPr>
        <w:t>INDICI DEI PREZZI AL CONSUMO NIC PER REGIONE E RIPARTIZIONE GEOGRAFICA</w:t>
      </w:r>
      <w:r w:rsidR="009F6A3F" w:rsidRPr="00C8504B">
        <w:rPr>
          <w:rFonts w:ascii="Arial Narrow" w:hAnsi="Arial Narrow" w:cs="Arial"/>
          <w:color w:val="5F5F5F"/>
          <w:sz w:val="20"/>
        </w:rPr>
        <w:br/>
      </w:r>
      <w:r w:rsidR="00C35A87">
        <w:rPr>
          <w:rFonts w:ascii="Arial Narrow" w:hAnsi="Arial Narrow" w:cs="Arial"/>
          <w:b w:val="0"/>
          <w:color w:val="5F5F5F"/>
          <w:kern w:val="28"/>
          <w:sz w:val="20"/>
        </w:rPr>
        <w:t>Ottobre</w:t>
      </w:r>
      <w:r w:rsidR="00331D06">
        <w:rPr>
          <w:rFonts w:ascii="Arial Narrow" w:hAnsi="Arial Narrow" w:cs="Arial"/>
          <w:b w:val="0"/>
          <w:color w:val="5F5F5F"/>
          <w:kern w:val="28"/>
          <w:sz w:val="20"/>
        </w:rPr>
        <w:t xml:space="preserve"> 202</w:t>
      </w:r>
      <w:r w:rsidR="007C4489">
        <w:rPr>
          <w:rFonts w:ascii="Arial Narrow" w:hAnsi="Arial Narrow" w:cs="Arial"/>
          <w:b w:val="0"/>
          <w:color w:val="5F5F5F"/>
          <w:kern w:val="28"/>
          <w:sz w:val="20"/>
        </w:rPr>
        <w:t>5</w:t>
      </w:r>
      <w:r w:rsidR="00C22A24">
        <w:rPr>
          <w:rFonts w:ascii="Arial Narrow" w:hAnsi="Arial Narrow" w:cs="Arial"/>
          <w:b w:val="0"/>
          <w:color w:val="5F5F5F"/>
          <w:kern w:val="28"/>
          <w:sz w:val="20"/>
        </w:rPr>
        <w:t xml:space="preserve"> </w:t>
      </w:r>
      <w:r w:rsidR="008E006C">
        <w:rPr>
          <w:rFonts w:ascii="Arial Narrow" w:hAnsi="Arial Narrow" w:cs="Arial"/>
          <w:b w:val="0"/>
          <w:color w:val="5F5F5F"/>
          <w:kern w:val="28"/>
          <w:sz w:val="20"/>
        </w:rPr>
        <w:t>–</w:t>
      </w:r>
      <w:r w:rsidR="007D4534" w:rsidRPr="007A798D">
        <w:rPr>
          <w:rFonts w:ascii="Arial Narrow" w:hAnsi="Arial Narrow" w:cs="Arial"/>
          <w:b w:val="0"/>
          <w:color w:val="5F5F5F"/>
          <w:kern w:val="28"/>
          <w:sz w:val="20"/>
        </w:rPr>
        <w:t xml:space="preserve"> </w:t>
      </w:r>
      <w:r w:rsidR="00C35A87">
        <w:rPr>
          <w:rFonts w:ascii="Arial Narrow" w:hAnsi="Arial Narrow" w:cs="Arial"/>
          <w:b w:val="0"/>
          <w:color w:val="5F5F5F"/>
          <w:kern w:val="28"/>
          <w:sz w:val="20"/>
        </w:rPr>
        <w:t>novembre</w:t>
      </w:r>
      <w:r w:rsidR="0009240D">
        <w:rPr>
          <w:rFonts w:ascii="Arial Narrow" w:hAnsi="Arial Narrow" w:cs="Arial"/>
          <w:b w:val="0"/>
          <w:color w:val="5F5F5F"/>
          <w:kern w:val="28"/>
          <w:sz w:val="20"/>
        </w:rPr>
        <w:t xml:space="preserve"> 202</w:t>
      </w:r>
      <w:r w:rsidR="00331D06">
        <w:rPr>
          <w:rFonts w:ascii="Arial Narrow" w:hAnsi="Arial Narrow" w:cs="Arial"/>
          <w:b w:val="0"/>
          <w:color w:val="5F5F5F"/>
          <w:kern w:val="28"/>
          <w:sz w:val="20"/>
        </w:rPr>
        <w:t>5</w:t>
      </w:r>
      <w:r w:rsidR="007D4534" w:rsidRPr="007A798D">
        <w:rPr>
          <w:rFonts w:ascii="Arial Narrow" w:hAnsi="Arial Narrow" w:cs="Arial"/>
          <w:b w:val="0"/>
          <w:color w:val="5F5F5F"/>
          <w:kern w:val="28"/>
          <w:sz w:val="20"/>
        </w:rPr>
        <w:t>, variazioni percentuali tendenziali (base 2015=100</w:t>
      </w:r>
      <w:r w:rsidR="007D4534" w:rsidRPr="00C8504B">
        <w:rPr>
          <w:rFonts w:ascii="Arial Narrow" w:hAnsi="Arial Narrow" w:cs="Arial"/>
          <w:b w:val="0"/>
          <w:color w:val="5F5F5F"/>
          <w:kern w:val="28"/>
          <w:sz w:val="20"/>
        </w:rPr>
        <w:t xml:space="preserve">) </w:t>
      </w:r>
    </w:p>
    <w:p w14:paraId="38B93231" w14:textId="795394CE" w:rsidR="00427417" w:rsidRPr="00427417" w:rsidRDefault="00CE7A48" w:rsidP="00427417">
      <w:r>
        <w:rPr>
          <w:noProof/>
        </w:rPr>
        <w:drawing>
          <wp:inline distT="0" distB="0" distL="0" distR="0" wp14:anchorId="531663C0" wp14:editId="2F48077A">
            <wp:extent cx="6431915" cy="2158365"/>
            <wp:effectExtent l="0" t="0" r="6985" b="0"/>
            <wp:docPr id="114800224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1915" cy="2158365"/>
                    </a:xfrm>
                    <a:prstGeom prst="rect">
                      <a:avLst/>
                    </a:prstGeom>
                    <a:noFill/>
                  </pic:spPr>
                </pic:pic>
              </a:graphicData>
            </a:graphic>
          </wp:inline>
        </w:drawing>
      </w:r>
    </w:p>
    <w:p w14:paraId="33C75C3E" w14:textId="77777777" w:rsidR="008B53F6" w:rsidRPr="00054BF7" w:rsidRDefault="008B53F6" w:rsidP="007D169A">
      <w:pPr>
        <w:pStyle w:val="00TitoGra1"/>
        <w:spacing w:after="120" w:line="240" w:lineRule="auto"/>
        <w:jc w:val="both"/>
        <w:rPr>
          <w:rFonts w:ascii="Arial" w:hAnsi="Arial"/>
          <w:b w:val="0"/>
          <w:color w:val="auto"/>
          <w:sz w:val="16"/>
          <w:szCs w:val="20"/>
        </w:rPr>
      </w:pPr>
    </w:p>
    <w:p w14:paraId="022A7338" w14:textId="77777777" w:rsidR="00525A45" w:rsidRDefault="00ED4CE5" w:rsidP="00C45C2E">
      <w:pPr>
        <w:spacing w:before="0" w:after="0"/>
        <w:jc w:val="both"/>
        <w:rPr>
          <w:rFonts w:ascii="Arial Narrow" w:hAnsi="Arial Narrow" w:cs="Calibri"/>
          <w:b/>
          <w:bCs/>
          <w:color w:val="5F5F5F"/>
          <w:kern w:val="0"/>
          <w:sz w:val="22"/>
          <w:szCs w:val="22"/>
          <w:vertAlign w:val="superscript"/>
        </w:rPr>
      </w:pPr>
      <w:r w:rsidRPr="00CC2304">
        <w:rPr>
          <w:rFonts w:ascii="Arial Narrow" w:hAnsi="Arial Narrow" w:cs="Arial"/>
          <w:b/>
          <w:color w:val="E42618"/>
          <w:kern w:val="0"/>
          <w:sz w:val="22"/>
          <w:szCs w:val="22"/>
        </w:rPr>
        <w:t xml:space="preserve">FIGURA </w:t>
      </w:r>
      <w:r w:rsidR="00F53362" w:rsidRPr="00CC2304">
        <w:rPr>
          <w:rFonts w:ascii="Arial Narrow" w:hAnsi="Arial Narrow" w:cs="Arial"/>
          <w:b/>
          <w:color w:val="E42618"/>
          <w:kern w:val="0"/>
          <w:sz w:val="22"/>
          <w:szCs w:val="22"/>
        </w:rPr>
        <w:t>6</w:t>
      </w:r>
      <w:r w:rsidRPr="00CC2304">
        <w:rPr>
          <w:b/>
          <w:color w:val="E42618"/>
        </w:rPr>
        <w:t>.</w:t>
      </w:r>
      <w:r w:rsidRPr="00CC2304">
        <w:t xml:space="preserve"> </w:t>
      </w:r>
      <w:r w:rsidRPr="00CC2304">
        <w:rPr>
          <w:rFonts w:ascii="Arial Narrow" w:hAnsi="Arial Narrow" w:cs="Calibri"/>
          <w:b/>
          <w:bCs/>
          <w:color w:val="5F5F5F"/>
          <w:kern w:val="0"/>
          <w:sz w:val="22"/>
          <w:szCs w:val="22"/>
        </w:rPr>
        <w:t>I</w:t>
      </w:r>
      <w:r w:rsidR="00DA7A68" w:rsidRPr="00CC2304">
        <w:rPr>
          <w:rFonts w:ascii="Arial Narrow" w:hAnsi="Arial Narrow" w:cs="Calibri"/>
          <w:b/>
          <w:bCs/>
          <w:color w:val="5F5F5F"/>
          <w:kern w:val="0"/>
          <w:sz w:val="22"/>
          <w:szCs w:val="22"/>
        </w:rPr>
        <w:t>NDICI DEI PREZZI AL CONSUMO NIC</w:t>
      </w:r>
      <w:r w:rsidR="0047143B" w:rsidRPr="00CC2304">
        <w:rPr>
          <w:rFonts w:ascii="Arial Narrow" w:hAnsi="Arial Narrow" w:cs="Calibri"/>
          <w:b/>
          <w:bCs/>
          <w:color w:val="5F5F5F"/>
          <w:kern w:val="0"/>
          <w:sz w:val="22"/>
          <w:szCs w:val="22"/>
        </w:rPr>
        <w:t xml:space="preserve"> PER CAPOLUOGO DI REGIONE, </w:t>
      </w:r>
      <w:r w:rsidRPr="00CC2304">
        <w:rPr>
          <w:rFonts w:ascii="Arial Narrow" w:hAnsi="Arial Narrow" w:cs="Calibri"/>
          <w:b/>
          <w:bCs/>
          <w:color w:val="5F5F5F"/>
          <w:kern w:val="0"/>
          <w:sz w:val="22"/>
          <w:szCs w:val="22"/>
        </w:rPr>
        <w:t xml:space="preserve">PROVINCIA AUTONOMA </w:t>
      </w:r>
      <w:r w:rsidR="00DE4758" w:rsidRPr="00CC2304">
        <w:rPr>
          <w:rFonts w:ascii="Arial Narrow" w:hAnsi="Arial Narrow" w:cs="Calibri"/>
          <w:b/>
          <w:bCs/>
          <w:color w:val="5F5F5F"/>
          <w:kern w:val="0"/>
          <w:sz w:val="22"/>
          <w:szCs w:val="22"/>
        </w:rPr>
        <w:t>E</w:t>
      </w:r>
      <w:r w:rsidR="00AD29B6" w:rsidRPr="00CC2304">
        <w:rPr>
          <w:rFonts w:ascii="Arial Narrow" w:hAnsi="Arial Narrow" w:cs="Calibri"/>
          <w:b/>
          <w:bCs/>
          <w:color w:val="5F5F5F"/>
          <w:kern w:val="0"/>
          <w:sz w:val="22"/>
          <w:szCs w:val="22"/>
        </w:rPr>
        <w:t xml:space="preserve"> </w:t>
      </w:r>
      <w:r w:rsidR="00DE4758" w:rsidRPr="00CC2304">
        <w:rPr>
          <w:rFonts w:ascii="Arial Narrow" w:hAnsi="Arial Narrow" w:cs="Calibri"/>
          <w:b/>
          <w:bCs/>
          <w:color w:val="5F5F5F"/>
          <w:kern w:val="0"/>
          <w:sz w:val="22"/>
          <w:szCs w:val="22"/>
        </w:rPr>
        <w:t>GRANDI</w:t>
      </w:r>
      <w:r w:rsidR="00DE4758" w:rsidRPr="00C8504B">
        <w:rPr>
          <w:rFonts w:ascii="Arial Narrow" w:hAnsi="Arial Narrow" w:cs="Calibri"/>
          <w:b/>
          <w:bCs/>
          <w:color w:val="5F5F5F"/>
          <w:kern w:val="0"/>
          <w:sz w:val="22"/>
          <w:szCs w:val="22"/>
        </w:rPr>
        <w:t xml:space="preserve"> </w:t>
      </w:r>
      <w:r w:rsidR="0047143B" w:rsidRPr="00C8504B">
        <w:rPr>
          <w:rFonts w:ascii="Arial Narrow" w:hAnsi="Arial Narrow" w:cs="Calibri"/>
          <w:b/>
          <w:bCs/>
          <w:color w:val="5F5F5F"/>
          <w:kern w:val="0"/>
          <w:sz w:val="22"/>
          <w:szCs w:val="22"/>
        </w:rPr>
        <w:t xml:space="preserve">COMUNI </w:t>
      </w:r>
      <w:r w:rsidR="006464B5">
        <w:rPr>
          <w:rFonts w:ascii="Arial Narrow" w:hAnsi="Arial Narrow" w:cs="Calibri"/>
          <w:b/>
          <w:bCs/>
          <w:color w:val="5F5F5F"/>
          <w:kern w:val="0"/>
          <w:sz w:val="22"/>
          <w:szCs w:val="22"/>
          <w:vertAlign w:val="superscript"/>
        </w:rPr>
        <w:t>(a</w:t>
      </w:r>
      <w:r w:rsidR="009D6407">
        <w:rPr>
          <w:rFonts w:ascii="Arial Narrow" w:hAnsi="Arial Narrow" w:cs="Calibri"/>
          <w:b/>
          <w:bCs/>
          <w:color w:val="5F5F5F"/>
          <w:kern w:val="0"/>
          <w:sz w:val="22"/>
          <w:szCs w:val="22"/>
          <w:vertAlign w:val="superscript"/>
        </w:rPr>
        <w:t>)</w:t>
      </w:r>
    </w:p>
    <w:p w14:paraId="3192E3C4" w14:textId="1205FED2" w:rsidR="00F24676" w:rsidRPr="00C8504B" w:rsidRDefault="00C35A87" w:rsidP="00427417">
      <w:pPr>
        <w:spacing w:before="0" w:after="120"/>
        <w:jc w:val="both"/>
        <w:rPr>
          <w:rFonts w:ascii="Arial Narrow" w:hAnsi="Arial Narrow" w:cs="Arial"/>
          <w:color w:val="5F5F5F"/>
        </w:rPr>
      </w:pPr>
      <w:r>
        <w:rPr>
          <w:rFonts w:ascii="Arial Narrow" w:hAnsi="Arial Narrow" w:cs="Arial"/>
          <w:color w:val="5F5F5F"/>
        </w:rPr>
        <w:t>Novembre</w:t>
      </w:r>
      <w:r w:rsidR="0009240D">
        <w:rPr>
          <w:rFonts w:ascii="Arial Narrow" w:hAnsi="Arial Narrow" w:cs="Arial"/>
          <w:color w:val="5F5F5F"/>
        </w:rPr>
        <w:t xml:space="preserve"> 202</w:t>
      </w:r>
      <w:r w:rsidR="004F3B0E">
        <w:rPr>
          <w:rFonts w:ascii="Arial Narrow" w:hAnsi="Arial Narrow" w:cs="Arial"/>
          <w:color w:val="5F5F5F"/>
        </w:rPr>
        <w:t>5</w:t>
      </w:r>
      <w:r w:rsidR="00795E10">
        <w:rPr>
          <w:rFonts w:ascii="Arial Narrow" w:hAnsi="Arial Narrow" w:cs="Arial"/>
          <w:color w:val="5F5F5F"/>
        </w:rPr>
        <w:t xml:space="preserve">, </w:t>
      </w:r>
      <w:r w:rsidR="00ED4CE5" w:rsidRPr="00873FB5">
        <w:rPr>
          <w:rFonts w:ascii="Arial Narrow" w:hAnsi="Arial Narrow" w:cs="Arial"/>
          <w:color w:val="5F5F5F"/>
        </w:rPr>
        <w:t>graduatoria delle variazion</w:t>
      </w:r>
      <w:r w:rsidR="0047143B" w:rsidRPr="00873FB5">
        <w:rPr>
          <w:rFonts w:ascii="Arial Narrow" w:hAnsi="Arial Narrow" w:cs="Arial"/>
          <w:color w:val="5F5F5F"/>
        </w:rPr>
        <w:t>i percentuali tendenziali (base 2015=100)</w:t>
      </w:r>
    </w:p>
    <w:p w14:paraId="6B38A76D" w14:textId="016B07D0" w:rsidR="00617E92" w:rsidRPr="00C8504B" w:rsidRDefault="00430F0F" w:rsidP="00E95076">
      <w:pPr>
        <w:pStyle w:val="00TitoGra1"/>
        <w:spacing w:after="120" w:line="240" w:lineRule="auto"/>
        <w:rPr>
          <w:rFonts w:ascii="Arial" w:hAnsi="Arial"/>
          <w:color w:val="auto"/>
          <w:sz w:val="21"/>
          <w:szCs w:val="21"/>
        </w:rPr>
      </w:pPr>
      <w:r>
        <w:rPr>
          <w:rFonts w:ascii="Arial" w:hAnsi="Arial"/>
          <w:noProof/>
          <w:color w:val="auto"/>
          <w:sz w:val="21"/>
          <w:szCs w:val="21"/>
        </w:rPr>
        <w:drawing>
          <wp:inline distT="0" distB="0" distL="0" distR="0" wp14:anchorId="765ECF5E" wp14:editId="44B22610">
            <wp:extent cx="6431915" cy="2097405"/>
            <wp:effectExtent l="0" t="0" r="6985" b="0"/>
            <wp:docPr id="7871026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1915" cy="2097405"/>
                    </a:xfrm>
                    <a:prstGeom prst="rect">
                      <a:avLst/>
                    </a:prstGeom>
                    <a:noFill/>
                  </pic:spPr>
                </pic:pic>
              </a:graphicData>
            </a:graphic>
          </wp:inline>
        </w:drawing>
      </w:r>
    </w:p>
    <w:p w14:paraId="777BED8A" w14:textId="77777777" w:rsidR="002404C6" w:rsidRDefault="00E24384" w:rsidP="002A6AA2">
      <w:pPr>
        <w:pStyle w:val="00TitoGra1"/>
        <w:spacing w:after="120" w:line="240" w:lineRule="auto"/>
        <w:ind w:left="284" w:hanging="284"/>
        <w:jc w:val="both"/>
        <w:rPr>
          <w:rFonts w:ascii="Arial" w:hAnsi="Arial"/>
          <w:b w:val="0"/>
          <w:color w:val="auto"/>
          <w:sz w:val="16"/>
          <w:szCs w:val="20"/>
        </w:rPr>
      </w:pPr>
      <w:r w:rsidRPr="005F6AFE">
        <w:rPr>
          <w:rFonts w:ascii="Arial" w:hAnsi="Arial"/>
          <w:b w:val="0"/>
          <w:color w:val="auto"/>
          <w:sz w:val="16"/>
          <w:szCs w:val="20"/>
        </w:rPr>
        <w:t>(</w:t>
      </w:r>
      <w:r w:rsidR="009D6407">
        <w:rPr>
          <w:rFonts w:ascii="Arial" w:hAnsi="Arial"/>
          <w:b w:val="0"/>
          <w:color w:val="auto"/>
          <w:sz w:val="16"/>
          <w:szCs w:val="20"/>
        </w:rPr>
        <w:t>a</w:t>
      </w:r>
      <w:r w:rsidRPr="005F6AFE">
        <w:rPr>
          <w:rFonts w:ascii="Arial" w:hAnsi="Arial"/>
          <w:b w:val="0"/>
          <w:color w:val="auto"/>
          <w:sz w:val="16"/>
          <w:szCs w:val="20"/>
        </w:rPr>
        <w:t>)</w:t>
      </w:r>
      <w:r w:rsidR="00C45C2E">
        <w:rPr>
          <w:rFonts w:ascii="Arial" w:hAnsi="Arial"/>
          <w:b w:val="0"/>
          <w:color w:val="auto"/>
          <w:sz w:val="16"/>
          <w:szCs w:val="20"/>
        </w:rPr>
        <w:t xml:space="preserve"> </w:t>
      </w:r>
      <w:r w:rsidR="00B32E96">
        <w:rPr>
          <w:rFonts w:ascii="Arial" w:hAnsi="Arial"/>
          <w:b w:val="0"/>
          <w:color w:val="auto"/>
          <w:sz w:val="16"/>
          <w:szCs w:val="20"/>
        </w:rPr>
        <w:t xml:space="preserve"> </w:t>
      </w:r>
      <w:r w:rsidR="0006292D" w:rsidRPr="005F6AFE">
        <w:rPr>
          <w:rFonts w:ascii="Arial" w:hAnsi="Arial"/>
          <w:b w:val="0"/>
          <w:color w:val="auto"/>
          <w:sz w:val="16"/>
          <w:szCs w:val="20"/>
        </w:rPr>
        <w:t>I grandi c</w:t>
      </w:r>
      <w:r w:rsidR="00CC0849" w:rsidRPr="005F6AFE">
        <w:rPr>
          <w:rFonts w:ascii="Arial" w:hAnsi="Arial"/>
          <w:b w:val="0"/>
          <w:color w:val="auto"/>
          <w:sz w:val="16"/>
          <w:szCs w:val="20"/>
        </w:rPr>
        <w:t xml:space="preserve">omuni </w:t>
      </w:r>
      <w:r w:rsidR="001F142B" w:rsidRPr="005F6AFE">
        <w:rPr>
          <w:rFonts w:ascii="Arial" w:hAnsi="Arial"/>
          <w:b w:val="0"/>
          <w:color w:val="auto"/>
          <w:sz w:val="16"/>
          <w:szCs w:val="20"/>
        </w:rPr>
        <w:t xml:space="preserve">presenti nel grafico </w:t>
      </w:r>
      <w:r w:rsidR="00CC0849" w:rsidRPr="005F6AFE">
        <w:rPr>
          <w:rFonts w:ascii="Arial" w:hAnsi="Arial"/>
          <w:b w:val="0"/>
          <w:color w:val="auto"/>
          <w:sz w:val="16"/>
          <w:szCs w:val="20"/>
        </w:rPr>
        <w:t xml:space="preserve">sono </w:t>
      </w:r>
      <w:r w:rsidR="001F142B" w:rsidRPr="005F6AFE">
        <w:rPr>
          <w:rFonts w:ascii="Arial" w:hAnsi="Arial"/>
          <w:b w:val="0"/>
          <w:color w:val="auto"/>
          <w:sz w:val="16"/>
          <w:szCs w:val="20"/>
        </w:rPr>
        <w:t xml:space="preserve">i comuni capoluogo di provincia </w:t>
      </w:r>
      <w:r w:rsidR="00CC0849" w:rsidRPr="005F6AFE">
        <w:rPr>
          <w:rFonts w:ascii="Arial" w:hAnsi="Arial"/>
          <w:b w:val="0"/>
          <w:color w:val="auto"/>
          <w:sz w:val="16"/>
          <w:szCs w:val="20"/>
        </w:rPr>
        <w:t>con più di 150.000 abitanti.</w:t>
      </w:r>
      <w:r w:rsidR="002404C6">
        <w:rPr>
          <w:rFonts w:ascii="Arial" w:hAnsi="Arial"/>
          <w:b w:val="0"/>
          <w:color w:val="auto"/>
          <w:sz w:val="16"/>
          <w:szCs w:val="20"/>
        </w:rPr>
        <w:t xml:space="preserve"> </w:t>
      </w:r>
    </w:p>
    <w:p w14:paraId="6854CB87" w14:textId="77777777" w:rsidR="0079748A" w:rsidRDefault="0079748A" w:rsidP="002A6AA2">
      <w:pPr>
        <w:pStyle w:val="00TitoGra1"/>
        <w:spacing w:after="120" w:line="240" w:lineRule="auto"/>
        <w:ind w:left="284" w:hanging="284"/>
        <w:jc w:val="both"/>
        <w:rPr>
          <w:rFonts w:ascii="Arial" w:hAnsi="Arial"/>
          <w:b w:val="0"/>
          <w:color w:val="auto"/>
          <w:sz w:val="16"/>
          <w:szCs w:val="20"/>
        </w:rPr>
      </w:pPr>
    </w:p>
    <w:p w14:paraId="1810F8C0" w14:textId="77777777" w:rsidR="00A96B46" w:rsidRPr="00401AC1" w:rsidRDefault="00B87271" w:rsidP="00A73D96">
      <w:pPr>
        <w:pStyle w:val="00TitoGra1"/>
        <w:spacing w:after="120" w:line="240" w:lineRule="auto"/>
        <w:ind w:left="284" w:hanging="284"/>
        <w:jc w:val="both"/>
        <w:rPr>
          <w:rFonts w:ascii="Arial" w:hAnsi="Arial"/>
          <w:b w:val="0"/>
          <w:color w:val="auto"/>
          <w:sz w:val="16"/>
          <w:szCs w:val="20"/>
        </w:rPr>
      </w:pPr>
      <w:r w:rsidRPr="00C8504B">
        <w:rPr>
          <w:rFonts w:ascii="Arial" w:hAnsi="Arial"/>
          <w:sz w:val="21"/>
          <w:szCs w:val="21"/>
        </w:rPr>
        <w:br w:type="page"/>
      </w:r>
    </w:p>
    <w:p w14:paraId="5E239725" w14:textId="77777777" w:rsidR="00CF6ACB" w:rsidRPr="000F4B6B" w:rsidRDefault="00CF6ACB" w:rsidP="00E64513">
      <w:pPr>
        <w:tabs>
          <w:tab w:val="left" w:pos="851"/>
          <w:tab w:val="left" w:pos="9639"/>
        </w:tabs>
        <w:spacing w:before="0" w:after="60"/>
        <w:jc w:val="both"/>
        <w:rPr>
          <w:rFonts w:ascii="Arial" w:hAnsi="Arial" w:cs="Arial"/>
          <w:iCs/>
          <w:sz w:val="18"/>
          <w:szCs w:val="21"/>
        </w:rPr>
      </w:pPr>
    </w:p>
    <w:p w14:paraId="166A4587" w14:textId="77777777" w:rsidR="00007E47" w:rsidRPr="00C8504B" w:rsidRDefault="00007E47" w:rsidP="000362B0">
      <w:pPr>
        <w:pStyle w:val="00TitoGra1"/>
        <w:spacing w:line="240" w:lineRule="auto"/>
        <w:rPr>
          <w:color w:val="E42618"/>
          <w:szCs w:val="36"/>
        </w:rPr>
      </w:pPr>
      <w:r w:rsidRPr="00C8504B">
        <w:rPr>
          <w:color w:val="E42618"/>
          <w:szCs w:val="36"/>
        </w:rPr>
        <w:t>Indice armonizzato dei prezzi al consumo (IPCA)</w:t>
      </w:r>
    </w:p>
    <w:p w14:paraId="05FA12C7" w14:textId="77777777" w:rsidR="00966E58" w:rsidRPr="00450FE9" w:rsidRDefault="00966E58" w:rsidP="00E64513">
      <w:pPr>
        <w:tabs>
          <w:tab w:val="left" w:pos="851"/>
          <w:tab w:val="left" w:pos="9639"/>
        </w:tabs>
        <w:spacing w:before="0" w:after="60"/>
        <w:jc w:val="both"/>
        <w:rPr>
          <w:rFonts w:ascii="Arial" w:hAnsi="Arial" w:cs="Arial"/>
          <w:iCs/>
          <w:sz w:val="16"/>
          <w:szCs w:val="21"/>
        </w:rPr>
      </w:pPr>
    </w:p>
    <w:p w14:paraId="65AF21C0" w14:textId="77777777" w:rsidR="00373F6B" w:rsidRPr="00C8504B" w:rsidRDefault="00373F6B" w:rsidP="00BD0487">
      <w:pPr>
        <w:pStyle w:val="001TitoloBolocco"/>
        <w:spacing w:after="120" w:line="240" w:lineRule="auto"/>
        <w:rPr>
          <w:szCs w:val="26"/>
        </w:rPr>
      </w:pPr>
      <w:r w:rsidRPr="00C8504B">
        <w:rPr>
          <w:szCs w:val="26"/>
        </w:rPr>
        <w:t>Le divisioni di spesa</w:t>
      </w:r>
    </w:p>
    <w:p w14:paraId="0AAEAB34" w14:textId="121E43BC" w:rsidR="002F10E9" w:rsidRDefault="002F10E9" w:rsidP="002F10E9">
      <w:pPr>
        <w:spacing w:before="0" w:after="120"/>
        <w:jc w:val="both"/>
        <w:rPr>
          <w:rFonts w:ascii="Arial" w:hAnsi="Arial" w:cs="Arial"/>
          <w:color w:val="000000"/>
          <w:kern w:val="0"/>
          <w:sz w:val="21"/>
          <w:szCs w:val="21"/>
        </w:rPr>
      </w:pPr>
      <w:r>
        <w:rPr>
          <w:rFonts w:ascii="Arial" w:hAnsi="Arial" w:cs="Arial"/>
          <w:color w:val="000000"/>
          <w:kern w:val="0"/>
          <w:sz w:val="21"/>
          <w:szCs w:val="21"/>
        </w:rPr>
        <w:t>A</w:t>
      </w:r>
      <w:r w:rsidR="00F36B21">
        <w:rPr>
          <w:rFonts w:ascii="Arial" w:hAnsi="Arial" w:cs="Arial"/>
          <w:color w:val="000000"/>
          <w:kern w:val="0"/>
          <w:sz w:val="21"/>
          <w:szCs w:val="21"/>
        </w:rPr>
        <w:t xml:space="preserve"> </w:t>
      </w:r>
      <w:r w:rsidR="0010726B">
        <w:rPr>
          <w:rFonts w:ascii="Arial" w:hAnsi="Arial" w:cs="Arial"/>
          <w:color w:val="000000"/>
          <w:kern w:val="0"/>
          <w:sz w:val="21"/>
          <w:szCs w:val="21"/>
        </w:rPr>
        <w:t>novembre</w:t>
      </w:r>
      <w:r w:rsidR="00F36B21">
        <w:rPr>
          <w:rFonts w:ascii="Arial" w:hAnsi="Arial" w:cs="Arial"/>
          <w:color w:val="000000"/>
          <w:kern w:val="0"/>
          <w:sz w:val="21"/>
          <w:szCs w:val="21"/>
        </w:rPr>
        <w:t xml:space="preserve"> </w:t>
      </w:r>
      <w:r w:rsidR="0067412F">
        <w:rPr>
          <w:rFonts w:ascii="Arial" w:hAnsi="Arial" w:cs="Arial"/>
          <w:color w:val="000000"/>
          <w:kern w:val="0"/>
          <w:sz w:val="21"/>
          <w:szCs w:val="21"/>
        </w:rPr>
        <w:t>2025</w:t>
      </w:r>
      <w:r w:rsidR="0017472E">
        <w:rPr>
          <w:rFonts w:ascii="Arial" w:hAnsi="Arial" w:cs="Arial"/>
          <w:color w:val="000000"/>
          <w:kern w:val="0"/>
          <w:sz w:val="21"/>
          <w:szCs w:val="21"/>
        </w:rPr>
        <w:t>,</w:t>
      </w:r>
      <w:r w:rsidR="00914A6E">
        <w:rPr>
          <w:rFonts w:ascii="Arial" w:hAnsi="Arial" w:cs="Arial"/>
          <w:color w:val="000000"/>
          <w:kern w:val="0"/>
          <w:sz w:val="21"/>
          <w:szCs w:val="21"/>
        </w:rPr>
        <w:t xml:space="preserve"> </w:t>
      </w:r>
      <w:r>
        <w:rPr>
          <w:rFonts w:ascii="Arial" w:hAnsi="Arial" w:cs="Arial"/>
          <w:color w:val="000000"/>
          <w:kern w:val="0"/>
          <w:sz w:val="21"/>
          <w:szCs w:val="21"/>
        </w:rPr>
        <w:t>l’</w:t>
      </w:r>
      <w:r w:rsidRPr="00F12D9A">
        <w:rPr>
          <w:rFonts w:ascii="Arial" w:hAnsi="Arial" w:cs="Arial"/>
          <w:color w:val="000000"/>
          <w:kern w:val="0"/>
          <w:sz w:val="21"/>
          <w:szCs w:val="21"/>
        </w:rPr>
        <w:t>indice armonizzato dei prezzi al consumo (IPCA)</w:t>
      </w:r>
      <w:r>
        <w:rPr>
          <w:rFonts w:ascii="Arial" w:hAnsi="Arial" w:cs="Arial"/>
          <w:color w:val="000000"/>
          <w:kern w:val="0"/>
          <w:sz w:val="21"/>
          <w:szCs w:val="21"/>
        </w:rPr>
        <w:t xml:space="preserve"> </w:t>
      </w:r>
      <w:r w:rsidRPr="007A6C81">
        <w:rPr>
          <w:rFonts w:ascii="Arial" w:hAnsi="Arial" w:cs="Arial"/>
          <w:color w:val="000000"/>
          <w:kern w:val="0"/>
          <w:sz w:val="21"/>
          <w:szCs w:val="21"/>
        </w:rPr>
        <w:t>registra</w:t>
      </w:r>
      <w:r w:rsidRPr="007A6C81">
        <w:rPr>
          <w:rFonts w:ascii="Arial" w:hAnsi="Arial" w:cs="Arial"/>
          <w:sz w:val="21"/>
          <w:szCs w:val="21"/>
        </w:rPr>
        <w:t xml:space="preserve"> </w:t>
      </w:r>
      <w:r w:rsidR="00657E2A">
        <w:rPr>
          <w:rFonts w:ascii="Arial" w:hAnsi="Arial" w:cs="Arial"/>
          <w:sz w:val="21"/>
          <w:szCs w:val="21"/>
        </w:rPr>
        <w:t>una variazione percentuale pari a -</w:t>
      </w:r>
      <w:r w:rsidR="00F36B21">
        <w:rPr>
          <w:rFonts w:ascii="Arial" w:hAnsi="Arial" w:cs="Arial"/>
          <w:sz w:val="21"/>
          <w:szCs w:val="21"/>
        </w:rPr>
        <w:t>0,2</w:t>
      </w:r>
      <w:r w:rsidR="005D73A5">
        <w:rPr>
          <w:rFonts w:ascii="Arial" w:hAnsi="Arial" w:cs="Arial"/>
          <w:sz w:val="21"/>
          <w:szCs w:val="21"/>
        </w:rPr>
        <w:t xml:space="preserve">% </w:t>
      </w:r>
      <w:r w:rsidR="00D7240E">
        <w:rPr>
          <w:rFonts w:ascii="Arial" w:hAnsi="Arial" w:cs="Arial"/>
          <w:sz w:val="21"/>
          <w:szCs w:val="21"/>
        </w:rPr>
        <w:t xml:space="preserve">su base mensile </w:t>
      </w:r>
      <w:r w:rsidRPr="00C05650">
        <w:rPr>
          <w:rFonts w:ascii="Arial" w:hAnsi="Arial" w:cs="Arial"/>
          <w:sz w:val="21"/>
          <w:szCs w:val="21"/>
        </w:rPr>
        <w:t xml:space="preserve">e </w:t>
      </w:r>
      <w:r w:rsidR="00657E2A">
        <w:rPr>
          <w:rFonts w:ascii="Arial" w:hAnsi="Arial" w:cs="Arial"/>
          <w:sz w:val="21"/>
          <w:szCs w:val="21"/>
        </w:rPr>
        <w:t xml:space="preserve">a </w:t>
      </w:r>
      <w:r w:rsidR="00A1665F">
        <w:rPr>
          <w:rFonts w:ascii="Arial" w:hAnsi="Arial" w:cs="Arial"/>
          <w:sz w:val="21"/>
          <w:szCs w:val="21"/>
        </w:rPr>
        <w:t>+1,</w:t>
      </w:r>
      <w:r w:rsidR="0010726B">
        <w:rPr>
          <w:rFonts w:ascii="Arial" w:hAnsi="Arial" w:cs="Arial"/>
          <w:sz w:val="21"/>
          <w:szCs w:val="21"/>
        </w:rPr>
        <w:t>1</w:t>
      </w:r>
      <w:r w:rsidRPr="00C05650">
        <w:rPr>
          <w:rFonts w:ascii="Arial" w:hAnsi="Arial" w:cs="Arial"/>
          <w:sz w:val="21"/>
          <w:szCs w:val="21"/>
        </w:rPr>
        <w:t xml:space="preserve">% </w:t>
      </w:r>
      <w:r w:rsidR="00657E2A">
        <w:rPr>
          <w:rFonts w:ascii="Arial" w:hAnsi="Arial" w:cs="Arial"/>
          <w:sz w:val="21"/>
          <w:szCs w:val="21"/>
        </w:rPr>
        <w:t xml:space="preserve">su base annua </w:t>
      </w:r>
      <w:r w:rsidR="00107D18">
        <w:rPr>
          <w:rFonts w:ascii="Arial" w:hAnsi="Arial" w:cs="Arial"/>
          <w:sz w:val="21"/>
          <w:szCs w:val="21"/>
        </w:rPr>
        <w:t>(</w:t>
      </w:r>
      <w:r w:rsidR="007E4D46">
        <w:rPr>
          <w:rFonts w:ascii="Arial" w:hAnsi="Arial" w:cs="Arial"/>
          <w:sz w:val="21"/>
          <w:szCs w:val="21"/>
        </w:rPr>
        <w:t>in decelerazione rispetto al +</w:t>
      </w:r>
      <w:r w:rsidR="002601D1">
        <w:rPr>
          <w:rFonts w:ascii="Arial" w:hAnsi="Arial" w:cs="Arial"/>
          <w:sz w:val="21"/>
          <w:szCs w:val="21"/>
        </w:rPr>
        <w:t>1,</w:t>
      </w:r>
      <w:r w:rsidR="0010726B">
        <w:rPr>
          <w:rFonts w:ascii="Arial" w:hAnsi="Arial" w:cs="Arial"/>
          <w:sz w:val="21"/>
          <w:szCs w:val="21"/>
        </w:rPr>
        <w:t>3</w:t>
      </w:r>
      <w:r w:rsidR="007E4D46">
        <w:rPr>
          <w:rFonts w:ascii="Arial" w:hAnsi="Arial" w:cs="Arial"/>
          <w:sz w:val="21"/>
          <w:szCs w:val="21"/>
        </w:rPr>
        <w:t>% d</w:t>
      </w:r>
      <w:r w:rsidR="008E519B">
        <w:rPr>
          <w:rFonts w:ascii="Arial" w:hAnsi="Arial" w:cs="Arial"/>
          <w:sz w:val="21"/>
          <w:szCs w:val="21"/>
        </w:rPr>
        <w:t>el mese precedent</w:t>
      </w:r>
      <w:r w:rsidR="006F70F4">
        <w:rPr>
          <w:rFonts w:ascii="Arial" w:hAnsi="Arial" w:cs="Arial"/>
          <w:sz w:val="21"/>
          <w:szCs w:val="21"/>
        </w:rPr>
        <w:t>e</w:t>
      </w:r>
      <w:r w:rsidR="008E519B">
        <w:rPr>
          <w:rFonts w:ascii="Arial" w:hAnsi="Arial" w:cs="Arial"/>
          <w:sz w:val="21"/>
          <w:szCs w:val="21"/>
        </w:rPr>
        <w:t>)</w:t>
      </w:r>
      <w:r w:rsidR="00107D18">
        <w:rPr>
          <w:rFonts w:ascii="Arial" w:hAnsi="Arial" w:cs="Arial"/>
          <w:sz w:val="21"/>
          <w:szCs w:val="21"/>
        </w:rPr>
        <w:t xml:space="preserve"> </w:t>
      </w:r>
      <w:r>
        <w:rPr>
          <w:rFonts w:ascii="Arial" w:hAnsi="Arial" w:cs="Arial"/>
          <w:color w:val="000000"/>
          <w:kern w:val="0"/>
          <w:sz w:val="21"/>
          <w:szCs w:val="21"/>
        </w:rPr>
        <w:t>(Prospetto 6).</w:t>
      </w:r>
    </w:p>
    <w:p w14:paraId="6A30F90F" w14:textId="51295C4F" w:rsidR="00B45D9A" w:rsidRDefault="00876406" w:rsidP="00E10652">
      <w:pPr>
        <w:tabs>
          <w:tab w:val="left" w:pos="851"/>
          <w:tab w:val="left" w:pos="9639"/>
        </w:tabs>
        <w:spacing w:before="0" w:after="60"/>
        <w:jc w:val="both"/>
        <w:rPr>
          <w:rFonts w:ascii="Arial" w:hAnsi="Arial" w:cs="Arial"/>
          <w:iCs/>
          <w:sz w:val="21"/>
          <w:szCs w:val="21"/>
        </w:rPr>
      </w:pPr>
      <w:r>
        <w:rPr>
          <w:rFonts w:ascii="Arial" w:hAnsi="Arial" w:cs="Arial"/>
          <w:color w:val="000000"/>
          <w:kern w:val="0"/>
          <w:sz w:val="21"/>
          <w:szCs w:val="21"/>
        </w:rPr>
        <w:t>Il rallentamento del</w:t>
      </w:r>
      <w:r w:rsidR="00D227A5">
        <w:rPr>
          <w:rFonts w:ascii="Arial" w:hAnsi="Arial" w:cs="Arial"/>
          <w:color w:val="000000"/>
          <w:kern w:val="0"/>
          <w:sz w:val="21"/>
          <w:szCs w:val="21"/>
        </w:rPr>
        <w:t xml:space="preserve"> ritmo di</w:t>
      </w:r>
      <w:r>
        <w:rPr>
          <w:rFonts w:ascii="Arial" w:hAnsi="Arial" w:cs="Arial"/>
          <w:color w:val="000000"/>
          <w:kern w:val="0"/>
          <w:sz w:val="21"/>
          <w:szCs w:val="21"/>
        </w:rPr>
        <w:t xml:space="preserve"> crescita </w:t>
      </w:r>
      <w:r w:rsidR="00437C5D" w:rsidRPr="00931743">
        <w:rPr>
          <w:rFonts w:ascii="Arial" w:hAnsi="Arial" w:cs="Arial"/>
          <w:color w:val="000000"/>
          <w:kern w:val="0"/>
          <w:sz w:val="21"/>
          <w:szCs w:val="21"/>
        </w:rPr>
        <w:t xml:space="preserve">dell’IPCA </w:t>
      </w:r>
      <w:r w:rsidR="00124D18">
        <w:rPr>
          <w:rFonts w:ascii="Arial" w:hAnsi="Arial" w:cs="Arial"/>
          <w:color w:val="000000"/>
          <w:kern w:val="0"/>
          <w:sz w:val="21"/>
          <w:szCs w:val="21"/>
        </w:rPr>
        <w:t>riflette</w:t>
      </w:r>
      <w:r w:rsidR="00437C5D">
        <w:rPr>
          <w:rFonts w:ascii="Arial" w:hAnsi="Arial" w:cs="Arial"/>
          <w:color w:val="000000"/>
          <w:kern w:val="0"/>
          <w:sz w:val="21"/>
          <w:szCs w:val="21"/>
        </w:rPr>
        <w:t xml:space="preserve"> </w:t>
      </w:r>
      <w:r w:rsidR="0010726B">
        <w:rPr>
          <w:rFonts w:ascii="Arial" w:hAnsi="Arial" w:cs="Arial"/>
          <w:color w:val="000000"/>
          <w:kern w:val="0"/>
          <w:sz w:val="21"/>
          <w:szCs w:val="21"/>
        </w:rPr>
        <w:t xml:space="preserve">principalmente </w:t>
      </w:r>
      <w:r w:rsidR="00D03299">
        <w:rPr>
          <w:rFonts w:ascii="Arial" w:hAnsi="Arial" w:cs="Arial"/>
          <w:iCs/>
          <w:sz w:val="21"/>
          <w:szCs w:val="21"/>
        </w:rPr>
        <w:t>l’andamento</w:t>
      </w:r>
      <w:r w:rsidR="006433BF">
        <w:rPr>
          <w:rFonts w:ascii="Arial" w:hAnsi="Arial" w:cs="Arial"/>
          <w:iCs/>
          <w:sz w:val="21"/>
          <w:szCs w:val="21"/>
        </w:rPr>
        <w:t xml:space="preserve"> dei prezzi </w:t>
      </w:r>
      <w:r w:rsidR="002601D1">
        <w:rPr>
          <w:rFonts w:ascii="Arial" w:hAnsi="Arial" w:cs="Arial"/>
          <w:iCs/>
          <w:sz w:val="21"/>
          <w:szCs w:val="21"/>
        </w:rPr>
        <w:t xml:space="preserve">di </w:t>
      </w:r>
      <w:r w:rsidR="0010726B">
        <w:rPr>
          <w:rFonts w:ascii="Arial" w:hAnsi="Arial" w:cs="Arial"/>
          <w:iCs/>
          <w:sz w:val="21"/>
          <w:szCs w:val="21"/>
        </w:rPr>
        <w:t>Servizi ricettivi e di ristorazione (da +3,9% a +3,</w:t>
      </w:r>
      <w:r w:rsidR="0033628C">
        <w:rPr>
          <w:rFonts w:ascii="Arial" w:hAnsi="Arial" w:cs="Arial"/>
          <w:iCs/>
          <w:sz w:val="21"/>
          <w:szCs w:val="21"/>
        </w:rPr>
        <w:t>5</w:t>
      </w:r>
      <w:r w:rsidR="0010726B">
        <w:rPr>
          <w:rFonts w:ascii="Arial" w:hAnsi="Arial" w:cs="Arial"/>
          <w:iCs/>
          <w:sz w:val="21"/>
          <w:szCs w:val="21"/>
        </w:rPr>
        <w:t xml:space="preserve">%; -2,2 su ottobre), di </w:t>
      </w:r>
      <w:r w:rsidR="00D03299">
        <w:rPr>
          <w:rFonts w:ascii="Arial" w:hAnsi="Arial" w:cs="Arial"/>
          <w:iCs/>
          <w:sz w:val="21"/>
          <w:szCs w:val="21"/>
        </w:rPr>
        <w:t>Prodotti alimentari e bevande analcoliche (da +</w:t>
      </w:r>
      <w:r w:rsidR="0010726B">
        <w:rPr>
          <w:rFonts w:ascii="Arial" w:hAnsi="Arial" w:cs="Arial"/>
          <w:iCs/>
          <w:sz w:val="21"/>
          <w:szCs w:val="21"/>
        </w:rPr>
        <w:t>2,6</w:t>
      </w:r>
      <w:r w:rsidR="00D03299">
        <w:rPr>
          <w:rFonts w:ascii="Arial" w:hAnsi="Arial" w:cs="Arial"/>
          <w:iCs/>
          <w:sz w:val="21"/>
          <w:szCs w:val="21"/>
        </w:rPr>
        <w:t>% a +</w:t>
      </w:r>
      <w:r w:rsidR="0033628C">
        <w:rPr>
          <w:rFonts w:ascii="Arial" w:hAnsi="Arial" w:cs="Arial"/>
          <w:iCs/>
          <w:sz w:val="21"/>
          <w:szCs w:val="21"/>
        </w:rPr>
        <w:t>1,9</w:t>
      </w:r>
      <w:r w:rsidR="00D03299">
        <w:rPr>
          <w:rFonts w:ascii="Arial" w:hAnsi="Arial" w:cs="Arial"/>
          <w:iCs/>
          <w:sz w:val="21"/>
          <w:szCs w:val="21"/>
        </w:rPr>
        <w:t xml:space="preserve">%; </w:t>
      </w:r>
      <w:r w:rsidR="0010726B">
        <w:rPr>
          <w:rFonts w:ascii="Arial" w:hAnsi="Arial" w:cs="Arial"/>
          <w:iCs/>
          <w:sz w:val="21"/>
          <w:szCs w:val="21"/>
        </w:rPr>
        <w:t>+0,</w:t>
      </w:r>
      <w:r w:rsidR="0033628C">
        <w:rPr>
          <w:rFonts w:ascii="Arial" w:hAnsi="Arial" w:cs="Arial"/>
          <w:iCs/>
          <w:sz w:val="21"/>
          <w:szCs w:val="21"/>
        </w:rPr>
        <w:t>1</w:t>
      </w:r>
      <w:r w:rsidR="0010726B">
        <w:rPr>
          <w:rFonts w:ascii="Arial" w:hAnsi="Arial" w:cs="Arial"/>
          <w:iCs/>
          <w:sz w:val="21"/>
          <w:szCs w:val="21"/>
        </w:rPr>
        <w:t>% su ottobre</w:t>
      </w:r>
      <w:r w:rsidR="00D03299">
        <w:rPr>
          <w:rFonts w:ascii="Arial" w:hAnsi="Arial" w:cs="Arial"/>
          <w:iCs/>
          <w:sz w:val="21"/>
          <w:szCs w:val="21"/>
        </w:rPr>
        <w:t>)</w:t>
      </w:r>
      <w:r w:rsidR="0010726B">
        <w:rPr>
          <w:rFonts w:ascii="Arial" w:hAnsi="Arial" w:cs="Arial"/>
          <w:iCs/>
          <w:sz w:val="21"/>
          <w:szCs w:val="21"/>
        </w:rPr>
        <w:t xml:space="preserve"> e</w:t>
      </w:r>
      <w:r w:rsidR="00D03299">
        <w:rPr>
          <w:rFonts w:ascii="Arial" w:hAnsi="Arial" w:cs="Arial"/>
          <w:iCs/>
          <w:sz w:val="21"/>
          <w:szCs w:val="21"/>
        </w:rPr>
        <w:t xml:space="preserve"> di </w:t>
      </w:r>
      <w:r w:rsidR="002601D1">
        <w:rPr>
          <w:rFonts w:ascii="Arial" w:hAnsi="Arial" w:cs="Arial"/>
          <w:iCs/>
          <w:sz w:val="21"/>
          <w:szCs w:val="21"/>
        </w:rPr>
        <w:t xml:space="preserve">Abitazione, acqua, elettricità e combustibili (da </w:t>
      </w:r>
      <w:r w:rsidR="00D03299">
        <w:rPr>
          <w:rFonts w:ascii="Arial" w:hAnsi="Arial" w:cs="Arial"/>
          <w:iCs/>
          <w:sz w:val="21"/>
          <w:szCs w:val="21"/>
        </w:rPr>
        <w:t>-1,</w:t>
      </w:r>
      <w:r w:rsidR="0010726B">
        <w:rPr>
          <w:rFonts w:ascii="Arial" w:hAnsi="Arial" w:cs="Arial"/>
          <w:iCs/>
          <w:sz w:val="21"/>
          <w:szCs w:val="21"/>
        </w:rPr>
        <w:t>7</w:t>
      </w:r>
      <w:r w:rsidR="002601D1">
        <w:rPr>
          <w:rFonts w:ascii="Arial" w:hAnsi="Arial" w:cs="Arial"/>
          <w:iCs/>
          <w:sz w:val="21"/>
          <w:szCs w:val="21"/>
        </w:rPr>
        <w:t>% a</w:t>
      </w:r>
      <w:r w:rsidR="00D03299">
        <w:rPr>
          <w:rFonts w:ascii="Arial" w:hAnsi="Arial" w:cs="Arial"/>
          <w:iCs/>
          <w:sz w:val="21"/>
          <w:szCs w:val="21"/>
        </w:rPr>
        <w:t xml:space="preserve"> </w:t>
      </w:r>
      <w:r w:rsidR="00A55AB7">
        <w:rPr>
          <w:rFonts w:ascii="Arial" w:hAnsi="Arial" w:cs="Arial"/>
          <w:iCs/>
          <w:sz w:val="21"/>
          <w:szCs w:val="21"/>
        </w:rPr>
        <w:t>-</w:t>
      </w:r>
      <w:r w:rsidR="0033628C">
        <w:rPr>
          <w:rFonts w:ascii="Arial" w:hAnsi="Arial" w:cs="Arial"/>
          <w:iCs/>
          <w:sz w:val="21"/>
          <w:szCs w:val="21"/>
        </w:rPr>
        <w:t>1,9%; +0,1% su ottobre</w:t>
      </w:r>
      <w:r w:rsidR="002601D1">
        <w:rPr>
          <w:rFonts w:ascii="Arial" w:hAnsi="Arial" w:cs="Arial"/>
          <w:iCs/>
          <w:sz w:val="21"/>
          <w:szCs w:val="21"/>
        </w:rPr>
        <w:t>)</w:t>
      </w:r>
      <w:r w:rsidR="0010726B">
        <w:rPr>
          <w:rFonts w:ascii="Arial" w:hAnsi="Arial" w:cs="Arial"/>
          <w:iCs/>
          <w:sz w:val="21"/>
          <w:szCs w:val="21"/>
        </w:rPr>
        <w:t>.</w:t>
      </w:r>
      <w:r w:rsidR="00103ADC">
        <w:rPr>
          <w:rFonts w:ascii="Arial" w:hAnsi="Arial" w:cs="Arial"/>
          <w:iCs/>
          <w:sz w:val="21"/>
          <w:szCs w:val="21"/>
        </w:rPr>
        <w:t xml:space="preserve"> </w:t>
      </w:r>
      <w:r w:rsidR="0010726B">
        <w:rPr>
          <w:rFonts w:ascii="Arial" w:hAnsi="Arial" w:cs="Arial"/>
          <w:iCs/>
          <w:sz w:val="21"/>
          <w:szCs w:val="21"/>
        </w:rPr>
        <w:t>La divisione Servizi sanitari e spese per la salute registra un’accelerazione (da +2,7% a +3,0%; +0,3% su ottobre).</w:t>
      </w:r>
    </w:p>
    <w:p w14:paraId="26AB867F" w14:textId="6B5CE6E9" w:rsidR="006E4F9F" w:rsidRDefault="006E4F9F" w:rsidP="006E4F9F">
      <w:pPr>
        <w:tabs>
          <w:tab w:val="left" w:pos="851"/>
          <w:tab w:val="left" w:pos="9639"/>
        </w:tabs>
        <w:spacing w:before="0" w:after="60"/>
        <w:jc w:val="both"/>
        <w:rPr>
          <w:rFonts w:ascii="Arial" w:hAnsi="Arial" w:cs="Arial"/>
          <w:color w:val="000000"/>
          <w:kern w:val="0"/>
          <w:sz w:val="21"/>
          <w:szCs w:val="21"/>
        </w:rPr>
      </w:pPr>
      <w:r w:rsidRPr="00570B56">
        <w:rPr>
          <w:rFonts w:ascii="Arial" w:hAnsi="Arial" w:cs="Arial"/>
          <w:color w:val="000000"/>
          <w:kern w:val="0"/>
          <w:sz w:val="21"/>
          <w:szCs w:val="21"/>
        </w:rPr>
        <w:t>L’indice armonizzato dei prezzi al consumo a tassazione costante (IPCA-CT) registr</w:t>
      </w:r>
      <w:r>
        <w:rPr>
          <w:rFonts w:ascii="Arial" w:hAnsi="Arial" w:cs="Arial"/>
          <w:color w:val="000000"/>
          <w:kern w:val="0"/>
          <w:sz w:val="21"/>
          <w:szCs w:val="21"/>
        </w:rPr>
        <w:t>a un</w:t>
      </w:r>
      <w:r w:rsidR="00221730">
        <w:rPr>
          <w:rFonts w:ascii="Arial" w:hAnsi="Arial" w:cs="Arial"/>
          <w:color w:val="000000"/>
          <w:kern w:val="0"/>
          <w:sz w:val="21"/>
          <w:szCs w:val="21"/>
        </w:rPr>
        <w:t xml:space="preserve"> aumento </w:t>
      </w:r>
      <w:r>
        <w:rPr>
          <w:rFonts w:ascii="Arial" w:hAnsi="Arial" w:cs="Arial"/>
          <w:color w:val="000000"/>
          <w:kern w:val="0"/>
          <w:sz w:val="21"/>
          <w:szCs w:val="21"/>
        </w:rPr>
        <w:t>tendenziale dell’1,</w:t>
      </w:r>
      <w:r w:rsidR="0010726B">
        <w:rPr>
          <w:rFonts w:ascii="Arial" w:hAnsi="Arial" w:cs="Arial"/>
          <w:color w:val="000000"/>
          <w:kern w:val="0"/>
          <w:sz w:val="21"/>
          <w:szCs w:val="21"/>
        </w:rPr>
        <w:t>1</w:t>
      </w:r>
      <w:r>
        <w:rPr>
          <w:rFonts w:ascii="Arial" w:hAnsi="Arial" w:cs="Arial"/>
          <w:color w:val="000000"/>
          <w:kern w:val="0"/>
          <w:sz w:val="21"/>
          <w:szCs w:val="21"/>
        </w:rPr>
        <w:t>%</w:t>
      </w:r>
      <w:r w:rsidR="00962F99">
        <w:rPr>
          <w:rFonts w:ascii="Arial" w:hAnsi="Arial" w:cs="Arial"/>
          <w:color w:val="000000"/>
          <w:kern w:val="0"/>
          <w:sz w:val="21"/>
          <w:szCs w:val="21"/>
        </w:rPr>
        <w:t xml:space="preserve"> e una variazione su base mensile del </w:t>
      </w:r>
      <w:r w:rsidR="00032C73">
        <w:rPr>
          <w:rFonts w:ascii="Arial" w:hAnsi="Arial" w:cs="Arial"/>
          <w:iCs/>
          <w:sz w:val="21"/>
          <w:szCs w:val="21"/>
        </w:rPr>
        <w:t>-</w:t>
      </w:r>
      <w:r w:rsidR="00962F99">
        <w:rPr>
          <w:rFonts w:ascii="Arial" w:hAnsi="Arial" w:cs="Arial"/>
          <w:color w:val="000000"/>
          <w:kern w:val="0"/>
          <w:sz w:val="21"/>
          <w:szCs w:val="21"/>
        </w:rPr>
        <w:t>0,2%</w:t>
      </w:r>
      <w:r w:rsidR="00221730">
        <w:rPr>
          <w:rFonts w:ascii="Arial" w:hAnsi="Arial" w:cs="Arial"/>
          <w:color w:val="000000"/>
          <w:kern w:val="0"/>
          <w:sz w:val="21"/>
          <w:szCs w:val="21"/>
        </w:rPr>
        <w:t>.</w:t>
      </w:r>
    </w:p>
    <w:p w14:paraId="69D4A31C" w14:textId="77777777" w:rsidR="009320E7" w:rsidRPr="00450FE9" w:rsidRDefault="009320E7" w:rsidP="00E10652">
      <w:pPr>
        <w:tabs>
          <w:tab w:val="left" w:pos="851"/>
          <w:tab w:val="left" w:pos="9639"/>
        </w:tabs>
        <w:spacing w:before="0" w:after="60"/>
        <w:jc w:val="both"/>
        <w:rPr>
          <w:rFonts w:ascii="Arial" w:hAnsi="Arial" w:cs="Arial"/>
          <w:iCs/>
          <w:sz w:val="18"/>
          <w:szCs w:val="21"/>
        </w:rPr>
      </w:pPr>
    </w:p>
    <w:p w14:paraId="1D825A17" w14:textId="5A1EEB5E" w:rsidR="00373F6B" w:rsidRPr="00C8504B" w:rsidRDefault="00373F6B" w:rsidP="00E10652">
      <w:pPr>
        <w:spacing w:before="0" w:after="60"/>
        <w:jc w:val="both"/>
        <w:rPr>
          <w:rFonts w:ascii="Arial Narrow" w:hAnsi="Arial Narrow" w:cs="Arial"/>
          <w:color w:val="5F5F5F"/>
          <w:sz w:val="22"/>
          <w:szCs w:val="22"/>
        </w:rPr>
      </w:pPr>
      <w:r w:rsidRPr="00C8504B">
        <w:rPr>
          <w:rFonts w:ascii="Arial Narrow" w:hAnsi="Arial Narrow" w:cs="Arial"/>
          <w:b/>
          <w:color w:val="E42618"/>
          <w:kern w:val="0"/>
          <w:sz w:val="22"/>
          <w:szCs w:val="22"/>
        </w:rPr>
        <w:t>PROSPETTO</w:t>
      </w:r>
      <w:r w:rsidR="00E74721" w:rsidRPr="00C8504B">
        <w:rPr>
          <w:rFonts w:ascii="Arial Narrow" w:hAnsi="Arial Narrow" w:cs="Arial"/>
          <w:b/>
          <w:color w:val="E42618"/>
          <w:kern w:val="0"/>
          <w:sz w:val="22"/>
          <w:szCs w:val="22"/>
        </w:rPr>
        <w:t xml:space="preserve"> 6</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PER DIVISIONE DI SPESA</w:t>
      </w:r>
      <w:r w:rsidR="00AB4D53" w:rsidRPr="00C8504B">
        <w:rPr>
          <w:rFonts w:ascii="Arial Narrow" w:hAnsi="Arial Narrow" w:cs="Arial"/>
          <w:b/>
          <w:color w:val="5F5F5F"/>
        </w:rPr>
        <w:br/>
      </w:r>
      <w:r w:rsidR="005E64FE">
        <w:rPr>
          <w:rFonts w:ascii="Arial Narrow" w:hAnsi="Arial Narrow" w:cs="Arial"/>
          <w:color w:val="5F5F5F"/>
        </w:rPr>
        <w:t>Novembre</w:t>
      </w:r>
      <w:r w:rsidR="00BB67EC">
        <w:rPr>
          <w:rFonts w:ascii="Arial Narrow" w:hAnsi="Arial Narrow" w:cs="Arial"/>
          <w:color w:val="5F5F5F"/>
        </w:rPr>
        <w:t xml:space="preserve"> 2025</w:t>
      </w:r>
      <w:r w:rsidRPr="00C8504B">
        <w:rPr>
          <w:rFonts w:ascii="Arial Narrow" w:hAnsi="Arial Narrow" w:cs="Arial"/>
          <w:color w:val="5F5F5F"/>
        </w:rPr>
        <w:t>, pesi e variazioni percentuali</w:t>
      </w:r>
      <w:r w:rsidR="00625F9C" w:rsidRPr="00C8504B">
        <w:rPr>
          <w:rFonts w:ascii="Arial Narrow" w:hAnsi="Arial Narrow" w:cs="Arial"/>
          <w:color w:val="5F5F5F"/>
        </w:rPr>
        <w:t xml:space="preserve"> </w:t>
      </w:r>
      <w:r w:rsidR="00AD29B6" w:rsidRPr="00C8504B">
        <w:rPr>
          <w:rFonts w:ascii="Arial Narrow" w:hAnsi="Arial Narrow" w:cs="Arial"/>
          <w:color w:val="5F5F5F"/>
        </w:rPr>
        <w:t>congiunturali</w:t>
      </w:r>
      <w:r w:rsidR="00625F9C" w:rsidRPr="00C8504B">
        <w:rPr>
          <w:rFonts w:ascii="Arial Narrow" w:hAnsi="Arial Narrow" w:cs="Arial"/>
          <w:color w:val="5F5F5F"/>
        </w:rPr>
        <w:t xml:space="preserve"> e tendenziali</w:t>
      </w:r>
      <w:r w:rsidRPr="00C8504B">
        <w:rPr>
          <w:rFonts w:ascii="Arial Narrow" w:hAnsi="Arial Narrow" w:cs="Arial"/>
          <w:color w:val="5F5F5F"/>
        </w:rPr>
        <w:t xml:space="preserve"> (base 2015=100</w:t>
      </w:r>
      <w:r w:rsidRPr="00C8504B">
        <w:rPr>
          <w:rFonts w:ascii="Arial Narrow" w:hAnsi="Arial Narrow" w:cs="Arial"/>
          <w:color w:val="5F5F5F"/>
          <w:sz w:val="22"/>
          <w:szCs w:val="22"/>
        </w:rPr>
        <w:t xml:space="preserve">) </w:t>
      </w:r>
    </w:p>
    <w:tbl>
      <w:tblPr>
        <w:tblW w:w="10237" w:type="dxa"/>
        <w:jc w:val="center"/>
        <w:tblBorders>
          <w:top w:val="single" w:sz="4" w:space="0" w:color="080808"/>
          <w:bottom w:val="single" w:sz="4" w:space="0" w:color="080808"/>
          <w:insideH w:val="single" w:sz="4" w:space="0" w:color="080808"/>
        </w:tblBorders>
        <w:tblCellMar>
          <w:left w:w="70" w:type="dxa"/>
          <w:right w:w="0" w:type="dxa"/>
        </w:tblCellMar>
        <w:tblLook w:val="0000" w:firstRow="0" w:lastRow="0" w:firstColumn="0" w:lastColumn="0" w:noHBand="0" w:noVBand="0"/>
      </w:tblPr>
      <w:tblGrid>
        <w:gridCol w:w="3593"/>
        <w:gridCol w:w="1294"/>
        <w:gridCol w:w="1080"/>
        <w:gridCol w:w="69"/>
        <w:gridCol w:w="1005"/>
        <w:gridCol w:w="62"/>
        <w:gridCol w:w="1087"/>
        <w:gridCol w:w="62"/>
        <w:gridCol w:w="934"/>
        <w:gridCol w:w="1051"/>
      </w:tblGrid>
      <w:tr w:rsidR="00B519DC" w:rsidRPr="00C8504B" w14:paraId="43A9A5F8" w14:textId="77777777" w:rsidTr="006651AB">
        <w:trPr>
          <w:trHeight w:val="347"/>
          <w:jc w:val="center"/>
        </w:trPr>
        <w:tc>
          <w:tcPr>
            <w:tcW w:w="3593" w:type="dxa"/>
            <w:vMerge w:val="restart"/>
            <w:vAlign w:val="center"/>
          </w:tcPr>
          <w:p w14:paraId="2CC6F3EE" w14:textId="77777777" w:rsidR="00B519DC" w:rsidRPr="00C8504B" w:rsidRDefault="00B519DC" w:rsidP="006651AB">
            <w:pPr>
              <w:spacing w:before="40" w:after="20"/>
              <w:ind w:left="-57"/>
              <w:rPr>
                <w:rFonts w:ascii="Arial Narrow" w:hAnsi="Arial Narrow" w:cs="Arial"/>
                <w:bCs/>
                <w:sz w:val="18"/>
                <w:szCs w:val="18"/>
              </w:rPr>
            </w:pPr>
            <w:r w:rsidRPr="00C8504B">
              <w:rPr>
                <w:rFonts w:ascii="Arial Narrow" w:hAnsi="Arial Narrow" w:cs="Arial"/>
                <w:b/>
                <w:bCs/>
                <w:sz w:val="18"/>
                <w:szCs w:val="18"/>
              </w:rPr>
              <w:t>DIVISIONI DI SPESA</w:t>
            </w:r>
          </w:p>
        </w:tc>
        <w:tc>
          <w:tcPr>
            <w:tcW w:w="1294" w:type="dxa"/>
            <w:vMerge w:val="restart"/>
            <w:shd w:val="clear" w:color="auto" w:fill="D9D9D9"/>
            <w:vAlign w:val="center"/>
          </w:tcPr>
          <w:p w14:paraId="6788C78D" w14:textId="77777777" w:rsidR="00B519DC" w:rsidRPr="00C8504B" w:rsidRDefault="00B519DC" w:rsidP="006651AB">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2154" w:type="dxa"/>
            <w:gridSpan w:val="3"/>
            <w:vAlign w:val="center"/>
          </w:tcPr>
          <w:p w14:paraId="055C611D" w14:textId="77777777" w:rsidR="00B519DC" w:rsidRPr="00C8504B" w:rsidRDefault="00B519DC" w:rsidP="006651AB">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2145" w:type="dxa"/>
            <w:gridSpan w:val="4"/>
            <w:shd w:val="clear" w:color="auto" w:fill="D9D9D9"/>
            <w:vAlign w:val="center"/>
          </w:tcPr>
          <w:p w14:paraId="440656CC" w14:textId="77777777" w:rsidR="00B519DC" w:rsidRPr="00C8504B" w:rsidRDefault="00B519DC" w:rsidP="006651AB">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051" w:type="dxa"/>
            <w:vMerge w:val="restart"/>
            <w:vAlign w:val="center"/>
          </w:tcPr>
          <w:p w14:paraId="423CB1F7" w14:textId="77777777" w:rsidR="008D51D5" w:rsidRDefault="00B519DC" w:rsidP="00074B17">
            <w:pPr>
              <w:spacing w:before="40" w:after="20"/>
              <w:jc w:val="right"/>
              <w:rPr>
                <w:rFonts w:ascii="Arial Narrow" w:hAnsi="Arial Narrow" w:cs="Arial"/>
                <w:b/>
                <w:bCs/>
                <w:kern w:val="0"/>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p>
          <w:p w14:paraId="2D84331D" w14:textId="3EB93F60" w:rsidR="00B519DC" w:rsidRPr="00C8504B" w:rsidRDefault="00B519DC" w:rsidP="00352237">
            <w:pPr>
              <w:spacing w:before="40" w:after="20"/>
              <w:jc w:val="right"/>
              <w:rPr>
                <w:rFonts w:ascii="Arial Narrow" w:hAnsi="Arial Narrow" w:cs="Arial"/>
                <w:b/>
                <w:bCs/>
                <w:sz w:val="18"/>
                <w:szCs w:val="18"/>
              </w:rPr>
            </w:pP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w:t>
            </w:r>
            <w:r w:rsidR="00200BC8">
              <w:rPr>
                <w:rFonts w:ascii="Arial Narrow" w:hAnsi="Arial Narrow" w:cs="Arial"/>
                <w:b/>
                <w:bCs/>
                <w:kern w:val="0"/>
                <w:sz w:val="18"/>
                <w:szCs w:val="18"/>
              </w:rPr>
              <w:t xml:space="preserve"> </w:t>
            </w:r>
            <w:r w:rsidR="005E64FE">
              <w:rPr>
                <w:rFonts w:ascii="Arial Narrow" w:hAnsi="Arial Narrow" w:cs="Arial"/>
                <w:b/>
                <w:bCs/>
                <w:kern w:val="0"/>
                <w:sz w:val="18"/>
                <w:szCs w:val="18"/>
              </w:rPr>
              <w:t>novembre</w:t>
            </w:r>
          </w:p>
        </w:tc>
      </w:tr>
      <w:tr w:rsidR="00200BC8" w:rsidRPr="00C8504B" w14:paraId="409CF062" w14:textId="77777777" w:rsidTr="006651AB">
        <w:trPr>
          <w:trHeight w:val="346"/>
          <w:jc w:val="center"/>
        </w:trPr>
        <w:tc>
          <w:tcPr>
            <w:tcW w:w="3593" w:type="dxa"/>
            <w:vMerge/>
            <w:vAlign w:val="center"/>
          </w:tcPr>
          <w:p w14:paraId="5E50EB0A" w14:textId="77777777" w:rsidR="00200BC8" w:rsidRPr="00C8504B" w:rsidRDefault="00200BC8" w:rsidP="00200BC8">
            <w:pPr>
              <w:spacing w:before="40" w:after="20"/>
              <w:ind w:left="-57"/>
              <w:rPr>
                <w:rFonts w:ascii="Arial Narrow" w:hAnsi="Arial Narrow" w:cs="Arial"/>
                <w:b/>
                <w:bCs/>
                <w:sz w:val="18"/>
                <w:szCs w:val="18"/>
              </w:rPr>
            </w:pPr>
          </w:p>
        </w:tc>
        <w:tc>
          <w:tcPr>
            <w:tcW w:w="1294" w:type="dxa"/>
            <w:vMerge/>
            <w:shd w:val="clear" w:color="auto" w:fill="D9D9D9"/>
            <w:vAlign w:val="center"/>
          </w:tcPr>
          <w:p w14:paraId="6155D791" w14:textId="77777777" w:rsidR="00200BC8" w:rsidRPr="00C8504B" w:rsidRDefault="00200BC8" w:rsidP="00200BC8">
            <w:pPr>
              <w:spacing w:before="40" w:after="20"/>
              <w:ind w:right="57"/>
              <w:jc w:val="right"/>
              <w:rPr>
                <w:rFonts w:ascii="Arial Narrow" w:hAnsi="Arial Narrow" w:cs="Arial"/>
                <w:b/>
                <w:bCs/>
                <w:sz w:val="18"/>
                <w:szCs w:val="18"/>
              </w:rPr>
            </w:pPr>
          </w:p>
        </w:tc>
        <w:tc>
          <w:tcPr>
            <w:tcW w:w="1149" w:type="dxa"/>
            <w:gridSpan w:val="2"/>
            <w:vAlign w:val="center"/>
          </w:tcPr>
          <w:p w14:paraId="05966B8F" w14:textId="22CD9C21" w:rsidR="00200BC8" w:rsidRDefault="005E64FE"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200BC8">
              <w:rPr>
                <w:rFonts w:ascii="Arial Narrow" w:hAnsi="Arial Narrow" w:cs="Arial"/>
                <w:kern w:val="0"/>
                <w:sz w:val="18"/>
                <w:szCs w:val="18"/>
                <w:u w:val="single"/>
              </w:rPr>
              <w:t>-25</w:t>
            </w:r>
          </w:p>
          <w:p w14:paraId="4EC06181" w14:textId="5279B850" w:rsidR="00200BC8" w:rsidRPr="00E03E58" w:rsidRDefault="005E64FE" w:rsidP="00200BC8">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ott</w:t>
            </w:r>
            <w:r w:rsidR="00200BC8">
              <w:rPr>
                <w:rFonts w:ascii="Arial Narrow" w:hAnsi="Arial Narrow" w:cs="Arial"/>
                <w:kern w:val="0"/>
                <w:sz w:val="18"/>
                <w:szCs w:val="18"/>
              </w:rPr>
              <w:t>-25</w:t>
            </w:r>
          </w:p>
        </w:tc>
        <w:tc>
          <w:tcPr>
            <w:tcW w:w="1005" w:type="dxa"/>
            <w:vAlign w:val="center"/>
          </w:tcPr>
          <w:p w14:paraId="092DB9D3" w14:textId="3EE3AD33" w:rsidR="00200BC8" w:rsidRDefault="005E64FE"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200BC8">
              <w:rPr>
                <w:rFonts w:ascii="Arial Narrow" w:hAnsi="Arial Narrow" w:cs="Arial"/>
                <w:kern w:val="0"/>
                <w:sz w:val="18"/>
                <w:szCs w:val="18"/>
                <w:u w:val="single"/>
              </w:rPr>
              <w:t>-24</w:t>
            </w:r>
          </w:p>
          <w:p w14:paraId="76E5BA9D" w14:textId="7FBBB00E" w:rsidR="00200BC8" w:rsidRPr="008814F3" w:rsidRDefault="005E64FE"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w:t>
            </w:r>
            <w:r w:rsidR="00200BC8">
              <w:rPr>
                <w:rFonts w:ascii="Arial Narrow" w:hAnsi="Arial Narrow" w:cs="Arial"/>
                <w:kern w:val="0"/>
                <w:sz w:val="18"/>
                <w:szCs w:val="18"/>
              </w:rPr>
              <w:t>-24</w:t>
            </w:r>
          </w:p>
        </w:tc>
        <w:tc>
          <w:tcPr>
            <w:tcW w:w="1149" w:type="dxa"/>
            <w:gridSpan w:val="2"/>
            <w:vAlign w:val="center"/>
          </w:tcPr>
          <w:p w14:paraId="2AFEC50F" w14:textId="6A29BDE1" w:rsidR="00200BC8" w:rsidRDefault="005E64FE"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w:t>
            </w:r>
            <w:r w:rsidR="00200BC8">
              <w:rPr>
                <w:rFonts w:ascii="Arial Narrow" w:hAnsi="Arial Narrow" w:cs="Arial"/>
                <w:kern w:val="0"/>
                <w:sz w:val="18"/>
                <w:szCs w:val="18"/>
                <w:u w:val="single"/>
              </w:rPr>
              <w:t>-25</w:t>
            </w:r>
          </w:p>
          <w:p w14:paraId="1C94DC3D" w14:textId="55D5620D" w:rsidR="00200BC8" w:rsidRPr="008814F3" w:rsidRDefault="005E64FE"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w:t>
            </w:r>
            <w:r w:rsidR="00200BC8">
              <w:rPr>
                <w:rFonts w:ascii="Arial Narrow" w:hAnsi="Arial Narrow" w:cs="Arial"/>
                <w:kern w:val="0"/>
                <w:sz w:val="18"/>
                <w:szCs w:val="18"/>
              </w:rPr>
              <w:t>-24</w:t>
            </w:r>
          </w:p>
        </w:tc>
        <w:tc>
          <w:tcPr>
            <w:tcW w:w="996" w:type="dxa"/>
            <w:gridSpan w:val="2"/>
            <w:vAlign w:val="center"/>
          </w:tcPr>
          <w:p w14:paraId="4C980141" w14:textId="1FA03AF6" w:rsidR="00200BC8" w:rsidRDefault="005E64FE"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w:t>
            </w:r>
            <w:r w:rsidR="00200BC8">
              <w:rPr>
                <w:rFonts w:ascii="Arial Narrow" w:hAnsi="Arial Narrow" w:cs="Arial"/>
                <w:kern w:val="0"/>
                <w:sz w:val="18"/>
                <w:szCs w:val="18"/>
                <w:u w:val="single"/>
              </w:rPr>
              <w:t>-25</w:t>
            </w:r>
          </w:p>
          <w:p w14:paraId="2E89D083" w14:textId="79659BDE" w:rsidR="00200BC8" w:rsidRPr="008814F3" w:rsidRDefault="005E64FE" w:rsidP="00200BC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w:t>
            </w:r>
            <w:r w:rsidR="00200BC8">
              <w:rPr>
                <w:rFonts w:ascii="Arial Narrow" w:hAnsi="Arial Narrow" w:cs="Arial"/>
                <w:kern w:val="0"/>
                <w:sz w:val="18"/>
                <w:szCs w:val="18"/>
              </w:rPr>
              <w:t>-24</w:t>
            </w:r>
          </w:p>
        </w:tc>
        <w:tc>
          <w:tcPr>
            <w:tcW w:w="1051" w:type="dxa"/>
            <w:vMerge/>
            <w:vAlign w:val="center"/>
          </w:tcPr>
          <w:p w14:paraId="78110941" w14:textId="77777777" w:rsidR="00200BC8" w:rsidRPr="00F86CA5" w:rsidRDefault="00200BC8" w:rsidP="00200BC8">
            <w:pPr>
              <w:spacing w:before="40" w:after="20"/>
              <w:jc w:val="right"/>
              <w:rPr>
                <w:rFonts w:ascii="Arial Narrow" w:hAnsi="Arial Narrow" w:cs="Arial"/>
                <w:b/>
                <w:bCs/>
                <w:sz w:val="18"/>
                <w:szCs w:val="18"/>
              </w:rPr>
            </w:pPr>
          </w:p>
        </w:tc>
      </w:tr>
      <w:tr w:rsidR="0033628C" w:rsidRPr="00C8504B" w14:paraId="369DBC86" w14:textId="77777777" w:rsidTr="0033628C">
        <w:trPr>
          <w:trHeight w:val="255"/>
          <w:jc w:val="center"/>
        </w:trPr>
        <w:tc>
          <w:tcPr>
            <w:tcW w:w="3593" w:type="dxa"/>
            <w:vAlign w:val="center"/>
          </w:tcPr>
          <w:p w14:paraId="5FBEBD7C"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Prodotti alimentari e bevande analcoliche</w:t>
            </w:r>
          </w:p>
        </w:tc>
        <w:tc>
          <w:tcPr>
            <w:tcW w:w="1294" w:type="dxa"/>
            <w:shd w:val="clear" w:color="auto" w:fill="D9D9D9"/>
            <w:vAlign w:val="center"/>
          </w:tcPr>
          <w:p w14:paraId="33782EBD"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181.425</w:t>
            </w:r>
          </w:p>
        </w:tc>
        <w:tc>
          <w:tcPr>
            <w:tcW w:w="1080" w:type="dxa"/>
            <w:vAlign w:val="center"/>
          </w:tcPr>
          <w:p w14:paraId="24A5E9B2" w14:textId="1574122D"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+0,1</w:t>
            </w:r>
          </w:p>
        </w:tc>
        <w:tc>
          <w:tcPr>
            <w:tcW w:w="1136" w:type="dxa"/>
            <w:gridSpan w:val="3"/>
            <w:shd w:val="clear" w:color="auto" w:fill="D9D9D9"/>
            <w:tcMar>
              <w:left w:w="28" w:type="dxa"/>
              <w:right w:w="85" w:type="dxa"/>
            </w:tcMar>
            <w:vAlign w:val="center"/>
          </w:tcPr>
          <w:p w14:paraId="0C030DC3" w14:textId="4B7FDE8C"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+0,8</w:t>
            </w:r>
          </w:p>
        </w:tc>
        <w:tc>
          <w:tcPr>
            <w:tcW w:w="1149" w:type="dxa"/>
            <w:gridSpan w:val="2"/>
            <w:vAlign w:val="center"/>
          </w:tcPr>
          <w:p w14:paraId="6C3398E0" w14:textId="4E2EDFF0"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+1,9</w:t>
            </w:r>
          </w:p>
        </w:tc>
        <w:tc>
          <w:tcPr>
            <w:tcW w:w="934" w:type="dxa"/>
            <w:shd w:val="clear" w:color="auto" w:fill="D9D9D9"/>
            <w:vAlign w:val="center"/>
          </w:tcPr>
          <w:p w14:paraId="127CBB92" w14:textId="19B89CC9"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+2,6</w:t>
            </w:r>
          </w:p>
        </w:tc>
        <w:tc>
          <w:tcPr>
            <w:tcW w:w="1051" w:type="dxa"/>
            <w:tcMar>
              <w:right w:w="68" w:type="dxa"/>
            </w:tcMar>
            <w:vAlign w:val="center"/>
          </w:tcPr>
          <w:p w14:paraId="56347C9F" w14:textId="38B60041"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+3,0</w:t>
            </w:r>
          </w:p>
        </w:tc>
      </w:tr>
      <w:tr w:rsidR="0033628C" w:rsidRPr="00C8504B" w14:paraId="452847C3" w14:textId="77777777" w:rsidTr="0033628C">
        <w:trPr>
          <w:trHeight w:val="255"/>
          <w:jc w:val="center"/>
        </w:trPr>
        <w:tc>
          <w:tcPr>
            <w:tcW w:w="3593" w:type="dxa"/>
            <w:vAlign w:val="center"/>
          </w:tcPr>
          <w:p w14:paraId="5C563592"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Bevande alcoliche e tabacchi</w:t>
            </w:r>
          </w:p>
        </w:tc>
        <w:tc>
          <w:tcPr>
            <w:tcW w:w="1294" w:type="dxa"/>
            <w:shd w:val="clear" w:color="auto" w:fill="D9D9D9"/>
            <w:vAlign w:val="center"/>
          </w:tcPr>
          <w:p w14:paraId="72521A85"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31.911</w:t>
            </w:r>
          </w:p>
        </w:tc>
        <w:tc>
          <w:tcPr>
            <w:tcW w:w="1080" w:type="dxa"/>
            <w:vAlign w:val="center"/>
          </w:tcPr>
          <w:p w14:paraId="52D06384" w14:textId="305B5D8F"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0,0</w:t>
            </w:r>
          </w:p>
        </w:tc>
        <w:tc>
          <w:tcPr>
            <w:tcW w:w="1136" w:type="dxa"/>
            <w:gridSpan w:val="3"/>
            <w:shd w:val="clear" w:color="auto" w:fill="D9D9D9"/>
            <w:tcMar>
              <w:left w:w="28" w:type="dxa"/>
              <w:right w:w="85" w:type="dxa"/>
            </w:tcMar>
            <w:vAlign w:val="center"/>
          </w:tcPr>
          <w:p w14:paraId="1F869AE4" w14:textId="572719C0"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+0,1</w:t>
            </w:r>
          </w:p>
        </w:tc>
        <w:tc>
          <w:tcPr>
            <w:tcW w:w="1149" w:type="dxa"/>
            <w:gridSpan w:val="2"/>
            <w:vAlign w:val="center"/>
          </w:tcPr>
          <w:p w14:paraId="09F0F1CD" w14:textId="19939010"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+1,9</w:t>
            </w:r>
          </w:p>
        </w:tc>
        <w:tc>
          <w:tcPr>
            <w:tcW w:w="934" w:type="dxa"/>
            <w:shd w:val="clear" w:color="auto" w:fill="D9D9D9"/>
            <w:vAlign w:val="center"/>
          </w:tcPr>
          <w:p w14:paraId="7B78F832" w14:textId="270264B1"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+1,9</w:t>
            </w:r>
          </w:p>
        </w:tc>
        <w:tc>
          <w:tcPr>
            <w:tcW w:w="1051" w:type="dxa"/>
            <w:tcMar>
              <w:right w:w="68" w:type="dxa"/>
            </w:tcMar>
            <w:vAlign w:val="center"/>
          </w:tcPr>
          <w:p w14:paraId="6AD6953D" w14:textId="4BD41A1F"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+2,2</w:t>
            </w:r>
          </w:p>
        </w:tc>
      </w:tr>
      <w:tr w:rsidR="0033628C" w:rsidRPr="00C8504B" w14:paraId="1DE64272" w14:textId="77777777" w:rsidTr="0033628C">
        <w:trPr>
          <w:trHeight w:val="255"/>
          <w:jc w:val="center"/>
        </w:trPr>
        <w:tc>
          <w:tcPr>
            <w:tcW w:w="3593" w:type="dxa"/>
            <w:vAlign w:val="center"/>
          </w:tcPr>
          <w:p w14:paraId="3555CE65"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Abbigliamento e calzature</w:t>
            </w:r>
          </w:p>
        </w:tc>
        <w:tc>
          <w:tcPr>
            <w:tcW w:w="1294" w:type="dxa"/>
            <w:shd w:val="clear" w:color="auto" w:fill="D9D9D9"/>
            <w:vAlign w:val="center"/>
          </w:tcPr>
          <w:p w14:paraId="37DBC844"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67.911</w:t>
            </w:r>
          </w:p>
        </w:tc>
        <w:tc>
          <w:tcPr>
            <w:tcW w:w="1080" w:type="dxa"/>
            <w:vAlign w:val="center"/>
          </w:tcPr>
          <w:p w14:paraId="059EAECD" w14:textId="0DD85CF3"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+0,2</w:t>
            </w:r>
          </w:p>
        </w:tc>
        <w:tc>
          <w:tcPr>
            <w:tcW w:w="1136" w:type="dxa"/>
            <w:gridSpan w:val="3"/>
            <w:shd w:val="clear" w:color="auto" w:fill="D9D9D9"/>
            <w:tcMar>
              <w:left w:w="28" w:type="dxa"/>
              <w:right w:w="85" w:type="dxa"/>
            </w:tcMar>
            <w:vAlign w:val="center"/>
          </w:tcPr>
          <w:p w14:paraId="33A496A3" w14:textId="08A21A2E"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-0,1</w:t>
            </w:r>
          </w:p>
        </w:tc>
        <w:tc>
          <w:tcPr>
            <w:tcW w:w="1149" w:type="dxa"/>
            <w:gridSpan w:val="2"/>
            <w:vAlign w:val="center"/>
          </w:tcPr>
          <w:p w14:paraId="4C33AC7A" w14:textId="35B6140A"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+1,0</w:t>
            </w:r>
          </w:p>
        </w:tc>
        <w:tc>
          <w:tcPr>
            <w:tcW w:w="934" w:type="dxa"/>
            <w:shd w:val="clear" w:color="auto" w:fill="D9D9D9"/>
            <w:vAlign w:val="center"/>
          </w:tcPr>
          <w:p w14:paraId="756CA62C" w14:textId="142B494E"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+0,8</w:t>
            </w:r>
          </w:p>
        </w:tc>
        <w:tc>
          <w:tcPr>
            <w:tcW w:w="1051" w:type="dxa"/>
            <w:tcMar>
              <w:right w:w="68" w:type="dxa"/>
            </w:tcMar>
            <w:vAlign w:val="center"/>
          </w:tcPr>
          <w:p w14:paraId="642FEEBA" w14:textId="56922317"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+0,9</w:t>
            </w:r>
          </w:p>
        </w:tc>
      </w:tr>
      <w:tr w:rsidR="0033628C" w:rsidRPr="00C8504B" w14:paraId="527C2E1B" w14:textId="77777777" w:rsidTr="0033628C">
        <w:trPr>
          <w:trHeight w:val="255"/>
          <w:jc w:val="center"/>
        </w:trPr>
        <w:tc>
          <w:tcPr>
            <w:tcW w:w="3593" w:type="dxa"/>
            <w:vAlign w:val="center"/>
          </w:tcPr>
          <w:p w14:paraId="258FBFF8"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Abitazione, acqua, elettricità e combustibili</w:t>
            </w:r>
          </w:p>
        </w:tc>
        <w:tc>
          <w:tcPr>
            <w:tcW w:w="1294" w:type="dxa"/>
            <w:shd w:val="clear" w:color="auto" w:fill="D9D9D9"/>
            <w:vAlign w:val="center"/>
          </w:tcPr>
          <w:p w14:paraId="16C45B8C"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126.003</w:t>
            </w:r>
          </w:p>
        </w:tc>
        <w:tc>
          <w:tcPr>
            <w:tcW w:w="1080" w:type="dxa"/>
            <w:vAlign w:val="center"/>
          </w:tcPr>
          <w:p w14:paraId="05F8C428" w14:textId="5879FD31"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+0,1</w:t>
            </w:r>
          </w:p>
        </w:tc>
        <w:tc>
          <w:tcPr>
            <w:tcW w:w="1136" w:type="dxa"/>
            <w:gridSpan w:val="3"/>
            <w:shd w:val="clear" w:color="auto" w:fill="D9D9D9"/>
            <w:tcMar>
              <w:left w:w="28" w:type="dxa"/>
              <w:right w:w="85" w:type="dxa"/>
            </w:tcMar>
            <w:vAlign w:val="center"/>
          </w:tcPr>
          <w:p w14:paraId="3389F225" w14:textId="3D9C3CDE"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+0,3</w:t>
            </w:r>
          </w:p>
        </w:tc>
        <w:tc>
          <w:tcPr>
            <w:tcW w:w="1149" w:type="dxa"/>
            <w:gridSpan w:val="2"/>
            <w:vAlign w:val="center"/>
          </w:tcPr>
          <w:p w14:paraId="4E1B5772" w14:textId="4FB8CA2B"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-1,9</w:t>
            </w:r>
          </w:p>
        </w:tc>
        <w:tc>
          <w:tcPr>
            <w:tcW w:w="934" w:type="dxa"/>
            <w:shd w:val="clear" w:color="auto" w:fill="D9D9D9"/>
            <w:vAlign w:val="center"/>
          </w:tcPr>
          <w:p w14:paraId="09F6A0BC" w14:textId="08F15FC0"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-1,7</w:t>
            </w:r>
          </w:p>
        </w:tc>
        <w:tc>
          <w:tcPr>
            <w:tcW w:w="1051" w:type="dxa"/>
            <w:tcMar>
              <w:right w:w="68" w:type="dxa"/>
            </w:tcMar>
            <w:vAlign w:val="center"/>
          </w:tcPr>
          <w:p w14:paraId="55810A7D" w14:textId="3B9D84EA"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+1,1</w:t>
            </w:r>
          </w:p>
        </w:tc>
      </w:tr>
      <w:tr w:rsidR="0033628C" w:rsidRPr="00C8504B" w14:paraId="727B5833" w14:textId="77777777" w:rsidTr="0033628C">
        <w:trPr>
          <w:trHeight w:val="255"/>
          <w:jc w:val="center"/>
        </w:trPr>
        <w:tc>
          <w:tcPr>
            <w:tcW w:w="3593" w:type="dxa"/>
            <w:vAlign w:val="center"/>
          </w:tcPr>
          <w:p w14:paraId="0101B3B4"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Mobili, articoli e servizi per la casa</w:t>
            </w:r>
          </w:p>
        </w:tc>
        <w:tc>
          <w:tcPr>
            <w:tcW w:w="1294" w:type="dxa"/>
            <w:shd w:val="clear" w:color="auto" w:fill="D9D9D9"/>
            <w:vAlign w:val="center"/>
          </w:tcPr>
          <w:p w14:paraId="3957B777"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72.823</w:t>
            </w:r>
          </w:p>
        </w:tc>
        <w:tc>
          <w:tcPr>
            <w:tcW w:w="1080" w:type="dxa"/>
            <w:vAlign w:val="center"/>
          </w:tcPr>
          <w:p w14:paraId="7526171C" w14:textId="2C6F4825"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+0,1</w:t>
            </w:r>
          </w:p>
        </w:tc>
        <w:tc>
          <w:tcPr>
            <w:tcW w:w="1136" w:type="dxa"/>
            <w:gridSpan w:val="3"/>
            <w:shd w:val="clear" w:color="auto" w:fill="D9D9D9"/>
            <w:tcMar>
              <w:left w:w="28" w:type="dxa"/>
              <w:right w:w="85" w:type="dxa"/>
            </w:tcMar>
            <w:vAlign w:val="center"/>
          </w:tcPr>
          <w:p w14:paraId="51519265" w14:textId="6D51EB96"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+0,3</w:t>
            </w:r>
          </w:p>
        </w:tc>
        <w:tc>
          <w:tcPr>
            <w:tcW w:w="1149" w:type="dxa"/>
            <w:gridSpan w:val="2"/>
            <w:vAlign w:val="center"/>
          </w:tcPr>
          <w:p w14:paraId="416A0508" w14:textId="5F5C1A65"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+0,3</w:t>
            </w:r>
          </w:p>
        </w:tc>
        <w:tc>
          <w:tcPr>
            <w:tcW w:w="934" w:type="dxa"/>
            <w:shd w:val="clear" w:color="auto" w:fill="D9D9D9"/>
            <w:vAlign w:val="center"/>
          </w:tcPr>
          <w:p w14:paraId="1B4FE3AB" w14:textId="600DEAE3"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+0,4</w:t>
            </w:r>
          </w:p>
        </w:tc>
        <w:tc>
          <w:tcPr>
            <w:tcW w:w="1051" w:type="dxa"/>
            <w:tcMar>
              <w:right w:w="68" w:type="dxa"/>
            </w:tcMar>
            <w:vAlign w:val="center"/>
          </w:tcPr>
          <w:p w14:paraId="62DDCFD7" w14:textId="3996416B"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+0,5</w:t>
            </w:r>
          </w:p>
        </w:tc>
      </w:tr>
      <w:tr w:rsidR="0033628C" w:rsidRPr="00C8504B" w14:paraId="614E0E0E" w14:textId="77777777" w:rsidTr="0033628C">
        <w:trPr>
          <w:trHeight w:val="255"/>
          <w:jc w:val="center"/>
        </w:trPr>
        <w:tc>
          <w:tcPr>
            <w:tcW w:w="3593" w:type="dxa"/>
            <w:vAlign w:val="center"/>
          </w:tcPr>
          <w:p w14:paraId="00F3885A"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Servizi sanitari e spese per la salute</w:t>
            </w:r>
          </w:p>
        </w:tc>
        <w:tc>
          <w:tcPr>
            <w:tcW w:w="1294" w:type="dxa"/>
            <w:shd w:val="clear" w:color="auto" w:fill="D9D9D9"/>
            <w:vAlign w:val="center"/>
          </w:tcPr>
          <w:p w14:paraId="19C2A6DC"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41.673</w:t>
            </w:r>
          </w:p>
        </w:tc>
        <w:tc>
          <w:tcPr>
            <w:tcW w:w="1080" w:type="dxa"/>
            <w:vAlign w:val="center"/>
          </w:tcPr>
          <w:p w14:paraId="5B88084F" w14:textId="61AF8038"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+0,3</w:t>
            </w:r>
          </w:p>
        </w:tc>
        <w:tc>
          <w:tcPr>
            <w:tcW w:w="1136" w:type="dxa"/>
            <w:gridSpan w:val="3"/>
            <w:shd w:val="clear" w:color="auto" w:fill="D9D9D9"/>
            <w:tcMar>
              <w:left w:w="28" w:type="dxa"/>
              <w:right w:w="85" w:type="dxa"/>
            </w:tcMar>
            <w:vAlign w:val="center"/>
          </w:tcPr>
          <w:p w14:paraId="0CB3A17F" w14:textId="602AC1A3"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0,0</w:t>
            </w:r>
          </w:p>
        </w:tc>
        <w:tc>
          <w:tcPr>
            <w:tcW w:w="1149" w:type="dxa"/>
            <w:gridSpan w:val="2"/>
            <w:vAlign w:val="center"/>
          </w:tcPr>
          <w:p w14:paraId="62473863" w14:textId="1400DE6E"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+3,0</w:t>
            </w:r>
          </w:p>
        </w:tc>
        <w:tc>
          <w:tcPr>
            <w:tcW w:w="934" w:type="dxa"/>
            <w:shd w:val="clear" w:color="auto" w:fill="D9D9D9"/>
            <w:vAlign w:val="center"/>
          </w:tcPr>
          <w:p w14:paraId="614B1118" w14:textId="45097291"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+2,7</w:t>
            </w:r>
          </w:p>
        </w:tc>
        <w:tc>
          <w:tcPr>
            <w:tcW w:w="1051" w:type="dxa"/>
            <w:tcMar>
              <w:right w:w="68" w:type="dxa"/>
            </w:tcMar>
            <w:vAlign w:val="center"/>
          </w:tcPr>
          <w:p w14:paraId="17DBAB79" w14:textId="526B42F6"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+2,8</w:t>
            </w:r>
          </w:p>
        </w:tc>
      </w:tr>
      <w:tr w:rsidR="0033628C" w:rsidRPr="00C8504B" w14:paraId="5E012517" w14:textId="77777777" w:rsidTr="0033628C">
        <w:trPr>
          <w:trHeight w:val="255"/>
          <w:jc w:val="center"/>
        </w:trPr>
        <w:tc>
          <w:tcPr>
            <w:tcW w:w="3593" w:type="dxa"/>
            <w:vAlign w:val="center"/>
          </w:tcPr>
          <w:p w14:paraId="0A7E2BC5"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Trasporti</w:t>
            </w:r>
          </w:p>
        </w:tc>
        <w:tc>
          <w:tcPr>
            <w:tcW w:w="1294" w:type="dxa"/>
            <w:shd w:val="clear" w:color="auto" w:fill="D9D9D9"/>
            <w:vAlign w:val="center"/>
          </w:tcPr>
          <w:p w14:paraId="2561E1A3"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160.891</w:t>
            </w:r>
          </w:p>
        </w:tc>
        <w:tc>
          <w:tcPr>
            <w:tcW w:w="1080" w:type="dxa"/>
            <w:vAlign w:val="center"/>
          </w:tcPr>
          <w:p w14:paraId="3719DF1D" w14:textId="02C5FE57"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-0,2</w:t>
            </w:r>
          </w:p>
        </w:tc>
        <w:tc>
          <w:tcPr>
            <w:tcW w:w="1136" w:type="dxa"/>
            <w:gridSpan w:val="3"/>
            <w:shd w:val="clear" w:color="auto" w:fill="D9D9D9"/>
            <w:tcMar>
              <w:left w:w="28" w:type="dxa"/>
              <w:right w:w="85" w:type="dxa"/>
            </w:tcMar>
            <w:vAlign w:val="center"/>
          </w:tcPr>
          <w:p w14:paraId="76913E83" w14:textId="23A574F5"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0,0</w:t>
            </w:r>
          </w:p>
        </w:tc>
        <w:tc>
          <w:tcPr>
            <w:tcW w:w="1149" w:type="dxa"/>
            <w:gridSpan w:val="2"/>
            <w:vAlign w:val="center"/>
          </w:tcPr>
          <w:p w14:paraId="3D1825C5" w14:textId="046B598C"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+0,1</w:t>
            </w:r>
          </w:p>
        </w:tc>
        <w:tc>
          <w:tcPr>
            <w:tcW w:w="934" w:type="dxa"/>
            <w:shd w:val="clear" w:color="auto" w:fill="D9D9D9"/>
            <w:vAlign w:val="center"/>
          </w:tcPr>
          <w:p w14:paraId="626DCBE8" w14:textId="14BC2C47"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+0,2</w:t>
            </w:r>
          </w:p>
        </w:tc>
        <w:tc>
          <w:tcPr>
            <w:tcW w:w="1051" w:type="dxa"/>
            <w:tcMar>
              <w:right w:w="68" w:type="dxa"/>
            </w:tcMar>
            <w:vAlign w:val="center"/>
          </w:tcPr>
          <w:p w14:paraId="29347F37" w14:textId="7227DAA1"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-0,4</w:t>
            </w:r>
          </w:p>
        </w:tc>
      </w:tr>
      <w:tr w:rsidR="0033628C" w:rsidRPr="00C8504B" w14:paraId="269DFB09" w14:textId="77777777" w:rsidTr="0033628C">
        <w:trPr>
          <w:trHeight w:val="255"/>
          <w:jc w:val="center"/>
        </w:trPr>
        <w:tc>
          <w:tcPr>
            <w:tcW w:w="3593" w:type="dxa"/>
            <w:vAlign w:val="center"/>
          </w:tcPr>
          <w:p w14:paraId="6CF8C177"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Comunicazioni</w:t>
            </w:r>
          </w:p>
        </w:tc>
        <w:tc>
          <w:tcPr>
            <w:tcW w:w="1294" w:type="dxa"/>
            <w:shd w:val="clear" w:color="auto" w:fill="D9D9D9"/>
            <w:vAlign w:val="center"/>
          </w:tcPr>
          <w:p w14:paraId="1E22D177"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20.303</w:t>
            </w:r>
          </w:p>
        </w:tc>
        <w:tc>
          <w:tcPr>
            <w:tcW w:w="1080" w:type="dxa"/>
            <w:vAlign w:val="center"/>
          </w:tcPr>
          <w:p w14:paraId="38CA96FA" w14:textId="29492412"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-0,9</w:t>
            </w:r>
          </w:p>
        </w:tc>
        <w:tc>
          <w:tcPr>
            <w:tcW w:w="1136" w:type="dxa"/>
            <w:gridSpan w:val="3"/>
            <w:shd w:val="clear" w:color="auto" w:fill="D9D9D9"/>
            <w:tcMar>
              <w:left w:w="28" w:type="dxa"/>
              <w:right w:w="85" w:type="dxa"/>
            </w:tcMar>
            <w:vAlign w:val="center"/>
          </w:tcPr>
          <w:p w14:paraId="4F0EB901" w14:textId="03488966"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-1,2</w:t>
            </w:r>
          </w:p>
        </w:tc>
        <w:tc>
          <w:tcPr>
            <w:tcW w:w="1149" w:type="dxa"/>
            <w:gridSpan w:val="2"/>
            <w:vAlign w:val="center"/>
          </w:tcPr>
          <w:p w14:paraId="02DC4072" w14:textId="73EECE87"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-4,7</w:t>
            </w:r>
          </w:p>
        </w:tc>
        <w:tc>
          <w:tcPr>
            <w:tcW w:w="934" w:type="dxa"/>
            <w:shd w:val="clear" w:color="auto" w:fill="D9D9D9"/>
            <w:vAlign w:val="center"/>
          </w:tcPr>
          <w:p w14:paraId="56A10A2A" w14:textId="67787DFC"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-5,1</w:t>
            </w:r>
          </w:p>
        </w:tc>
        <w:tc>
          <w:tcPr>
            <w:tcW w:w="1051" w:type="dxa"/>
            <w:tcMar>
              <w:right w:w="68" w:type="dxa"/>
            </w:tcMar>
            <w:vAlign w:val="center"/>
          </w:tcPr>
          <w:p w14:paraId="7B0FC24D" w14:textId="77DD5109"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-4,7</w:t>
            </w:r>
          </w:p>
        </w:tc>
      </w:tr>
      <w:tr w:rsidR="0033628C" w:rsidRPr="00C8504B" w14:paraId="26FEE689" w14:textId="77777777" w:rsidTr="0033628C">
        <w:trPr>
          <w:trHeight w:val="255"/>
          <w:jc w:val="center"/>
        </w:trPr>
        <w:tc>
          <w:tcPr>
            <w:tcW w:w="3593" w:type="dxa"/>
            <w:vAlign w:val="center"/>
          </w:tcPr>
          <w:p w14:paraId="15B453E0"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Ricreazione, spettacoli e cultura</w:t>
            </w:r>
          </w:p>
        </w:tc>
        <w:tc>
          <w:tcPr>
            <w:tcW w:w="1294" w:type="dxa"/>
            <w:shd w:val="clear" w:color="auto" w:fill="D9D9D9"/>
            <w:vAlign w:val="center"/>
          </w:tcPr>
          <w:p w14:paraId="4202766A"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58.814</w:t>
            </w:r>
          </w:p>
        </w:tc>
        <w:tc>
          <w:tcPr>
            <w:tcW w:w="1080" w:type="dxa"/>
            <w:vAlign w:val="center"/>
          </w:tcPr>
          <w:p w14:paraId="7385A9A1" w14:textId="7EBE5CEA"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-0,5</w:t>
            </w:r>
          </w:p>
        </w:tc>
        <w:tc>
          <w:tcPr>
            <w:tcW w:w="1136" w:type="dxa"/>
            <w:gridSpan w:val="3"/>
            <w:shd w:val="clear" w:color="auto" w:fill="D9D9D9"/>
            <w:tcMar>
              <w:left w:w="28" w:type="dxa"/>
              <w:right w:w="85" w:type="dxa"/>
            </w:tcMar>
            <w:vAlign w:val="center"/>
          </w:tcPr>
          <w:p w14:paraId="69C97F9F" w14:textId="4D7694B8"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-0,6</w:t>
            </w:r>
          </w:p>
        </w:tc>
        <w:tc>
          <w:tcPr>
            <w:tcW w:w="1149" w:type="dxa"/>
            <w:gridSpan w:val="2"/>
            <w:vAlign w:val="center"/>
          </w:tcPr>
          <w:p w14:paraId="7231D398" w14:textId="42171CED"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+0,7</w:t>
            </w:r>
          </w:p>
        </w:tc>
        <w:tc>
          <w:tcPr>
            <w:tcW w:w="934" w:type="dxa"/>
            <w:shd w:val="clear" w:color="auto" w:fill="D9D9D9"/>
            <w:vAlign w:val="center"/>
          </w:tcPr>
          <w:p w14:paraId="7C8F7071" w14:textId="0397D463"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+0,6</w:t>
            </w:r>
          </w:p>
        </w:tc>
        <w:tc>
          <w:tcPr>
            <w:tcW w:w="1051" w:type="dxa"/>
            <w:tcMar>
              <w:right w:w="68" w:type="dxa"/>
            </w:tcMar>
            <w:vAlign w:val="center"/>
          </w:tcPr>
          <w:p w14:paraId="25D99391" w14:textId="1F2E253C"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+1,2</w:t>
            </w:r>
          </w:p>
        </w:tc>
      </w:tr>
      <w:tr w:rsidR="0033628C" w:rsidRPr="00C8504B" w14:paraId="5FE9DAEB" w14:textId="77777777" w:rsidTr="0033628C">
        <w:trPr>
          <w:trHeight w:val="92"/>
          <w:jc w:val="center"/>
        </w:trPr>
        <w:tc>
          <w:tcPr>
            <w:tcW w:w="3593" w:type="dxa"/>
            <w:vAlign w:val="center"/>
          </w:tcPr>
          <w:p w14:paraId="1BDEECD7"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Istruzione</w:t>
            </w:r>
          </w:p>
        </w:tc>
        <w:tc>
          <w:tcPr>
            <w:tcW w:w="1294" w:type="dxa"/>
            <w:shd w:val="clear" w:color="auto" w:fill="D9D9D9"/>
            <w:vAlign w:val="center"/>
          </w:tcPr>
          <w:p w14:paraId="5230AA21"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9.761</w:t>
            </w:r>
          </w:p>
        </w:tc>
        <w:tc>
          <w:tcPr>
            <w:tcW w:w="1080" w:type="dxa"/>
            <w:vAlign w:val="center"/>
          </w:tcPr>
          <w:p w14:paraId="2FFB8C68" w14:textId="54F544A1"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0,0</w:t>
            </w:r>
          </w:p>
        </w:tc>
        <w:tc>
          <w:tcPr>
            <w:tcW w:w="1136" w:type="dxa"/>
            <w:gridSpan w:val="3"/>
            <w:shd w:val="clear" w:color="auto" w:fill="D9D9D9"/>
            <w:tcMar>
              <w:left w:w="28" w:type="dxa"/>
              <w:right w:w="85" w:type="dxa"/>
            </w:tcMar>
            <w:vAlign w:val="center"/>
          </w:tcPr>
          <w:p w14:paraId="60463225" w14:textId="7C69F025"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0,0</w:t>
            </w:r>
          </w:p>
        </w:tc>
        <w:tc>
          <w:tcPr>
            <w:tcW w:w="1149" w:type="dxa"/>
            <w:gridSpan w:val="2"/>
            <w:vAlign w:val="center"/>
          </w:tcPr>
          <w:p w14:paraId="7FFE9067" w14:textId="256BCB81"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+1,6</w:t>
            </w:r>
          </w:p>
        </w:tc>
        <w:tc>
          <w:tcPr>
            <w:tcW w:w="934" w:type="dxa"/>
            <w:shd w:val="clear" w:color="auto" w:fill="D9D9D9"/>
            <w:vAlign w:val="center"/>
          </w:tcPr>
          <w:p w14:paraId="63F6ACE3" w14:textId="23347D5B"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+1,6</w:t>
            </w:r>
          </w:p>
        </w:tc>
        <w:tc>
          <w:tcPr>
            <w:tcW w:w="1051" w:type="dxa"/>
            <w:tcMar>
              <w:right w:w="68" w:type="dxa"/>
            </w:tcMar>
            <w:vAlign w:val="center"/>
          </w:tcPr>
          <w:p w14:paraId="095368D8" w14:textId="0745B64B"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+2,6</w:t>
            </w:r>
          </w:p>
        </w:tc>
      </w:tr>
      <w:tr w:rsidR="0033628C" w:rsidRPr="00C8504B" w14:paraId="5FDAB0FD" w14:textId="77777777" w:rsidTr="0033628C">
        <w:trPr>
          <w:trHeight w:val="255"/>
          <w:jc w:val="center"/>
        </w:trPr>
        <w:tc>
          <w:tcPr>
            <w:tcW w:w="3593" w:type="dxa"/>
            <w:vAlign w:val="center"/>
          </w:tcPr>
          <w:p w14:paraId="298048E8"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Servizi ricettivi e di ristorazione</w:t>
            </w:r>
          </w:p>
        </w:tc>
        <w:tc>
          <w:tcPr>
            <w:tcW w:w="1294" w:type="dxa"/>
            <w:shd w:val="clear" w:color="auto" w:fill="D9D9D9"/>
            <w:vAlign w:val="center"/>
          </w:tcPr>
          <w:p w14:paraId="3979B676"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126.621</w:t>
            </w:r>
          </w:p>
        </w:tc>
        <w:tc>
          <w:tcPr>
            <w:tcW w:w="1080" w:type="dxa"/>
            <w:vAlign w:val="center"/>
          </w:tcPr>
          <w:p w14:paraId="0D599FF7" w14:textId="794C6D17"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-2,2</w:t>
            </w:r>
          </w:p>
        </w:tc>
        <w:tc>
          <w:tcPr>
            <w:tcW w:w="1136" w:type="dxa"/>
            <w:gridSpan w:val="3"/>
            <w:shd w:val="clear" w:color="auto" w:fill="D9D9D9"/>
            <w:tcMar>
              <w:left w:w="28" w:type="dxa"/>
              <w:right w:w="85" w:type="dxa"/>
            </w:tcMar>
            <w:vAlign w:val="center"/>
          </w:tcPr>
          <w:p w14:paraId="425A8B11" w14:textId="5AEFFC63"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-1,8</w:t>
            </w:r>
          </w:p>
        </w:tc>
        <w:tc>
          <w:tcPr>
            <w:tcW w:w="1149" w:type="dxa"/>
            <w:gridSpan w:val="2"/>
            <w:vAlign w:val="center"/>
          </w:tcPr>
          <w:p w14:paraId="2695D7D4" w14:textId="276542BE"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+3,5</w:t>
            </w:r>
          </w:p>
        </w:tc>
        <w:tc>
          <w:tcPr>
            <w:tcW w:w="934" w:type="dxa"/>
            <w:shd w:val="clear" w:color="auto" w:fill="D9D9D9"/>
            <w:vAlign w:val="center"/>
          </w:tcPr>
          <w:p w14:paraId="5D85B2E3" w14:textId="07B7818F"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+3,9</w:t>
            </w:r>
          </w:p>
        </w:tc>
        <w:tc>
          <w:tcPr>
            <w:tcW w:w="1051" w:type="dxa"/>
            <w:tcMar>
              <w:right w:w="68" w:type="dxa"/>
            </w:tcMar>
            <w:vAlign w:val="center"/>
          </w:tcPr>
          <w:p w14:paraId="6D2C8441" w14:textId="4F52F1ED"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+3,4</w:t>
            </w:r>
          </w:p>
        </w:tc>
      </w:tr>
      <w:tr w:rsidR="0033628C" w:rsidRPr="00C8504B" w14:paraId="51481117" w14:textId="77777777" w:rsidTr="0033628C">
        <w:trPr>
          <w:trHeight w:val="255"/>
          <w:jc w:val="center"/>
        </w:trPr>
        <w:tc>
          <w:tcPr>
            <w:tcW w:w="3593" w:type="dxa"/>
            <w:vAlign w:val="center"/>
          </w:tcPr>
          <w:p w14:paraId="63C4D205" w14:textId="77777777" w:rsidR="0033628C" w:rsidRPr="00C8504B" w:rsidRDefault="0033628C" w:rsidP="0033628C">
            <w:pPr>
              <w:spacing w:before="40" w:after="20"/>
              <w:ind w:left="-57"/>
              <w:rPr>
                <w:rFonts w:ascii="Arial Narrow" w:hAnsi="Arial Narrow" w:cs="Arial"/>
                <w:sz w:val="18"/>
                <w:szCs w:val="18"/>
              </w:rPr>
            </w:pPr>
            <w:r w:rsidRPr="00C8504B">
              <w:rPr>
                <w:rFonts w:ascii="Arial Narrow" w:hAnsi="Arial Narrow" w:cs="Arial"/>
                <w:sz w:val="18"/>
                <w:szCs w:val="18"/>
              </w:rPr>
              <w:t>Altri beni e servizi</w:t>
            </w:r>
          </w:p>
        </w:tc>
        <w:tc>
          <w:tcPr>
            <w:tcW w:w="1294" w:type="dxa"/>
            <w:shd w:val="clear" w:color="auto" w:fill="D9D9D9"/>
            <w:vAlign w:val="center"/>
          </w:tcPr>
          <w:p w14:paraId="10B9EA2D"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101.864</w:t>
            </w:r>
          </w:p>
        </w:tc>
        <w:tc>
          <w:tcPr>
            <w:tcW w:w="1080" w:type="dxa"/>
            <w:vAlign w:val="center"/>
          </w:tcPr>
          <w:p w14:paraId="47598A74" w14:textId="7BC8146D"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+0,2</w:t>
            </w:r>
          </w:p>
        </w:tc>
        <w:tc>
          <w:tcPr>
            <w:tcW w:w="1136" w:type="dxa"/>
            <w:gridSpan w:val="3"/>
            <w:shd w:val="clear" w:color="auto" w:fill="D9D9D9"/>
            <w:tcMar>
              <w:left w:w="28" w:type="dxa"/>
              <w:right w:w="85" w:type="dxa"/>
            </w:tcMar>
            <w:vAlign w:val="center"/>
          </w:tcPr>
          <w:p w14:paraId="51215044" w14:textId="21F1235C"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+0,3</w:t>
            </w:r>
          </w:p>
        </w:tc>
        <w:tc>
          <w:tcPr>
            <w:tcW w:w="1149" w:type="dxa"/>
            <w:gridSpan w:val="2"/>
            <w:vAlign w:val="center"/>
          </w:tcPr>
          <w:p w14:paraId="06112F87" w14:textId="2FDFC802"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+3,1</w:t>
            </w:r>
          </w:p>
        </w:tc>
        <w:tc>
          <w:tcPr>
            <w:tcW w:w="934" w:type="dxa"/>
            <w:shd w:val="clear" w:color="auto" w:fill="D9D9D9"/>
            <w:vAlign w:val="center"/>
          </w:tcPr>
          <w:p w14:paraId="5C58F3F5" w14:textId="657F5E27"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+3,3</w:t>
            </w:r>
          </w:p>
        </w:tc>
        <w:tc>
          <w:tcPr>
            <w:tcW w:w="1051" w:type="dxa"/>
            <w:tcMar>
              <w:right w:w="68" w:type="dxa"/>
            </w:tcMar>
            <w:vAlign w:val="center"/>
          </w:tcPr>
          <w:p w14:paraId="5B93D465" w14:textId="132630D7"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+2,9</w:t>
            </w:r>
          </w:p>
        </w:tc>
      </w:tr>
      <w:tr w:rsidR="0033628C" w:rsidRPr="005F1D37" w14:paraId="7C403B46" w14:textId="77777777" w:rsidTr="0033628C">
        <w:trPr>
          <w:trHeight w:val="255"/>
          <w:jc w:val="center"/>
        </w:trPr>
        <w:tc>
          <w:tcPr>
            <w:tcW w:w="3593" w:type="dxa"/>
            <w:shd w:val="clear" w:color="auto" w:fill="E42618"/>
            <w:vAlign w:val="center"/>
          </w:tcPr>
          <w:p w14:paraId="54C4767F" w14:textId="77777777" w:rsidR="0033628C" w:rsidRPr="00C8504B" w:rsidRDefault="0033628C" w:rsidP="0033628C">
            <w:pPr>
              <w:spacing w:before="40" w:after="20"/>
              <w:ind w:left="-69"/>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294" w:type="dxa"/>
            <w:shd w:val="clear" w:color="auto" w:fill="E42618"/>
            <w:vAlign w:val="center"/>
          </w:tcPr>
          <w:p w14:paraId="1002C97F" w14:textId="77777777" w:rsidR="0033628C" w:rsidRPr="004A7D51" w:rsidRDefault="0033628C" w:rsidP="0033628C">
            <w:pPr>
              <w:widowControl/>
              <w:overflowPunct/>
              <w:autoSpaceDE/>
              <w:autoSpaceDN/>
              <w:adjustRightInd/>
              <w:spacing w:before="0" w:after="0"/>
              <w:ind w:right="57"/>
              <w:jc w:val="right"/>
              <w:rPr>
                <w:rFonts w:ascii="Arial Narrow" w:hAnsi="Arial Narrow" w:cs="Arial"/>
                <w:b/>
                <w:color w:val="FFFFFF" w:themeColor="background1"/>
                <w:sz w:val="18"/>
                <w:szCs w:val="18"/>
              </w:rPr>
            </w:pPr>
            <w:r w:rsidRPr="004A7D51">
              <w:rPr>
                <w:rFonts w:ascii="Arial Narrow" w:hAnsi="Arial Narrow" w:cs="Arial"/>
                <w:b/>
                <w:color w:val="FFFFFF" w:themeColor="background1"/>
                <w:sz w:val="18"/>
                <w:szCs w:val="18"/>
              </w:rPr>
              <w:t>1.000.</w:t>
            </w:r>
            <w:r w:rsidRPr="00906E7A">
              <w:rPr>
                <w:rFonts w:ascii="Arial Narrow" w:hAnsi="Arial Narrow" w:cs="Arial"/>
                <w:b/>
                <w:color w:val="FFFFFF" w:themeColor="background1"/>
                <w:sz w:val="18"/>
                <w:szCs w:val="18"/>
              </w:rPr>
              <w:t>000</w:t>
            </w:r>
          </w:p>
        </w:tc>
        <w:tc>
          <w:tcPr>
            <w:tcW w:w="1080" w:type="dxa"/>
            <w:shd w:val="clear" w:color="auto" w:fill="E42618"/>
            <w:vAlign w:val="center"/>
          </w:tcPr>
          <w:p w14:paraId="55F8BB11" w14:textId="31E17C5C" w:rsidR="0033628C" w:rsidRPr="0033628C" w:rsidRDefault="0033628C" w:rsidP="0033628C">
            <w:pPr>
              <w:spacing w:before="40" w:after="20"/>
              <w:ind w:left="-57" w:right="57"/>
              <w:jc w:val="right"/>
              <w:rPr>
                <w:rFonts w:ascii="Arial Narrow" w:hAnsi="Arial Narrow" w:cs="Arial"/>
                <w:b/>
                <w:bCs/>
                <w:color w:val="FFFFFF" w:themeColor="background1"/>
                <w:sz w:val="18"/>
                <w:szCs w:val="18"/>
              </w:rPr>
            </w:pPr>
            <w:r w:rsidRPr="0033628C">
              <w:rPr>
                <w:rFonts w:ascii="Arial Narrow" w:hAnsi="Arial Narrow" w:cs="Arial"/>
                <w:b/>
                <w:bCs/>
                <w:color w:val="FFFFFF" w:themeColor="background1"/>
                <w:sz w:val="18"/>
                <w:szCs w:val="18"/>
              </w:rPr>
              <w:t>-0,2</w:t>
            </w:r>
          </w:p>
        </w:tc>
        <w:tc>
          <w:tcPr>
            <w:tcW w:w="1136" w:type="dxa"/>
            <w:gridSpan w:val="3"/>
            <w:shd w:val="clear" w:color="auto" w:fill="E42618"/>
            <w:tcMar>
              <w:left w:w="57" w:type="dxa"/>
              <w:right w:w="113" w:type="dxa"/>
            </w:tcMar>
            <w:vAlign w:val="center"/>
          </w:tcPr>
          <w:p w14:paraId="422D6247" w14:textId="0CBDA3D6" w:rsidR="0033628C" w:rsidRPr="0033628C" w:rsidRDefault="0033628C" w:rsidP="0033628C">
            <w:pPr>
              <w:spacing w:before="40" w:after="20"/>
              <w:ind w:left="-57" w:right="57"/>
              <w:jc w:val="right"/>
              <w:rPr>
                <w:rFonts w:ascii="Arial Narrow" w:hAnsi="Arial Narrow" w:cs="Arial"/>
                <w:b/>
                <w:bCs/>
                <w:color w:val="FFFFFF" w:themeColor="background1"/>
                <w:sz w:val="18"/>
                <w:szCs w:val="18"/>
              </w:rPr>
            </w:pPr>
            <w:r w:rsidRPr="0033628C">
              <w:rPr>
                <w:rFonts w:ascii="Arial Narrow" w:hAnsi="Arial Narrow" w:cs="Arial"/>
                <w:b/>
                <w:bCs/>
                <w:color w:val="FFFFFF" w:themeColor="background1"/>
                <w:sz w:val="18"/>
                <w:szCs w:val="18"/>
              </w:rPr>
              <w:t>-0,1</w:t>
            </w:r>
          </w:p>
        </w:tc>
        <w:tc>
          <w:tcPr>
            <w:tcW w:w="1149" w:type="dxa"/>
            <w:gridSpan w:val="2"/>
            <w:shd w:val="clear" w:color="auto" w:fill="E42618"/>
            <w:vAlign w:val="center"/>
          </w:tcPr>
          <w:p w14:paraId="6220153C" w14:textId="40738F43" w:rsidR="0033628C" w:rsidRPr="0033628C" w:rsidRDefault="0033628C" w:rsidP="0033628C">
            <w:pPr>
              <w:spacing w:before="40" w:after="20"/>
              <w:ind w:left="-57" w:right="57"/>
              <w:jc w:val="right"/>
              <w:rPr>
                <w:rFonts w:ascii="Arial Narrow" w:hAnsi="Arial Narrow" w:cs="Arial"/>
                <w:b/>
                <w:bCs/>
                <w:color w:val="FFFFFF" w:themeColor="background1"/>
                <w:sz w:val="18"/>
                <w:szCs w:val="18"/>
              </w:rPr>
            </w:pPr>
            <w:r w:rsidRPr="0033628C">
              <w:rPr>
                <w:rFonts w:ascii="Arial Narrow" w:hAnsi="Arial Narrow" w:cs="Arial"/>
                <w:b/>
                <w:bCs/>
                <w:color w:val="FFFFFF" w:themeColor="background1"/>
                <w:sz w:val="18"/>
                <w:szCs w:val="18"/>
              </w:rPr>
              <w:t>+1,1</w:t>
            </w:r>
          </w:p>
        </w:tc>
        <w:tc>
          <w:tcPr>
            <w:tcW w:w="934" w:type="dxa"/>
            <w:shd w:val="clear" w:color="auto" w:fill="E42618"/>
            <w:vAlign w:val="center"/>
          </w:tcPr>
          <w:p w14:paraId="03DB77AA" w14:textId="76E95618" w:rsidR="0033628C" w:rsidRPr="0033628C" w:rsidRDefault="0033628C" w:rsidP="0033628C">
            <w:pPr>
              <w:spacing w:before="40" w:after="20"/>
              <w:ind w:left="-57" w:right="57"/>
              <w:jc w:val="right"/>
              <w:rPr>
                <w:rFonts w:ascii="Arial Narrow" w:hAnsi="Arial Narrow" w:cs="Arial"/>
                <w:b/>
                <w:bCs/>
                <w:color w:val="FFFFFF" w:themeColor="background1"/>
                <w:sz w:val="18"/>
                <w:szCs w:val="18"/>
              </w:rPr>
            </w:pPr>
            <w:r w:rsidRPr="0033628C">
              <w:rPr>
                <w:rFonts w:ascii="Arial Narrow" w:hAnsi="Arial Narrow" w:cs="Arial"/>
                <w:b/>
                <w:bCs/>
                <w:color w:val="FFFFFF" w:themeColor="background1"/>
                <w:sz w:val="18"/>
                <w:szCs w:val="18"/>
              </w:rPr>
              <w:t>+1,3</w:t>
            </w:r>
          </w:p>
        </w:tc>
        <w:tc>
          <w:tcPr>
            <w:tcW w:w="1051" w:type="dxa"/>
            <w:shd w:val="clear" w:color="auto" w:fill="E42618"/>
            <w:tcMar>
              <w:right w:w="68" w:type="dxa"/>
            </w:tcMar>
            <w:vAlign w:val="center"/>
          </w:tcPr>
          <w:p w14:paraId="158A7892" w14:textId="2E947A49" w:rsidR="0033628C" w:rsidRPr="0033628C" w:rsidRDefault="0033628C" w:rsidP="0033628C">
            <w:pPr>
              <w:spacing w:before="40" w:after="20"/>
              <w:ind w:left="-57" w:right="57"/>
              <w:jc w:val="right"/>
              <w:rPr>
                <w:rFonts w:ascii="Arial Narrow" w:hAnsi="Arial Narrow" w:cs="Arial"/>
                <w:b/>
                <w:bCs/>
                <w:color w:val="FFFFFF" w:themeColor="background1"/>
                <w:sz w:val="18"/>
                <w:szCs w:val="18"/>
              </w:rPr>
            </w:pPr>
            <w:r w:rsidRPr="0033628C">
              <w:rPr>
                <w:rFonts w:ascii="Arial Narrow" w:hAnsi="Arial Narrow" w:cs="Arial"/>
                <w:b/>
                <w:bCs/>
                <w:color w:val="FFFFFF" w:themeColor="background1"/>
                <w:sz w:val="18"/>
                <w:szCs w:val="18"/>
              </w:rPr>
              <w:t>+1,6</w:t>
            </w:r>
          </w:p>
        </w:tc>
      </w:tr>
      <w:tr w:rsidR="0033628C" w:rsidRPr="00440749" w14:paraId="75AD6880" w14:textId="77777777" w:rsidTr="0033628C">
        <w:trPr>
          <w:trHeight w:val="255"/>
          <w:jc w:val="center"/>
        </w:trPr>
        <w:tc>
          <w:tcPr>
            <w:tcW w:w="3593" w:type="dxa"/>
            <w:vAlign w:val="center"/>
          </w:tcPr>
          <w:p w14:paraId="472EDC26" w14:textId="77777777" w:rsidR="0033628C" w:rsidRPr="00530AB1" w:rsidRDefault="0033628C" w:rsidP="0033628C">
            <w:pPr>
              <w:spacing w:before="40" w:after="20"/>
              <w:ind w:left="-57"/>
              <w:rPr>
                <w:rFonts w:ascii="Arial Narrow" w:hAnsi="Arial Narrow" w:cs="Arial"/>
                <w:sz w:val="18"/>
                <w:szCs w:val="18"/>
                <w:vertAlign w:val="superscript"/>
              </w:rPr>
            </w:pPr>
            <w:r w:rsidRPr="00B10311">
              <w:rPr>
                <w:rFonts w:ascii="Arial Narrow" w:hAnsi="Arial Narrow" w:cs="Arial"/>
                <w:sz w:val="18"/>
                <w:szCs w:val="18"/>
              </w:rPr>
              <w:t>Indice generale a tassazione costante</w:t>
            </w:r>
          </w:p>
        </w:tc>
        <w:tc>
          <w:tcPr>
            <w:tcW w:w="1294" w:type="dxa"/>
            <w:shd w:val="clear" w:color="auto" w:fill="D9D9D9"/>
            <w:vAlign w:val="center"/>
          </w:tcPr>
          <w:p w14:paraId="6BC0710C" w14:textId="77777777" w:rsidR="0033628C" w:rsidRPr="004A7D51" w:rsidRDefault="0033628C" w:rsidP="0033628C">
            <w:pPr>
              <w:spacing w:before="40" w:after="20"/>
              <w:ind w:left="-57" w:right="57"/>
              <w:jc w:val="right"/>
              <w:rPr>
                <w:rFonts w:ascii="Arial Narrow" w:hAnsi="Arial Narrow" w:cs="Arial"/>
                <w:sz w:val="18"/>
                <w:szCs w:val="18"/>
              </w:rPr>
            </w:pPr>
            <w:r w:rsidRPr="004A7D51">
              <w:rPr>
                <w:rFonts w:ascii="Arial Narrow" w:hAnsi="Arial Narrow" w:cs="Arial"/>
                <w:sz w:val="18"/>
                <w:szCs w:val="18"/>
              </w:rPr>
              <w:t>1.000.000</w:t>
            </w:r>
          </w:p>
        </w:tc>
        <w:tc>
          <w:tcPr>
            <w:tcW w:w="1080" w:type="dxa"/>
            <w:vAlign w:val="center"/>
          </w:tcPr>
          <w:p w14:paraId="50BDD1FE" w14:textId="2D27F7B9"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-0,2</w:t>
            </w:r>
          </w:p>
        </w:tc>
        <w:tc>
          <w:tcPr>
            <w:tcW w:w="1136" w:type="dxa"/>
            <w:gridSpan w:val="3"/>
            <w:shd w:val="clear" w:color="auto" w:fill="D9D9D9"/>
            <w:tcMar>
              <w:left w:w="28" w:type="dxa"/>
              <w:right w:w="85" w:type="dxa"/>
            </w:tcMar>
            <w:vAlign w:val="center"/>
          </w:tcPr>
          <w:p w14:paraId="1D2DE833" w14:textId="39C7DD28"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-0,1</w:t>
            </w:r>
          </w:p>
        </w:tc>
        <w:tc>
          <w:tcPr>
            <w:tcW w:w="1149" w:type="dxa"/>
            <w:gridSpan w:val="2"/>
            <w:vAlign w:val="center"/>
          </w:tcPr>
          <w:p w14:paraId="0531A7BA" w14:textId="0CF3815C"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+1,1</w:t>
            </w:r>
          </w:p>
        </w:tc>
        <w:tc>
          <w:tcPr>
            <w:tcW w:w="934" w:type="dxa"/>
            <w:shd w:val="clear" w:color="auto" w:fill="D9D9D9"/>
            <w:vAlign w:val="center"/>
          </w:tcPr>
          <w:p w14:paraId="5CFC2AB7" w14:textId="11A0E9DE"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+1,2</w:t>
            </w:r>
          </w:p>
        </w:tc>
        <w:tc>
          <w:tcPr>
            <w:tcW w:w="1051" w:type="dxa"/>
            <w:tcMar>
              <w:right w:w="68" w:type="dxa"/>
            </w:tcMar>
            <w:vAlign w:val="center"/>
          </w:tcPr>
          <w:p w14:paraId="50FF8566" w14:textId="4BB67AD8" w:rsidR="0033628C" w:rsidRPr="0033628C" w:rsidRDefault="0033628C" w:rsidP="0033628C">
            <w:pPr>
              <w:spacing w:before="40" w:after="20"/>
              <w:ind w:left="-57" w:right="57"/>
              <w:jc w:val="right"/>
              <w:rPr>
                <w:rFonts w:ascii="Arial Narrow" w:hAnsi="Arial Narrow" w:cs="Arial"/>
                <w:sz w:val="18"/>
                <w:szCs w:val="18"/>
              </w:rPr>
            </w:pPr>
            <w:r w:rsidRPr="0033628C">
              <w:rPr>
                <w:rFonts w:ascii="Arial Narrow" w:hAnsi="Arial Narrow" w:cs="Arial"/>
                <w:sz w:val="18"/>
                <w:szCs w:val="18"/>
              </w:rPr>
              <w:t>+1,6</w:t>
            </w:r>
          </w:p>
        </w:tc>
      </w:tr>
    </w:tbl>
    <w:p w14:paraId="188EFD86" w14:textId="77777777" w:rsidR="0061775C" w:rsidRPr="00AD5417" w:rsidRDefault="0061775C" w:rsidP="00AD5417">
      <w:pPr>
        <w:spacing w:before="0" w:after="120"/>
        <w:jc w:val="both"/>
        <w:rPr>
          <w:rFonts w:ascii="Arial" w:hAnsi="Arial" w:cs="Arial"/>
          <w:sz w:val="21"/>
          <w:szCs w:val="21"/>
        </w:rPr>
      </w:pPr>
    </w:p>
    <w:p w14:paraId="40A0BD72" w14:textId="77777777" w:rsidR="00676743" w:rsidRPr="00E25060" w:rsidRDefault="00676743" w:rsidP="00E9584F">
      <w:pPr>
        <w:pStyle w:val="001TitoloBolocco"/>
        <w:spacing w:after="60" w:line="240" w:lineRule="auto"/>
        <w:rPr>
          <w:szCs w:val="26"/>
        </w:rPr>
      </w:pPr>
      <w:r w:rsidRPr="00E25060">
        <w:rPr>
          <w:szCs w:val="26"/>
        </w:rPr>
        <w:t>gli aggregati speciali</w:t>
      </w:r>
    </w:p>
    <w:p w14:paraId="719087FE" w14:textId="724A9CCA" w:rsidR="0026219E" w:rsidRDefault="00923E45" w:rsidP="001F373B">
      <w:pPr>
        <w:spacing w:before="0" w:after="60"/>
        <w:jc w:val="both"/>
        <w:rPr>
          <w:rFonts w:ascii="Arial" w:hAnsi="Arial" w:cs="Arial"/>
          <w:sz w:val="21"/>
          <w:szCs w:val="21"/>
        </w:rPr>
      </w:pPr>
      <w:r w:rsidRPr="00C0529C">
        <w:rPr>
          <w:rFonts w:ascii="Arial" w:hAnsi="Arial" w:cs="Arial"/>
          <w:sz w:val="21"/>
          <w:szCs w:val="21"/>
        </w:rPr>
        <w:t>Con riferimento agli a</w:t>
      </w:r>
      <w:r w:rsidR="007B5543">
        <w:rPr>
          <w:rFonts w:ascii="Arial" w:hAnsi="Arial" w:cs="Arial"/>
          <w:sz w:val="21"/>
          <w:szCs w:val="21"/>
        </w:rPr>
        <w:t>ggregati speciali dell’IPCA,</w:t>
      </w:r>
      <w:r w:rsidR="00146D50">
        <w:rPr>
          <w:rFonts w:ascii="Arial" w:hAnsi="Arial" w:cs="Arial"/>
          <w:sz w:val="21"/>
          <w:szCs w:val="21"/>
        </w:rPr>
        <w:t xml:space="preserve"> </w:t>
      </w:r>
      <w:r w:rsidR="000143A5">
        <w:rPr>
          <w:rFonts w:ascii="Arial" w:hAnsi="Arial" w:cs="Arial"/>
          <w:sz w:val="21"/>
          <w:szCs w:val="21"/>
        </w:rPr>
        <w:t>la</w:t>
      </w:r>
      <w:r w:rsidR="005A5988">
        <w:rPr>
          <w:rFonts w:ascii="Arial" w:hAnsi="Arial" w:cs="Arial"/>
          <w:sz w:val="21"/>
          <w:szCs w:val="21"/>
        </w:rPr>
        <w:t xml:space="preserve"> </w:t>
      </w:r>
      <w:r w:rsidR="001B2787">
        <w:rPr>
          <w:rFonts w:ascii="Arial" w:hAnsi="Arial" w:cs="Arial"/>
          <w:sz w:val="21"/>
          <w:szCs w:val="21"/>
        </w:rPr>
        <w:t>stabilità</w:t>
      </w:r>
      <w:r w:rsidR="005A5988">
        <w:rPr>
          <w:rFonts w:ascii="Arial" w:hAnsi="Arial" w:cs="Arial"/>
          <w:sz w:val="21"/>
          <w:szCs w:val="21"/>
        </w:rPr>
        <w:t xml:space="preserve"> </w:t>
      </w:r>
      <w:r w:rsidR="00764C51">
        <w:rPr>
          <w:rFonts w:ascii="Arial" w:hAnsi="Arial" w:cs="Arial"/>
          <w:sz w:val="21"/>
          <w:szCs w:val="21"/>
        </w:rPr>
        <w:t>dei prezzi dei b</w:t>
      </w:r>
      <w:r w:rsidR="00146D50">
        <w:rPr>
          <w:rFonts w:ascii="Arial" w:hAnsi="Arial" w:cs="Arial"/>
          <w:sz w:val="21"/>
          <w:szCs w:val="21"/>
        </w:rPr>
        <w:t xml:space="preserve">eni </w:t>
      </w:r>
      <w:r w:rsidR="00E52ABD">
        <w:rPr>
          <w:rFonts w:ascii="Arial" w:hAnsi="Arial" w:cs="Arial"/>
          <w:sz w:val="21"/>
          <w:szCs w:val="21"/>
        </w:rPr>
        <w:t>(</w:t>
      </w:r>
      <w:r w:rsidR="009F1ED1">
        <w:rPr>
          <w:rFonts w:ascii="Arial" w:hAnsi="Arial" w:cs="Arial"/>
          <w:sz w:val="21"/>
          <w:szCs w:val="21"/>
        </w:rPr>
        <w:t xml:space="preserve">a </w:t>
      </w:r>
      <w:r w:rsidR="005D0B7A">
        <w:rPr>
          <w:rFonts w:ascii="Arial" w:hAnsi="Arial" w:cs="Arial"/>
          <w:sz w:val="21"/>
          <w:szCs w:val="21"/>
        </w:rPr>
        <w:t>+</w:t>
      </w:r>
      <w:r w:rsidR="00307FD2">
        <w:rPr>
          <w:rFonts w:ascii="Arial" w:hAnsi="Arial" w:cs="Arial"/>
          <w:sz w:val="21"/>
          <w:szCs w:val="21"/>
        </w:rPr>
        <w:t>0,</w:t>
      </w:r>
      <w:r w:rsidR="00393BCA">
        <w:rPr>
          <w:rFonts w:ascii="Arial" w:hAnsi="Arial" w:cs="Arial"/>
          <w:sz w:val="21"/>
          <w:szCs w:val="21"/>
        </w:rPr>
        <w:t>2</w:t>
      </w:r>
      <w:r w:rsidR="009F1ED1">
        <w:rPr>
          <w:rFonts w:ascii="Arial" w:hAnsi="Arial" w:cs="Arial"/>
          <w:sz w:val="21"/>
          <w:szCs w:val="21"/>
        </w:rPr>
        <w:t>%</w:t>
      </w:r>
      <w:r w:rsidRPr="00C0529C">
        <w:rPr>
          <w:rFonts w:ascii="Arial" w:hAnsi="Arial" w:cs="Arial"/>
          <w:sz w:val="21"/>
          <w:szCs w:val="21"/>
        </w:rPr>
        <w:t>;</w:t>
      </w:r>
      <w:r>
        <w:rPr>
          <w:rFonts w:ascii="Arial" w:hAnsi="Arial" w:cs="Arial"/>
          <w:sz w:val="21"/>
          <w:szCs w:val="21"/>
        </w:rPr>
        <w:t xml:space="preserve"> </w:t>
      </w:r>
      <w:r w:rsidR="00393BCA">
        <w:rPr>
          <w:rFonts w:ascii="Arial" w:hAnsi="Arial" w:cs="Arial"/>
          <w:sz w:val="21"/>
          <w:szCs w:val="21"/>
        </w:rPr>
        <w:t>+0,</w:t>
      </w:r>
      <w:r w:rsidR="001B2787">
        <w:rPr>
          <w:rFonts w:ascii="Arial" w:hAnsi="Arial" w:cs="Arial"/>
          <w:sz w:val="21"/>
          <w:szCs w:val="21"/>
        </w:rPr>
        <w:t>2</w:t>
      </w:r>
      <w:r w:rsidR="00E52ABD">
        <w:rPr>
          <w:rFonts w:ascii="Arial" w:hAnsi="Arial" w:cs="Arial"/>
          <w:sz w:val="21"/>
          <w:szCs w:val="21"/>
        </w:rPr>
        <w:t>%</w:t>
      </w:r>
      <w:r w:rsidR="00B740CE">
        <w:rPr>
          <w:rFonts w:ascii="Arial" w:hAnsi="Arial" w:cs="Arial"/>
          <w:sz w:val="21"/>
          <w:szCs w:val="21"/>
        </w:rPr>
        <w:t xml:space="preserve"> </w:t>
      </w:r>
      <w:r w:rsidR="00736311">
        <w:rPr>
          <w:rFonts w:ascii="Arial" w:hAnsi="Arial" w:cs="Arial"/>
          <w:sz w:val="21"/>
          <w:szCs w:val="21"/>
        </w:rPr>
        <w:t xml:space="preserve">su </w:t>
      </w:r>
      <w:r w:rsidR="001B2787">
        <w:rPr>
          <w:rFonts w:ascii="Arial" w:hAnsi="Arial" w:cs="Arial"/>
          <w:sz w:val="21"/>
          <w:szCs w:val="21"/>
        </w:rPr>
        <w:t xml:space="preserve">ottobre) riflette andamenti differenziati degli aggregati di spesa del comparto. </w:t>
      </w:r>
      <w:r w:rsidR="008411DE">
        <w:rPr>
          <w:rFonts w:ascii="Arial" w:hAnsi="Arial" w:cs="Arial"/>
          <w:sz w:val="21"/>
          <w:szCs w:val="21"/>
        </w:rPr>
        <w:t>Nello specifico</w:t>
      </w:r>
      <w:r w:rsidR="00B1710F">
        <w:rPr>
          <w:rFonts w:ascii="Arial" w:hAnsi="Arial" w:cs="Arial"/>
          <w:sz w:val="21"/>
          <w:szCs w:val="21"/>
        </w:rPr>
        <w:t>,</w:t>
      </w:r>
      <w:r w:rsidR="008411DE">
        <w:rPr>
          <w:rFonts w:ascii="Arial" w:hAnsi="Arial" w:cs="Arial"/>
          <w:sz w:val="21"/>
          <w:szCs w:val="21"/>
        </w:rPr>
        <w:t xml:space="preserve"> </w:t>
      </w:r>
      <w:r w:rsidR="00393BCA">
        <w:rPr>
          <w:rFonts w:ascii="Arial" w:hAnsi="Arial" w:cs="Arial"/>
          <w:sz w:val="21"/>
          <w:szCs w:val="21"/>
        </w:rPr>
        <w:t xml:space="preserve">i </w:t>
      </w:r>
      <w:r w:rsidR="008411DE">
        <w:rPr>
          <w:rFonts w:ascii="Arial" w:hAnsi="Arial" w:cs="Arial"/>
          <w:sz w:val="21"/>
          <w:szCs w:val="21"/>
        </w:rPr>
        <w:t xml:space="preserve">prezzi dei </w:t>
      </w:r>
      <w:r w:rsidR="00393BCA">
        <w:rPr>
          <w:rFonts w:ascii="Arial" w:hAnsi="Arial" w:cs="Arial"/>
          <w:sz w:val="21"/>
          <w:szCs w:val="21"/>
        </w:rPr>
        <w:t>Beni alimentari (incluse bevande alcoliche)</w:t>
      </w:r>
      <w:r w:rsidR="002B6AC3">
        <w:rPr>
          <w:rFonts w:ascii="Arial" w:hAnsi="Arial" w:cs="Arial"/>
          <w:sz w:val="21"/>
          <w:szCs w:val="21"/>
        </w:rPr>
        <w:t xml:space="preserve"> e tabacchi </w:t>
      </w:r>
      <w:r w:rsidR="008411DE">
        <w:rPr>
          <w:rFonts w:ascii="Arial" w:hAnsi="Arial" w:cs="Arial"/>
          <w:sz w:val="21"/>
          <w:szCs w:val="21"/>
        </w:rPr>
        <w:t xml:space="preserve">rallentano </w:t>
      </w:r>
      <w:r w:rsidR="002B6AC3">
        <w:rPr>
          <w:rFonts w:ascii="Arial" w:hAnsi="Arial" w:cs="Arial"/>
          <w:sz w:val="21"/>
          <w:szCs w:val="21"/>
        </w:rPr>
        <w:t>(da +</w:t>
      </w:r>
      <w:r w:rsidR="001B2787">
        <w:rPr>
          <w:rFonts w:ascii="Arial" w:hAnsi="Arial" w:cs="Arial"/>
          <w:sz w:val="21"/>
          <w:szCs w:val="21"/>
        </w:rPr>
        <w:t>2,5</w:t>
      </w:r>
      <w:r w:rsidR="002B6AC3">
        <w:rPr>
          <w:rFonts w:ascii="Arial" w:hAnsi="Arial" w:cs="Arial"/>
          <w:sz w:val="21"/>
          <w:szCs w:val="21"/>
        </w:rPr>
        <w:t>% a +</w:t>
      </w:r>
      <w:r w:rsidR="00AD5417">
        <w:rPr>
          <w:rFonts w:ascii="Arial" w:hAnsi="Arial" w:cs="Arial"/>
          <w:sz w:val="21"/>
          <w:szCs w:val="21"/>
        </w:rPr>
        <w:t>1,9</w:t>
      </w:r>
      <w:r w:rsidR="002B6AC3">
        <w:rPr>
          <w:rFonts w:ascii="Arial" w:hAnsi="Arial" w:cs="Arial"/>
          <w:sz w:val="21"/>
          <w:szCs w:val="21"/>
        </w:rPr>
        <w:t xml:space="preserve">%; </w:t>
      </w:r>
      <w:r w:rsidR="001B2787">
        <w:rPr>
          <w:rFonts w:ascii="Arial" w:hAnsi="Arial" w:cs="Arial"/>
          <w:sz w:val="21"/>
          <w:szCs w:val="21"/>
        </w:rPr>
        <w:t>+0,</w:t>
      </w:r>
      <w:r w:rsidR="00AD5417">
        <w:rPr>
          <w:rFonts w:ascii="Arial" w:hAnsi="Arial" w:cs="Arial"/>
          <w:sz w:val="21"/>
          <w:szCs w:val="21"/>
        </w:rPr>
        <w:t>1</w:t>
      </w:r>
      <w:r w:rsidR="002B6AC3">
        <w:rPr>
          <w:rFonts w:ascii="Arial" w:hAnsi="Arial" w:cs="Arial"/>
          <w:sz w:val="21"/>
          <w:szCs w:val="21"/>
        </w:rPr>
        <w:t xml:space="preserve">% su </w:t>
      </w:r>
      <w:r w:rsidR="001B2787">
        <w:rPr>
          <w:rFonts w:ascii="Arial" w:hAnsi="Arial" w:cs="Arial"/>
          <w:sz w:val="21"/>
          <w:szCs w:val="21"/>
        </w:rPr>
        <w:t>ottobre</w:t>
      </w:r>
      <w:r w:rsidR="002B6AC3">
        <w:rPr>
          <w:rFonts w:ascii="Arial" w:hAnsi="Arial" w:cs="Arial"/>
          <w:sz w:val="21"/>
          <w:szCs w:val="21"/>
        </w:rPr>
        <w:t xml:space="preserve">), </w:t>
      </w:r>
      <w:r w:rsidR="00AD5417">
        <w:rPr>
          <w:rFonts w:ascii="Arial" w:hAnsi="Arial" w:cs="Arial"/>
          <w:sz w:val="21"/>
          <w:szCs w:val="21"/>
        </w:rPr>
        <w:t>sia</w:t>
      </w:r>
      <w:r w:rsidR="00EC0317">
        <w:rPr>
          <w:rFonts w:ascii="Arial" w:hAnsi="Arial" w:cs="Arial"/>
          <w:sz w:val="21"/>
          <w:szCs w:val="21"/>
        </w:rPr>
        <w:t xml:space="preserve"> per effetto de</w:t>
      </w:r>
      <w:r w:rsidR="006E0E91">
        <w:rPr>
          <w:rFonts w:ascii="Arial" w:hAnsi="Arial" w:cs="Arial"/>
          <w:sz w:val="21"/>
          <w:szCs w:val="21"/>
        </w:rPr>
        <w:t>l</w:t>
      </w:r>
      <w:r w:rsidR="002B6AC3">
        <w:rPr>
          <w:rFonts w:ascii="Arial" w:hAnsi="Arial" w:cs="Arial"/>
          <w:sz w:val="21"/>
          <w:szCs w:val="21"/>
        </w:rPr>
        <w:t>la componente non lavorat</w:t>
      </w:r>
      <w:r w:rsidR="00EC0317">
        <w:rPr>
          <w:rFonts w:ascii="Arial" w:hAnsi="Arial" w:cs="Arial"/>
          <w:sz w:val="21"/>
          <w:szCs w:val="21"/>
        </w:rPr>
        <w:t>a</w:t>
      </w:r>
      <w:r w:rsidR="002B6AC3">
        <w:rPr>
          <w:rFonts w:ascii="Arial" w:hAnsi="Arial" w:cs="Arial"/>
          <w:sz w:val="21"/>
          <w:szCs w:val="21"/>
        </w:rPr>
        <w:t xml:space="preserve"> (da +</w:t>
      </w:r>
      <w:r w:rsidR="001B2787">
        <w:rPr>
          <w:rFonts w:ascii="Arial" w:hAnsi="Arial" w:cs="Arial"/>
          <w:sz w:val="21"/>
          <w:szCs w:val="21"/>
        </w:rPr>
        <w:t>2,1</w:t>
      </w:r>
      <w:r w:rsidR="002B6AC3">
        <w:rPr>
          <w:rFonts w:ascii="Arial" w:hAnsi="Arial" w:cs="Arial"/>
          <w:sz w:val="21"/>
          <w:szCs w:val="21"/>
        </w:rPr>
        <w:t>% a +</w:t>
      </w:r>
      <w:r w:rsidR="001B2787">
        <w:rPr>
          <w:rFonts w:ascii="Arial" w:hAnsi="Arial" w:cs="Arial"/>
          <w:sz w:val="21"/>
          <w:szCs w:val="21"/>
        </w:rPr>
        <w:t>1,</w:t>
      </w:r>
      <w:r w:rsidR="00AD5417">
        <w:rPr>
          <w:rFonts w:ascii="Arial" w:hAnsi="Arial" w:cs="Arial"/>
          <w:sz w:val="21"/>
          <w:szCs w:val="21"/>
        </w:rPr>
        <w:t>2</w:t>
      </w:r>
      <w:r w:rsidR="002B6AC3">
        <w:rPr>
          <w:rFonts w:ascii="Arial" w:hAnsi="Arial" w:cs="Arial"/>
          <w:sz w:val="21"/>
          <w:szCs w:val="21"/>
        </w:rPr>
        <w:t>%;</w:t>
      </w:r>
      <w:r w:rsidR="00EC0317">
        <w:rPr>
          <w:rFonts w:ascii="Arial" w:hAnsi="Arial" w:cs="Arial"/>
          <w:sz w:val="21"/>
          <w:szCs w:val="21"/>
        </w:rPr>
        <w:t xml:space="preserve"> </w:t>
      </w:r>
      <w:r w:rsidR="001B2787">
        <w:rPr>
          <w:rFonts w:ascii="Arial" w:hAnsi="Arial" w:cs="Arial"/>
          <w:sz w:val="21"/>
          <w:szCs w:val="21"/>
        </w:rPr>
        <w:t>+</w:t>
      </w:r>
      <w:r w:rsidR="002B6AC3">
        <w:rPr>
          <w:rFonts w:ascii="Arial" w:hAnsi="Arial" w:cs="Arial"/>
          <w:sz w:val="21"/>
          <w:szCs w:val="21"/>
        </w:rPr>
        <w:t>0,</w:t>
      </w:r>
      <w:r w:rsidR="00AD5417">
        <w:rPr>
          <w:rFonts w:ascii="Arial" w:hAnsi="Arial" w:cs="Arial"/>
          <w:sz w:val="21"/>
          <w:szCs w:val="21"/>
        </w:rPr>
        <w:t>4</w:t>
      </w:r>
      <w:r w:rsidR="002B6AC3">
        <w:rPr>
          <w:rFonts w:ascii="Arial" w:hAnsi="Arial" w:cs="Arial"/>
          <w:sz w:val="21"/>
          <w:szCs w:val="21"/>
        </w:rPr>
        <w:t xml:space="preserve">% su </w:t>
      </w:r>
      <w:r w:rsidR="001B2787">
        <w:rPr>
          <w:rFonts w:ascii="Arial" w:hAnsi="Arial" w:cs="Arial"/>
          <w:sz w:val="21"/>
          <w:szCs w:val="21"/>
        </w:rPr>
        <w:t>ottobre</w:t>
      </w:r>
      <w:r w:rsidR="002B6AC3">
        <w:rPr>
          <w:rFonts w:ascii="Arial" w:hAnsi="Arial" w:cs="Arial"/>
          <w:sz w:val="21"/>
          <w:szCs w:val="21"/>
        </w:rPr>
        <w:t>)</w:t>
      </w:r>
      <w:r w:rsidR="006E0E91">
        <w:rPr>
          <w:rFonts w:ascii="Arial" w:hAnsi="Arial" w:cs="Arial"/>
          <w:sz w:val="21"/>
          <w:szCs w:val="21"/>
        </w:rPr>
        <w:t xml:space="preserve"> </w:t>
      </w:r>
      <w:r w:rsidR="00AD5417">
        <w:rPr>
          <w:rFonts w:ascii="Arial" w:hAnsi="Arial" w:cs="Arial"/>
          <w:sz w:val="21"/>
          <w:szCs w:val="21"/>
        </w:rPr>
        <w:t>sia per</w:t>
      </w:r>
      <w:r w:rsidR="001B2787">
        <w:rPr>
          <w:rFonts w:ascii="Arial" w:hAnsi="Arial" w:cs="Arial"/>
          <w:sz w:val="21"/>
          <w:szCs w:val="21"/>
        </w:rPr>
        <w:t xml:space="preserve"> q</w:t>
      </w:r>
      <w:r w:rsidR="00CD3882">
        <w:rPr>
          <w:rFonts w:ascii="Arial" w:hAnsi="Arial" w:cs="Arial"/>
          <w:sz w:val="21"/>
          <w:szCs w:val="21"/>
        </w:rPr>
        <w:t xml:space="preserve">uella dei </w:t>
      </w:r>
      <w:r w:rsidR="00EC0317">
        <w:rPr>
          <w:rFonts w:ascii="Arial" w:hAnsi="Arial" w:cs="Arial"/>
          <w:sz w:val="21"/>
          <w:szCs w:val="21"/>
        </w:rPr>
        <w:t>prodotti trasformati</w:t>
      </w:r>
      <w:r w:rsidR="00CD3882">
        <w:rPr>
          <w:rFonts w:ascii="Arial" w:hAnsi="Arial" w:cs="Arial"/>
          <w:sz w:val="21"/>
          <w:szCs w:val="21"/>
        </w:rPr>
        <w:t xml:space="preserve"> (da +2,</w:t>
      </w:r>
      <w:r w:rsidR="001B2787">
        <w:rPr>
          <w:rFonts w:ascii="Arial" w:hAnsi="Arial" w:cs="Arial"/>
          <w:sz w:val="21"/>
          <w:szCs w:val="21"/>
        </w:rPr>
        <w:t>6</w:t>
      </w:r>
      <w:r w:rsidR="00CD3882">
        <w:rPr>
          <w:rFonts w:ascii="Arial" w:hAnsi="Arial" w:cs="Arial"/>
          <w:sz w:val="21"/>
          <w:szCs w:val="21"/>
        </w:rPr>
        <w:t>% a +2,</w:t>
      </w:r>
      <w:r w:rsidR="00AD5417">
        <w:rPr>
          <w:rFonts w:ascii="Arial" w:hAnsi="Arial" w:cs="Arial"/>
          <w:sz w:val="21"/>
          <w:szCs w:val="21"/>
        </w:rPr>
        <w:t>2</w:t>
      </w:r>
      <w:r w:rsidR="00CD3882">
        <w:rPr>
          <w:rFonts w:ascii="Arial" w:hAnsi="Arial" w:cs="Arial"/>
          <w:sz w:val="21"/>
          <w:szCs w:val="21"/>
        </w:rPr>
        <w:t xml:space="preserve">%; </w:t>
      </w:r>
      <w:r w:rsidR="00AD5417">
        <w:rPr>
          <w:rFonts w:ascii="Arial" w:hAnsi="Arial" w:cs="Arial"/>
          <w:sz w:val="21"/>
          <w:szCs w:val="21"/>
        </w:rPr>
        <w:t>-0,1</w:t>
      </w:r>
      <w:r w:rsidR="00CD3882">
        <w:rPr>
          <w:rFonts w:ascii="Arial" w:hAnsi="Arial" w:cs="Arial"/>
          <w:sz w:val="21"/>
          <w:szCs w:val="21"/>
        </w:rPr>
        <w:t xml:space="preserve">% su </w:t>
      </w:r>
      <w:r w:rsidR="001B2787">
        <w:rPr>
          <w:rFonts w:ascii="Arial" w:hAnsi="Arial" w:cs="Arial"/>
          <w:sz w:val="21"/>
          <w:szCs w:val="21"/>
        </w:rPr>
        <w:t>ottobre</w:t>
      </w:r>
      <w:r w:rsidR="00CD3882">
        <w:rPr>
          <w:rFonts w:ascii="Arial" w:hAnsi="Arial" w:cs="Arial"/>
          <w:sz w:val="21"/>
          <w:szCs w:val="21"/>
        </w:rPr>
        <w:t xml:space="preserve">). I prezzi dell’Energia </w:t>
      </w:r>
      <w:r w:rsidR="001B2787">
        <w:rPr>
          <w:rFonts w:ascii="Arial" w:hAnsi="Arial" w:cs="Arial"/>
          <w:sz w:val="21"/>
          <w:szCs w:val="21"/>
        </w:rPr>
        <w:t>contraggono</w:t>
      </w:r>
      <w:r w:rsidR="00CD3882">
        <w:rPr>
          <w:rFonts w:ascii="Arial" w:hAnsi="Arial" w:cs="Arial"/>
          <w:sz w:val="21"/>
          <w:szCs w:val="21"/>
        </w:rPr>
        <w:t xml:space="preserve"> la flessione (da -</w:t>
      </w:r>
      <w:r w:rsidR="001B2787">
        <w:rPr>
          <w:rFonts w:ascii="Arial" w:hAnsi="Arial" w:cs="Arial"/>
          <w:sz w:val="21"/>
          <w:szCs w:val="21"/>
        </w:rPr>
        <w:t>4,4</w:t>
      </w:r>
      <w:r w:rsidR="00CD3882">
        <w:rPr>
          <w:rFonts w:ascii="Arial" w:hAnsi="Arial" w:cs="Arial"/>
          <w:sz w:val="21"/>
          <w:szCs w:val="21"/>
        </w:rPr>
        <w:t>% a -4,</w:t>
      </w:r>
      <w:r w:rsidR="001B2787">
        <w:rPr>
          <w:rFonts w:ascii="Arial" w:hAnsi="Arial" w:cs="Arial"/>
          <w:sz w:val="21"/>
          <w:szCs w:val="21"/>
        </w:rPr>
        <w:t>2</w:t>
      </w:r>
      <w:r w:rsidR="00CD3882">
        <w:rPr>
          <w:rFonts w:ascii="Arial" w:hAnsi="Arial" w:cs="Arial"/>
          <w:sz w:val="21"/>
          <w:szCs w:val="21"/>
        </w:rPr>
        <w:t xml:space="preserve">%; </w:t>
      </w:r>
      <w:r w:rsidR="001B2787">
        <w:rPr>
          <w:rFonts w:ascii="Arial" w:hAnsi="Arial" w:cs="Arial"/>
          <w:sz w:val="21"/>
          <w:szCs w:val="21"/>
        </w:rPr>
        <w:t>+0,6</w:t>
      </w:r>
      <w:r w:rsidR="00CD3882">
        <w:rPr>
          <w:rFonts w:ascii="Arial" w:hAnsi="Arial" w:cs="Arial"/>
          <w:sz w:val="21"/>
          <w:szCs w:val="21"/>
        </w:rPr>
        <w:t xml:space="preserve">% su </w:t>
      </w:r>
      <w:r w:rsidR="001B2787">
        <w:rPr>
          <w:rFonts w:ascii="Arial" w:hAnsi="Arial" w:cs="Arial"/>
          <w:sz w:val="21"/>
          <w:szCs w:val="21"/>
        </w:rPr>
        <w:t>ottobre</w:t>
      </w:r>
      <w:r w:rsidR="00CD3882">
        <w:rPr>
          <w:rFonts w:ascii="Arial" w:hAnsi="Arial" w:cs="Arial"/>
          <w:sz w:val="21"/>
          <w:szCs w:val="21"/>
        </w:rPr>
        <w:t>)</w:t>
      </w:r>
      <w:r w:rsidR="00EC0317">
        <w:rPr>
          <w:rFonts w:ascii="Arial" w:hAnsi="Arial" w:cs="Arial"/>
          <w:sz w:val="21"/>
          <w:szCs w:val="21"/>
        </w:rPr>
        <w:t xml:space="preserve"> come sintesi, da un lato, dell’accentuarsi del calo dei prezzi </w:t>
      </w:r>
      <w:r w:rsidR="00CD3882">
        <w:rPr>
          <w:rFonts w:ascii="Arial" w:hAnsi="Arial" w:cs="Arial"/>
          <w:sz w:val="21"/>
          <w:szCs w:val="21"/>
        </w:rPr>
        <w:t>d</w:t>
      </w:r>
      <w:r w:rsidR="00EC0317">
        <w:rPr>
          <w:rFonts w:ascii="Arial" w:hAnsi="Arial" w:cs="Arial"/>
          <w:sz w:val="21"/>
          <w:szCs w:val="21"/>
        </w:rPr>
        <w:t xml:space="preserve">i </w:t>
      </w:r>
      <w:r w:rsidR="00E26268">
        <w:rPr>
          <w:rFonts w:ascii="Arial" w:hAnsi="Arial" w:cs="Arial"/>
          <w:sz w:val="21"/>
          <w:szCs w:val="21"/>
        </w:rPr>
        <w:t>Elettricità, gas e combustibili solidi (da</w:t>
      </w:r>
      <w:r w:rsidR="00AD5417">
        <w:rPr>
          <w:rFonts w:ascii="Arial" w:hAnsi="Arial" w:cs="Arial"/>
          <w:sz w:val="21"/>
          <w:szCs w:val="21"/>
        </w:rPr>
        <w:t xml:space="preserve">      </w:t>
      </w:r>
      <w:r w:rsidR="00E26268">
        <w:rPr>
          <w:rFonts w:ascii="Arial" w:hAnsi="Arial" w:cs="Arial"/>
          <w:sz w:val="21"/>
          <w:szCs w:val="21"/>
        </w:rPr>
        <w:t xml:space="preserve"> </w:t>
      </w:r>
      <w:r w:rsidR="002C00D8">
        <w:rPr>
          <w:rFonts w:ascii="Arial" w:hAnsi="Arial" w:cs="Arial"/>
          <w:sz w:val="21"/>
          <w:szCs w:val="21"/>
        </w:rPr>
        <w:t>-</w:t>
      </w:r>
      <w:r w:rsidR="001B2787">
        <w:rPr>
          <w:rFonts w:ascii="Arial" w:hAnsi="Arial" w:cs="Arial"/>
          <w:sz w:val="21"/>
          <w:szCs w:val="21"/>
        </w:rPr>
        <w:t>6,9</w:t>
      </w:r>
      <w:r w:rsidR="00E26268">
        <w:rPr>
          <w:rFonts w:ascii="Arial" w:hAnsi="Arial" w:cs="Arial"/>
          <w:sz w:val="21"/>
          <w:szCs w:val="21"/>
        </w:rPr>
        <w:t xml:space="preserve">% a </w:t>
      </w:r>
      <w:r w:rsidR="00307FD2">
        <w:rPr>
          <w:rFonts w:ascii="Arial" w:hAnsi="Arial" w:cs="Arial"/>
          <w:sz w:val="21"/>
          <w:szCs w:val="21"/>
        </w:rPr>
        <w:t>-</w:t>
      </w:r>
      <w:r w:rsidR="001B2787">
        <w:rPr>
          <w:rFonts w:ascii="Arial" w:hAnsi="Arial" w:cs="Arial"/>
          <w:sz w:val="21"/>
          <w:szCs w:val="21"/>
        </w:rPr>
        <w:t>7,</w:t>
      </w:r>
      <w:r w:rsidR="00562E86">
        <w:rPr>
          <w:rFonts w:ascii="Arial" w:hAnsi="Arial" w:cs="Arial"/>
          <w:sz w:val="21"/>
          <w:szCs w:val="21"/>
        </w:rPr>
        <w:t>1</w:t>
      </w:r>
      <w:r w:rsidR="00E26268">
        <w:rPr>
          <w:rFonts w:ascii="Arial" w:hAnsi="Arial" w:cs="Arial"/>
          <w:sz w:val="21"/>
          <w:szCs w:val="21"/>
        </w:rPr>
        <w:t xml:space="preserve">%; </w:t>
      </w:r>
      <w:r w:rsidR="00AD5417">
        <w:rPr>
          <w:rFonts w:ascii="Arial" w:hAnsi="Arial" w:cs="Arial"/>
          <w:sz w:val="21"/>
          <w:szCs w:val="21"/>
        </w:rPr>
        <w:t>nullo il congiunturale</w:t>
      </w:r>
      <w:r w:rsidR="00E26268">
        <w:rPr>
          <w:rFonts w:ascii="Arial" w:hAnsi="Arial" w:cs="Arial"/>
          <w:sz w:val="21"/>
          <w:szCs w:val="21"/>
        </w:rPr>
        <w:t>)</w:t>
      </w:r>
      <w:r w:rsidR="00EC0317">
        <w:rPr>
          <w:rFonts w:ascii="Arial" w:hAnsi="Arial" w:cs="Arial"/>
          <w:sz w:val="21"/>
          <w:szCs w:val="21"/>
        </w:rPr>
        <w:t xml:space="preserve"> e</w:t>
      </w:r>
      <w:r w:rsidR="000E12F6">
        <w:rPr>
          <w:rFonts w:ascii="Arial" w:hAnsi="Arial" w:cs="Arial"/>
          <w:sz w:val="21"/>
          <w:szCs w:val="21"/>
        </w:rPr>
        <w:t>,</w:t>
      </w:r>
      <w:r w:rsidR="00EC0317">
        <w:rPr>
          <w:rFonts w:ascii="Arial" w:hAnsi="Arial" w:cs="Arial"/>
          <w:sz w:val="21"/>
          <w:szCs w:val="21"/>
        </w:rPr>
        <w:t xml:space="preserve"> dall’altro, della risalita dei</w:t>
      </w:r>
      <w:r w:rsidR="002C00D8">
        <w:rPr>
          <w:rFonts w:ascii="Arial" w:hAnsi="Arial" w:cs="Arial"/>
          <w:sz w:val="21"/>
          <w:szCs w:val="21"/>
        </w:rPr>
        <w:t xml:space="preserve"> prezzi</w:t>
      </w:r>
      <w:r w:rsidR="006433BF">
        <w:rPr>
          <w:rFonts w:ascii="Arial" w:hAnsi="Arial" w:cs="Arial"/>
          <w:sz w:val="21"/>
          <w:szCs w:val="21"/>
        </w:rPr>
        <w:t xml:space="preserve"> dei</w:t>
      </w:r>
      <w:r w:rsidR="00C83674">
        <w:rPr>
          <w:rFonts w:ascii="Arial" w:hAnsi="Arial" w:cs="Arial"/>
          <w:sz w:val="21"/>
          <w:szCs w:val="21"/>
        </w:rPr>
        <w:t xml:space="preserve"> </w:t>
      </w:r>
      <w:r w:rsidR="00C83674" w:rsidRPr="00C0529C">
        <w:rPr>
          <w:rFonts w:ascii="Arial" w:hAnsi="Arial" w:cs="Arial"/>
          <w:sz w:val="21"/>
          <w:szCs w:val="21"/>
        </w:rPr>
        <w:t>Combustibili liquidi, carburanti e lubrificanti</w:t>
      </w:r>
      <w:r w:rsidR="00C83674">
        <w:rPr>
          <w:rFonts w:ascii="Arial" w:hAnsi="Arial" w:cs="Arial"/>
          <w:sz w:val="21"/>
          <w:szCs w:val="21"/>
        </w:rPr>
        <w:t xml:space="preserve"> </w:t>
      </w:r>
      <w:r w:rsidR="00E26268">
        <w:rPr>
          <w:rFonts w:ascii="Arial" w:hAnsi="Arial" w:cs="Arial"/>
          <w:sz w:val="21"/>
          <w:szCs w:val="21"/>
        </w:rPr>
        <w:t>(da</w:t>
      </w:r>
      <w:r w:rsidR="002C00D8">
        <w:rPr>
          <w:rFonts w:ascii="Arial" w:hAnsi="Arial" w:cs="Arial"/>
          <w:sz w:val="21"/>
          <w:szCs w:val="21"/>
        </w:rPr>
        <w:t xml:space="preserve"> </w:t>
      </w:r>
      <w:r w:rsidR="005A5988">
        <w:rPr>
          <w:rFonts w:ascii="Arial" w:hAnsi="Arial" w:cs="Arial"/>
          <w:sz w:val="21"/>
          <w:szCs w:val="21"/>
        </w:rPr>
        <w:t>-</w:t>
      </w:r>
      <w:r w:rsidR="00CD3882">
        <w:rPr>
          <w:rFonts w:ascii="Arial" w:hAnsi="Arial" w:cs="Arial"/>
          <w:sz w:val="21"/>
          <w:szCs w:val="21"/>
        </w:rPr>
        <w:t>1,</w:t>
      </w:r>
      <w:r w:rsidR="001B2787">
        <w:rPr>
          <w:rFonts w:ascii="Arial" w:hAnsi="Arial" w:cs="Arial"/>
          <w:sz w:val="21"/>
          <w:szCs w:val="21"/>
        </w:rPr>
        <w:t>5</w:t>
      </w:r>
      <w:r w:rsidR="00E26268">
        <w:rPr>
          <w:rFonts w:ascii="Arial" w:hAnsi="Arial" w:cs="Arial"/>
          <w:sz w:val="21"/>
          <w:szCs w:val="21"/>
        </w:rPr>
        <w:t>% a -</w:t>
      </w:r>
      <w:r w:rsidR="001B2787">
        <w:rPr>
          <w:rFonts w:ascii="Arial" w:hAnsi="Arial" w:cs="Arial"/>
          <w:sz w:val="21"/>
          <w:szCs w:val="21"/>
        </w:rPr>
        <w:t>0,4</w:t>
      </w:r>
      <w:r w:rsidR="00736311">
        <w:rPr>
          <w:rFonts w:ascii="Arial" w:hAnsi="Arial" w:cs="Arial"/>
          <w:sz w:val="21"/>
          <w:szCs w:val="21"/>
        </w:rPr>
        <w:t>%</w:t>
      </w:r>
      <w:r w:rsidR="00EC2326">
        <w:rPr>
          <w:rFonts w:ascii="Arial" w:hAnsi="Arial" w:cs="Arial"/>
          <w:sz w:val="21"/>
          <w:szCs w:val="21"/>
        </w:rPr>
        <w:t>;</w:t>
      </w:r>
      <w:r w:rsidR="00E26268">
        <w:rPr>
          <w:rFonts w:ascii="Arial" w:hAnsi="Arial" w:cs="Arial"/>
          <w:sz w:val="21"/>
          <w:szCs w:val="21"/>
        </w:rPr>
        <w:t xml:space="preserve"> </w:t>
      </w:r>
      <w:r w:rsidR="001B2787">
        <w:rPr>
          <w:rFonts w:ascii="Arial" w:hAnsi="Arial" w:cs="Arial"/>
          <w:sz w:val="21"/>
          <w:szCs w:val="21"/>
        </w:rPr>
        <w:t>+1,5</w:t>
      </w:r>
      <w:r w:rsidR="0026219E">
        <w:rPr>
          <w:rFonts w:ascii="Arial" w:hAnsi="Arial" w:cs="Arial"/>
          <w:sz w:val="21"/>
          <w:szCs w:val="21"/>
        </w:rPr>
        <w:t xml:space="preserve">% su </w:t>
      </w:r>
      <w:r w:rsidR="001B2787">
        <w:rPr>
          <w:rFonts w:ascii="Arial" w:hAnsi="Arial" w:cs="Arial"/>
          <w:sz w:val="21"/>
          <w:szCs w:val="21"/>
        </w:rPr>
        <w:t>ottobre</w:t>
      </w:r>
      <w:r w:rsidR="00E26268">
        <w:rPr>
          <w:rFonts w:ascii="Arial" w:hAnsi="Arial" w:cs="Arial"/>
          <w:sz w:val="21"/>
          <w:szCs w:val="21"/>
        </w:rPr>
        <w:t>).</w:t>
      </w:r>
    </w:p>
    <w:p w14:paraId="1D8B8D06" w14:textId="39D3CAE3" w:rsidR="005C4912" w:rsidRDefault="00E57AFF" w:rsidP="005C4912">
      <w:pPr>
        <w:spacing w:before="0" w:after="60"/>
        <w:jc w:val="both"/>
        <w:rPr>
          <w:rFonts w:ascii="Arial" w:hAnsi="Arial" w:cs="Arial"/>
          <w:sz w:val="21"/>
          <w:szCs w:val="21"/>
        </w:rPr>
      </w:pPr>
      <w:r>
        <w:rPr>
          <w:rFonts w:ascii="Arial" w:hAnsi="Arial" w:cs="Arial"/>
          <w:sz w:val="21"/>
          <w:szCs w:val="21"/>
        </w:rPr>
        <w:t>L</w:t>
      </w:r>
      <w:r w:rsidR="005C4912">
        <w:rPr>
          <w:rFonts w:ascii="Arial" w:hAnsi="Arial" w:cs="Arial"/>
          <w:sz w:val="21"/>
          <w:szCs w:val="21"/>
        </w:rPr>
        <w:t xml:space="preserve">a </w:t>
      </w:r>
      <w:r w:rsidR="00F97511">
        <w:rPr>
          <w:rFonts w:ascii="Arial" w:hAnsi="Arial" w:cs="Arial"/>
          <w:sz w:val="21"/>
          <w:szCs w:val="21"/>
        </w:rPr>
        <w:t>crescita</w:t>
      </w:r>
      <w:r w:rsidR="005C4912">
        <w:rPr>
          <w:rFonts w:ascii="Arial" w:hAnsi="Arial" w:cs="Arial"/>
          <w:sz w:val="21"/>
          <w:szCs w:val="21"/>
        </w:rPr>
        <w:t xml:space="preserve"> tendenziale dei prezzi dei Beni industriali non energetici, nel complesso, </w:t>
      </w:r>
      <w:r>
        <w:rPr>
          <w:rFonts w:ascii="Arial" w:hAnsi="Arial" w:cs="Arial"/>
          <w:sz w:val="21"/>
          <w:szCs w:val="21"/>
        </w:rPr>
        <w:t>accelera di poco</w:t>
      </w:r>
      <w:r w:rsidR="005C4912">
        <w:rPr>
          <w:rFonts w:ascii="Arial" w:hAnsi="Arial" w:cs="Arial"/>
          <w:sz w:val="21"/>
          <w:szCs w:val="21"/>
        </w:rPr>
        <w:t xml:space="preserve"> (da +0,</w:t>
      </w:r>
      <w:r>
        <w:rPr>
          <w:rFonts w:ascii="Arial" w:hAnsi="Arial" w:cs="Arial"/>
          <w:sz w:val="21"/>
          <w:szCs w:val="21"/>
        </w:rPr>
        <w:t>4</w:t>
      </w:r>
      <w:r w:rsidR="005C4912">
        <w:rPr>
          <w:rFonts w:ascii="Arial" w:hAnsi="Arial" w:cs="Arial"/>
          <w:sz w:val="21"/>
          <w:szCs w:val="21"/>
        </w:rPr>
        <w:t>% a +0,</w:t>
      </w:r>
      <w:r>
        <w:rPr>
          <w:rFonts w:ascii="Arial" w:hAnsi="Arial" w:cs="Arial"/>
          <w:sz w:val="21"/>
          <w:szCs w:val="21"/>
        </w:rPr>
        <w:t>5</w:t>
      </w:r>
      <w:r w:rsidR="005C4912">
        <w:rPr>
          <w:rFonts w:ascii="Arial" w:hAnsi="Arial" w:cs="Arial"/>
          <w:sz w:val="21"/>
          <w:szCs w:val="21"/>
        </w:rPr>
        <w:t xml:space="preserve">%; </w:t>
      </w:r>
      <w:r>
        <w:rPr>
          <w:rFonts w:ascii="Arial" w:hAnsi="Arial" w:cs="Arial"/>
          <w:sz w:val="21"/>
          <w:szCs w:val="21"/>
        </w:rPr>
        <w:t>-0,1</w:t>
      </w:r>
      <w:r w:rsidR="005C4912">
        <w:rPr>
          <w:rFonts w:ascii="Arial" w:hAnsi="Arial" w:cs="Arial"/>
          <w:sz w:val="21"/>
          <w:szCs w:val="21"/>
        </w:rPr>
        <w:t xml:space="preserve">% su </w:t>
      </w:r>
      <w:r>
        <w:rPr>
          <w:rFonts w:ascii="Arial" w:hAnsi="Arial" w:cs="Arial"/>
          <w:sz w:val="21"/>
          <w:szCs w:val="21"/>
        </w:rPr>
        <w:t>ottobre</w:t>
      </w:r>
      <w:r w:rsidR="005C4912">
        <w:rPr>
          <w:rFonts w:ascii="Arial" w:hAnsi="Arial" w:cs="Arial"/>
          <w:sz w:val="21"/>
          <w:szCs w:val="21"/>
        </w:rPr>
        <w:t xml:space="preserve">), </w:t>
      </w:r>
      <w:r w:rsidR="00AD736F">
        <w:rPr>
          <w:rFonts w:ascii="Arial" w:hAnsi="Arial" w:cs="Arial"/>
          <w:sz w:val="21"/>
          <w:szCs w:val="21"/>
        </w:rPr>
        <w:t>per effetto</w:t>
      </w:r>
      <w:r w:rsidR="005C4912">
        <w:rPr>
          <w:rFonts w:ascii="Arial" w:hAnsi="Arial" w:cs="Arial"/>
          <w:sz w:val="21"/>
          <w:szCs w:val="21"/>
        </w:rPr>
        <w:t xml:space="preserve"> della </w:t>
      </w:r>
      <w:r w:rsidR="00611A2D">
        <w:rPr>
          <w:rFonts w:ascii="Arial" w:hAnsi="Arial" w:cs="Arial"/>
          <w:sz w:val="21"/>
          <w:szCs w:val="21"/>
        </w:rPr>
        <w:t xml:space="preserve">risalita </w:t>
      </w:r>
      <w:r w:rsidR="005C4912">
        <w:rPr>
          <w:rFonts w:ascii="Arial" w:hAnsi="Arial" w:cs="Arial"/>
          <w:sz w:val="21"/>
          <w:szCs w:val="21"/>
        </w:rPr>
        <w:t>dei prezzi dei Beni durevoli (da</w:t>
      </w:r>
      <w:r w:rsidR="00611A2D">
        <w:rPr>
          <w:rFonts w:ascii="Arial" w:hAnsi="Arial" w:cs="Arial"/>
          <w:sz w:val="21"/>
          <w:szCs w:val="21"/>
        </w:rPr>
        <w:t xml:space="preserve"> -0,9</w:t>
      </w:r>
      <w:r w:rsidR="005C4912">
        <w:rPr>
          <w:rFonts w:ascii="Arial" w:hAnsi="Arial" w:cs="Arial"/>
          <w:sz w:val="21"/>
          <w:szCs w:val="21"/>
        </w:rPr>
        <w:t xml:space="preserve">% a </w:t>
      </w:r>
      <w:r w:rsidR="00611A2D">
        <w:rPr>
          <w:rFonts w:ascii="Arial" w:hAnsi="Arial" w:cs="Arial"/>
          <w:sz w:val="21"/>
          <w:szCs w:val="21"/>
        </w:rPr>
        <w:t>-</w:t>
      </w:r>
      <w:r w:rsidR="005C4912">
        <w:rPr>
          <w:rFonts w:ascii="Arial" w:hAnsi="Arial" w:cs="Arial"/>
          <w:sz w:val="21"/>
          <w:szCs w:val="21"/>
        </w:rPr>
        <w:t>0,</w:t>
      </w:r>
      <w:r w:rsidR="00AD5417">
        <w:rPr>
          <w:rFonts w:ascii="Arial" w:hAnsi="Arial" w:cs="Arial"/>
          <w:sz w:val="21"/>
          <w:szCs w:val="21"/>
        </w:rPr>
        <w:t>6</w:t>
      </w:r>
      <w:r w:rsidR="005C4912">
        <w:rPr>
          <w:rFonts w:ascii="Arial" w:hAnsi="Arial" w:cs="Arial"/>
          <w:sz w:val="21"/>
          <w:szCs w:val="21"/>
        </w:rPr>
        <w:t xml:space="preserve">%; </w:t>
      </w:r>
      <w:r w:rsidR="00611A2D">
        <w:rPr>
          <w:rFonts w:ascii="Arial" w:hAnsi="Arial" w:cs="Arial"/>
          <w:sz w:val="21"/>
          <w:szCs w:val="21"/>
        </w:rPr>
        <w:t>-0,</w:t>
      </w:r>
      <w:r w:rsidR="00AD5417">
        <w:rPr>
          <w:rFonts w:ascii="Arial" w:hAnsi="Arial" w:cs="Arial"/>
          <w:sz w:val="21"/>
          <w:szCs w:val="21"/>
        </w:rPr>
        <w:t>2</w:t>
      </w:r>
      <w:r w:rsidR="00556714">
        <w:rPr>
          <w:rFonts w:ascii="Arial" w:hAnsi="Arial" w:cs="Arial"/>
          <w:sz w:val="21"/>
          <w:szCs w:val="21"/>
        </w:rPr>
        <w:t>%</w:t>
      </w:r>
      <w:r w:rsidR="005C4912">
        <w:rPr>
          <w:rFonts w:ascii="Arial" w:hAnsi="Arial" w:cs="Arial"/>
          <w:sz w:val="21"/>
          <w:szCs w:val="21"/>
        </w:rPr>
        <w:t xml:space="preserve"> su </w:t>
      </w:r>
      <w:r w:rsidR="00611A2D">
        <w:rPr>
          <w:rFonts w:ascii="Arial" w:hAnsi="Arial" w:cs="Arial"/>
          <w:sz w:val="21"/>
          <w:szCs w:val="21"/>
        </w:rPr>
        <w:t>ottobre</w:t>
      </w:r>
      <w:r w:rsidR="005C4912">
        <w:rPr>
          <w:rFonts w:ascii="Arial" w:hAnsi="Arial" w:cs="Arial"/>
          <w:sz w:val="21"/>
          <w:szCs w:val="21"/>
        </w:rPr>
        <w:t>)</w:t>
      </w:r>
      <w:r w:rsidR="00611A2D">
        <w:rPr>
          <w:rFonts w:ascii="Arial" w:hAnsi="Arial" w:cs="Arial"/>
          <w:sz w:val="21"/>
          <w:szCs w:val="21"/>
        </w:rPr>
        <w:t>, il cui effetto è solo parzialmente compensato dalla decelerazione dei prezzi dei Beni non durevoli (da +1,9% a +1,</w:t>
      </w:r>
      <w:r w:rsidR="00AD5417">
        <w:rPr>
          <w:rFonts w:ascii="Arial" w:hAnsi="Arial" w:cs="Arial"/>
          <w:sz w:val="21"/>
          <w:szCs w:val="21"/>
        </w:rPr>
        <w:t>5</w:t>
      </w:r>
      <w:r w:rsidR="00611A2D">
        <w:rPr>
          <w:rFonts w:ascii="Arial" w:hAnsi="Arial" w:cs="Arial"/>
          <w:sz w:val="21"/>
          <w:szCs w:val="21"/>
        </w:rPr>
        <w:t xml:space="preserve">%; </w:t>
      </w:r>
      <w:r w:rsidR="00AD5417">
        <w:rPr>
          <w:rFonts w:ascii="Arial" w:hAnsi="Arial" w:cs="Arial"/>
          <w:sz w:val="21"/>
          <w:szCs w:val="21"/>
        </w:rPr>
        <w:t>-0,1% su ottobre</w:t>
      </w:r>
      <w:r w:rsidR="00611A2D">
        <w:rPr>
          <w:rFonts w:ascii="Arial" w:hAnsi="Arial" w:cs="Arial"/>
          <w:sz w:val="21"/>
          <w:szCs w:val="21"/>
        </w:rPr>
        <w:t>)</w:t>
      </w:r>
      <w:r w:rsidR="00AD5417">
        <w:rPr>
          <w:rFonts w:ascii="Arial" w:hAnsi="Arial" w:cs="Arial"/>
          <w:sz w:val="21"/>
          <w:szCs w:val="21"/>
        </w:rPr>
        <w:t>; i</w:t>
      </w:r>
      <w:r w:rsidR="00611A2D">
        <w:rPr>
          <w:rFonts w:ascii="Arial" w:hAnsi="Arial" w:cs="Arial"/>
          <w:sz w:val="21"/>
          <w:szCs w:val="21"/>
        </w:rPr>
        <w:t xml:space="preserve"> prezzi dei Beni semidurevoli sono stabili a +0,9% (-0,1% su ottobre).</w:t>
      </w:r>
    </w:p>
    <w:p w14:paraId="3E7CB4E5" w14:textId="77777777" w:rsidR="00307FD2" w:rsidRPr="00AD5417" w:rsidRDefault="00307FD2" w:rsidP="00AD5417">
      <w:pPr>
        <w:spacing w:before="0" w:after="120"/>
        <w:jc w:val="both"/>
        <w:rPr>
          <w:rFonts w:ascii="Arial" w:hAnsi="Arial" w:cs="Arial"/>
          <w:sz w:val="21"/>
          <w:szCs w:val="21"/>
        </w:rPr>
      </w:pPr>
    </w:p>
    <w:p w14:paraId="353C6924" w14:textId="77777777" w:rsidR="00E57AFF" w:rsidRPr="00AD5417" w:rsidRDefault="00E57AFF" w:rsidP="00AD5417">
      <w:pPr>
        <w:spacing w:before="0" w:after="120"/>
        <w:jc w:val="both"/>
        <w:rPr>
          <w:rFonts w:ascii="Arial" w:hAnsi="Arial" w:cs="Arial"/>
          <w:sz w:val="21"/>
          <w:szCs w:val="21"/>
        </w:rPr>
      </w:pPr>
    </w:p>
    <w:p w14:paraId="611DB561" w14:textId="77777777" w:rsidR="00E57AFF" w:rsidRPr="001708CE" w:rsidRDefault="00E57AFF" w:rsidP="00AD5417">
      <w:pPr>
        <w:spacing w:before="0" w:after="120"/>
        <w:jc w:val="both"/>
        <w:rPr>
          <w:rFonts w:ascii="Arial" w:hAnsi="Arial" w:cs="Arial"/>
          <w:sz w:val="8"/>
          <w:szCs w:val="8"/>
        </w:rPr>
      </w:pPr>
    </w:p>
    <w:p w14:paraId="7B656854" w14:textId="718C4FA6" w:rsidR="000368BF" w:rsidRPr="00BA4B71" w:rsidRDefault="00BA4B71" w:rsidP="00E10652">
      <w:pPr>
        <w:spacing w:before="0" w:after="60"/>
        <w:jc w:val="both"/>
        <w:rPr>
          <w:rFonts w:ascii="Arial" w:hAnsi="Arial" w:cs="Arial"/>
          <w:sz w:val="21"/>
          <w:szCs w:val="21"/>
        </w:rPr>
      </w:pPr>
      <w:r>
        <w:rPr>
          <w:rFonts w:ascii="Arial" w:hAnsi="Arial" w:cs="Arial"/>
          <w:sz w:val="21"/>
          <w:szCs w:val="21"/>
        </w:rPr>
        <w:t>P</w:t>
      </w:r>
      <w:r w:rsidR="00281A74">
        <w:rPr>
          <w:rFonts w:ascii="Arial" w:hAnsi="Arial" w:cs="Arial"/>
          <w:color w:val="000000"/>
          <w:kern w:val="0"/>
          <w:sz w:val="21"/>
          <w:szCs w:val="21"/>
        </w:rPr>
        <w:t>er i</w:t>
      </w:r>
      <w:r w:rsidR="006F49F3">
        <w:rPr>
          <w:rFonts w:ascii="Arial" w:hAnsi="Arial" w:cs="Arial"/>
          <w:color w:val="000000"/>
          <w:kern w:val="0"/>
          <w:sz w:val="21"/>
          <w:szCs w:val="21"/>
        </w:rPr>
        <w:t xml:space="preserve"> </w:t>
      </w:r>
      <w:r w:rsidR="00347EFC">
        <w:rPr>
          <w:rFonts w:ascii="Arial" w:hAnsi="Arial" w:cs="Arial"/>
          <w:color w:val="000000"/>
          <w:kern w:val="0"/>
          <w:sz w:val="21"/>
          <w:szCs w:val="21"/>
        </w:rPr>
        <w:t>servizi</w:t>
      </w:r>
      <w:r w:rsidR="00B62C1D">
        <w:rPr>
          <w:rFonts w:ascii="Arial" w:hAnsi="Arial" w:cs="Arial"/>
          <w:color w:val="000000"/>
          <w:kern w:val="0"/>
          <w:sz w:val="21"/>
          <w:szCs w:val="21"/>
        </w:rPr>
        <w:t xml:space="preserve">, </w:t>
      </w:r>
      <w:r w:rsidR="00281A74">
        <w:rPr>
          <w:rFonts w:ascii="Arial" w:hAnsi="Arial" w:cs="Arial"/>
          <w:color w:val="000000"/>
          <w:kern w:val="0"/>
          <w:sz w:val="21"/>
          <w:szCs w:val="21"/>
        </w:rPr>
        <w:t xml:space="preserve">il tasso tendenziale di variazione dei prezzi </w:t>
      </w:r>
      <w:r w:rsidR="00556714">
        <w:rPr>
          <w:rFonts w:ascii="Arial" w:hAnsi="Arial" w:cs="Arial"/>
          <w:color w:val="000000"/>
          <w:kern w:val="0"/>
          <w:sz w:val="21"/>
          <w:szCs w:val="21"/>
        </w:rPr>
        <w:t>diminuisce</w:t>
      </w:r>
      <w:r>
        <w:rPr>
          <w:rFonts w:ascii="Arial" w:hAnsi="Arial" w:cs="Arial"/>
          <w:color w:val="000000"/>
          <w:kern w:val="0"/>
          <w:sz w:val="21"/>
          <w:szCs w:val="21"/>
        </w:rPr>
        <w:t xml:space="preserve"> </w:t>
      </w:r>
      <w:r w:rsidR="00281A74">
        <w:rPr>
          <w:rFonts w:ascii="Arial" w:hAnsi="Arial" w:cs="Arial"/>
          <w:color w:val="000000"/>
          <w:kern w:val="0"/>
          <w:sz w:val="21"/>
          <w:szCs w:val="21"/>
        </w:rPr>
        <w:t>(</w:t>
      </w:r>
      <w:r w:rsidR="00556714">
        <w:rPr>
          <w:rFonts w:ascii="Arial" w:hAnsi="Arial" w:cs="Arial"/>
          <w:color w:val="000000"/>
          <w:kern w:val="0"/>
          <w:sz w:val="21"/>
          <w:szCs w:val="21"/>
        </w:rPr>
        <w:t>da +</w:t>
      </w:r>
      <w:r w:rsidR="002961D1">
        <w:rPr>
          <w:rFonts w:ascii="Arial" w:hAnsi="Arial" w:cs="Arial"/>
          <w:color w:val="000000"/>
          <w:kern w:val="0"/>
          <w:sz w:val="21"/>
          <w:szCs w:val="21"/>
        </w:rPr>
        <w:t>2,9</w:t>
      </w:r>
      <w:r w:rsidR="00556714">
        <w:rPr>
          <w:rFonts w:ascii="Arial" w:hAnsi="Arial" w:cs="Arial"/>
          <w:color w:val="000000"/>
          <w:kern w:val="0"/>
          <w:sz w:val="21"/>
          <w:szCs w:val="21"/>
        </w:rPr>
        <w:t xml:space="preserve">% </w:t>
      </w:r>
      <w:r w:rsidR="00B62C1D">
        <w:rPr>
          <w:rFonts w:ascii="Arial" w:hAnsi="Arial" w:cs="Arial"/>
          <w:color w:val="000000"/>
          <w:kern w:val="0"/>
          <w:sz w:val="21"/>
          <w:szCs w:val="21"/>
        </w:rPr>
        <w:t>a +</w:t>
      </w:r>
      <w:r w:rsidR="00556714">
        <w:rPr>
          <w:rFonts w:ascii="Arial" w:hAnsi="Arial" w:cs="Arial"/>
          <w:color w:val="000000"/>
          <w:kern w:val="0"/>
          <w:sz w:val="21"/>
          <w:szCs w:val="21"/>
        </w:rPr>
        <w:t>2,</w:t>
      </w:r>
      <w:r w:rsidR="00AD5417">
        <w:rPr>
          <w:rFonts w:ascii="Arial" w:hAnsi="Arial" w:cs="Arial"/>
          <w:color w:val="000000"/>
          <w:kern w:val="0"/>
          <w:sz w:val="21"/>
          <w:szCs w:val="21"/>
        </w:rPr>
        <w:t>6</w:t>
      </w:r>
      <w:r w:rsidR="00B62C1D">
        <w:rPr>
          <w:rFonts w:ascii="Arial" w:hAnsi="Arial" w:cs="Arial"/>
          <w:color w:val="000000"/>
          <w:kern w:val="0"/>
          <w:sz w:val="21"/>
          <w:szCs w:val="21"/>
        </w:rPr>
        <w:t>%</w:t>
      </w:r>
      <w:r w:rsidR="00413F91">
        <w:rPr>
          <w:rFonts w:ascii="Arial" w:hAnsi="Arial" w:cs="Arial"/>
          <w:color w:val="000000"/>
          <w:kern w:val="0"/>
          <w:sz w:val="21"/>
          <w:szCs w:val="21"/>
        </w:rPr>
        <w:t>;</w:t>
      </w:r>
      <w:r w:rsidR="00281A74">
        <w:rPr>
          <w:rFonts w:ascii="Arial" w:hAnsi="Arial" w:cs="Arial"/>
          <w:color w:val="000000"/>
          <w:kern w:val="0"/>
          <w:sz w:val="21"/>
          <w:szCs w:val="21"/>
        </w:rPr>
        <w:t xml:space="preserve"> </w:t>
      </w:r>
      <w:r w:rsidR="00556714">
        <w:rPr>
          <w:rFonts w:ascii="Arial" w:hAnsi="Arial" w:cs="Arial"/>
          <w:color w:val="000000"/>
          <w:kern w:val="0"/>
          <w:sz w:val="21"/>
          <w:szCs w:val="21"/>
        </w:rPr>
        <w:t>-</w:t>
      </w:r>
      <w:r w:rsidR="00AA5EFD">
        <w:rPr>
          <w:rFonts w:ascii="Arial" w:hAnsi="Arial" w:cs="Arial"/>
          <w:color w:val="000000"/>
          <w:kern w:val="0"/>
          <w:sz w:val="21"/>
          <w:szCs w:val="21"/>
        </w:rPr>
        <w:t>0,</w:t>
      </w:r>
      <w:r w:rsidR="00AD5417">
        <w:rPr>
          <w:rFonts w:ascii="Arial" w:hAnsi="Arial" w:cs="Arial"/>
          <w:color w:val="000000"/>
          <w:kern w:val="0"/>
          <w:sz w:val="21"/>
          <w:szCs w:val="21"/>
        </w:rPr>
        <w:t>8</w:t>
      </w:r>
      <w:r w:rsidR="00B62C1D">
        <w:rPr>
          <w:rFonts w:ascii="Arial" w:hAnsi="Arial" w:cs="Arial"/>
          <w:color w:val="000000"/>
          <w:kern w:val="0"/>
          <w:sz w:val="21"/>
          <w:szCs w:val="21"/>
        </w:rPr>
        <w:t xml:space="preserve">% su </w:t>
      </w:r>
      <w:r w:rsidR="002961D1">
        <w:rPr>
          <w:rFonts w:ascii="Arial" w:hAnsi="Arial" w:cs="Arial"/>
          <w:color w:val="000000"/>
          <w:kern w:val="0"/>
          <w:sz w:val="21"/>
          <w:szCs w:val="21"/>
        </w:rPr>
        <w:t>ottobre</w:t>
      </w:r>
      <w:r w:rsidR="00B62C1D">
        <w:rPr>
          <w:rFonts w:ascii="Arial" w:hAnsi="Arial" w:cs="Arial"/>
          <w:color w:val="000000"/>
          <w:kern w:val="0"/>
          <w:sz w:val="21"/>
          <w:szCs w:val="21"/>
        </w:rPr>
        <w:t xml:space="preserve">). </w:t>
      </w:r>
      <w:r w:rsidR="00D37CDF">
        <w:rPr>
          <w:rFonts w:ascii="Arial" w:hAnsi="Arial" w:cs="Arial"/>
          <w:color w:val="000000"/>
          <w:kern w:val="0"/>
          <w:sz w:val="21"/>
          <w:szCs w:val="21"/>
        </w:rPr>
        <w:t>R</w:t>
      </w:r>
      <w:r w:rsidR="00765080">
        <w:rPr>
          <w:rFonts w:ascii="Arial" w:hAnsi="Arial" w:cs="Arial"/>
          <w:color w:val="000000"/>
          <w:kern w:val="0"/>
          <w:sz w:val="21"/>
          <w:szCs w:val="21"/>
        </w:rPr>
        <w:t xml:space="preserve">allentano </w:t>
      </w:r>
      <w:r w:rsidR="00B62C1D">
        <w:rPr>
          <w:rFonts w:ascii="Arial" w:hAnsi="Arial" w:cs="Arial"/>
          <w:color w:val="000000"/>
          <w:kern w:val="0"/>
          <w:sz w:val="21"/>
          <w:szCs w:val="21"/>
        </w:rPr>
        <w:t xml:space="preserve">i prezzi </w:t>
      </w:r>
      <w:r w:rsidR="00BC2941">
        <w:rPr>
          <w:rFonts w:ascii="Arial" w:hAnsi="Arial" w:cs="Arial"/>
          <w:color w:val="000000"/>
          <w:kern w:val="0"/>
          <w:sz w:val="21"/>
          <w:szCs w:val="21"/>
        </w:rPr>
        <w:t xml:space="preserve">dei Servizi </w:t>
      </w:r>
      <w:r w:rsidR="00556714">
        <w:rPr>
          <w:rFonts w:ascii="Arial" w:hAnsi="Arial" w:cs="Arial"/>
          <w:color w:val="000000"/>
          <w:kern w:val="0"/>
          <w:sz w:val="21"/>
          <w:szCs w:val="21"/>
        </w:rPr>
        <w:t>relativi ai trasporti (da +2,</w:t>
      </w:r>
      <w:r w:rsidR="00CD09CE">
        <w:rPr>
          <w:rFonts w:ascii="Arial" w:hAnsi="Arial" w:cs="Arial"/>
          <w:color w:val="000000"/>
          <w:kern w:val="0"/>
          <w:sz w:val="21"/>
          <w:szCs w:val="21"/>
        </w:rPr>
        <w:t>1</w:t>
      </w:r>
      <w:r w:rsidR="00556714">
        <w:rPr>
          <w:rFonts w:ascii="Arial" w:hAnsi="Arial" w:cs="Arial"/>
          <w:color w:val="000000"/>
          <w:kern w:val="0"/>
          <w:sz w:val="21"/>
          <w:szCs w:val="21"/>
        </w:rPr>
        <w:t>% a +</w:t>
      </w:r>
      <w:r w:rsidR="00CD09CE">
        <w:rPr>
          <w:rFonts w:ascii="Arial" w:hAnsi="Arial" w:cs="Arial"/>
          <w:color w:val="000000"/>
          <w:kern w:val="0"/>
          <w:sz w:val="21"/>
          <w:szCs w:val="21"/>
        </w:rPr>
        <w:t>0,9</w:t>
      </w:r>
      <w:r w:rsidR="00556714">
        <w:rPr>
          <w:rFonts w:ascii="Arial" w:hAnsi="Arial" w:cs="Arial"/>
          <w:color w:val="000000"/>
          <w:kern w:val="0"/>
          <w:sz w:val="21"/>
          <w:szCs w:val="21"/>
        </w:rPr>
        <w:t xml:space="preserve">%; </w:t>
      </w:r>
      <w:r w:rsidR="00CD09CE">
        <w:rPr>
          <w:rFonts w:ascii="Arial" w:hAnsi="Arial" w:cs="Arial"/>
          <w:color w:val="000000"/>
          <w:kern w:val="0"/>
          <w:sz w:val="21"/>
          <w:szCs w:val="21"/>
        </w:rPr>
        <w:t>-1,4</w:t>
      </w:r>
      <w:r w:rsidR="00556714">
        <w:rPr>
          <w:rFonts w:ascii="Arial" w:hAnsi="Arial" w:cs="Arial"/>
          <w:color w:val="000000"/>
          <w:kern w:val="0"/>
          <w:sz w:val="21"/>
          <w:szCs w:val="21"/>
        </w:rPr>
        <w:t xml:space="preserve">% su </w:t>
      </w:r>
      <w:r w:rsidR="00CD09CE">
        <w:rPr>
          <w:rFonts w:ascii="Arial" w:hAnsi="Arial" w:cs="Arial"/>
          <w:color w:val="000000"/>
          <w:kern w:val="0"/>
          <w:sz w:val="21"/>
          <w:szCs w:val="21"/>
        </w:rPr>
        <w:t>ottobre</w:t>
      </w:r>
      <w:r w:rsidR="00556714">
        <w:rPr>
          <w:rFonts w:ascii="Arial" w:hAnsi="Arial" w:cs="Arial"/>
          <w:color w:val="000000"/>
          <w:kern w:val="0"/>
          <w:sz w:val="21"/>
          <w:szCs w:val="21"/>
        </w:rPr>
        <w:t xml:space="preserve">), quelli dei Servizi </w:t>
      </w:r>
      <w:r w:rsidR="00CD09CE">
        <w:rPr>
          <w:rFonts w:ascii="Arial" w:hAnsi="Arial" w:cs="Arial"/>
          <w:color w:val="000000"/>
          <w:kern w:val="0"/>
          <w:sz w:val="21"/>
          <w:szCs w:val="21"/>
        </w:rPr>
        <w:t>ricreativi, culturali e per la cura della persona</w:t>
      </w:r>
      <w:r w:rsidR="00AF135A">
        <w:rPr>
          <w:rFonts w:ascii="Arial" w:hAnsi="Arial" w:cs="Arial"/>
          <w:color w:val="000000"/>
          <w:kern w:val="0"/>
          <w:sz w:val="21"/>
          <w:szCs w:val="21"/>
        </w:rPr>
        <w:t xml:space="preserve"> (da +</w:t>
      </w:r>
      <w:r w:rsidR="00CD09CE">
        <w:rPr>
          <w:rFonts w:ascii="Arial" w:hAnsi="Arial" w:cs="Arial"/>
          <w:color w:val="000000"/>
          <w:kern w:val="0"/>
          <w:sz w:val="21"/>
          <w:szCs w:val="21"/>
        </w:rPr>
        <w:t>3,7</w:t>
      </w:r>
      <w:r w:rsidR="00AF135A">
        <w:rPr>
          <w:rFonts w:ascii="Arial" w:hAnsi="Arial" w:cs="Arial"/>
          <w:color w:val="000000"/>
          <w:kern w:val="0"/>
          <w:sz w:val="21"/>
          <w:szCs w:val="21"/>
        </w:rPr>
        <w:t>% a +</w:t>
      </w:r>
      <w:r w:rsidR="00CD09CE">
        <w:rPr>
          <w:rFonts w:ascii="Arial" w:hAnsi="Arial" w:cs="Arial"/>
          <w:color w:val="000000"/>
          <w:kern w:val="0"/>
          <w:sz w:val="21"/>
          <w:szCs w:val="21"/>
        </w:rPr>
        <w:t>3</w:t>
      </w:r>
      <w:r w:rsidR="00AF135A">
        <w:rPr>
          <w:rFonts w:ascii="Arial" w:hAnsi="Arial" w:cs="Arial"/>
          <w:color w:val="000000"/>
          <w:kern w:val="0"/>
          <w:sz w:val="21"/>
          <w:szCs w:val="21"/>
        </w:rPr>
        <w:t>,</w:t>
      </w:r>
      <w:r w:rsidR="00AD5417">
        <w:rPr>
          <w:rFonts w:ascii="Arial" w:hAnsi="Arial" w:cs="Arial"/>
          <w:color w:val="000000"/>
          <w:kern w:val="0"/>
          <w:sz w:val="21"/>
          <w:szCs w:val="21"/>
        </w:rPr>
        <w:t>4</w:t>
      </w:r>
      <w:r w:rsidR="00AF135A">
        <w:rPr>
          <w:rFonts w:ascii="Arial" w:hAnsi="Arial" w:cs="Arial"/>
          <w:color w:val="000000"/>
          <w:kern w:val="0"/>
          <w:sz w:val="21"/>
          <w:szCs w:val="21"/>
        </w:rPr>
        <w:t xml:space="preserve">%; </w:t>
      </w:r>
      <w:r w:rsidR="00CD09CE">
        <w:rPr>
          <w:rFonts w:ascii="Arial" w:hAnsi="Arial" w:cs="Arial"/>
          <w:color w:val="000000"/>
          <w:kern w:val="0"/>
          <w:sz w:val="21"/>
          <w:szCs w:val="21"/>
        </w:rPr>
        <w:t>-1,</w:t>
      </w:r>
      <w:r w:rsidR="00AD5417">
        <w:rPr>
          <w:rFonts w:ascii="Arial" w:hAnsi="Arial" w:cs="Arial"/>
          <w:color w:val="000000"/>
          <w:kern w:val="0"/>
          <w:sz w:val="21"/>
          <w:szCs w:val="21"/>
        </w:rPr>
        <w:t>7</w:t>
      </w:r>
      <w:r w:rsidR="00AF135A">
        <w:rPr>
          <w:rFonts w:ascii="Arial" w:hAnsi="Arial" w:cs="Arial"/>
          <w:color w:val="000000"/>
          <w:kern w:val="0"/>
          <w:sz w:val="21"/>
          <w:szCs w:val="21"/>
        </w:rPr>
        <w:t xml:space="preserve">% su </w:t>
      </w:r>
      <w:r w:rsidR="00CD09CE">
        <w:rPr>
          <w:rFonts w:ascii="Arial" w:hAnsi="Arial" w:cs="Arial"/>
          <w:color w:val="000000"/>
          <w:kern w:val="0"/>
          <w:sz w:val="21"/>
          <w:szCs w:val="21"/>
        </w:rPr>
        <w:t>ottobre</w:t>
      </w:r>
      <w:r w:rsidR="00AF135A">
        <w:rPr>
          <w:rFonts w:ascii="Arial" w:hAnsi="Arial" w:cs="Arial"/>
          <w:color w:val="000000"/>
          <w:kern w:val="0"/>
          <w:sz w:val="21"/>
          <w:szCs w:val="21"/>
        </w:rPr>
        <w:t xml:space="preserve">) e dei Servizi </w:t>
      </w:r>
      <w:r w:rsidR="00BC2941">
        <w:rPr>
          <w:rFonts w:ascii="Arial" w:hAnsi="Arial" w:cs="Arial"/>
          <w:color w:val="000000"/>
          <w:kern w:val="0"/>
          <w:sz w:val="21"/>
          <w:szCs w:val="21"/>
        </w:rPr>
        <w:t xml:space="preserve">relativi alla comunicazione (da </w:t>
      </w:r>
      <w:r w:rsidR="00AF135A">
        <w:rPr>
          <w:rFonts w:ascii="Arial" w:hAnsi="Arial" w:cs="Arial"/>
          <w:color w:val="000000"/>
          <w:kern w:val="0"/>
          <w:sz w:val="21"/>
          <w:szCs w:val="21"/>
        </w:rPr>
        <w:t>-0,3%</w:t>
      </w:r>
      <w:r w:rsidR="00CD09CE">
        <w:rPr>
          <w:rFonts w:ascii="Arial" w:hAnsi="Arial" w:cs="Arial"/>
          <w:color w:val="000000"/>
          <w:kern w:val="0"/>
          <w:sz w:val="21"/>
          <w:szCs w:val="21"/>
        </w:rPr>
        <w:t xml:space="preserve"> a -0,8%</w:t>
      </w:r>
      <w:r w:rsidR="00AF135A">
        <w:rPr>
          <w:rFonts w:ascii="Arial" w:hAnsi="Arial" w:cs="Arial"/>
          <w:color w:val="000000"/>
          <w:kern w:val="0"/>
          <w:sz w:val="21"/>
          <w:szCs w:val="21"/>
        </w:rPr>
        <w:t xml:space="preserve">; </w:t>
      </w:r>
      <w:r w:rsidR="00BC2941">
        <w:rPr>
          <w:rFonts w:ascii="Arial" w:hAnsi="Arial" w:cs="Arial"/>
          <w:color w:val="000000"/>
          <w:kern w:val="0"/>
          <w:sz w:val="21"/>
          <w:szCs w:val="21"/>
        </w:rPr>
        <w:t>-0,</w:t>
      </w:r>
      <w:r w:rsidR="00CD09CE">
        <w:rPr>
          <w:rFonts w:ascii="Arial" w:hAnsi="Arial" w:cs="Arial"/>
          <w:color w:val="000000"/>
          <w:kern w:val="0"/>
          <w:sz w:val="21"/>
          <w:szCs w:val="21"/>
        </w:rPr>
        <w:t>2</w:t>
      </w:r>
      <w:r w:rsidR="00BC2941">
        <w:rPr>
          <w:rFonts w:ascii="Arial" w:hAnsi="Arial" w:cs="Arial"/>
          <w:color w:val="000000"/>
          <w:kern w:val="0"/>
          <w:sz w:val="21"/>
          <w:szCs w:val="21"/>
        </w:rPr>
        <w:t xml:space="preserve">% su </w:t>
      </w:r>
      <w:r w:rsidR="00CD09CE">
        <w:rPr>
          <w:rFonts w:ascii="Arial" w:hAnsi="Arial" w:cs="Arial"/>
          <w:color w:val="000000"/>
          <w:kern w:val="0"/>
          <w:sz w:val="21"/>
          <w:szCs w:val="21"/>
        </w:rPr>
        <w:t>ottobre</w:t>
      </w:r>
      <w:r w:rsidR="00BC2941">
        <w:rPr>
          <w:rFonts w:ascii="Arial" w:hAnsi="Arial" w:cs="Arial"/>
          <w:color w:val="000000"/>
          <w:kern w:val="0"/>
          <w:sz w:val="21"/>
          <w:szCs w:val="21"/>
        </w:rPr>
        <w:t>)</w:t>
      </w:r>
      <w:r w:rsidR="00AF135A">
        <w:rPr>
          <w:rFonts w:ascii="Arial" w:hAnsi="Arial" w:cs="Arial"/>
          <w:color w:val="000000"/>
          <w:kern w:val="0"/>
          <w:sz w:val="21"/>
          <w:szCs w:val="21"/>
        </w:rPr>
        <w:t>.</w:t>
      </w:r>
    </w:p>
    <w:p w14:paraId="7C605353" w14:textId="336DF6FB" w:rsidR="008A6A92" w:rsidRDefault="00EC0317" w:rsidP="008A6A92">
      <w:pPr>
        <w:spacing w:before="0" w:after="60"/>
        <w:jc w:val="both"/>
        <w:rPr>
          <w:rFonts w:ascii="Arial" w:hAnsi="Arial" w:cs="Arial"/>
          <w:iCs/>
          <w:sz w:val="21"/>
          <w:szCs w:val="21"/>
        </w:rPr>
      </w:pPr>
      <w:r>
        <w:rPr>
          <w:rFonts w:ascii="Arial" w:hAnsi="Arial" w:cs="Arial"/>
          <w:iCs/>
          <w:sz w:val="21"/>
          <w:szCs w:val="21"/>
        </w:rPr>
        <w:t xml:space="preserve">A </w:t>
      </w:r>
      <w:r w:rsidR="00C43C9A">
        <w:rPr>
          <w:rFonts w:ascii="Arial" w:hAnsi="Arial" w:cs="Arial"/>
          <w:iCs/>
          <w:sz w:val="21"/>
          <w:szCs w:val="21"/>
        </w:rPr>
        <w:t>novembre</w:t>
      </w:r>
      <w:r w:rsidR="006E0E91">
        <w:rPr>
          <w:rFonts w:ascii="Arial" w:hAnsi="Arial" w:cs="Arial"/>
          <w:iCs/>
          <w:sz w:val="21"/>
          <w:szCs w:val="21"/>
        </w:rPr>
        <w:t xml:space="preserve"> </w:t>
      </w:r>
      <w:r>
        <w:rPr>
          <w:rFonts w:ascii="Arial" w:hAnsi="Arial" w:cs="Arial"/>
          <w:iCs/>
          <w:sz w:val="21"/>
          <w:szCs w:val="21"/>
        </w:rPr>
        <w:t>l</w:t>
      </w:r>
      <w:r w:rsidR="004C5581" w:rsidRPr="00C0529C">
        <w:rPr>
          <w:rFonts w:ascii="Arial" w:hAnsi="Arial" w:cs="Arial"/>
          <w:iCs/>
          <w:sz w:val="21"/>
          <w:szCs w:val="21"/>
        </w:rPr>
        <w:t>’inflazione</w:t>
      </w:r>
      <w:r w:rsidR="00BC7D08">
        <w:rPr>
          <w:rFonts w:ascii="Arial" w:hAnsi="Arial" w:cs="Arial"/>
          <w:iCs/>
          <w:sz w:val="21"/>
          <w:szCs w:val="21"/>
        </w:rPr>
        <w:t>,</w:t>
      </w:r>
      <w:r w:rsidR="004C5581" w:rsidRPr="00C0529C">
        <w:rPr>
          <w:rFonts w:ascii="Arial" w:hAnsi="Arial" w:cs="Arial"/>
          <w:iCs/>
          <w:sz w:val="21"/>
          <w:szCs w:val="21"/>
        </w:rPr>
        <w:t xml:space="preserve"> al netto di energia e alimentari freschi</w:t>
      </w:r>
      <w:r>
        <w:rPr>
          <w:rFonts w:ascii="Arial" w:hAnsi="Arial" w:cs="Arial"/>
          <w:iCs/>
          <w:sz w:val="21"/>
          <w:szCs w:val="21"/>
        </w:rPr>
        <w:t xml:space="preserve"> (componente di fondo)</w:t>
      </w:r>
      <w:r w:rsidR="004C5581" w:rsidRPr="00C0529C">
        <w:rPr>
          <w:rFonts w:ascii="Arial" w:hAnsi="Arial" w:cs="Arial"/>
          <w:iCs/>
          <w:sz w:val="21"/>
          <w:szCs w:val="21"/>
        </w:rPr>
        <w:t xml:space="preserve"> </w:t>
      </w:r>
      <w:r w:rsidR="006913A1">
        <w:rPr>
          <w:rFonts w:ascii="Arial" w:hAnsi="Arial" w:cs="Arial"/>
          <w:iCs/>
          <w:sz w:val="21"/>
          <w:szCs w:val="21"/>
        </w:rPr>
        <w:t>de</w:t>
      </w:r>
      <w:r w:rsidR="00CE0D45">
        <w:rPr>
          <w:rFonts w:ascii="Arial" w:hAnsi="Arial" w:cs="Arial"/>
          <w:iCs/>
          <w:sz w:val="21"/>
          <w:szCs w:val="21"/>
        </w:rPr>
        <w:t>celera</w:t>
      </w:r>
      <w:r w:rsidR="00F95BB5">
        <w:rPr>
          <w:rFonts w:ascii="Arial" w:hAnsi="Arial" w:cs="Arial"/>
          <w:iCs/>
          <w:sz w:val="21"/>
          <w:szCs w:val="21"/>
        </w:rPr>
        <w:t xml:space="preserve"> </w:t>
      </w:r>
      <w:r w:rsidR="00F23299">
        <w:rPr>
          <w:rFonts w:ascii="Arial" w:hAnsi="Arial" w:cs="Arial"/>
          <w:iCs/>
          <w:sz w:val="21"/>
          <w:szCs w:val="21"/>
        </w:rPr>
        <w:t>(</w:t>
      </w:r>
      <w:r w:rsidR="00CE0D45">
        <w:rPr>
          <w:rFonts w:ascii="Arial" w:hAnsi="Arial" w:cs="Arial"/>
          <w:iCs/>
          <w:sz w:val="21"/>
          <w:szCs w:val="21"/>
        </w:rPr>
        <w:t>d</w:t>
      </w:r>
      <w:r w:rsidR="00F23299">
        <w:rPr>
          <w:rFonts w:ascii="Arial" w:hAnsi="Arial" w:cs="Arial"/>
          <w:iCs/>
          <w:sz w:val="21"/>
          <w:szCs w:val="21"/>
        </w:rPr>
        <w:t xml:space="preserve">a </w:t>
      </w:r>
      <w:r w:rsidR="005B5610">
        <w:rPr>
          <w:rFonts w:ascii="Arial" w:hAnsi="Arial" w:cs="Arial"/>
          <w:iCs/>
          <w:sz w:val="21"/>
          <w:szCs w:val="21"/>
        </w:rPr>
        <w:t>+</w:t>
      </w:r>
      <w:r w:rsidR="00B8319B">
        <w:rPr>
          <w:rFonts w:ascii="Arial" w:hAnsi="Arial" w:cs="Arial"/>
          <w:iCs/>
          <w:sz w:val="21"/>
          <w:szCs w:val="21"/>
        </w:rPr>
        <w:t>2,</w:t>
      </w:r>
      <w:r w:rsidR="00C43C9A">
        <w:rPr>
          <w:rFonts w:ascii="Arial" w:hAnsi="Arial" w:cs="Arial"/>
          <w:iCs/>
          <w:sz w:val="21"/>
          <w:szCs w:val="21"/>
        </w:rPr>
        <w:t>1</w:t>
      </w:r>
      <w:r w:rsidR="005B5610">
        <w:rPr>
          <w:rFonts w:ascii="Arial" w:hAnsi="Arial" w:cs="Arial"/>
          <w:iCs/>
          <w:sz w:val="21"/>
          <w:szCs w:val="21"/>
        </w:rPr>
        <w:t>%</w:t>
      </w:r>
      <w:r w:rsidR="00CE0D45">
        <w:rPr>
          <w:rFonts w:ascii="Arial" w:hAnsi="Arial" w:cs="Arial"/>
          <w:iCs/>
          <w:sz w:val="21"/>
          <w:szCs w:val="21"/>
        </w:rPr>
        <w:t xml:space="preserve"> a +</w:t>
      </w:r>
      <w:r w:rsidR="00C43C9A">
        <w:rPr>
          <w:rFonts w:ascii="Arial" w:hAnsi="Arial" w:cs="Arial"/>
          <w:iCs/>
          <w:sz w:val="21"/>
          <w:szCs w:val="21"/>
        </w:rPr>
        <w:t>1,</w:t>
      </w:r>
      <w:r w:rsidR="00AD5417">
        <w:rPr>
          <w:rFonts w:ascii="Arial" w:hAnsi="Arial" w:cs="Arial"/>
          <w:iCs/>
          <w:sz w:val="21"/>
          <w:szCs w:val="21"/>
        </w:rPr>
        <w:t>8</w:t>
      </w:r>
      <w:r w:rsidR="00CE0D45">
        <w:rPr>
          <w:rFonts w:ascii="Arial" w:hAnsi="Arial" w:cs="Arial"/>
          <w:iCs/>
          <w:sz w:val="21"/>
          <w:szCs w:val="21"/>
        </w:rPr>
        <w:t>%</w:t>
      </w:r>
      <w:r w:rsidR="0045614A">
        <w:rPr>
          <w:rFonts w:ascii="Arial" w:hAnsi="Arial" w:cs="Arial"/>
          <w:iCs/>
          <w:sz w:val="21"/>
          <w:szCs w:val="21"/>
        </w:rPr>
        <w:t>)</w:t>
      </w:r>
      <w:r w:rsidR="00D25B07">
        <w:rPr>
          <w:rFonts w:ascii="Arial" w:hAnsi="Arial" w:cs="Arial"/>
          <w:iCs/>
          <w:sz w:val="21"/>
          <w:szCs w:val="21"/>
        </w:rPr>
        <w:t xml:space="preserve">, </w:t>
      </w:r>
      <w:r>
        <w:rPr>
          <w:rFonts w:ascii="Arial" w:hAnsi="Arial" w:cs="Arial"/>
          <w:iCs/>
          <w:sz w:val="21"/>
          <w:szCs w:val="21"/>
        </w:rPr>
        <w:t xml:space="preserve">così come </w:t>
      </w:r>
      <w:r w:rsidR="006913A1">
        <w:rPr>
          <w:rFonts w:ascii="Arial" w:hAnsi="Arial" w:cs="Arial"/>
          <w:iCs/>
          <w:sz w:val="21"/>
          <w:szCs w:val="21"/>
        </w:rPr>
        <w:t>quella</w:t>
      </w:r>
      <w:r w:rsidR="006913A1" w:rsidRPr="00C0529C">
        <w:rPr>
          <w:rFonts w:ascii="Arial" w:hAnsi="Arial" w:cs="Arial"/>
          <w:iCs/>
          <w:sz w:val="21"/>
          <w:szCs w:val="21"/>
        </w:rPr>
        <w:t xml:space="preserve"> al netto dell’energia, degli alimentari (incluse </w:t>
      </w:r>
      <w:r w:rsidR="006913A1">
        <w:rPr>
          <w:rFonts w:ascii="Arial" w:hAnsi="Arial" w:cs="Arial"/>
          <w:iCs/>
          <w:sz w:val="21"/>
          <w:szCs w:val="21"/>
        </w:rPr>
        <w:t>bevande alcoliche) e dei tabacchi (da +</w:t>
      </w:r>
      <w:r w:rsidR="00C43C9A">
        <w:rPr>
          <w:rFonts w:ascii="Arial" w:hAnsi="Arial" w:cs="Arial"/>
          <w:iCs/>
          <w:sz w:val="21"/>
          <w:szCs w:val="21"/>
        </w:rPr>
        <w:t>1,9</w:t>
      </w:r>
      <w:r w:rsidR="006913A1">
        <w:rPr>
          <w:rFonts w:ascii="Arial" w:hAnsi="Arial" w:cs="Arial"/>
          <w:iCs/>
          <w:sz w:val="21"/>
          <w:szCs w:val="21"/>
        </w:rPr>
        <w:t>% a +1,</w:t>
      </w:r>
      <w:r w:rsidR="00AD5417">
        <w:rPr>
          <w:rFonts w:ascii="Arial" w:hAnsi="Arial" w:cs="Arial"/>
          <w:iCs/>
          <w:sz w:val="21"/>
          <w:szCs w:val="21"/>
        </w:rPr>
        <w:t>7</w:t>
      </w:r>
      <w:r w:rsidR="006913A1">
        <w:rPr>
          <w:rFonts w:ascii="Arial" w:hAnsi="Arial" w:cs="Arial"/>
          <w:iCs/>
          <w:sz w:val="21"/>
          <w:szCs w:val="21"/>
        </w:rPr>
        <w:t xml:space="preserve">%) e </w:t>
      </w:r>
      <w:r w:rsidR="00D25B07">
        <w:rPr>
          <w:rFonts w:ascii="Arial" w:hAnsi="Arial" w:cs="Arial"/>
          <w:iCs/>
          <w:sz w:val="21"/>
          <w:szCs w:val="21"/>
        </w:rPr>
        <w:t xml:space="preserve">quella </w:t>
      </w:r>
      <w:r w:rsidR="00D25B07" w:rsidRPr="00C0529C">
        <w:rPr>
          <w:rFonts w:ascii="Arial" w:hAnsi="Arial" w:cs="Arial"/>
          <w:iCs/>
          <w:sz w:val="21"/>
          <w:szCs w:val="21"/>
        </w:rPr>
        <w:t>al nett</w:t>
      </w:r>
      <w:r w:rsidR="00D25B07">
        <w:rPr>
          <w:rFonts w:ascii="Arial" w:hAnsi="Arial" w:cs="Arial"/>
          <w:iCs/>
          <w:sz w:val="21"/>
          <w:szCs w:val="21"/>
        </w:rPr>
        <w:t xml:space="preserve">o dei soli beni energetici (da </w:t>
      </w:r>
      <w:r w:rsidR="00D25B07" w:rsidRPr="00054821">
        <w:rPr>
          <w:rFonts w:ascii="Arial" w:hAnsi="Arial" w:cs="Arial"/>
          <w:iCs/>
          <w:sz w:val="21"/>
          <w:szCs w:val="21"/>
        </w:rPr>
        <w:t>+</w:t>
      </w:r>
      <w:r w:rsidR="00D25B07">
        <w:rPr>
          <w:rFonts w:ascii="Arial" w:hAnsi="Arial" w:cs="Arial"/>
          <w:iCs/>
          <w:sz w:val="21"/>
          <w:szCs w:val="21"/>
        </w:rPr>
        <w:t>2,</w:t>
      </w:r>
      <w:r w:rsidR="00C43C9A">
        <w:rPr>
          <w:rFonts w:ascii="Arial" w:hAnsi="Arial" w:cs="Arial"/>
          <w:iCs/>
          <w:sz w:val="21"/>
          <w:szCs w:val="21"/>
        </w:rPr>
        <w:t>1</w:t>
      </w:r>
      <w:r w:rsidR="00D25B07">
        <w:rPr>
          <w:rFonts w:ascii="Arial" w:hAnsi="Arial" w:cs="Arial"/>
          <w:iCs/>
          <w:sz w:val="21"/>
          <w:szCs w:val="21"/>
        </w:rPr>
        <w:t>% a +</w:t>
      </w:r>
      <w:r w:rsidR="00C43C9A">
        <w:rPr>
          <w:rFonts w:ascii="Arial" w:hAnsi="Arial" w:cs="Arial"/>
          <w:iCs/>
          <w:sz w:val="21"/>
          <w:szCs w:val="21"/>
        </w:rPr>
        <w:t>1,8</w:t>
      </w:r>
      <w:r w:rsidR="006913A1">
        <w:rPr>
          <w:rFonts w:ascii="Arial" w:hAnsi="Arial" w:cs="Arial"/>
          <w:iCs/>
          <w:sz w:val="21"/>
          <w:szCs w:val="21"/>
        </w:rPr>
        <w:t>%)</w:t>
      </w:r>
      <w:r w:rsidR="004C5581">
        <w:rPr>
          <w:rFonts w:ascii="Arial" w:hAnsi="Arial" w:cs="Arial"/>
          <w:iCs/>
          <w:sz w:val="21"/>
          <w:szCs w:val="21"/>
        </w:rPr>
        <w:t>.</w:t>
      </w:r>
    </w:p>
    <w:p w14:paraId="16699E40" w14:textId="77777777" w:rsidR="00A237AC" w:rsidRPr="007B647A" w:rsidRDefault="00A237AC" w:rsidP="008A6A92">
      <w:pPr>
        <w:spacing w:before="0" w:after="60"/>
        <w:jc w:val="both"/>
        <w:rPr>
          <w:rFonts w:ascii="Arial" w:hAnsi="Arial" w:cs="Arial"/>
          <w:sz w:val="16"/>
          <w:szCs w:val="16"/>
        </w:rPr>
      </w:pPr>
    </w:p>
    <w:p w14:paraId="6CE8C3E8" w14:textId="6847DA2C" w:rsidR="00C24A59" w:rsidRPr="00C8504B" w:rsidRDefault="00C24A59" w:rsidP="001E018C">
      <w:pPr>
        <w:spacing w:before="0" w:after="120" w:line="216" w:lineRule="auto"/>
        <w:rPr>
          <w:rFonts w:ascii="Arial Narrow" w:hAnsi="Arial Narrow" w:cs="Arial"/>
          <w:color w:val="5F5F5F"/>
        </w:rPr>
      </w:pPr>
      <w:r w:rsidRPr="00C8504B">
        <w:rPr>
          <w:rFonts w:ascii="Arial Narrow" w:hAnsi="Arial Narrow" w:cs="Arial"/>
          <w:b/>
          <w:color w:val="E42618"/>
          <w:kern w:val="0"/>
          <w:sz w:val="22"/>
          <w:szCs w:val="22"/>
        </w:rPr>
        <w:t xml:space="preserve">PROSPETTO </w:t>
      </w:r>
      <w:r w:rsidR="00E74721" w:rsidRPr="00C8504B">
        <w:rPr>
          <w:rFonts w:ascii="Arial Narrow" w:hAnsi="Arial Narrow" w:cs="Arial"/>
          <w:b/>
          <w:color w:val="E42618"/>
          <w:kern w:val="0"/>
          <w:sz w:val="22"/>
          <w:szCs w:val="22"/>
        </w:rPr>
        <w:t>7</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PER AGGREGATI SPECIALI</w:t>
      </w:r>
      <w:r w:rsidRPr="00C8504B">
        <w:rPr>
          <w:rFonts w:ascii="Arial Narrow" w:hAnsi="Arial Narrow" w:cs="Arial"/>
          <w:b/>
          <w:color w:val="5F5F5F"/>
        </w:rPr>
        <w:br/>
      </w:r>
      <w:r w:rsidR="005E64FE">
        <w:rPr>
          <w:rFonts w:ascii="Arial Narrow" w:hAnsi="Arial Narrow" w:cs="Arial"/>
          <w:color w:val="5F5F5F"/>
        </w:rPr>
        <w:t>Novembre</w:t>
      </w:r>
      <w:r w:rsidR="00C44EFD">
        <w:rPr>
          <w:rFonts w:ascii="Arial Narrow" w:hAnsi="Arial Narrow" w:cs="Arial"/>
          <w:color w:val="5F5F5F"/>
        </w:rPr>
        <w:t xml:space="preserve"> 2025</w:t>
      </w:r>
      <w:r w:rsidRPr="00C8504B">
        <w:rPr>
          <w:rFonts w:ascii="Arial Narrow" w:hAnsi="Arial Narrow" w:cs="Arial"/>
          <w:color w:val="5F5F5F"/>
        </w:rPr>
        <w:t xml:space="preserve">, pesi e variazioni percentuali </w:t>
      </w:r>
      <w:r w:rsidR="00312166" w:rsidRPr="00C8504B">
        <w:rPr>
          <w:rFonts w:ascii="Arial Narrow" w:hAnsi="Arial Narrow" w:cs="Arial"/>
          <w:color w:val="5F5F5F"/>
        </w:rPr>
        <w:t>congiunturali</w:t>
      </w:r>
      <w:r w:rsidR="00625F9C" w:rsidRPr="00C8504B">
        <w:rPr>
          <w:rFonts w:ascii="Arial Narrow" w:hAnsi="Arial Narrow" w:cs="Arial"/>
          <w:color w:val="5F5F5F"/>
        </w:rPr>
        <w:t xml:space="preserve"> e tendenziali </w:t>
      </w:r>
      <w:r w:rsidRPr="00C8504B">
        <w:rPr>
          <w:rFonts w:ascii="Arial Narrow" w:hAnsi="Arial Narrow" w:cs="Arial"/>
          <w:color w:val="5F5F5F"/>
        </w:rPr>
        <w:t>(base 2015=100)</w:t>
      </w:r>
    </w:p>
    <w:tbl>
      <w:tblPr>
        <w:tblW w:w="10206" w:type="dxa"/>
        <w:jc w:val="center"/>
        <w:tblBorders>
          <w:top w:val="single" w:sz="4" w:space="0" w:color="000000"/>
          <w:bottom w:val="single" w:sz="4" w:space="0" w:color="000000"/>
          <w:insideH w:val="single" w:sz="4" w:space="0" w:color="000000"/>
        </w:tblBorders>
        <w:tblLayout w:type="fixed"/>
        <w:tblCellMar>
          <w:left w:w="70" w:type="dxa"/>
          <w:right w:w="0" w:type="dxa"/>
        </w:tblCellMar>
        <w:tblLook w:val="0000" w:firstRow="0" w:lastRow="0" w:firstColumn="0" w:lastColumn="0" w:noHBand="0" w:noVBand="0"/>
      </w:tblPr>
      <w:tblGrid>
        <w:gridCol w:w="4253"/>
        <w:gridCol w:w="1027"/>
        <w:gridCol w:w="974"/>
        <w:gridCol w:w="976"/>
        <w:gridCol w:w="1113"/>
        <w:gridCol w:w="793"/>
        <w:gridCol w:w="1070"/>
      </w:tblGrid>
      <w:tr w:rsidR="00FD0188" w:rsidRPr="00C8504B" w14:paraId="4D4FEEAE" w14:textId="77777777" w:rsidTr="009A110B">
        <w:trPr>
          <w:trHeight w:val="200"/>
          <w:jc w:val="center"/>
        </w:trPr>
        <w:tc>
          <w:tcPr>
            <w:tcW w:w="4253" w:type="dxa"/>
            <w:vMerge w:val="restart"/>
            <w:vAlign w:val="center"/>
          </w:tcPr>
          <w:p w14:paraId="38B08023" w14:textId="77777777" w:rsidR="00FD0188" w:rsidRPr="00C8504B" w:rsidRDefault="00FD0188" w:rsidP="00FD0188">
            <w:pPr>
              <w:spacing w:before="40" w:after="20"/>
              <w:ind w:left="-68"/>
              <w:rPr>
                <w:rFonts w:ascii="Arial Narrow" w:hAnsi="Arial Narrow" w:cs="Arial"/>
                <w:b/>
                <w:bCs/>
                <w:sz w:val="18"/>
                <w:szCs w:val="18"/>
              </w:rPr>
            </w:pPr>
            <w:r w:rsidRPr="00C8504B">
              <w:rPr>
                <w:rFonts w:ascii="Arial Narrow" w:hAnsi="Arial Narrow" w:cs="Arial"/>
                <w:b/>
                <w:bCs/>
                <w:sz w:val="18"/>
                <w:szCs w:val="18"/>
              </w:rPr>
              <w:t>AGGREGATI SPECIALI</w:t>
            </w:r>
          </w:p>
        </w:tc>
        <w:tc>
          <w:tcPr>
            <w:tcW w:w="1027" w:type="dxa"/>
            <w:vMerge w:val="restart"/>
            <w:shd w:val="clear" w:color="auto" w:fill="D9D9D9" w:themeFill="background1" w:themeFillShade="D9"/>
            <w:vAlign w:val="center"/>
          </w:tcPr>
          <w:p w14:paraId="66308512" w14:textId="77777777"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950" w:type="dxa"/>
            <w:gridSpan w:val="2"/>
            <w:vAlign w:val="center"/>
          </w:tcPr>
          <w:p w14:paraId="6E6DF2E1" w14:textId="77777777" w:rsidR="00FD0188" w:rsidRPr="00C8504B" w:rsidRDefault="00FD0188" w:rsidP="00881E49">
            <w:pPr>
              <w:spacing w:before="0" w:after="0"/>
              <w:ind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1906" w:type="dxa"/>
            <w:gridSpan w:val="2"/>
            <w:shd w:val="clear" w:color="auto" w:fill="D9D9D9"/>
            <w:vAlign w:val="center"/>
          </w:tcPr>
          <w:p w14:paraId="0B0B9ECC" w14:textId="77777777" w:rsidR="00FD0188" w:rsidRPr="00C8504B" w:rsidRDefault="00FD0188" w:rsidP="00881E49">
            <w:pPr>
              <w:spacing w:before="0" w:after="0"/>
              <w:ind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070" w:type="dxa"/>
            <w:vMerge w:val="restart"/>
            <w:vAlign w:val="center"/>
          </w:tcPr>
          <w:p w14:paraId="57D7B1BA" w14:textId="77777777" w:rsidR="003E28D6" w:rsidRDefault="000830DA" w:rsidP="00074B17">
            <w:pPr>
              <w:spacing w:before="0" w:after="0"/>
              <w:ind w:right="57"/>
              <w:jc w:val="right"/>
              <w:rPr>
                <w:rFonts w:ascii="Arial Narrow" w:hAnsi="Arial Narrow" w:cs="Arial"/>
                <w:b/>
                <w:bCs/>
                <w:kern w:val="0"/>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p>
          <w:p w14:paraId="08CA2090" w14:textId="4B597D0F" w:rsidR="00FD0188" w:rsidRPr="00C8504B" w:rsidRDefault="000830DA" w:rsidP="005145B1">
            <w:pPr>
              <w:spacing w:before="0" w:after="0"/>
              <w:ind w:right="57"/>
              <w:jc w:val="right"/>
              <w:rPr>
                <w:rFonts w:ascii="Arial Narrow" w:hAnsi="Arial Narrow" w:cs="Arial"/>
                <w:b/>
                <w:bCs/>
                <w:sz w:val="18"/>
                <w:szCs w:val="18"/>
              </w:rPr>
            </w:pPr>
            <w:r w:rsidRPr="008814F3">
              <w:rPr>
                <w:rFonts w:ascii="Arial Narrow" w:hAnsi="Arial Narrow" w:cs="Arial"/>
                <w:b/>
                <w:bCs/>
                <w:kern w:val="0"/>
                <w:sz w:val="18"/>
                <w:szCs w:val="18"/>
              </w:rPr>
              <w:t>acquisita</w:t>
            </w:r>
            <w:r w:rsidR="003F42C3">
              <w:rPr>
                <w:rFonts w:ascii="Arial Narrow" w:hAnsi="Arial Narrow" w:cs="Arial"/>
                <w:b/>
                <w:bCs/>
                <w:kern w:val="0"/>
                <w:sz w:val="18"/>
                <w:szCs w:val="18"/>
              </w:rPr>
              <w:t xml:space="preserve"> </w:t>
            </w:r>
            <w:r w:rsidR="00873EA2">
              <w:rPr>
                <w:rFonts w:ascii="Arial Narrow" w:hAnsi="Arial Narrow" w:cs="Arial"/>
                <w:b/>
                <w:bCs/>
                <w:kern w:val="0"/>
                <w:sz w:val="18"/>
                <w:szCs w:val="18"/>
              </w:rPr>
              <w:t>a</w:t>
            </w:r>
            <w:r w:rsidR="00AC49D9">
              <w:rPr>
                <w:rFonts w:ascii="Arial Narrow" w:hAnsi="Arial Narrow" w:cs="Arial"/>
                <w:b/>
                <w:bCs/>
                <w:kern w:val="0"/>
                <w:sz w:val="18"/>
                <w:szCs w:val="18"/>
              </w:rPr>
              <w:t xml:space="preserve"> </w:t>
            </w:r>
            <w:r w:rsidR="005E64FE">
              <w:rPr>
                <w:rFonts w:ascii="Arial Narrow" w:hAnsi="Arial Narrow" w:cs="Arial"/>
                <w:b/>
                <w:bCs/>
                <w:kern w:val="0"/>
                <w:sz w:val="18"/>
                <w:szCs w:val="18"/>
              </w:rPr>
              <w:t>novembre</w:t>
            </w:r>
          </w:p>
        </w:tc>
      </w:tr>
      <w:tr w:rsidR="005E64FE" w:rsidRPr="00C8504B" w14:paraId="77786702" w14:textId="77777777" w:rsidTr="00881E49">
        <w:trPr>
          <w:trHeight w:val="553"/>
          <w:jc w:val="center"/>
        </w:trPr>
        <w:tc>
          <w:tcPr>
            <w:tcW w:w="4253" w:type="dxa"/>
            <w:vMerge/>
            <w:vAlign w:val="center"/>
          </w:tcPr>
          <w:p w14:paraId="0E847629" w14:textId="77777777" w:rsidR="005E64FE" w:rsidRPr="00C8504B" w:rsidRDefault="005E64FE" w:rsidP="005E64FE">
            <w:pPr>
              <w:spacing w:before="40" w:after="20"/>
              <w:ind w:left="-68"/>
              <w:rPr>
                <w:rFonts w:ascii="Arial Narrow" w:hAnsi="Arial Narrow" w:cs="Arial"/>
                <w:b/>
                <w:bCs/>
                <w:sz w:val="18"/>
                <w:szCs w:val="18"/>
              </w:rPr>
            </w:pPr>
          </w:p>
        </w:tc>
        <w:tc>
          <w:tcPr>
            <w:tcW w:w="1027" w:type="dxa"/>
            <w:vMerge/>
            <w:shd w:val="clear" w:color="auto" w:fill="D9D9D9" w:themeFill="background1" w:themeFillShade="D9"/>
            <w:vAlign w:val="center"/>
          </w:tcPr>
          <w:p w14:paraId="0AB5BA6C" w14:textId="77777777" w:rsidR="005E64FE" w:rsidRPr="00C8504B" w:rsidRDefault="005E64FE" w:rsidP="005E64FE">
            <w:pPr>
              <w:spacing w:before="40" w:after="20"/>
              <w:jc w:val="center"/>
              <w:rPr>
                <w:rFonts w:ascii="Arial Narrow" w:hAnsi="Arial Narrow" w:cs="Arial"/>
                <w:b/>
                <w:bCs/>
                <w:sz w:val="18"/>
                <w:szCs w:val="18"/>
              </w:rPr>
            </w:pPr>
          </w:p>
        </w:tc>
        <w:tc>
          <w:tcPr>
            <w:tcW w:w="974" w:type="dxa"/>
            <w:vAlign w:val="center"/>
          </w:tcPr>
          <w:p w14:paraId="27BBB188" w14:textId="77777777" w:rsidR="005E64FE" w:rsidRDefault="005E64FE" w:rsidP="005E64F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nov-25</w:t>
            </w:r>
          </w:p>
          <w:p w14:paraId="14E03690" w14:textId="6696815A" w:rsidR="005E64FE" w:rsidRPr="00E03E58" w:rsidRDefault="005E64FE" w:rsidP="005E64FE">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ott-25</w:t>
            </w:r>
          </w:p>
        </w:tc>
        <w:tc>
          <w:tcPr>
            <w:tcW w:w="976" w:type="dxa"/>
            <w:vAlign w:val="center"/>
          </w:tcPr>
          <w:p w14:paraId="454EFB66" w14:textId="77777777" w:rsidR="005E64FE" w:rsidRDefault="005E64FE" w:rsidP="005E64F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nov-24</w:t>
            </w:r>
          </w:p>
          <w:p w14:paraId="445EB90E" w14:textId="020F4A2E" w:rsidR="005E64FE" w:rsidRPr="008814F3" w:rsidRDefault="005E64FE" w:rsidP="005E64F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ott-24</w:t>
            </w:r>
          </w:p>
        </w:tc>
        <w:tc>
          <w:tcPr>
            <w:tcW w:w="1113" w:type="dxa"/>
            <w:vAlign w:val="center"/>
          </w:tcPr>
          <w:p w14:paraId="77D84FF0" w14:textId="77777777" w:rsidR="005E64FE" w:rsidRDefault="005E64FE" w:rsidP="005E64F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nov-25</w:t>
            </w:r>
          </w:p>
          <w:p w14:paraId="48CC9FCF" w14:textId="407F8F31" w:rsidR="005E64FE" w:rsidRPr="008814F3" w:rsidRDefault="005E64FE" w:rsidP="005E64F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nov-24</w:t>
            </w:r>
          </w:p>
        </w:tc>
        <w:tc>
          <w:tcPr>
            <w:tcW w:w="793" w:type="dxa"/>
            <w:vAlign w:val="center"/>
          </w:tcPr>
          <w:p w14:paraId="71A10313" w14:textId="77777777" w:rsidR="005E64FE" w:rsidRDefault="005E64FE" w:rsidP="005E64F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ott-25</w:t>
            </w:r>
          </w:p>
          <w:p w14:paraId="56D10607" w14:textId="48FFF619" w:rsidR="005E64FE" w:rsidRPr="008814F3" w:rsidRDefault="005E64FE" w:rsidP="005E64F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ott-24</w:t>
            </w:r>
          </w:p>
        </w:tc>
        <w:tc>
          <w:tcPr>
            <w:tcW w:w="1070" w:type="dxa"/>
            <w:vMerge/>
            <w:vAlign w:val="center"/>
          </w:tcPr>
          <w:p w14:paraId="2BE125EB" w14:textId="77777777" w:rsidR="005E64FE" w:rsidRPr="00502CE8" w:rsidRDefault="005E64FE" w:rsidP="005E64FE">
            <w:pPr>
              <w:spacing w:before="0" w:after="0"/>
              <w:contextualSpacing/>
              <w:jc w:val="center"/>
              <w:rPr>
                <w:rFonts w:ascii="Arial Narrow" w:hAnsi="Arial Narrow" w:cs="Arial"/>
                <w:b/>
                <w:bCs/>
                <w:sz w:val="18"/>
                <w:szCs w:val="18"/>
              </w:rPr>
            </w:pPr>
          </w:p>
        </w:tc>
      </w:tr>
      <w:tr w:rsidR="000A7D86" w:rsidRPr="00502CE8" w14:paraId="0D611EDF" w14:textId="77777777" w:rsidTr="00E561AF">
        <w:trPr>
          <w:trHeight w:val="255"/>
          <w:jc w:val="center"/>
        </w:trPr>
        <w:tc>
          <w:tcPr>
            <w:tcW w:w="4253" w:type="dxa"/>
            <w:vAlign w:val="center"/>
          </w:tcPr>
          <w:p w14:paraId="6114B23C" w14:textId="77777777" w:rsidR="000A7D86" w:rsidRPr="00C8504B" w:rsidRDefault="000A7D86" w:rsidP="000A7D86">
            <w:pPr>
              <w:spacing w:before="40" w:after="20"/>
              <w:ind w:left="-68"/>
              <w:rPr>
                <w:rFonts w:ascii="Arial Narrow" w:hAnsi="Arial Narrow" w:cs="Arial"/>
                <w:sz w:val="18"/>
                <w:szCs w:val="18"/>
              </w:rPr>
            </w:pPr>
            <w:r w:rsidRPr="00C8504B">
              <w:rPr>
                <w:rFonts w:ascii="Arial Narrow" w:hAnsi="Arial Narrow" w:cs="Arial"/>
                <w:sz w:val="18"/>
                <w:szCs w:val="18"/>
              </w:rPr>
              <w:t>Beni alimentari (incluse bevande alcoliche) e tabacchi, di cui:</w:t>
            </w:r>
          </w:p>
        </w:tc>
        <w:tc>
          <w:tcPr>
            <w:tcW w:w="1027" w:type="dxa"/>
            <w:shd w:val="clear" w:color="auto" w:fill="D9D9D9" w:themeFill="background1" w:themeFillShade="D9"/>
            <w:vAlign w:val="center"/>
          </w:tcPr>
          <w:p w14:paraId="72068109"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213.336</w:t>
            </w:r>
          </w:p>
        </w:tc>
        <w:tc>
          <w:tcPr>
            <w:tcW w:w="974" w:type="dxa"/>
            <w:vAlign w:val="center"/>
          </w:tcPr>
          <w:p w14:paraId="7E911CEB" w14:textId="399695D5"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+0,1</w:t>
            </w:r>
          </w:p>
        </w:tc>
        <w:tc>
          <w:tcPr>
            <w:tcW w:w="976" w:type="dxa"/>
            <w:shd w:val="clear" w:color="auto" w:fill="D9D9D9"/>
            <w:vAlign w:val="center"/>
          </w:tcPr>
          <w:p w14:paraId="200F5DE2" w14:textId="2E0681B0"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+0,6</w:t>
            </w:r>
          </w:p>
        </w:tc>
        <w:tc>
          <w:tcPr>
            <w:tcW w:w="1113" w:type="dxa"/>
            <w:vAlign w:val="center"/>
          </w:tcPr>
          <w:p w14:paraId="089159FB" w14:textId="7A891E57"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+1,9</w:t>
            </w:r>
          </w:p>
        </w:tc>
        <w:tc>
          <w:tcPr>
            <w:tcW w:w="793" w:type="dxa"/>
            <w:shd w:val="clear" w:color="auto" w:fill="D9D9D9"/>
            <w:vAlign w:val="center"/>
          </w:tcPr>
          <w:p w14:paraId="4B35B279" w14:textId="23A8EB3E"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+2,5</w:t>
            </w:r>
          </w:p>
        </w:tc>
        <w:tc>
          <w:tcPr>
            <w:tcW w:w="1070" w:type="dxa"/>
            <w:tcMar>
              <w:left w:w="85" w:type="dxa"/>
              <w:right w:w="28" w:type="dxa"/>
            </w:tcMar>
            <w:vAlign w:val="center"/>
          </w:tcPr>
          <w:p w14:paraId="660C9FF3" w14:textId="4147CA61"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+2,9</w:t>
            </w:r>
          </w:p>
        </w:tc>
      </w:tr>
      <w:tr w:rsidR="000A7D86" w:rsidRPr="00502CE8" w14:paraId="0328F394" w14:textId="77777777" w:rsidTr="00E561AF">
        <w:trPr>
          <w:trHeight w:val="255"/>
          <w:jc w:val="center"/>
        </w:trPr>
        <w:tc>
          <w:tcPr>
            <w:tcW w:w="4253" w:type="dxa"/>
            <w:vAlign w:val="center"/>
          </w:tcPr>
          <w:p w14:paraId="61EA1292" w14:textId="77777777" w:rsidR="000A7D86" w:rsidRPr="00C8504B" w:rsidRDefault="000A7D86" w:rsidP="000A7D86">
            <w:pPr>
              <w:spacing w:before="40" w:after="20"/>
              <w:ind w:left="247"/>
              <w:rPr>
                <w:rFonts w:ascii="Arial Narrow" w:hAnsi="Arial Narrow" w:cs="Arial"/>
                <w:sz w:val="18"/>
                <w:szCs w:val="18"/>
              </w:rPr>
            </w:pPr>
            <w:r w:rsidRPr="00C8504B">
              <w:rPr>
                <w:rFonts w:ascii="Arial Narrow" w:hAnsi="Arial Narrow" w:cs="Arial"/>
                <w:sz w:val="18"/>
                <w:szCs w:val="18"/>
              </w:rPr>
              <w:t>Alimentari lavorati (incluse bevande alcoliche) e tabacchi</w:t>
            </w:r>
          </w:p>
        </w:tc>
        <w:tc>
          <w:tcPr>
            <w:tcW w:w="1027" w:type="dxa"/>
            <w:shd w:val="clear" w:color="auto" w:fill="D9D9D9"/>
            <w:vAlign w:val="center"/>
          </w:tcPr>
          <w:p w14:paraId="6BD768C4"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150.633</w:t>
            </w:r>
          </w:p>
        </w:tc>
        <w:tc>
          <w:tcPr>
            <w:tcW w:w="974" w:type="dxa"/>
            <w:vAlign w:val="center"/>
          </w:tcPr>
          <w:p w14:paraId="41DB1F77" w14:textId="790F8625"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-0,1</w:t>
            </w:r>
          </w:p>
        </w:tc>
        <w:tc>
          <w:tcPr>
            <w:tcW w:w="976" w:type="dxa"/>
            <w:shd w:val="clear" w:color="auto" w:fill="D9D9D9"/>
            <w:vAlign w:val="center"/>
          </w:tcPr>
          <w:p w14:paraId="0E52E03D" w14:textId="2F09BC09"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+0,3</w:t>
            </w:r>
          </w:p>
        </w:tc>
        <w:tc>
          <w:tcPr>
            <w:tcW w:w="1113" w:type="dxa"/>
            <w:vAlign w:val="center"/>
          </w:tcPr>
          <w:p w14:paraId="1C714CFE" w14:textId="6939F503"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+2,2</w:t>
            </w:r>
          </w:p>
        </w:tc>
        <w:tc>
          <w:tcPr>
            <w:tcW w:w="793" w:type="dxa"/>
            <w:shd w:val="clear" w:color="auto" w:fill="D9D9D9"/>
            <w:vAlign w:val="center"/>
          </w:tcPr>
          <w:p w14:paraId="41A37507" w14:textId="1DA0BEC3"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+2,6</w:t>
            </w:r>
          </w:p>
        </w:tc>
        <w:tc>
          <w:tcPr>
            <w:tcW w:w="1070" w:type="dxa"/>
            <w:tcMar>
              <w:left w:w="85" w:type="dxa"/>
              <w:right w:w="28" w:type="dxa"/>
            </w:tcMar>
            <w:vAlign w:val="center"/>
          </w:tcPr>
          <w:p w14:paraId="36CD75B2" w14:textId="662CC432"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+2,5</w:t>
            </w:r>
          </w:p>
        </w:tc>
      </w:tr>
      <w:tr w:rsidR="000A7D86" w:rsidRPr="00502CE8" w14:paraId="4621CA9C" w14:textId="77777777" w:rsidTr="00E561AF">
        <w:trPr>
          <w:trHeight w:val="255"/>
          <w:jc w:val="center"/>
        </w:trPr>
        <w:tc>
          <w:tcPr>
            <w:tcW w:w="4253" w:type="dxa"/>
            <w:vAlign w:val="center"/>
          </w:tcPr>
          <w:p w14:paraId="551513EF" w14:textId="77777777" w:rsidR="000A7D86" w:rsidRPr="00C8504B" w:rsidRDefault="000A7D86" w:rsidP="000A7D86">
            <w:pPr>
              <w:spacing w:before="40" w:after="20"/>
              <w:ind w:left="247"/>
              <w:rPr>
                <w:rFonts w:ascii="Arial Narrow" w:hAnsi="Arial Narrow" w:cs="Arial"/>
                <w:sz w:val="18"/>
                <w:szCs w:val="18"/>
              </w:rPr>
            </w:pPr>
            <w:r w:rsidRPr="00C8504B">
              <w:rPr>
                <w:rFonts w:ascii="Arial Narrow" w:hAnsi="Arial Narrow" w:cs="Arial"/>
                <w:sz w:val="18"/>
                <w:szCs w:val="18"/>
              </w:rPr>
              <w:t>Alimentari non lavorati</w:t>
            </w:r>
          </w:p>
        </w:tc>
        <w:tc>
          <w:tcPr>
            <w:tcW w:w="1027" w:type="dxa"/>
            <w:shd w:val="clear" w:color="auto" w:fill="D9D9D9"/>
            <w:vAlign w:val="center"/>
          </w:tcPr>
          <w:p w14:paraId="24AAA73F"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62.703</w:t>
            </w:r>
          </w:p>
        </w:tc>
        <w:tc>
          <w:tcPr>
            <w:tcW w:w="974" w:type="dxa"/>
            <w:vAlign w:val="center"/>
          </w:tcPr>
          <w:p w14:paraId="41DEEA30" w14:textId="7C0F695B"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+0,4</w:t>
            </w:r>
          </w:p>
        </w:tc>
        <w:tc>
          <w:tcPr>
            <w:tcW w:w="976" w:type="dxa"/>
            <w:shd w:val="clear" w:color="auto" w:fill="D9D9D9"/>
            <w:vAlign w:val="center"/>
          </w:tcPr>
          <w:p w14:paraId="1FCB0629" w14:textId="04EE229D"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+1,3</w:t>
            </w:r>
          </w:p>
        </w:tc>
        <w:tc>
          <w:tcPr>
            <w:tcW w:w="1113" w:type="dxa"/>
            <w:vAlign w:val="center"/>
          </w:tcPr>
          <w:p w14:paraId="4AB81AC0" w14:textId="613AD6D1"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+1,2</w:t>
            </w:r>
          </w:p>
        </w:tc>
        <w:tc>
          <w:tcPr>
            <w:tcW w:w="793" w:type="dxa"/>
            <w:shd w:val="clear" w:color="auto" w:fill="D9D9D9"/>
            <w:vAlign w:val="center"/>
          </w:tcPr>
          <w:p w14:paraId="13E71903" w14:textId="7AED08AE"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+2,1</w:t>
            </w:r>
          </w:p>
        </w:tc>
        <w:tc>
          <w:tcPr>
            <w:tcW w:w="1070" w:type="dxa"/>
            <w:tcMar>
              <w:left w:w="85" w:type="dxa"/>
              <w:right w:w="28" w:type="dxa"/>
            </w:tcMar>
            <w:vAlign w:val="center"/>
          </w:tcPr>
          <w:p w14:paraId="23B732BA" w14:textId="4051E130"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+3,8</w:t>
            </w:r>
          </w:p>
        </w:tc>
      </w:tr>
      <w:tr w:rsidR="000A7D86" w:rsidRPr="00502CE8" w14:paraId="55E5AC45" w14:textId="77777777" w:rsidTr="00E561AF">
        <w:trPr>
          <w:trHeight w:val="255"/>
          <w:jc w:val="center"/>
        </w:trPr>
        <w:tc>
          <w:tcPr>
            <w:tcW w:w="4253" w:type="dxa"/>
            <w:vAlign w:val="center"/>
          </w:tcPr>
          <w:p w14:paraId="19668FA0" w14:textId="77777777" w:rsidR="000A7D86" w:rsidRPr="00C8504B" w:rsidRDefault="000A7D86" w:rsidP="000A7D86">
            <w:pPr>
              <w:spacing w:before="40" w:after="20"/>
              <w:ind w:left="-68"/>
              <w:rPr>
                <w:rFonts w:ascii="Arial Narrow" w:hAnsi="Arial Narrow" w:cs="Arial"/>
                <w:sz w:val="18"/>
                <w:szCs w:val="18"/>
              </w:rPr>
            </w:pPr>
            <w:r w:rsidRPr="00C8504B">
              <w:rPr>
                <w:rFonts w:ascii="Arial Narrow" w:hAnsi="Arial Narrow" w:cs="Arial"/>
                <w:sz w:val="18"/>
                <w:szCs w:val="18"/>
              </w:rPr>
              <w:t>Energia, di cui:</w:t>
            </w:r>
          </w:p>
        </w:tc>
        <w:tc>
          <w:tcPr>
            <w:tcW w:w="1027" w:type="dxa"/>
            <w:shd w:val="clear" w:color="auto" w:fill="D9D9D9"/>
            <w:vAlign w:val="center"/>
          </w:tcPr>
          <w:p w14:paraId="0EA0B582"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112.730</w:t>
            </w:r>
          </w:p>
        </w:tc>
        <w:tc>
          <w:tcPr>
            <w:tcW w:w="974" w:type="dxa"/>
            <w:vAlign w:val="center"/>
          </w:tcPr>
          <w:p w14:paraId="46600189" w14:textId="3A4341AD"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+0,6</w:t>
            </w:r>
          </w:p>
        </w:tc>
        <w:tc>
          <w:tcPr>
            <w:tcW w:w="976" w:type="dxa"/>
            <w:shd w:val="clear" w:color="auto" w:fill="D9D9D9"/>
            <w:vAlign w:val="center"/>
          </w:tcPr>
          <w:p w14:paraId="6C27BF48" w14:textId="1ECDE437"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+0,3</w:t>
            </w:r>
          </w:p>
        </w:tc>
        <w:tc>
          <w:tcPr>
            <w:tcW w:w="1113" w:type="dxa"/>
            <w:vAlign w:val="center"/>
          </w:tcPr>
          <w:p w14:paraId="4BE2172E" w14:textId="5C6A54EE"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-4,2</w:t>
            </w:r>
          </w:p>
        </w:tc>
        <w:tc>
          <w:tcPr>
            <w:tcW w:w="793" w:type="dxa"/>
            <w:shd w:val="clear" w:color="auto" w:fill="D9D9D9"/>
            <w:vAlign w:val="center"/>
          </w:tcPr>
          <w:p w14:paraId="3BA01A73" w14:textId="6DC161C2"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-4,4</w:t>
            </w:r>
          </w:p>
        </w:tc>
        <w:tc>
          <w:tcPr>
            <w:tcW w:w="1070" w:type="dxa"/>
            <w:tcMar>
              <w:left w:w="85" w:type="dxa"/>
              <w:right w:w="28" w:type="dxa"/>
            </w:tcMar>
            <w:vAlign w:val="center"/>
          </w:tcPr>
          <w:p w14:paraId="08238659" w14:textId="07A7A24F"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-2,3</w:t>
            </w:r>
          </w:p>
        </w:tc>
      </w:tr>
      <w:tr w:rsidR="000A7D86" w:rsidRPr="00502CE8" w14:paraId="16AEC8BF" w14:textId="77777777" w:rsidTr="00E561AF">
        <w:trPr>
          <w:trHeight w:val="255"/>
          <w:jc w:val="center"/>
        </w:trPr>
        <w:tc>
          <w:tcPr>
            <w:tcW w:w="4253" w:type="dxa"/>
            <w:vAlign w:val="center"/>
          </w:tcPr>
          <w:p w14:paraId="670EA5C9" w14:textId="77777777" w:rsidR="000A7D86" w:rsidRPr="00C8504B" w:rsidRDefault="000A7D86" w:rsidP="000A7D86">
            <w:pPr>
              <w:spacing w:before="40" w:after="20"/>
              <w:ind w:left="247"/>
              <w:rPr>
                <w:rFonts w:ascii="Arial Narrow" w:hAnsi="Arial Narrow" w:cs="Arial"/>
                <w:sz w:val="18"/>
                <w:szCs w:val="18"/>
              </w:rPr>
            </w:pPr>
            <w:r w:rsidRPr="00C8504B">
              <w:rPr>
                <w:rFonts w:ascii="Arial Narrow" w:hAnsi="Arial Narrow" w:cs="Arial"/>
                <w:sz w:val="18"/>
                <w:szCs w:val="18"/>
              </w:rPr>
              <w:t>Elettricità, gas e combustibili solidi</w:t>
            </w:r>
          </w:p>
        </w:tc>
        <w:tc>
          <w:tcPr>
            <w:tcW w:w="1027" w:type="dxa"/>
            <w:shd w:val="clear" w:color="auto" w:fill="D9D9D9"/>
            <w:vAlign w:val="center"/>
          </w:tcPr>
          <w:p w14:paraId="37FAFE3D"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62.411</w:t>
            </w:r>
          </w:p>
        </w:tc>
        <w:tc>
          <w:tcPr>
            <w:tcW w:w="974" w:type="dxa"/>
            <w:vAlign w:val="center"/>
          </w:tcPr>
          <w:p w14:paraId="32F84B6B" w14:textId="395613AB"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0,0</w:t>
            </w:r>
          </w:p>
        </w:tc>
        <w:tc>
          <w:tcPr>
            <w:tcW w:w="976" w:type="dxa"/>
            <w:shd w:val="clear" w:color="auto" w:fill="D9D9D9"/>
            <w:vAlign w:val="center"/>
          </w:tcPr>
          <w:p w14:paraId="7A7218DE" w14:textId="6BA96FF1"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+0,2</w:t>
            </w:r>
          </w:p>
        </w:tc>
        <w:tc>
          <w:tcPr>
            <w:tcW w:w="1113" w:type="dxa"/>
            <w:vAlign w:val="center"/>
          </w:tcPr>
          <w:p w14:paraId="0630E40E" w14:textId="34CC1F23"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-7,1</w:t>
            </w:r>
          </w:p>
        </w:tc>
        <w:tc>
          <w:tcPr>
            <w:tcW w:w="793" w:type="dxa"/>
            <w:shd w:val="clear" w:color="auto" w:fill="D9D9D9"/>
            <w:vAlign w:val="center"/>
          </w:tcPr>
          <w:p w14:paraId="1CA993AD" w14:textId="6658602E"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-6,9</w:t>
            </w:r>
          </w:p>
        </w:tc>
        <w:tc>
          <w:tcPr>
            <w:tcW w:w="1070" w:type="dxa"/>
            <w:tcMar>
              <w:left w:w="85" w:type="dxa"/>
              <w:right w:w="28" w:type="dxa"/>
            </w:tcMar>
            <w:vAlign w:val="center"/>
          </w:tcPr>
          <w:p w14:paraId="30931C3B" w14:textId="1EB8FFDD"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-0,9</w:t>
            </w:r>
          </w:p>
        </w:tc>
      </w:tr>
      <w:tr w:rsidR="000A7D86" w:rsidRPr="00502CE8" w14:paraId="10A1E8CB" w14:textId="77777777" w:rsidTr="00E561AF">
        <w:trPr>
          <w:trHeight w:val="255"/>
          <w:jc w:val="center"/>
        </w:trPr>
        <w:tc>
          <w:tcPr>
            <w:tcW w:w="4253" w:type="dxa"/>
            <w:vAlign w:val="center"/>
          </w:tcPr>
          <w:p w14:paraId="4A57FB89" w14:textId="77777777" w:rsidR="000A7D86" w:rsidRPr="00C8504B" w:rsidRDefault="000A7D86" w:rsidP="000A7D86">
            <w:pPr>
              <w:spacing w:before="40" w:after="20"/>
              <w:ind w:left="247"/>
              <w:rPr>
                <w:rFonts w:ascii="Arial Narrow" w:hAnsi="Arial Narrow" w:cs="Arial"/>
                <w:sz w:val="18"/>
                <w:szCs w:val="18"/>
              </w:rPr>
            </w:pPr>
            <w:r w:rsidRPr="00C8504B">
              <w:rPr>
                <w:rFonts w:ascii="Arial Narrow" w:hAnsi="Arial Narrow" w:cs="Arial"/>
                <w:sz w:val="18"/>
                <w:szCs w:val="18"/>
              </w:rPr>
              <w:t>Combustibili liquidi, carburanti e lubrificanti</w:t>
            </w:r>
          </w:p>
        </w:tc>
        <w:tc>
          <w:tcPr>
            <w:tcW w:w="1027" w:type="dxa"/>
            <w:shd w:val="clear" w:color="auto" w:fill="D9D9D9"/>
            <w:vAlign w:val="center"/>
          </w:tcPr>
          <w:p w14:paraId="2C59A0CB"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50.319</w:t>
            </w:r>
          </w:p>
        </w:tc>
        <w:tc>
          <w:tcPr>
            <w:tcW w:w="974" w:type="dxa"/>
            <w:vAlign w:val="center"/>
          </w:tcPr>
          <w:p w14:paraId="057A666A" w14:textId="3FE1A5C6"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+1,5</w:t>
            </w:r>
          </w:p>
        </w:tc>
        <w:tc>
          <w:tcPr>
            <w:tcW w:w="976" w:type="dxa"/>
            <w:shd w:val="clear" w:color="auto" w:fill="D9D9D9"/>
            <w:vAlign w:val="center"/>
          </w:tcPr>
          <w:p w14:paraId="43B79BBE" w14:textId="24338B48"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+0,4</w:t>
            </w:r>
          </w:p>
        </w:tc>
        <w:tc>
          <w:tcPr>
            <w:tcW w:w="1113" w:type="dxa"/>
            <w:vAlign w:val="center"/>
          </w:tcPr>
          <w:p w14:paraId="75DE9A71" w14:textId="22719510"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-0,4</w:t>
            </w:r>
          </w:p>
        </w:tc>
        <w:tc>
          <w:tcPr>
            <w:tcW w:w="793" w:type="dxa"/>
            <w:shd w:val="clear" w:color="auto" w:fill="D9D9D9"/>
            <w:vAlign w:val="center"/>
          </w:tcPr>
          <w:p w14:paraId="77D7D9C2" w14:textId="41B7B52E"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-1,5</w:t>
            </w:r>
          </w:p>
        </w:tc>
        <w:tc>
          <w:tcPr>
            <w:tcW w:w="1070" w:type="dxa"/>
            <w:tcMar>
              <w:left w:w="85" w:type="dxa"/>
              <w:right w:w="28" w:type="dxa"/>
            </w:tcMar>
            <w:vAlign w:val="center"/>
          </w:tcPr>
          <w:p w14:paraId="2EC9D94B" w14:textId="240F9985"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-3,8</w:t>
            </w:r>
          </w:p>
        </w:tc>
      </w:tr>
      <w:tr w:rsidR="000A7D86" w:rsidRPr="00502CE8" w14:paraId="10C14F29" w14:textId="77777777" w:rsidTr="00E561AF">
        <w:trPr>
          <w:trHeight w:val="255"/>
          <w:jc w:val="center"/>
        </w:trPr>
        <w:tc>
          <w:tcPr>
            <w:tcW w:w="4253" w:type="dxa"/>
            <w:vAlign w:val="center"/>
          </w:tcPr>
          <w:p w14:paraId="2E6C5F5B" w14:textId="2088102A" w:rsidR="000A7D86" w:rsidRPr="00C8504B" w:rsidRDefault="000A7D86" w:rsidP="000A7D86">
            <w:pPr>
              <w:spacing w:before="40" w:after="20"/>
              <w:ind w:left="-68"/>
              <w:rPr>
                <w:rFonts w:ascii="Arial Narrow" w:hAnsi="Arial Narrow" w:cs="Arial"/>
                <w:sz w:val="18"/>
                <w:szCs w:val="18"/>
              </w:rPr>
            </w:pPr>
            <w:r>
              <w:rPr>
                <w:rFonts w:ascii="Arial Narrow" w:hAnsi="Arial Narrow" w:cs="Arial"/>
                <w:sz w:val="18"/>
                <w:szCs w:val="18"/>
              </w:rPr>
              <w:t xml:space="preserve"> </w:t>
            </w:r>
            <w:r w:rsidRPr="00C8504B">
              <w:rPr>
                <w:rFonts w:ascii="Arial Narrow" w:hAnsi="Arial Narrow" w:cs="Arial"/>
                <w:sz w:val="18"/>
                <w:szCs w:val="18"/>
              </w:rPr>
              <w:t>Beni industriali non energetici, di cui:</w:t>
            </w:r>
          </w:p>
        </w:tc>
        <w:tc>
          <w:tcPr>
            <w:tcW w:w="1027" w:type="dxa"/>
            <w:shd w:val="clear" w:color="auto" w:fill="D9D9D9"/>
            <w:vAlign w:val="center"/>
          </w:tcPr>
          <w:p w14:paraId="0E92F4F6"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265.139</w:t>
            </w:r>
          </w:p>
        </w:tc>
        <w:tc>
          <w:tcPr>
            <w:tcW w:w="974" w:type="dxa"/>
            <w:vAlign w:val="center"/>
          </w:tcPr>
          <w:p w14:paraId="36CC3F1C" w14:textId="491A1BAD"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-0,1</w:t>
            </w:r>
          </w:p>
        </w:tc>
        <w:tc>
          <w:tcPr>
            <w:tcW w:w="976" w:type="dxa"/>
            <w:shd w:val="clear" w:color="auto" w:fill="D9D9D9"/>
            <w:vAlign w:val="center"/>
          </w:tcPr>
          <w:p w14:paraId="549DE26C" w14:textId="0B3A452A"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-0,2</w:t>
            </w:r>
          </w:p>
        </w:tc>
        <w:tc>
          <w:tcPr>
            <w:tcW w:w="1113" w:type="dxa"/>
            <w:vAlign w:val="center"/>
          </w:tcPr>
          <w:p w14:paraId="48042D7D" w14:textId="12663D21"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+0,5</w:t>
            </w:r>
          </w:p>
        </w:tc>
        <w:tc>
          <w:tcPr>
            <w:tcW w:w="793" w:type="dxa"/>
            <w:shd w:val="clear" w:color="auto" w:fill="D9D9D9"/>
            <w:vAlign w:val="center"/>
          </w:tcPr>
          <w:p w14:paraId="6351EF99" w14:textId="7FD2F735"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+0,4</w:t>
            </w:r>
          </w:p>
        </w:tc>
        <w:tc>
          <w:tcPr>
            <w:tcW w:w="1070" w:type="dxa"/>
            <w:tcMar>
              <w:left w:w="85" w:type="dxa"/>
              <w:right w:w="28" w:type="dxa"/>
            </w:tcMar>
            <w:vAlign w:val="center"/>
          </w:tcPr>
          <w:p w14:paraId="59619C98" w14:textId="7505C4A9"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+0,4</w:t>
            </w:r>
          </w:p>
        </w:tc>
      </w:tr>
      <w:tr w:rsidR="000A7D86" w:rsidRPr="00502CE8" w14:paraId="5603E511" w14:textId="77777777" w:rsidTr="00E561AF">
        <w:trPr>
          <w:trHeight w:val="255"/>
          <w:jc w:val="center"/>
        </w:trPr>
        <w:tc>
          <w:tcPr>
            <w:tcW w:w="4253" w:type="dxa"/>
            <w:vAlign w:val="center"/>
          </w:tcPr>
          <w:p w14:paraId="63068680" w14:textId="77777777" w:rsidR="000A7D86" w:rsidRPr="00C8504B" w:rsidRDefault="000A7D86" w:rsidP="000A7D86">
            <w:pPr>
              <w:spacing w:before="40" w:after="20"/>
              <w:ind w:left="247"/>
              <w:rPr>
                <w:rFonts w:ascii="Arial Narrow" w:hAnsi="Arial Narrow" w:cs="Arial"/>
                <w:sz w:val="18"/>
                <w:szCs w:val="18"/>
              </w:rPr>
            </w:pPr>
            <w:r w:rsidRPr="00C8504B">
              <w:rPr>
                <w:rFonts w:ascii="Arial Narrow" w:hAnsi="Arial Narrow" w:cs="Arial"/>
                <w:sz w:val="18"/>
                <w:szCs w:val="18"/>
              </w:rPr>
              <w:t>Beni durevoli</w:t>
            </w:r>
          </w:p>
        </w:tc>
        <w:tc>
          <w:tcPr>
            <w:tcW w:w="1027" w:type="dxa"/>
            <w:shd w:val="clear" w:color="auto" w:fill="D9D9D9"/>
            <w:vAlign w:val="center"/>
          </w:tcPr>
          <w:p w14:paraId="0C62B598"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99.805</w:t>
            </w:r>
          </w:p>
        </w:tc>
        <w:tc>
          <w:tcPr>
            <w:tcW w:w="974" w:type="dxa"/>
            <w:vAlign w:val="center"/>
          </w:tcPr>
          <w:p w14:paraId="41DD3A92" w14:textId="05160782"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-0,2</w:t>
            </w:r>
          </w:p>
        </w:tc>
        <w:tc>
          <w:tcPr>
            <w:tcW w:w="976" w:type="dxa"/>
            <w:shd w:val="clear" w:color="auto" w:fill="D9D9D9"/>
            <w:vAlign w:val="center"/>
          </w:tcPr>
          <w:p w14:paraId="5F1CCF46" w14:textId="34659F9E"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-0,6</w:t>
            </w:r>
          </w:p>
        </w:tc>
        <w:tc>
          <w:tcPr>
            <w:tcW w:w="1113" w:type="dxa"/>
            <w:vAlign w:val="center"/>
          </w:tcPr>
          <w:p w14:paraId="6F48A145" w14:textId="2FB70AA4"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-0,6</w:t>
            </w:r>
          </w:p>
        </w:tc>
        <w:tc>
          <w:tcPr>
            <w:tcW w:w="793" w:type="dxa"/>
            <w:shd w:val="clear" w:color="auto" w:fill="D9D9D9"/>
            <w:vAlign w:val="center"/>
          </w:tcPr>
          <w:p w14:paraId="505FC309" w14:textId="152A4B7A"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-0,9</w:t>
            </w:r>
          </w:p>
        </w:tc>
        <w:tc>
          <w:tcPr>
            <w:tcW w:w="1070" w:type="dxa"/>
            <w:tcMar>
              <w:left w:w="85" w:type="dxa"/>
              <w:right w:w="28" w:type="dxa"/>
            </w:tcMar>
            <w:vAlign w:val="center"/>
          </w:tcPr>
          <w:p w14:paraId="04CA0A90" w14:textId="5CCF23EF"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-1,0</w:t>
            </w:r>
          </w:p>
        </w:tc>
      </w:tr>
      <w:tr w:rsidR="000A7D86" w:rsidRPr="00502CE8" w14:paraId="2CDA5C96" w14:textId="77777777" w:rsidTr="00E561AF">
        <w:trPr>
          <w:trHeight w:val="255"/>
          <w:jc w:val="center"/>
        </w:trPr>
        <w:tc>
          <w:tcPr>
            <w:tcW w:w="4253" w:type="dxa"/>
            <w:vAlign w:val="center"/>
          </w:tcPr>
          <w:p w14:paraId="6E77A433" w14:textId="77777777" w:rsidR="000A7D86" w:rsidRPr="00C8504B" w:rsidRDefault="000A7D86" w:rsidP="000A7D86">
            <w:pPr>
              <w:spacing w:before="40" w:after="20"/>
              <w:ind w:left="247"/>
              <w:rPr>
                <w:rFonts w:ascii="Arial Narrow" w:hAnsi="Arial Narrow" w:cs="Arial"/>
                <w:sz w:val="18"/>
                <w:szCs w:val="18"/>
              </w:rPr>
            </w:pPr>
            <w:r w:rsidRPr="00C8504B">
              <w:rPr>
                <w:rFonts w:ascii="Arial Narrow" w:hAnsi="Arial Narrow" w:cs="Arial"/>
                <w:sz w:val="18"/>
                <w:szCs w:val="18"/>
              </w:rPr>
              <w:t>Beni non durevoli</w:t>
            </w:r>
          </w:p>
        </w:tc>
        <w:tc>
          <w:tcPr>
            <w:tcW w:w="1027" w:type="dxa"/>
            <w:shd w:val="clear" w:color="auto" w:fill="D9D9D9" w:themeFill="background1" w:themeFillShade="D9"/>
            <w:vAlign w:val="center"/>
          </w:tcPr>
          <w:p w14:paraId="7EE32F5C"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57.864</w:t>
            </w:r>
          </w:p>
        </w:tc>
        <w:tc>
          <w:tcPr>
            <w:tcW w:w="974" w:type="dxa"/>
            <w:vAlign w:val="center"/>
          </w:tcPr>
          <w:p w14:paraId="6C9CDFEB" w14:textId="1E7AFD92"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-0,1</w:t>
            </w:r>
          </w:p>
        </w:tc>
        <w:tc>
          <w:tcPr>
            <w:tcW w:w="976" w:type="dxa"/>
            <w:shd w:val="clear" w:color="auto" w:fill="D9D9D9"/>
            <w:vAlign w:val="center"/>
          </w:tcPr>
          <w:p w14:paraId="5947322E" w14:textId="16CE44F5"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+0,3</w:t>
            </w:r>
          </w:p>
        </w:tc>
        <w:tc>
          <w:tcPr>
            <w:tcW w:w="1113" w:type="dxa"/>
            <w:vAlign w:val="center"/>
          </w:tcPr>
          <w:p w14:paraId="1B5CF9A3" w14:textId="3D832B87"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+1,5</w:t>
            </w:r>
          </w:p>
        </w:tc>
        <w:tc>
          <w:tcPr>
            <w:tcW w:w="793" w:type="dxa"/>
            <w:shd w:val="clear" w:color="auto" w:fill="D9D9D9"/>
            <w:vAlign w:val="center"/>
          </w:tcPr>
          <w:p w14:paraId="58E19D68" w14:textId="188A7AE6"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+1,9</w:t>
            </w:r>
          </w:p>
        </w:tc>
        <w:tc>
          <w:tcPr>
            <w:tcW w:w="1070" w:type="dxa"/>
            <w:tcMar>
              <w:left w:w="85" w:type="dxa"/>
              <w:right w:w="28" w:type="dxa"/>
            </w:tcMar>
            <w:vAlign w:val="center"/>
          </w:tcPr>
          <w:p w14:paraId="62608BA6" w14:textId="02C5E8ED"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+1,8</w:t>
            </w:r>
          </w:p>
        </w:tc>
      </w:tr>
      <w:tr w:rsidR="000A7D86" w:rsidRPr="00502CE8" w14:paraId="0E47ED1C" w14:textId="77777777" w:rsidTr="00E561AF">
        <w:trPr>
          <w:trHeight w:val="255"/>
          <w:jc w:val="center"/>
        </w:trPr>
        <w:tc>
          <w:tcPr>
            <w:tcW w:w="4253" w:type="dxa"/>
            <w:vAlign w:val="center"/>
          </w:tcPr>
          <w:p w14:paraId="501EB4F1" w14:textId="77777777" w:rsidR="000A7D86" w:rsidRPr="00C8504B" w:rsidRDefault="000A7D86" w:rsidP="000A7D86">
            <w:pPr>
              <w:spacing w:before="40" w:after="20"/>
              <w:ind w:left="247"/>
              <w:rPr>
                <w:rFonts w:ascii="Arial Narrow" w:hAnsi="Arial Narrow" w:cs="Arial"/>
                <w:sz w:val="18"/>
                <w:szCs w:val="18"/>
              </w:rPr>
            </w:pPr>
            <w:r w:rsidRPr="00C8504B">
              <w:rPr>
                <w:rFonts w:ascii="Arial Narrow" w:hAnsi="Arial Narrow" w:cs="Arial"/>
                <w:sz w:val="18"/>
                <w:szCs w:val="18"/>
              </w:rPr>
              <w:t>Beni semidurevoli</w:t>
            </w:r>
          </w:p>
        </w:tc>
        <w:tc>
          <w:tcPr>
            <w:tcW w:w="1027" w:type="dxa"/>
            <w:shd w:val="clear" w:color="auto" w:fill="D9D9D9"/>
            <w:vAlign w:val="center"/>
          </w:tcPr>
          <w:p w14:paraId="45106235"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107.470</w:t>
            </w:r>
          </w:p>
        </w:tc>
        <w:tc>
          <w:tcPr>
            <w:tcW w:w="974" w:type="dxa"/>
            <w:vAlign w:val="center"/>
          </w:tcPr>
          <w:p w14:paraId="2094713C" w14:textId="062E3410"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-0,1</w:t>
            </w:r>
          </w:p>
        </w:tc>
        <w:tc>
          <w:tcPr>
            <w:tcW w:w="976" w:type="dxa"/>
            <w:shd w:val="clear" w:color="auto" w:fill="D9D9D9"/>
            <w:vAlign w:val="center"/>
          </w:tcPr>
          <w:p w14:paraId="79C8C670" w14:textId="6F8D5635"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-0,1</w:t>
            </w:r>
          </w:p>
        </w:tc>
        <w:tc>
          <w:tcPr>
            <w:tcW w:w="1113" w:type="dxa"/>
            <w:vAlign w:val="center"/>
          </w:tcPr>
          <w:p w14:paraId="2671A702" w14:textId="2521B6D3"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+0,9</w:t>
            </w:r>
          </w:p>
        </w:tc>
        <w:tc>
          <w:tcPr>
            <w:tcW w:w="793" w:type="dxa"/>
            <w:shd w:val="clear" w:color="auto" w:fill="D9D9D9"/>
            <w:vAlign w:val="center"/>
          </w:tcPr>
          <w:p w14:paraId="7120B5FD" w14:textId="63DCCBC5"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+0,9</w:t>
            </w:r>
          </w:p>
        </w:tc>
        <w:tc>
          <w:tcPr>
            <w:tcW w:w="1070" w:type="dxa"/>
            <w:tcMar>
              <w:left w:w="85" w:type="dxa"/>
              <w:right w:w="28" w:type="dxa"/>
            </w:tcMar>
            <w:vAlign w:val="center"/>
          </w:tcPr>
          <w:p w14:paraId="0EF2A8F1" w14:textId="2556509E"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+0,7</w:t>
            </w:r>
          </w:p>
        </w:tc>
      </w:tr>
      <w:tr w:rsidR="000A7D86" w:rsidRPr="003F42C3" w14:paraId="0CB46872" w14:textId="77777777" w:rsidTr="00E561AF">
        <w:trPr>
          <w:trHeight w:val="255"/>
          <w:jc w:val="center"/>
        </w:trPr>
        <w:tc>
          <w:tcPr>
            <w:tcW w:w="4253" w:type="dxa"/>
            <w:shd w:val="clear" w:color="auto" w:fill="808080"/>
            <w:vAlign w:val="center"/>
          </w:tcPr>
          <w:p w14:paraId="7860108D" w14:textId="77777777" w:rsidR="000A7D86" w:rsidRPr="00C8504B" w:rsidRDefault="000A7D86" w:rsidP="000A7D86">
            <w:pPr>
              <w:spacing w:before="40" w:after="20"/>
              <w:rPr>
                <w:rFonts w:ascii="Arial Narrow" w:hAnsi="Arial Narrow" w:cs="Arial"/>
                <w:b/>
                <w:bCs/>
                <w:color w:val="FFFFFF"/>
                <w:sz w:val="18"/>
                <w:szCs w:val="18"/>
              </w:rPr>
            </w:pPr>
            <w:r w:rsidRPr="00C8504B">
              <w:rPr>
                <w:rFonts w:ascii="Arial Narrow" w:hAnsi="Arial Narrow" w:cs="Arial"/>
                <w:b/>
                <w:color w:val="FFFFFF"/>
                <w:sz w:val="18"/>
                <w:szCs w:val="18"/>
              </w:rPr>
              <w:t>Beni</w:t>
            </w:r>
          </w:p>
        </w:tc>
        <w:tc>
          <w:tcPr>
            <w:tcW w:w="1027" w:type="dxa"/>
            <w:shd w:val="clear" w:color="auto" w:fill="808080"/>
            <w:vAlign w:val="center"/>
          </w:tcPr>
          <w:p w14:paraId="1867F912" w14:textId="77777777" w:rsidR="000A7D86" w:rsidRPr="000753E8" w:rsidRDefault="000A7D86" w:rsidP="000A7D86">
            <w:pPr>
              <w:spacing w:before="40" w:after="20"/>
              <w:ind w:left="-68" w:right="57"/>
              <w:jc w:val="right"/>
              <w:rPr>
                <w:rFonts w:ascii="Arial Narrow" w:hAnsi="Arial Narrow" w:cs="Arial"/>
                <w:b/>
                <w:color w:val="FFFFFF" w:themeColor="background1"/>
                <w:sz w:val="18"/>
                <w:szCs w:val="18"/>
              </w:rPr>
            </w:pPr>
            <w:r w:rsidRPr="000753E8">
              <w:rPr>
                <w:rFonts w:ascii="Arial Narrow" w:hAnsi="Arial Narrow" w:cs="Arial"/>
                <w:b/>
                <w:color w:val="FFFFFF" w:themeColor="background1"/>
                <w:sz w:val="18"/>
                <w:szCs w:val="18"/>
              </w:rPr>
              <w:t>591.205</w:t>
            </w:r>
          </w:p>
        </w:tc>
        <w:tc>
          <w:tcPr>
            <w:tcW w:w="974" w:type="dxa"/>
            <w:shd w:val="clear" w:color="auto" w:fill="808080"/>
            <w:vAlign w:val="center"/>
          </w:tcPr>
          <w:p w14:paraId="67CAE727" w14:textId="17AAF0DA"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+0,2</w:t>
            </w:r>
          </w:p>
        </w:tc>
        <w:tc>
          <w:tcPr>
            <w:tcW w:w="976" w:type="dxa"/>
            <w:shd w:val="clear" w:color="auto" w:fill="808080"/>
            <w:vAlign w:val="center"/>
          </w:tcPr>
          <w:p w14:paraId="6E12A52C" w14:textId="0FEDA34C"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+0,2</w:t>
            </w:r>
          </w:p>
        </w:tc>
        <w:tc>
          <w:tcPr>
            <w:tcW w:w="1113" w:type="dxa"/>
            <w:shd w:val="clear" w:color="auto" w:fill="808080"/>
            <w:vAlign w:val="center"/>
          </w:tcPr>
          <w:p w14:paraId="5C57794D" w14:textId="15F2B5FF"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+0,2</w:t>
            </w:r>
          </w:p>
        </w:tc>
        <w:tc>
          <w:tcPr>
            <w:tcW w:w="793" w:type="dxa"/>
            <w:shd w:val="clear" w:color="auto" w:fill="808080"/>
            <w:vAlign w:val="center"/>
          </w:tcPr>
          <w:p w14:paraId="22D5639A" w14:textId="010A4E62"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+0,2</w:t>
            </w:r>
          </w:p>
        </w:tc>
        <w:tc>
          <w:tcPr>
            <w:tcW w:w="1070" w:type="dxa"/>
            <w:shd w:val="clear" w:color="auto" w:fill="808080"/>
            <w:tcMar>
              <w:left w:w="85" w:type="dxa"/>
              <w:right w:w="28" w:type="dxa"/>
            </w:tcMar>
            <w:vAlign w:val="center"/>
          </w:tcPr>
          <w:p w14:paraId="6F5AE29C" w14:textId="2505B30F"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+0,8</w:t>
            </w:r>
          </w:p>
        </w:tc>
      </w:tr>
      <w:tr w:rsidR="000A7D86" w:rsidRPr="00502CE8" w14:paraId="233D031E" w14:textId="77777777" w:rsidTr="00E561AF">
        <w:trPr>
          <w:trHeight w:val="255"/>
          <w:jc w:val="center"/>
        </w:trPr>
        <w:tc>
          <w:tcPr>
            <w:tcW w:w="4253" w:type="dxa"/>
            <w:vAlign w:val="center"/>
          </w:tcPr>
          <w:p w14:paraId="001794F1" w14:textId="77777777" w:rsidR="000A7D86" w:rsidRPr="00C8504B" w:rsidRDefault="000A7D86" w:rsidP="000A7D86">
            <w:pPr>
              <w:spacing w:before="40" w:after="20"/>
              <w:ind w:left="-68"/>
              <w:rPr>
                <w:rFonts w:ascii="Arial Narrow" w:hAnsi="Arial Narrow" w:cs="Arial"/>
                <w:bCs/>
                <w:sz w:val="18"/>
                <w:szCs w:val="18"/>
              </w:rPr>
            </w:pPr>
            <w:r>
              <w:rPr>
                <w:rFonts w:ascii="Arial Narrow" w:hAnsi="Arial Narrow" w:cs="Arial"/>
                <w:bCs/>
                <w:sz w:val="18"/>
                <w:szCs w:val="18"/>
              </w:rPr>
              <w:t>Servizi relativi all’</w:t>
            </w:r>
            <w:r w:rsidRPr="00C8504B">
              <w:rPr>
                <w:rFonts w:ascii="Arial Narrow" w:hAnsi="Arial Narrow" w:cs="Arial"/>
                <w:bCs/>
                <w:sz w:val="18"/>
                <w:szCs w:val="18"/>
              </w:rPr>
              <w:t>abitazione</w:t>
            </w:r>
          </w:p>
        </w:tc>
        <w:tc>
          <w:tcPr>
            <w:tcW w:w="1027" w:type="dxa"/>
            <w:shd w:val="clear" w:color="auto" w:fill="D9D9D9"/>
            <w:vAlign w:val="center"/>
          </w:tcPr>
          <w:p w14:paraId="23B98585"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73.299</w:t>
            </w:r>
          </w:p>
        </w:tc>
        <w:tc>
          <w:tcPr>
            <w:tcW w:w="974" w:type="dxa"/>
            <w:vAlign w:val="center"/>
          </w:tcPr>
          <w:p w14:paraId="1F43F9FD" w14:textId="7EA444BC"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+0,3</w:t>
            </w:r>
          </w:p>
        </w:tc>
        <w:tc>
          <w:tcPr>
            <w:tcW w:w="976" w:type="dxa"/>
            <w:shd w:val="clear" w:color="auto" w:fill="D9D9D9"/>
            <w:vAlign w:val="center"/>
          </w:tcPr>
          <w:p w14:paraId="0DDA28A5" w14:textId="0523D330"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+0,3</w:t>
            </w:r>
          </w:p>
        </w:tc>
        <w:tc>
          <w:tcPr>
            <w:tcW w:w="1113" w:type="dxa"/>
            <w:vAlign w:val="center"/>
          </w:tcPr>
          <w:p w14:paraId="0555EB3B" w14:textId="4CE7702A"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+2,9</w:t>
            </w:r>
          </w:p>
        </w:tc>
        <w:tc>
          <w:tcPr>
            <w:tcW w:w="793" w:type="dxa"/>
            <w:shd w:val="clear" w:color="auto" w:fill="D9D9D9"/>
            <w:vAlign w:val="center"/>
          </w:tcPr>
          <w:p w14:paraId="4C2DED21" w14:textId="1806B077"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+2,9</w:t>
            </w:r>
          </w:p>
        </w:tc>
        <w:tc>
          <w:tcPr>
            <w:tcW w:w="1070" w:type="dxa"/>
            <w:tcMar>
              <w:left w:w="85" w:type="dxa"/>
              <w:right w:w="28" w:type="dxa"/>
            </w:tcMar>
            <w:vAlign w:val="center"/>
          </w:tcPr>
          <w:p w14:paraId="18EEFBC2" w14:textId="1A210F1E"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+2,8</w:t>
            </w:r>
          </w:p>
        </w:tc>
      </w:tr>
      <w:tr w:rsidR="000A7D86" w:rsidRPr="00502CE8" w14:paraId="4EE5CDDA" w14:textId="77777777" w:rsidTr="00E561AF">
        <w:trPr>
          <w:trHeight w:val="255"/>
          <w:jc w:val="center"/>
        </w:trPr>
        <w:tc>
          <w:tcPr>
            <w:tcW w:w="4253" w:type="dxa"/>
            <w:vAlign w:val="center"/>
          </w:tcPr>
          <w:p w14:paraId="76AD4DDE" w14:textId="77777777" w:rsidR="000A7D86" w:rsidRPr="00C8504B" w:rsidRDefault="000A7D86" w:rsidP="000A7D86">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alle comunicazioni</w:t>
            </w:r>
          </w:p>
        </w:tc>
        <w:tc>
          <w:tcPr>
            <w:tcW w:w="1027" w:type="dxa"/>
            <w:shd w:val="clear" w:color="auto" w:fill="D9D9D9"/>
            <w:vAlign w:val="center"/>
          </w:tcPr>
          <w:p w14:paraId="719131C9"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13.463</w:t>
            </w:r>
          </w:p>
        </w:tc>
        <w:tc>
          <w:tcPr>
            <w:tcW w:w="974" w:type="dxa"/>
            <w:vAlign w:val="center"/>
          </w:tcPr>
          <w:p w14:paraId="6A2FDAD6" w14:textId="1EEA3637"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-0,2</w:t>
            </w:r>
          </w:p>
        </w:tc>
        <w:tc>
          <w:tcPr>
            <w:tcW w:w="976" w:type="dxa"/>
            <w:shd w:val="clear" w:color="auto" w:fill="D9D9D9"/>
            <w:vAlign w:val="center"/>
          </w:tcPr>
          <w:p w14:paraId="48EB3675" w14:textId="0B1F2C31"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+0,2</w:t>
            </w:r>
          </w:p>
        </w:tc>
        <w:tc>
          <w:tcPr>
            <w:tcW w:w="1113" w:type="dxa"/>
            <w:vAlign w:val="center"/>
          </w:tcPr>
          <w:p w14:paraId="029503DE" w14:textId="005CB4DC"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-0,8</w:t>
            </w:r>
          </w:p>
        </w:tc>
        <w:tc>
          <w:tcPr>
            <w:tcW w:w="793" w:type="dxa"/>
            <w:shd w:val="clear" w:color="auto" w:fill="D9D9D9"/>
            <w:vAlign w:val="center"/>
          </w:tcPr>
          <w:p w14:paraId="29C21B90" w14:textId="45304B58"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-0,3</w:t>
            </w:r>
          </w:p>
        </w:tc>
        <w:tc>
          <w:tcPr>
            <w:tcW w:w="1070" w:type="dxa"/>
            <w:tcMar>
              <w:left w:w="85" w:type="dxa"/>
              <w:right w:w="28" w:type="dxa"/>
            </w:tcMar>
            <w:vAlign w:val="center"/>
          </w:tcPr>
          <w:p w14:paraId="16A83AD5" w14:textId="400D4133"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+0,3</w:t>
            </w:r>
          </w:p>
        </w:tc>
      </w:tr>
      <w:tr w:rsidR="000A7D86" w:rsidRPr="00502CE8" w14:paraId="2F4A29FE" w14:textId="77777777" w:rsidTr="00E561AF">
        <w:trPr>
          <w:trHeight w:val="255"/>
          <w:jc w:val="center"/>
        </w:trPr>
        <w:tc>
          <w:tcPr>
            <w:tcW w:w="4253" w:type="dxa"/>
            <w:vAlign w:val="center"/>
          </w:tcPr>
          <w:p w14:paraId="6117012E" w14:textId="77777777" w:rsidR="000A7D86" w:rsidRPr="00C8504B" w:rsidRDefault="000A7D86" w:rsidP="000A7D86">
            <w:pPr>
              <w:tabs>
                <w:tab w:val="left" w:pos="290"/>
              </w:tabs>
              <w:spacing w:before="40" w:after="20"/>
              <w:ind w:left="-68"/>
              <w:rPr>
                <w:rFonts w:ascii="Arial Narrow" w:hAnsi="Arial Narrow" w:cs="Arial"/>
                <w:bCs/>
                <w:sz w:val="18"/>
                <w:szCs w:val="18"/>
              </w:rPr>
            </w:pPr>
            <w:r w:rsidRPr="00C8504B">
              <w:rPr>
                <w:rFonts w:ascii="Arial Narrow" w:hAnsi="Arial Narrow" w:cs="Arial"/>
                <w:bCs/>
                <w:sz w:val="18"/>
                <w:szCs w:val="18"/>
              </w:rPr>
              <w:t>Servizi ricreativi, culturali e per la cura della persona</w:t>
            </w:r>
          </w:p>
        </w:tc>
        <w:tc>
          <w:tcPr>
            <w:tcW w:w="1027" w:type="dxa"/>
            <w:shd w:val="clear" w:color="auto" w:fill="D9D9D9"/>
            <w:vAlign w:val="center"/>
          </w:tcPr>
          <w:p w14:paraId="4A952B82"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163.365</w:t>
            </w:r>
          </w:p>
        </w:tc>
        <w:tc>
          <w:tcPr>
            <w:tcW w:w="974" w:type="dxa"/>
            <w:vAlign w:val="center"/>
          </w:tcPr>
          <w:p w14:paraId="57B30659" w14:textId="0E32BBFF"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-1,7</w:t>
            </w:r>
          </w:p>
        </w:tc>
        <w:tc>
          <w:tcPr>
            <w:tcW w:w="976" w:type="dxa"/>
            <w:shd w:val="clear" w:color="auto" w:fill="D9D9D9"/>
            <w:vAlign w:val="center"/>
          </w:tcPr>
          <w:p w14:paraId="0A07624C" w14:textId="2BD3AC54"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-1,3</w:t>
            </w:r>
          </w:p>
        </w:tc>
        <w:tc>
          <w:tcPr>
            <w:tcW w:w="1113" w:type="dxa"/>
            <w:vAlign w:val="center"/>
          </w:tcPr>
          <w:p w14:paraId="5852A88B" w14:textId="3926DEC5"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+3,4</w:t>
            </w:r>
          </w:p>
        </w:tc>
        <w:tc>
          <w:tcPr>
            <w:tcW w:w="793" w:type="dxa"/>
            <w:shd w:val="clear" w:color="auto" w:fill="D9D9D9"/>
            <w:vAlign w:val="center"/>
          </w:tcPr>
          <w:p w14:paraId="7618B967" w14:textId="785E28EE"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+3,7</w:t>
            </w:r>
          </w:p>
        </w:tc>
        <w:tc>
          <w:tcPr>
            <w:tcW w:w="1070" w:type="dxa"/>
            <w:tcMar>
              <w:left w:w="85" w:type="dxa"/>
              <w:right w:w="28" w:type="dxa"/>
            </w:tcMar>
            <w:vAlign w:val="center"/>
          </w:tcPr>
          <w:p w14:paraId="2D8DAD9D" w14:textId="13152F0B"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+3,6</w:t>
            </w:r>
          </w:p>
        </w:tc>
      </w:tr>
      <w:tr w:rsidR="000A7D86" w:rsidRPr="00502CE8" w14:paraId="5E7FDD28" w14:textId="77777777" w:rsidTr="00E561AF">
        <w:trPr>
          <w:trHeight w:val="255"/>
          <w:jc w:val="center"/>
        </w:trPr>
        <w:tc>
          <w:tcPr>
            <w:tcW w:w="4253" w:type="dxa"/>
            <w:vAlign w:val="center"/>
          </w:tcPr>
          <w:p w14:paraId="4B39B377" w14:textId="77777777" w:rsidR="000A7D86" w:rsidRPr="00C8504B" w:rsidRDefault="000A7D86" w:rsidP="000A7D86">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ai trasporti</w:t>
            </w:r>
          </w:p>
        </w:tc>
        <w:tc>
          <w:tcPr>
            <w:tcW w:w="1027" w:type="dxa"/>
            <w:shd w:val="clear" w:color="auto" w:fill="D9D9D9"/>
            <w:vAlign w:val="center"/>
          </w:tcPr>
          <w:p w14:paraId="7FA6ACED"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76.105</w:t>
            </w:r>
          </w:p>
        </w:tc>
        <w:tc>
          <w:tcPr>
            <w:tcW w:w="974" w:type="dxa"/>
            <w:vAlign w:val="center"/>
          </w:tcPr>
          <w:p w14:paraId="3844F1FD" w14:textId="3FB81CF3"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-1,4</w:t>
            </w:r>
          </w:p>
        </w:tc>
        <w:tc>
          <w:tcPr>
            <w:tcW w:w="976" w:type="dxa"/>
            <w:shd w:val="clear" w:color="auto" w:fill="D9D9D9"/>
            <w:vAlign w:val="center"/>
          </w:tcPr>
          <w:p w14:paraId="48045458" w14:textId="24969D15"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-0,2</w:t>
            </w:r>
          </w:p>
        </w:tc>
        <w:tc>
          <w:tcPr>
            <w:tcW w:w="1113" w:type="dxa"/>
            <w:vAlign w:val="center"/>
          </w:tcPr>
          <w:p w14:paraId="6924A136" w14:textId="59B451A9"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+0,9</w:t>
            </w:r>
          </w:p>
        </w:tc>
        <w:tc>
          <w:tcPr>
            <w:tcW w:w="793" w:type="dxa"/>
            <w:shd w:val="clear" w:color="auto" w:fill="D9D9D9"/>
            <w:vAlign w:val="center"/>
          </w:tcPr>
          <w:p w14:paraId="3D498E60" w14:textId="20E5D741"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+2,1</w:t>
            </w:r>
          </w:p>
        </w:tc>
        <w:tc>
          <w:tcPr>
            <w:tcW w:w="1070" w:type="dxa"/>
            <w:tcMar>
              <w:left w:w="85" w:type="dxa"/>
              <w:right w:w="28" w:type="dxa"/>
            </w:tcMar>
            <w:vAlign w:val="center"/>
          </w:tcPr>
          <w:p w14:paraId="49E7D915" w14:textId="3713BEA9"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+2,3</w:t>
            </w:r>
          </w:p>
        </w:tc>
      </w:tr>
      <w:tr w:rsidR="000A7D86" w:rsidRPr="00502CE8" w14:paraId="2784C471" w14:textId="77777777" w:rsidTr="00E561AF">
        <w:trPr>
          <w:trHeight w:val="255"/>
          <w:jc w:val="center"/>
        </w:trPr>
        <w:tc>
          <w:tcPr>
            <w:tcW w:w="4253" w:type="dxa"/>
            <w:vAlign w:val="center"/>
          </w:tcPr>
          <w:p w14:paraId="6A544243" w14:textId="77777777" w:rsidR="000A7D86" w:rsidRPr="00C8504B" w:rsidRDefault="000A7D86" w:rsidP="000A7D86">
            <w:pPr>
              <w:spacing w:before="40" w:after="20"/>
              <w:ind w:left="-68"/>
              <w:rPr>
                <w:rFonts w:ascii="Arial Narrow" w:hAnsi="Arial Narrow" w:cs="Arial"/>
                <w:bCs/>
                <w:sz w:val="18"/>
                <w:szCs w:val="18"/>
              </w:rPr>
            </w:pPr>
            <w:r w:rsidRPr="00C8504B">
              <w:rPr>
                <w:rFonts w:ascii="Arial Narrow" w:hAnsi="Arial Narrow" w:cs="Arial"/>
                <w:bCs/>
                <w:sz w:val="18"/>
                <w:szCs w:val="18"/>
              </w:rPr>
              <w:t>Servizi vari</w:t>
            </w:r>
          </w:p>
        </w:tc>
        <w:tc>
          <w:tcPr>
            <w:tcW w:w="1027" w:type="dxa"/>
            <w:shd w:val="clear" w:color="auto" w:fill="D9D9D9"/>
            <w:vAlign w:val="center"/>
          </w:tcPr>
          <w:p w14:paraId="3D7EF269"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82.563</w:t>
            </w:r>
          </w:p>
        </w:tc>
        <w:tc>
          <w:tcPr>
            <w:tcW w:w="974" w:type="dxa"/>
            <w:vAlign w:val="center"/>
          </w:tcPr>
          <w:p w14:paraId="4A267977" w14:textId="37FAC45D"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+0,2</w:t>
            </w:r>
          </w:p>
        </w:tc>
        <w:tc>
          <w:tcPr>
            <w:tcW w:w="976" w:type="dxa"/>
            <w:shd w:val="clear" w:color="auto" w:fill="D9D9D9"/>
            <w:vAlign w:val="center"/>
          </w:tcPr>
          <w:p w14:paraId="410EA378" w14:textId="4002F829"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+0,1</w:t>
            </w:r>
          </w:p>
        </w:tc>
        <w:tc>
          <w:tcPr>
            <w:tcW w:w="1113" w:type="dxa"/>
            <w:vAlign w:val="center"/>
          </w:tcPr>
          <w:p w14:paraId="69A2193E" w14:textId="3CEE0A74"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+2,4</w:t>
            </w:r>
          </w:p>
        </w:tc>
        <w:tc>
          <w:tcPr>
            <w:tcW w:w="793" w:type="dxa"/>
            <w:shd w:val="clear" w:color="auto" w:fill="D9D9D9"/>
            <w:vAlign w:val="center"/>
          </w:tcPr>
          <w:p w14:paraId="0AAF59E3" w14:textId="7C54768F"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+2,3</w:t>
            </w:r>
          </w:p>
        </w:tc>
        <w:tc>
          <w:tcPr>
            <w:tcW w:w="1070" w:type="dxa"/>
            <w:tcMar>
              <w:left w:w="85" w:type="dxa"/>
              <w:right w:w="28" w:type="dxa"/>
            </w:tcMar>
            <w:vAlign w:val="center"/>
          </w:tcPr>
          <w:p w14:paraId="0417FE55" w14:textId="15D8CB9C"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+2,2</w:t>
            </w:r>
          </w:p>
        </w:tc>
      </w:tr>
      <w:tr w:rsidR="000A7D86" w:rsidRPr="00502CE8" w14:paraId="1139FDA7" w14:textId="77777777" w:rsidTr="00E561AF">
        <w:trPr>
          <w:trHeight w:val="255"/>
          <w:jc w:val="center"/>
        </w:trPr>
        <w:tc>
          <w:tcPr>
            <w:tcW w:w="4253" w:type="dxa"/>
            <w:shd w:val="clear" w:color="auto" w:fill="808080"/>
            <w:vAlign w:val="center"/>
          </w:tcPr>
          <w:p w14:paraId="2B70FA6B" w14:textId="77777777" w:rsidR="000A7D86" w:rsidRPr="00C8504B" w:rsidRDefault="000A7D86" w:rsidP="000A7D86">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1027" w:type="dxa"/>
            <w:shd w:val="clear" w:color="auto" w:fill="808080"/>
            <w:vAlign w:val="center"/>
          </w:tcPr>
          <w:p w14:paraId="2843ACC5" w14:textId="77777777" w:rsidR="000A7D86" w:rsidRPr="000753E8" w:rsidRDefault="000A7D86" w:rsidP="000A7D86">
            <w:pPr>
              <w:spacing w:before="40" w:after="20"/>
              <w:ind w:left="-68" w:right="57"/>
              <w:jc w:val="right"/>
              <w:rPr>
                <w:rFonts w:ascii="Arial Narrow" w:hAnsi="Arial Narrow" w:cs="Arial"/>
                <w:b/>
                <w:color w:val="FFFFFF" w:themeColor="background1"/>
                <w:sz w:val="18"/>
                <w:szCs w:val="18"/>
              </w:rPr>
            </w:pPr>
            <w:r w:rsidRPr="000753E8">
              <w:rPr>
                <w:rFonts w:ascii="Arial Narrow" w:hAnsi="Arial Narrow" w:cs="Arial"/>
                <w:b/>
                <w:color w:val="FFFFFF" w:themeColor="background1"/>
                <w:sz w:val="18"/>
                <w:szCs w:val="18"/>
              </w:rPr>
              <w:t>408.795</w:t>
            </w:r>
          </w:p>
        </w:tc>
        <w:tc>
          <w:tcPr>
            <w:tcW w:w="974" w:type="dxa"/>
            <w:shd w:val="clear" w:color="auto" w:fill="808080"/>
            <w:vAlign w:val="center"/>
          </w:tcPr>
          <w:p w14:paraId="4747C97F" w14:textId="7BA3D154"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-0,8</w:t>
            </w:r>
          </w:p>
        </w:tc>
        <w:tc>
          <w:tcPr>
            <w:tcW w:w="976" w:type="dxa"/>
            <w:shd w:val="clear" w:color="auto" w:fill="808080"/>
            <w:vAlign w:val="center"/>
          </w:tcPr>
          <w:p w14:paraId="2809F55D" w14:textId="31CF7099"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-0,5</w:t>
            </w:r>
          </w:p>
        </w:tc>
        <w:tc>
          <w:tcPr>
            <w:tcW w:w="1113" w:type="dxa"/>
            <w:shd w:val="clear" w:color="auto" w:fill="808080"/>
            <w:vAlign w:val="center"/>
          </w:tcPr>
          <w:p w14:paraId="2116BDAA" w14:textId="15527D25"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+2,6</w:t>
            </w:r>
          </w:p>
        </w:tc>
        <w:tc>
          <w:tcPr>
            <w:tcW w:w="793" w:type="dxa"/>
            <w:shd w:val="clear" w:color="auto" w:fill="808080"/>
            <w:vAlign w:val="center"/>
          </w:tcPr>
          <w:p w14:paraId="0076E42D" w14:textId="10814C79"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+2,9</w:t>
            </w:r>
          </w:p>
        </w:tc>
        <w:tc>
          <w:tcPr>
            <w:tcW w:w="1070" w:type="dxa"/>
            <w:shd w:val="clear" w:color="auto" w:fill="808080"/>
            <w:tcMar>
              <w:left w:w="85" w:type="dxa"/>
              <w:right w:w="28" w:type="dxa"/>
            </w:tcMar>
            <w:vAlign w:val="center"/>
          </w:tcPr>
          <w:p w14:paraId="6C1C3569" w14:textId="283BF93D"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+2,9</w:t>
            </w:r>
          </w:p>
        </w:tc>
      </w:tr>
      <w:tr w:rsidR="000A7D86" w:rsidRPr="00502CE8" w14:paraId="60287BAB" w14:textId="77777777" w:rsidTr="00E561AF">
        <w:trPr>
          <w:trHeight w:val="255"/>
          <w:jc w:val="center"/>
        </w:trPr>
        <w:tc>
          <w:tcPr>
            <w:tcW w:w="4253" w:type="dxa"/>
            <w:shd w:val="clear" w:color="auto" w:fill="E42618"/>
            <w:vAlign w:val="center"/>
          </w:tcPr>
          <w:p w14:paraId="78C49C19" w14:textId="77777777" w:rsidR="000A7D86" w:rsidRPr="00C8504B" w:rsidRDefault="000A7D86" w:rsidP="000A7D86">
            <w:pPr>
              <w:spacing w:before="0" w:after="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027" w:type="dxa"/>
            <w:shd w:val="clear" w:color="auto" w:fill="E42618"/>
            <w:vAlign w:val="center"/>
          </w:tcPr>
          <w:p w14:paraId="29A56046" w14:textId="77777777" w:rsidR="000A7D86" w:rsidRPr="000753E8" w:rsidRDefault="000A7D86" w:rsidP="000A7D86">
            <w:pPr>
              <w:spacing w:before="40" w:after="20"/>
              <w:ind w:left="-68" w:right="57"/>
              <w:jc w:val="right"/>
              <w:rPr>
                <w:rFonts w:ascii="Arial Narrow" w:hAnsi="Arial Narrow" w:cs="Arial"/>
                <w:b/>
                <w:color w:val="FFFFFF" w:themeColor="background1"/>
                <w:sz w:val="18"/>
                <w:szCs w:val="18"/>
              </w:rPr>
            </w:pPr>
            <w:r w:rsidRPr="000753E8">
              <w:rPr>
                <w:rFonts w:ascii="Arial Narrow" w:hAnsi="Arial Narrow" w:cs="Arial"/>
                <w:b/>
                <w:color w:val="FFFFFF" w:themeColor="background1"/>
                <w:sz w:val="18"/>
                <w:szCs w:val="18"/>
              </w:rPr>
              <w:t>1.000.000</w:t>
            </w:r>
          </w:p>
        </w:tc>
        <w:tc>
          <w:tcPr>
            <w:tcW w:w="974" w:type="dxa"/>
            <w:shd w:val="clear" w:color="auto" w:fill="E42618"/>
            <w:vAlign w:val="center"/>
          </w:tcPr>
          <w:p w14:paraId="486B1434" w14:textId="5808F6EF"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-0,2</w:t>
            </w:r>
          </w:p>
        </w:tc>
        <w:tc>
          <w:tcPr>
            <w:tcW w:w="976" w:type="dxa"/>
            <w:shd w:val="clear" w:color="auto" w:fill="E42618"/>
            <w:vAlign w:val="center"/>
          </w:tcPr>
          <w:p w14:paraId="4EF2E043" w14:textId="7C6F2B26"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-0,1</w:t>
            </w:r>
          </w:p>
        </w:tc>
        <w:tc>
          <w:tcPr>
            <w:tcW w:w="1113" w:type="dxa"/>
            <w:shd w:val="clear" w:color="auto" w:fill="E42618"/>
            <w:vAlign w:val="center"/>
          </w:tcPr>
          <w:p w14:paraId="56924E38" w14:textId="12F803B8"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+1,1</w:t>
            </w:r>
          </w:p>
        </w:tc>
        <w:tc>
          <w:tcPr>
            <w:tcW w:w="793" w:type="dxa"/>
            <w:shd w:val="clear" w:color="auto" w:fill="E42618"/>
            <w:vAlign w:val="center"/>
          </w:tcPr>
          <w:p w14:paraId="45CF990E" w14:textId="2D7A96B3"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+1,3</w:t>
            </w:r>
          </w:p>
        </w:tc>
        <w:tc>
          <w:tcPr>
            <w:tcW w:w="1070" w:type="dxa"/>
            <w:shd w:val="clear" w:color="auto" w:fill="E42618"/>
            <w:tcMar>
              <w:left w:w="85" w:type="dxa"/>
              <w:right w:w="28" w:type="dxa"/>
            </w:tcMar>
            <w:vAlign w:val="center"/>
          </w:tcPr>
          <w:p w14:paraId="482F7857" w14:textId="7723F19C" w:rsidR="000A7D86" w:rsidRPr="000A7D86" w:rsidRDefault="000A7D86" w:rsidP="00E561AF">
            <w:pPr>
              <w:spacing w:before="40" w:after="20"/>
              <w:ind w:left="-68" w:right="57"/>
              <w:jc w:val="right"/>
              <w:rPr>
                <w:rFonts w:ascii="Arial Narrow" w:hAnsi="Arial Narrow" w:cs="Arial"/>
                <w:b/>
                <w:bCs/>
                <w:color w:val="FFFFFF" w:themeColor="background1"/>
                <w:sz w:val="18"/>
                <w:szCs w:val="18"/>
              </w:rPr>
            </w:pPr>
            <w:r w:rsidRPr="000A7D86">
              <w:rPr>
                <w:rFonts w:ascii="Arial Narrow" w:hAnsi="Arial Narrow" w:cs="Arial"/>
                <w:b/>
                <w:bCs/>
                <w:color w:val="FFFFFF" w:themeColor="background1"/>
                <w:sz w:val="18"/>
                <w:szCs w:val="18"/>
              </w:rPr>
              <w:t>+1,6</w:t>
            </w:r>
          </w:p>
        </w:tc>
      </w:tr>
      <w:tr w:rsidR="000A7D86" w:rsidRPr="00502CE8" w14:paraId="17F9E8EC" w14:textId="77777777" w:rsidTr="00E561AF">
        <w:trPr>
          <w:trHeight w:val="255"/>
          <w:jc w:val="center"/>
        </w:trPr>
        <w:tc>
          <w:tcPr>
            <w:tcW w:w="4253" w:type="dxa"/>
            <w:vAlign w:val="center"/>
          </w:tcPr>
          <w:p w14:paraId="0C1D35B4" w14:textId="77777777" w:rsidR="000A7D86" w:rsidRPr="00C8504B" w:rsidRDefault="000A7D86" w:rsidP="000A7D86">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e degli alimentari freschi (Componente di fondo)</w:t>
            </w:r>
          </w:p>
        </w:tc>
        <w:tc>
          <w:tcPr>
            <w:tcW w:w="1027" w:type="dxa"/>
            <w:shd w:val="clear" w:color="auto" w:fill="D9D9D9"/>
            <w:vAlign w:val="center"/>
          </w:tcPr>
          <w:p w14:paraId="57A1E10D"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824.567</w:t>
            </w:r>
          </w:p>
        </w:tc>
        <w:tc>
          <w:tcPr>
            <w:tcW w:w="974" w:type="dxa"/>
            <w:vAlign w:val="center"/>
          </w:tcPr>
          <w:p w14:paraId="7843A56F" w14:textId="3E5AB843"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-0,5</w:t>
            </w:r>
          </w:p>
        </w:tc>
        <w:tc>
          <w:tcPr>
            <w:tcW w:w="976" w:type="dxa"/>
            <w:shd w:val="clear" w:color="auto" w:fill="D9D9D9"/>
            <w:vAlign w:val="center"/>
          </w:tcPr>
          <w:p w14:paraId="562E7AE0" w14:textId="0D5DB8C2"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-0,2</w:t>
            </w:r>
          </w:p>
        </w:tc>
        <w:tc>
          <w:tcPr>
            <w:tcW w:w="1113" w:type="dxa"/>
            <w:vAlign w:val="center"/>
          </w:tcPr>
          <w:p w14:paraId="502CBE6A" w14:textId="2753A56C"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+1,8</w:t>
            </w:r>
          </w:p>
        </w:tc>
        <w:tc>
          <w:tcPr>
            <w:tcW w:w="793" w:type="dxa"/>
            <w:shd w:val="clear" w:color="auto" w:fill="D9D9D9"/>
            <w:vAlign w:val="center"/>
          </w:tcPr>
          <w:p w14:paraId="5F91B695" w14:textId="7DA3BCC6"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+2,1</w:t>
            </w:r>
          </w:p>
        </w:tc>
        <w:tc>
          <w:tcPr>
            <w:tcW w:w="1070" w:type="dxa"/>
            <w:tcMar>
              <w:left w:w="85" w:type="dxa"/>
              <w:right w:w="28" w:type="dxa"/>
            </w:tcMar>
            <w:vAlign w:val="center"/>
          </w:tcPr>
          <w:p w14:paraId="7416564E" w14:textId="18F0F37C"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+2,0</w:t>
            </w:r>
          </w:p>
        </w:tc>
      </w:tr>
      <w:tr w:rsidR="000A7D86" w:rsidRPr="00502CE8" w14:paraId="6440E673" w14:textId="77777777" w:rsidTr="00E561AF">
        <w:trPr>
          <w:trHeight w:val="255"/>
          <w:jc w:val="center"/>
        </w:trPr>
        <w:tc>
          <w:tcPr>
            <w:tcW w:w="4253" w:type="dxa"/>
            <w:vAlign w:val="center"/>
          </w:tcPr>
          <w:p w14:paraId="69695F80" w14:textId="77777777" w:rsidR="000A7D86" w:rsidRPr="00C8504B" w:rsidRDefault="000A7D86" w:rsidP="000A7D86">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degli alimentari (incluse bevande alcoliche) e tabacchi</w:t>
            </w:r>
          </w:p>
        </w:tc>
        <w:tc>
          <w:tcPr>
            <w:tcW w:w="1027" w:type="dxa"/>
            <w:shd w:val="clear" w:color="auto" w:fill="D9D9D9"/>
            <w:vAlign w:val="center"/>
          </w:tcPr>
          <w:p w14:paraId="0A81B36E"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673.934</w:t>
            </w:r>
          </w:p>
        </w:tc>
        <w:tc>
          <w:tcPr>
            <w:tcW w:w="974" w:type="dxa"/>
            <w:vAlign w:val="center"/>
          </w:tcPr>
          <w:p w14:paraId="2CCD3517" w14:textId="629558E4"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-0,5</w:t>
            </w:r>
          </w:p>
        </w:tc>
        <w:tc>
          <w:tcPr>
            <w:tcW w:w="976" w:type="dxa"/>
            <w:shd w:val="clear" w:color="auto" w:fill="D9D9D9"/>
            <w:vAlign w:val="center"/>
          </w:tcPr>
          <w:p w14:paraId="577A7AB0" w14:textId="47353BFB"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-0,3</w:t>
            </w:r>
          </w:p>
        </w:tc>
        <w:tc>
          <w:tcPr>
            <w:tcW w:w="1113" w:type="dxa"/>
            <w:vAlign w:val="center"/>
          </w:tcPr>
          <w:p w14:paraId="10C188C8" w14:textId="373025C8"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+1,7</w:t>
            </w:r>
          </w:p>
        </w:tc>
        <w:tc>
          <w:tcPr>
            <w:tcW w:w="793" w:type="dxa"/>
            <w:shd w:val="clear" w:color="auto" w:fill="D9D9D9"/>
            <w:vAlign w:val="center"/>
          </w:tcPr>
          <w:p w14:paraId="6BA92823" w14:textId="4C381C01"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+1,9</w:t>
            </w:r>
          </w:p>
        </w:tc>
        <w:tc>
          <w:tcPr>
            <w:tcW w:w="1070" w:type="dxa"/>
            <w:tcMar>
              <w:left w:w="85" w:type="dxa"/>
              <w:right w:w="28" w:type="dxa"/>
            </w:tcMar>
            <w:vAlign w:val="center"/>
          </w:tcPr>
          <w:p w14:paraId="5375AB7E" w14:textId="04C4215C"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+1,9</w:t>
            </w:r>
          </w:p>
        </w:tc>
      </w:tr>
      <w:tr w:rsidR="000A7D86" w:rsidRPr="00502CE8" w14:paraId="43A60584" w14:textId="77777777" w:rsidTr="00E561AF">
        <w:trPr>
          <w:trHeight w:val="255"/>
          <w:jc w:val="center"/>
        </w:trPr>
        <w:tc>
          <w:tcPr>
            <w:tcW w:w="4253" w:type="dxa"/>
            <w:vAlign w:val="center"/>
          </w:tcPr>
          <w:p w14:paraId="28D5B646" w14:textId="77777777" w:rsidR="000A7D86" w:rsidRPr="00C8504B" w:rsidRDefault="000A7D86" w:rsidP="000A7D86">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w:t>
            </w:r>
          </w:p>
        </w:tc>
        <w:tc>
          <w:tcPr>
            <w:tcW w:w="1027" w:type="dxa"/>
            <w:shd w:val="clear" w:color="auto" w:fill="D9D9D9"/>
            <w:vAlign w:val="center"/>
          </w:tcPr>
          <w:p w14:paraId="29BE75DF" w14:textId="77777777" w:rsidR="000A7D86" w:rsidRPr="000753E8" w:rsidRDefault="000A7D86" w:rsidP="000A7D86">
            <w:pPr>
              <w:spacing w:before="40" w:after="20"/>
              <w:ind w:left="-68" w:right="57"/>
              <w:jc w:val="right"/>
              <w:rPr>
                <w:rFonts w:ascii="Arial Narrow" w:hAnsi="Arial Narrow" w:cs="Arial"/>
                <w:sz w:val="18"/>
                <w:szCs w:val="18"/>
              </w:rPr>
            </w:pPr>
            <w:r w:rsidRPr="000753E8">
              <w:rPr>
                <w:rFonts w:ascii="Arial Narrow" w:hAnsi="Arial Narrow" w:cs="Arial"/>
                <w:sz w:val="18"/>
                <w:szCs w:val="18"/>
              </w:rPr>
              <w:t>887.270</w:t>
            </w:r>
          </w:p>
        </w:tc>
        <w:tc>
          <w:tcPr>
            <w:tcW w:w="974" w:type="dxa"/>
            <w:vAlign w:val="center"/>
          </w:tcPr>
          <w:p w14:paraId="0ABCA8B5" w14:textId="0D406AD5"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-0,4</w:t>
            </w:r>
          </w:p>
        </w:tc>
        <w:tc>
          <w:tcPr>
            <w:tcW w:w="976" w:type="dxa"/>
            <w:shd w:val="clear" w:color="auto" w:fill="D9D9D9"/>
            <w:vAlign w:val="center"/>
          </w:tcPr>
          <w:p w14:paraId="02A0E02E" w14:textId="24F44B82"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-0,2</w:t>
            </w:r>
          </w:p>
        </w:tc>
        <w:tc>
          <w:tcPr>
            <w:tcW w:w="1113" w:type="dxa"/>
            <w:vAlign w:val="center"/>
          </w:tcPr>
          <w:p w14:paraId="70C4EF91" w14:textId="15D6AAA5"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+1,8</w:t>
            </w:r>
          </w:p>
        </w:tc>
        <w:tc>
          <w:tcPr>
            <w:tcW w:w="793" w:type="dxa"/>
            <w:shd w:val="clear" w:color="auto" w:fill="D9D9D9"/>
            <w:vAlign w:val="center"/>
          </w:tcPr>
          <w:p w14:paraId="4E2789FC" w14:textId="7EA01A24"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+2,1</w:t>
            </w:r>
          </w:p>
        </w:tc>
        <w:tc>
          <w:tcPr>
            <w:tcW w:w="1070" w:type="dxa"/>
            <w:tcMar>
              <w:left w:w="85" w:type="dxa"/>
              <w:right w:w="28" w:type="dxa"/>
            </w:tcMar>
            <w:vAlign w:val="center"/>
          </w:tcPr>
          <w:p w14:paraId="5DE56023" w14:textId="2FF2BF2E" w:rsidR="000A7D86" w:rsidRPr="000A7D86" w:rsidRDefault="000A7D86" w:rsidP="00E561AF">
            <w:pPr>
              <w:spacing w:before="40" w:after="20"/>
              <w:ind w:left="-68" w:right="57"/>
              <w:jc w:val="right"/>
              <w:rPr>
                <w:rFonts w:ascii="Arial Narrow" w:hAnsi="Arial Narrow" w:cs="Arial"/>
                <w:sz w:val="18"/>
                <w:szCs w:val="18"/>
              </w:rPr>
            </w:pPr>
            <w:r w:rsidRPr="000A7D86">
              <w:rPr>
                <w:rFonts w:ascii="Arial Narrow" w:hAnsi="Arial Narrow" w:cs="Arial"/>
                <w:sz w:val="18"/>
                <w:szCs w:val="18"/>
              </w:rPr>
              <w:t>+2,1</w:t>
            </w:r>
          </w:p>
        </w:tc>
      </w:tr>
    </w:tbl>
    <w:p w14:paraId="532E7AE2" w14:textId="77777777" w:rsidR="004C5581" w:rsidRPr="007B647A" w:rsidRDefault="004C5581" w:rsidP="004C5581">
      <w:pPr>
        <w:spacing w:before="0" w:after="60"/>
        <w:jc w:val="both"/>
        <w:rPr>
          <w:rFonts w:ascii="Arial" w:hAnsi="Arial" w:cs="Arial"/>
          <w:sz w:val="16"/>
          <w:szCs w:val="16"/>
        </w:rPr>
      </w:pPr>
    </w:p>
    <w:p w14:paraId="392D1974" w14:textId="1B523465" w:rsidR="00901999" w:rsidRPr="00C8504B" w:rsidRDefault="00901999" w:rsidP="006D2ACB">
      <w:pPr>
        <w:widowControl/>
        <w:overflowPunct/>
        <w:autoSpaceDE/>
        <w:autoSpaceDN/>
        <w:adjustRightInd/>
        <w:spacing w:before="0" w:after="60"/>
        <w:jc w:val="both"/>
        <w:rPr>
          <w:rFonts w:ascii="Arial Narrow" w:hAnsi="Arial Narrow" w:cs="Arial"/>
          <w:color w:val="5F5F5F"/>
        </w:rPr>
      </w:pPr>
      <w:r w:rsidRPr="00C8504B">
        <w:rPr>
          <w:rFonts w:ascii="Arial Narrow" w:hAnsi="Arial Narrow" w:cs="Arial"/>
          <w:b/>
          <w:color w:val="E42618"/>
          <w:kern w:val="0"/>
          <w:sz w:val="22"/>
          <w:szCs w:val="22"/>
        </w:rPr>
        <w:t>FIGURA 7</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ITALIA E UNIONE ECONOMICA E MONETARIA</w:t>
      </w:r>
      <w:r w:rsidR="00DA78A0">
        <w:rPr>
          <w:rFonts w:ascii="Arial Narrow" w:hAnsi="Arial Narrow" w:cs="Calibri"/>
          <w:b/>
          <w:bCs/>
          <w:color w:val="5F5F5F"/>
          <w:kern w:val="0"/>
          <w:sz w:val="22"/>
          <w:szCs w:val="22"/>
          <w:vertAlign w:val="superscript"/>
        </w:rPr>
        <w:t>1</w:t>
      </w:r>
      <w:r w:rsidRPr="00C8504B">
        <w:rPr>
          <w:rFonts w:ascii="Arial Narrow" w:hAnsi="Arial Narrow"/>
          <w:color w:val="5F5F5F"/>
        </w:rPr>
        <w:br/>
      </w:r>
      <w:r w:rsidR="00587943">
        <w:rPr>
          <w:rFonts w:ascii="Arial Narrow" w:hAnsi="Arial Narrow" w:cs="Arial"/>
          <w:color w:val="5F5F5F"/>
        </w:rPr>
        <w:t>Gennaio</w:t>
      </w:r>
      <w:r w:rsidR="00C44EFD">
        <w:rPr>
          <w:rFonts w:ascii="Arial Narrow" w:hAnsi="Arial Narrow" w:cs="Arial"/>
          <w:color w:val="5F5F5F"/>
        </w:rPr>
        <w:t xml:space="preserve"> 2020</w:t>
      </w:r>
      <w:r w:rsidRPr="00C8504B">
        <w:rPr>
          <w:rFonts w:ascii="Arial Narrow" w:hAnsi="Arial Narrow" w:cs="Arial"/>
          <w:color w:val="5F5F5F"/>
        </w:rPr>
        <w:t xml:space="preserve"> </w:t>
      </w:r>
      <w:r w:rsidR="008E006C">
        <w:rPr>
          <w:rFonts w:ascii="Arial Narrow" w:hAnsi="Arial Narrow" w:cs="Arial"/>
          <w:color w:val="5F5F5F"/>
        </w:rPr>
        <w:t>–</w:t>
      </w:r>
      <w:r w:rsidRPr="00C8504B">
        <w:rPr>
          <w:rFonts w:ascii="Arial Narrow" w:hAnsi="Arial Narrow" w:cs="Arial"/>
          <w:color w:val="5F5F5F"/>
        </w:rPr>
        <w:t xml:space="preserve"> </w:t>
      </w:r>
      <w:r w:rsidR="005E64FE">
        <w:rPr>
          <w:rFonts w:ascii="Arial Narrow" w:hAnsi="Arial Narrow" w:cs="Arial"/>
          <w:color w:val="5F5F5F"/>
        </w:rPr>
        <w:t>novembre</w:t>
      </w:r>
      <w:r w:rsidR="004D18F6">
        <w:rPr>
          <w:rFonts w:ascii="Arial Narrow" w:hAnsi="Arial Narrow" w:cs="Arial"/>
          <w:color w:val="5F5F5F"/>
        </w:rPr>
        <w:t xml:space="preserve"> 202</w:t>
      </w:r>
      <w:r w:rsidR="00C44EFD">
        <w:rPr>
          <w:rFonts w:ascii="Arial Narrow" w:hAnsi="Arial Narrow" w:cs="Arial"/>
          <w:color w:val="5F5F5F"/>
        </w:rPr>
        <w:t>5</w:t>
      </w:r>
      <w:r w:rsidRPr="00C8504B">
        <w:rPr>
          <w:rFonts w:ascii="Arial Narrow" w:hAnsi="Arial Narrow" w:cs="Arial"/>
          <w:color w:val="5F5F5F"/>
        </w:rPr>
        <w:t>, variazioni percentuali tendenziali (base 2015=100)</w:t>
      </w:r>
    </w:p>
    <w:p w14:paraId="12363975" w14:textId="0E9341EC" w:rsidR="00427417" w:rsidRPr="009E6CD1" w:rsidRDefault="00016421" w:rsidP="00606B17">
      <w:pPr>
        <w:pStyle w:val="Corpotesto"/>
        <w:spacing w:line="240" w:lineRule="auto"/>
        <w:jc w:val="both"/>
        <w:rPr>
          <w:noProof/>
          <w:sz w:val="8"/>
          <w:szCs w:val="8"/>
        </w:rPr>
      </w:pPr>
      <w:r>
        <w:rPr>
          <w:noProof/>
          <w:sz w:val="8"/>
          <w:szCs w:val="8"/>
        </w:rPr>
        <w:drawing>
          <wp:inline distT="0" distB="0" distL="0" distR="0" wp14:anchorId="5DCB4C80" wp14:editId="0CE0290B">
            <wp:extent cx="6657340" cy="2158365"/>
            <wp:effectExtent l="0" t="0" r="0" b="0"/>
            <wp:docPr id="31944727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7340" cy="2158365"/>
                    </a:xfrm>
                    <a:prstGeom prst="rect">
                      <a:avLst/>
                    </a:prstGeom>
                    <a:noFill/>
                  </pic:spPr>
                </pic:pic>
              </a:graphicData>
            </a:graphic>
          </wp:inline>
        </w:drawing>
      </w:r>
    </w:p>
    <w:p w14:paraId="4546E777" w14:textId="36CE34F3" w:rsidR="00E5334A" w:rsidRPr="009E6CD1" w:rsidRDefault="00DA78A0" w:rsidP="00E5334A">
      <w:pPr>
        <w:pStyle w:val="Corpotesto"/>
        <w:spacing w:line="240" w:lineRule="auto"/>
        <w:jc w:val="both"/>
        <w:rPr>
          <w:rFonts w:ascii="Arial" w:hAnsi="Arial" w:cs="Arial"/>
          <w:sz w:val="8"/>
          <w:szCs w:val="8"/>
        </w:rPr>
      </w:pPr>
      <w:r>
        <w:rPr>
          <w:rFonts w:ascii="Arial" w:hAnsi="Arial" w:cs="Arial"/>
          <w:sz w:val="16"/>
          <w:vertAlign w:val="superscript"/>
        </w:rPr>
        <w:t xml:space="preserve">(1) </w:t>
      </w:r>
      <w:r w:rsidR="00E5334A">
        <w:rPr>
          <w:rFonts w:ascii="Arial" w:hAnsi="Arial" w:cs="Arial"/>
          <w:sz w:val="16"/>
        </w:rPr>
        <w:t>L’indice IPCA per l’Unione Economica e Monetaria (</w:t>
      </w:r>
      <w:proofErr w:type="spellStart"/>
      <w:r w:rsidR="00E5334A">
        <w:rPr>
          <w:rFonts w:ascii="Arial" w:hAnsi="Arial" w:cs="Arial"/>
          <w:sz w:val="16"/>
        </w:rPr>
        <w:t>Uem</w:t>
      </w:r>
      <w:proofErr w:type="spellEnd"/>
      <w:r w:rsidR="00E5334A">
        <w:rPr>
          <w:rFonts w:ascii="Arial" w:hAnsi="Arial" w:cs="Arial"/>
          <w:sz w:val="16"/>
        </w:rPr>
        <w:t xml:space="preserve">) </w:t>
      </w:r>
      <w:r w:rsidR="00E5334A" w:rsidRPr="003B4962">
        <w:rPr>
          <w:rFonts w:ascii="Arial" w:hAnsi="Arial" w:cs="Arial"/>
          <w:sz w:val="16"/>
        </w:rPr>
        <w:t xml:space="preserve">di </w:t>
      </w:r>
      <w:r w:rsidR="004B0161">
        <w:rPr>
          <w:rFonts w:ascii="Arial" w:hAnsi="Arial" w:cs="Arial"/>
          <w:sz w:val="16"/>
        </w:rPr>
        <w:t>novembre</w:t>
      </w:r>
      <w:r w:rsidR="004322FA">
        <w:rPr>
          <w:rFonts w:ascii="Arial" w:hAnsi="Arial" w:cs="Arial"/>
          <w:sz w:val="16"/>
        </w:rPr>
        <w:t xml:space="preserve"> 2025</w:t>
      </w:r>
      <w:r w:rsidR="00E5334A" w:rsidRPr="003B4962">
        <w:rPr>
          <w:rFonts w:ascii="Arial" w:hAnsi="Arial" w:cs="Arial"/>
          <w:sz w:val="16"/>
        </w:rPr>
        <w:t xml:space="preserve"> è la stima anticipata diffusa da </w:t>
      </w:r>
      <w:r w:rsidR="00E5334A" w:rsidRPr="003074B3">
        <w:rPr>
          <w:rFonts w:ascii="Arial" w:hAnsi="Arial" w:cs="Arial"/>
          <w:sz w:val="16"/>
        </w:rPr>
        <w:t xml:space="preserve">Eurostat </w:t>
      </w:r>
      <w:r w:rsidR="004B0161">
        <w:rPr>
          <w:rFonts w:ascii="Arial" w:hAnsi="Arial" w:cs="Arial"/>
          <w:sz w:val="16"/>
        </w:rPr>
        <w:t>martedì</w:t>
      </w:r>
      <w:r w:rsidR="00A7387C">
        <w:rPr>
          <w:rFonts w:ascii="Arial" w:hAnsi="Arial" w:cs="Arial"/>
          <w:sz w:val="16"/>
        </w:rPr>
        <w:t xml:space="preserve"> </w:t>
      </w:r>
      <w:r w:rsidR="004B0161">
        <w:rPr>
          <w:rFonts w:ascii="Arial" w:hAnsi="Arial" w:cs="Arial"/>
          <w:sz w:val="16"/>
        </w:rPr>
        <w:t>2</w:t>
      </w:r>
      <w:r w:rsidR="009F059B">
        <w:rPr>
          <w:rFonts w:ascii="Arial" w:hAnsi="Arial" w:cs="Arial"/>
          <w:sz w:val="16"/>
        </w:rPr>
        <w:t xml:space="preserve"> </w:t>
      </w:r>
      <w:r w:rsidR="004B0161">
        <w:rPr>
          <w:rFonts w:ascii="Arial" w:hAnsi="Arial" w:cs="Arial"/>
          <w:sz w:val="16"/>
        </w:rPr>
        <w:t>dicembre</w:t>
      </w:r>
      <w:r w:rsidR="0009240D">
        <w:rPr>
          <w:rFonts w:ascii="Arial" w:hAnsi="Arial" w:cs="Arial"/>
          <w:sz w:val="16"/>
        </w:rPr>
        <w:t xml:space="preserve"> 202</w:t>
      </w:r>
      <w:r w:rsidR="004322FA">
        <w:rPr>
          <w:rFonts w:ascii="Arial" w:hAnsi="Arial" w:cs="Arial"/>
          <w:sz w:val="16"/>
        </w:rPr>
        <w:t>5</w:t>
      </w:r>
      <w:r w:rsidR="00E5334A" w:rsidRPr="003074B3">
        <w:rPr>
          <w:rFonts w:ascii="Arial" w:hAnsi="Arial" w:cs="Arial"/>
          <w:sz w:val="16"/>
        </w:rPr>
        <w:t>.</w:t>
      </w:r>
    </w:p>
    <w:p w14:paraId="4C2A8F48" w14:textId="77777777" w:rsidR="00E5334A" w:rsidRPr="00C8504B" w:rsidRDefault="00E5334A" w:rsidP="00E5334A">
      <w:pPr>
        <w:pStyle w:val="Corpotesto"/>
        <w:spacing w:before="120" w:after="60" w:line="240" w:lineRule="auto"/>
        <w:jc w:val="both"/>
        <w:rPr>
          <w:rFonts w:ascii="Arial" w:hAnsi="Arial" w:cs="Arial"/>
          <w:iCs/>
          <w:sz w:val="21"/>
          <w:szCs w:val="21"/>
        </w:rPr>
        <w:sectPr w:rsidR="00E5334A" w:rsidRPr="00C8504B" w:rsidSect="000161B7">
          <w:headerReference w:type="default" r:id="rId30"/>
          <w:pgSz w:w="11907" w:h="16840" w:code="9"/>
          <w:pgMar w:top="1537" w:right="851" w:bottom="680" w:left="851" w:header="567" w:footer="567" w:gutter="0"/>
          <w:cols w:space="720"/>
          <w:noEndnote/>
          <w:docGrid w:linePitch="272"/>
        </w:sectPr>
      </w:pPr>
    </w:p>
    <w:p w14:paraId="17C788D6" w14:textId="77777777" w:rsidR="001E018C" w:rsidRPr="006F216E" w:rsidRDefault="001E018C" w:rsidP="001E018C">
      <w:pPr>
        <w:spacing w:before="0" w:after="120"/>
        <w:jc w:val="both"/>
        <w:rPr>
          <w:rFonts w:ascii="Arial" w:hAnsi="Arial" w:cs="Arial"/>
          <w:color w:val="000000"/>
          <w:kern w:val="0"/>
          <w:sz w:val="21"/>
          <w:szCs w:val="21"/>
        </w:rPr>
      </w:pPr>
    </w:p>
    <w:p w14:paraId="5CD93EC0" w14:textId="1A05E549" w:rsidR="005D2A67" w:rsidRPr="00301136" w:rsidRDefault="005D2A67" w:rsidP="00014AF9">
      <w:pPr>
        <w:pStyle w:val="Corpotesto"/>
        <w:spacing w:after="120" w:line="240" w:lineRule="auto"/>
        <w:jc w:val="both"/>
        <w:rPr>
          <w:rFonts w:ascii="Arial" w:hAnsi="Arial" w:cs="Arial"/>
          <w:iCs/>
          <w:sz w:val="21"/>
          <w:szCs w:val="21"/>
        </w:rPr>
      </w:pPr>
      <w:r w:rsidRPr="00C8504B">
        <w:rPr>
          <w:rFonts w:ascii="Arial" w:hAnsi="Arial" w:cs="Arial"/>
          <w:iCs/>
          <w:sz w:val="21"/>
          <w:szCs w:val="21"/>
        </w:rPr>
        <w:t xml:space="preserve">Le stime preliminari e definitive delle variazioni congiunturali e tendenziali degli indici generali NIC e IPCA relative al mese di </w:t>
      </w:r>
      <w:r w:rsidR="001B2787">
        <w:rPr>
          <w:rFonts w:ascii="Arial" w:hAnsi="Arial" w:cs="Arial"/>
          <w:iCs/>
          <w:sz w:val="21"/>
          <w:szCs w:val="21"/>
        </w:rPr>
        <w:t>novembre</w:t>
      </w:r>
      <w:r w:rsidR="0009240D">
        <w:rPr>
          <w:rFonts w:ascii="Arial" w:hAnsi="Arial" w:cs="Arial"/>
          <w:iCs/>
          <w:sz w:val="21"/>
          <w:szCs w:val="21"/>
        </w:rPr>
        <w:t xml:space="preserve"> 202</w:t>
      </w:r>
      <w:r w:rsidR="000753E8">
        <w:rPr>
          <w:rFonts w:ascii="Arial" w:hAnsi="Arial" w:cs="Arial"/>
          <w:iCs/>
          <w:sz w:val="21"/>
          <w:szCs w:val="21"/>
        </w:rPr>
        <w:t>5</w:t>
      </w:r>
      <w:r w:rsidRPr="00C8504B">
        <w:rPr>
          <w:rFonts w:ascii="Arial" w:hAnsi="Arial" w:cs="Arial"/>
          <w:iCs/>
          <w:sz w:val="21"/>
          <w:szCs w:val="21"/>
        </w:rPr>
        <w:t xml:space="preserve"> sono messe a confronto per valutare l’eventuale revisione intercorsa e</w:t>
      </w:r>
      <w:r w:rsidR="00A42B04">
        <w:rPr>
          <w:rFonts w:ascii="Arial" w:hAnsi="Arial" w:cs="Arial"/>
          <w:iCs/>
          <w:sz w:val="21"/>
          <w:szCs w:val="21"/>
        </w:rPr>
        <w:t>,</w:t>
      </w:r>
      <w:r w:rsidRPr="00C8504B">
        <w:rPr>
          <w:rFonts w:ascii="Arial" w:hAnsi="Arial" w:cs="Arial"/>
          <w:iCs/>
          <w:sz w:val="21"/>
          <w:szCs w:val="21"/>
        </w:rPr>
        <w:t xml:space="preserve"> quindi</w:t>
      </w:r>
      <w:r w:rsidR="00A42B04">
        <w:rPr>
          <w:rFonts w:ascii="Arial" w:hAnsi="Arial" w:cs="Arial"/>
          <w:iCs/>
          <w:sz w:val="21"/>
          <w:szCs w:val="21"/>
        </w:rPr>
        <w:t>,</w:t>
      </w:r>
      <w:r w:rsidRPr="00C8504B">
        <w:rPr>
          <w:rFonts w:ascii="Arial" w:hAnsi="Arial" w:cs="Arial"/>
          <w:iCs/>
          <w:sz w:val="21"/>
          <w:szCs w:val="21"/>
        </w:rPr>
        <w:t xml:space="preserve"> l’accuratezza della s</w:t>
      </w:r>
      <w:r w:rsidR="00B0446F" w:rsidRPr="00C8504B">
        <w:rPr>
          <w:rFonts w:ascii="Arial" w:hAnsi="Arial" w:cs="Arial"/>
          <w:iCs/>
          <w:sz w:val="21"/>
          <w:szCs w:val="21"/>
        </w:rPr>
        <w:t xml:space="preserve">tima </w:t>
      </w:r>
      <w:r w:rsidR="00B0446F" w:rsidRPr="00301136">
        <w:rPr>
          <w:rFonts w:ascii="Arial" w:hAnsi="Arial" w:cs="Arial"/>
          <w:iCs/>
          <w:sz w:val="21"/>
          <w:szCs w:val="21"/>
        </w:rPr>
        <w:t xml:space="preserve">preliminare (Prospetto </w:t>
      </w:r>
      <w:r w:rsidR="00064F4D">
        <w:rPr>
          <w:rFonts w:ascii="Arial" w:hAnsi="Arial" w:cs="Arial"/>
          <w:iCs/>
          <w:sz w:val="21"/>
          <w:szCs w:val="21"/>
        </w:rPr>
        <w:t>8</w:t>
      </w:r>
      <w:r w:rsidR="00B0446F" w:rsidRPr="00301136">
        <w:rPr>
          <w:rFonts w:ascii="Arial" w:hAnsi="Arial" w:cs="Arial"/>
          <w:iCs/>
          <w:sz w:val="21"/>
          <w:szCs w:val="21"/>
        </w:rPr>
        <w:t>).</w:t>
      </w:r>
    </w:p>
    <w:p w14:paraId="154930C2" w14:textId="77777777" w:rsidR="005D2A67" w:rsidRPr="00DA78A0" w:rsidRDefault="005D2A67" w:rsidP="00014AF9">
      <w:pPr>
        <w:pStyle w:val="Corpotesto"/>
        <w:spacing w:after="120" w:line="240" w:lineRule="auto"/>
        <w:jc w:val="both"/>
        <w:rPr>
          <w:rFonts w:ascii="Arial" w:hAnsi="Arial" w:cs="Arial"/>
          <w:iCs/>
          <w:sz w:val="21"/>
          <w:szCs w:val="21"/>
        </w:rPr>
      </w:pPr>
      <w:r w:rsidRPr="00301136">
        <w:rPr>
          <w:rFonts w:ascii="Arial" w:hAnsi="Arial" w:cs="Arial"/>
          <w:iCs/>
          <w:sz w:val="21"/>
          <w:szCs w:val="21"/>
        </w:rPr>
        <w:t>Per un’analisi più ampia dell’accuratezza e una descrizione della</w:t>
      </w:r>
      <w:r w:rsidRPr="00DA78A0">
        <w:rPr>
          <w:rFonts w:ascii="Arial" w:hAnsi="Arial" w:cs="Arial"/>
          <w:iCs/>
          <w:sz w:val="21"/>
          <w:szCs w:val="21"/>
        </w:rPr>
        <w:t xml:space="preserve"> metodologia della st</w:t>
      </w:r>
      <w:r w:rsidR="00A42B04" w:rsidRPr="00DA78A0">
        <w:rPr>
          <w:rFonts w:ascii="Arial" w:hAnsi="Arial" w:cs="Arial"/>
          <w:iCs/>
          <w:sz w:val="21"/>
          <w:szCs w:val="21"/>
        </w:rPr>
        <w:t>ima provvisoria dell’inflazione</w:t>
      </w:r>
      <w:r w:rsidRPr="00DA78A0">
        <w:rPr>
          <w:rFonts w:ascii="Arial" w:hAnsi="Arial" w:cs="Arial"/>
          <w:iCs/>
          <w:sz w:val="21"/>
          <w:szCs w:val="21"/>
        </w:rPr>
        <w:t xml:space="preserve"> si rimanda alla nota metodologica allegata al comunicato.</w:t>
      </w:r>
    </w:p>
    <w:p w14:paraId="33E03042" w14:textId="77777777" w:rsidR="00EA102B" w:rsidRPr="00DA78A0" w:rsidRDefault="00EA102B" w:rsidP="00D77C5C">
      <w:pPr>
        <w:pStyle w:val="Corpodeltesto2"/>
        <w:tabs>
          <w:tab w:val="left" w:pos="0"/>
          <w:tab w:val="left" w:pos="6300"/>
        </w:tabs>
        <w:spacing w:line="240" w:lineRule="auto"/>
        <w:jc w:val="both"/>
        <w:rPr>
          <w:rFonts w:ascii="Arial" w:hAnsi="Arial" w:cs="Arial"/>
          <w:iCs/>
          <w:kern w:val="28"/>
          <w:sz w:val="21"/>
          <w:szCs w:val="21"/>
        </w:rPr>
      </w:pPr>
    </w:p>
    <w:p w14:paraId="3AA82D24" w14:textId="469C9554" w:rsidR="005D2A67" w:rsidRPr="00C8504B" w:rsidRDefault="005D2A67" w:rsidP="005D2A67">
      <w:pPr>
        <w:pStyle w:val="Corpotesto"/>
        <w:spacing w:after="120" w:line="240" w:lineRule="auto"/>
        <w:jc w:val="both"/>
        <w:rPr>
          <w:rFonts w:ascii="Arial Narrow" w:hAnsi="Arial Narrow" w:cs="Arial"/>
          <w:sz w:val="19"/>
          <w:szCs w:val="19"/>
        </w:rPr>
      </w:pPr>
      <w:r w:rsidRPr="00DA78A0">
        <w:rPr>
          <w:rFonts w:ascii="Arial Narrow" w:hAnsi="Arial Narrow" w:cs="Arial"/>
          <w:b/>
          <w:color w:val="E42618"/>
          <w:kern w:val="0"/>
          <w:sz w:val="22"/>
          <w:szCs w:val="22"/>
        </w:rPr>
        <w:t xml:space="preserve">PROSPETTO </w:t>
      </w:r>
      <w:r w:rsidR="00A83744">
        <w:rPr>
          <w:rFonts w:ascii="Arial Narrow" w:hAnsi="Arial Narrow" w:cs="Arial"/>
          <w:b/>
          <w:color w:val="E42618"/>
          <w:kern w:val="0"/>
          <w:sz w:val="22"/>
          <w:szCs w:val="22"/>
        </w:rPr>
        <w:t>8</w:t>
      </w:r>
      <w:r w:rsidRPr="00DA78A0">
        <w:rPr>
          <w:rFonts w:ascii="Arial Narrow" w:hAnsi="Arial Narrow" w:cs="Arial"/>
          <w:b/>
          <w:color w:val="E42618"/>
          <w:kern w:val="0"/>
          <w:sz w:val="22"/>
          <w:szCs w:val="22"/>
        </w:rPr>
        <w:t>.</w:t>
      </w:r>
      <w:r w:rsidRPr="00DA78A0">
        <w:rPr>
          <w:rFonts w:ascii="Arial Narrow" w:hAnsi="Arial Narrow" w:cs="Arial"/>
          <w:b/>
          <w:color w:val="5F5F5F"/>
          <w:kern w:val="0"/>
          <w:sz w:val="22"/>
          <w:szCs w:val="22"/>
        </w:rPr>
        <w:t xml:space="preserve"> </w:t>
      </w:r>
      <w:r w:rsidRPr="00DA78A0">
        <w:rPr>
          <w:rFonts w:ascii="Arial Narrow" w:hAnsi="Arial Narrow" w:cs="Calibri"/>
          <w:b/>
          <w:bCs/>
          <w:color w:val="5F5F5F"/>
          <w:kern w:val="0"/>
          <w:sz w:val="22"/>
          <w:szCs w:val="22"/>
        </w:rPr>
        <w:t>REVISIONI DEGLI INDICI DEI PREZZI AL CONSUMO</w:t>
      </w:r>
      <w:r w:rsidRPr="00C8504B">
        <w:rPr>
          <w:rFonts w:ascii="Arial Narrow" w:hAnsi="Arial Narrow" w:cs="Arial"/>
          <w:b/>
          <w:color w:val="5F5F5F"/>
        </w:rPr>
        <w:t xml:space="preserve"> </w:t>
      </w:r>
      <w:r w:rsidRPr="00C8504B">
        <w:rPr>
          <w:rFonts w:ascii="Arial Narrow" w:hAnsi="Arial Narrow" w:cs="Arial"/>
          <w:b/>
          <w:color w:val="5F5F5F"/>
        </w:rPr>
        <w:br/>
      </w:r>
      <w:r w:rsidR="005E64FE">
        <w:rPr>
          <w:rFonts w:ascii="Arial Narrow" w:hAnsi="Arial Narrow" w:cs="Arial"/>
          <w:color w:val="5F5F5F"/>
        </w:rPr>
        <w:t>Novembre</w:t>
      </w:r>
      <w:r w:rsidR="001F0D0D">
        <w:rPr>
          <w:rFonts w:ascii="Arial Narrow" w:hAnsi="Arial Narrow" w:cs="Arial"/>
          <w:color w:val="5F5F5F"/>
        </w:rPr>
        <w:t xml:space="preserve"> 2025</w:t>
      </w:r>
      <w:r w:rsidRPr="00C8504B">
        <w:rPr>
          <w:rFonts w:ascii="Arial Narrow" w:hAnsi="Arial Narrow" w:cs="Arial"/>
          <w:color w:val="5F5F5F"/>
        </w:rPr>
        <w:t>, indici e variazioni percentuali</w:t>
      </w:r>
      <w:r w:rsidR="00625F9C" w:rsidRPr="00C8504B">
        <w:rPr>
          <w:rFonts w:ascii="Arial Narrow" w:hAnsi="Arial Narrow" w:cs="Arial"/>
          <w:color w:val="5F5F5F"/>
        </w:rPr>
        <w:t xml:space="preserve"> congiunturali e tendenziali</w:t>
      </w:r>
      <w:r w:rsidRPr="00C8504B">
        <w:rPr>
          <w:rFonts w:ascii="Arial Narrow" w:hAnsi="Arial Narrow" w:cs="Arial"/>
          <w:color w:val="5F5F5F"/>
        </w:rPr>
        <w:t xml:space="preserve"> (base 2015=100)</w:t>
      </w:r>
    </w:p>
    <w:tbl>
      <w:tblPr>
        <w:tblW w:w="10206" w:type="dxa"/>
        <w:tblInd w:w="108" w:type="dxa"/>
        <w:tblLayout w:type="fixed"/>
        <w:tblLook w:val="04A0" w:firstRow="1" w:lastRow="0" w:firstColumn="1" w:lastColumn="0" w:noHBand="0" w:noVBand="1"/>
      </w:tblPr>
      <w:tblGrid>
        <w:gridCol w:w="3100"/>
        <w:gridCol w:w="1134"/>
        <w:gridCol w:w="1134"/>
        <w:gridCol w:w="71"/>
        <w:gridCol w:w="1205"/>
        <w:gridCol w:w="1153"/>
        <w:gridCol w:w="1290"/>
        <w:gridCol w:w="1119"/>
      </w:tblGrid>
      <w:tr w:rsidR="00E95076" w:rsidRPr="00C8504B" w14:paraId="2D093B15" w14:textId="77777777" w:rsidTr="00E1200F">
        <w:trPr>
          <w:trHeight w:val="255"/>
        </w:trPr>
        <w:tc>
          <w:tcPr>
            <w:tcW w:w="3100" w:type="dxa"/>
            <w:vMerge w:val="restart"/>
            <w:tcBorders>
              <w:top w:val="single" w:sz="4" w:space="0" w:color="auto"/>
              <w:left w:val="nil"/>
              <w:right w:val="nil"/>
            </w:tcBorders>
            <w:shd w:val="clear" w:color="000000" w:fill="FFFFFF"/>
            <w:vAlign w:val="center"/>
            <w:hideMark/>
          </w:tcPr>
          <w:p w14:paraId="60D89DC3" w14:textId="77777777" w:rsidR="00E95076" w:rsidRPr="00C8504B" w:rsidRDefault="00E95076" w:rsidP="00E95076">
            <w:pPr>
              <w:widowControl/>
              <w:overflowPunct/>
              <w:autoSpaceDE/>
              <w:autoSpaceDN/>
              <w:adjustRightInd/>
              <w:spacing w:before="40" w:after="20"/>
              <w:rPr>
                <w:rFonts w:ascii="Arial Narrow" w:hAnsi="Arial Narrow"/>
                <w:color w:val="000000"/>
                <w:kern w:val="0"/>
                <w:sz w:val="18"/>
                <w:szCs w:val="18"/>
                <w:lang w:eastAsia="en-GB"/>
              </w:rPr>
            </w:pPr>
          </w:p>
        </w:tc>
        <w:tc>
          <w:tcPr>
            <w:tcW w:w="3544" w:type="dxa"/>
            <w:gridSpan w:val="4"/>
            <w:tcBorders>
              <w:top w:val="single" w:sz="4" w:space="0" w:color="auto"/>
              <w:left w:val="nil"/>
              <w:bottom w:val="single" w:sz="4" w:space="0" w:color="auto"/>
              <w:right w:val="nil"/>
            </w:tcBorders>
            <w:shd w:val="clear" w:color="auto" w:fill="D9D9D9"/>
            <w:vAlign w:val="center"/>
            <w:hideMark/>
          </w:tcPr>
          <w:p w14:paraId="712919F4" w14:textId="77777777" w:rsidR="00E95076" w:rsidRPr="00C8504B" w:rsidRDefault="00834B5B" w:rsidP="005D2A67">
            <w:pPr>
              <w:widowControl/>
              <w:overflowPunct/>
              <w:autoSpaceDE/>
              <w:autoSpaceDN/>
              <w:adjustRightInd/>
              <w:spacing w:before="40" w:after="20"/>
              <w:jc w:val="center"/>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DATI PROVVISORI</w:t>
            </w:r>
          </w:p>
        </w:tc>
        <w:tc>
          <w:tcPr>
            <w:tcW w:w="3562" w:type="dxa"/>
            <w:gridSpan w:val="3"/>
            <w:tcBorders>
              <w:top w:val="single" w:sz="4" w:space="0" w:color="auto"/>
              <w:left w:val="nil"/>
              <w:bottom w:val="single" w:sz="4" w:space="0" w:color="auto"/>
              <w:right w:val="nil"/>
            </w:tcBorders>
            <w:shd w:val="clear" w:color="000000" w:fill="FFFFFF"/>
            <w:noWrap/>
            <w:vAlign w:val="center"/>
            <w:hideMark/>
          </w:tcPr>
          <w:p w14:paraId="50D596DB" w14:textId="77777777" w:rsidR="00E95076" w:rsidRPr="00C8504B" w:rsidRDefault="00834B5B" w:rsidP="005D2A67">
            <w:pPr>
              <w:widowControl/>
              <w:overflowPunct/>
              <w:autoSpaceDE/>
              <w:autoSpaceDN/>
              <w:adjustRightInd/>
              <w:spacing w:before="40" w:after="20"/>
              <w:jc w:val="center"/>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DATI DEFINITIVI</w:t>
            </w:r>
          </w:p>
        </w:tc>
      </w:tr>
      <w:tr w:rsidR="00834B5B" w:rsidRPr="00C8504B" w14:paraId="2FD5B5DD" w14:textId="77777777" w:rsidTr="004213C5">
        <w:trPr>
          <w:trHeight w:val="255"/>
        </w:trPr>
        <w:tc>
          <w:tcPr>
            <w:tcW w:w="3100" w:type="dxa"/>
            <w:vMerge/>
            <w:tcBorders>
              <w:left w:val="nil"/>
              <w:right w:val="nil"/>
            </w:tcBorders>
            <w:shd w:val="clear" w:color="000000" w:fill="FFFFFF"/>
            <w:vAlign w:val="center"/>
            <w:hideMark/>
          </w:tcPr>
          <w:p w14:paraId="562C6134" w14:textId="77777777" w:rsidR="00834B5B" w:rsidRPr="00C8504B" w:rsidRDefault="00834B5B" w:rsidP="005D2A67">
            <w:pPr>
              <w:spacing w:before="40" w:after="20"/>
              <w:rPr>
                <w:rFonts w:ascii="Arial Narrow" w:hAnsi="Arial Narrow"/>
                <w:color w:val="000000"/>
                <w:kern w:val="0"/>
                <w:sz w:val="18"/>
                <w:szCs w:val="18"/>
                <w:lang w:eastAsia="en-GB"/>
              </w:rPr>
            </w:pPr>
          </w:p>
        </w:tc>
        <w:tc>
          <w:tcPr>
            <w:tcW w:w="1134" w:type="dxa"/>
            <w:tcBorders>
              <w:top w:val="nil"/>
              <w:left w:val="nil"/>
              <w:bottom w:val="single" w:sz="4" w:space="0" w:color="auto"/>
              <w:right w:val="nil"/>
            </w:tcBorders>
            <w:shd w:val="clear" w:color="auto" w:fill="D9D9D9"/>
            <w:vAlign w:val="center"/>
            <w:hideMark/>
          </w:tcPr>
          <w:p w14:paraId="7F99FA27" w14:textId="77777777"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cs="Arial"/>
                <w:b/>
                <w:bCs/>
                <w:color w:val="000000"/>
                <w:kern w:val="0"/>
                <w:sz w:val="18"/>
                <w:szCs w:val="18"/>
                <w:lang w:eastAsia="en-GB"/>
              </w:rPr>
              <w:t>indici</w:t>
            </w:r>
          </w:p>
        </w:tc>
        <w:tc>
          <w:tcPr>
            <w:tcW w:w="1205" w:type="dxa"/>
            <w:gridSpan w:val="2"/>
            <w:tcBorders>
              <w:top w:val="nil"/>
              <w:left w:val="nil"/>
              <w:bottom w:val="single" w:sz="4" w:space="0" w:color="auto"/>
              <w:right w:val="nil"/>
            </w:tcBorders>
            <w:shd w:val="clear" w:color="auto" w:fill="FFFFFF"/>
            <w:vAlign w:val="center"/>
            <w:hideMark/>
          </w:tcPr>
          <w:p w14:paraId="511EAA72" w14:textId="77777777"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variazioni congiunturali</w:t>
            </w:r>
          </w:p>
        </w:tc>
        <w:tc>
          <w:tcPr>
            <w:tcW w:w="1205" w:type="dxa"/>
            <w:tcBorders>
              <w:top w:val="nil"/>
              <w:left w:val="nil"/>
              <w:bottom w:val="single" w:sz="4" w:space="0" w:color="auto"/>
              <w:right w:val="nil"/>
            </w:tcBorders>
            <w:shd w:val="clear" w:color="auto" w:fill="D9D9D9"/>
            <w:vAlign w:val="center"/>
          </w:tcPr>
          <w:p w14:paraId="207DB00E" w14:textId="77777777"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variazioni tendenziali</w:t>
            </w:r>
          </w:p>
        </w:tc>
        <w:tc>
          <w:tcPr>
            <w:tcW w:w="1153" w:type="dxa"/>
            <w:tcBorders>
              <w:top w:val="nil"/>
              <w:left w:val="nil"/>
              <w:bottom w:val="single" w:sz="4" w:space="0" w:color="auto"/>
              <w:right w:val="nil"/>
            </w:tcBorders>
            <w:shd w:val="clear" w:color="auto" w:fill="FFFFFF"/>
            <w:noWrap/>
            <w:vAlign w:val="center"/>
            <w:hideMark/>
          </w:tcPr>
          <w:p w14:paraId="10D7DE5C" w14:textId="77777777"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lang w:eastAsia="en-GB"/>
              </w:rPr>
            </w:pPr>
            <w:r w:rsidRPr="00C8504B">
              <w:rPr>
                <w:rFonts w:ascii="Arial Narrow" w:hAnsi="Arial Narrow" w:cs="Arial"/>
                <w:b/>
                <w:bCs/>
                <w:color w:val="000000"/>
                <w:kern w:val="0"/>
                <w:sz w:val="18"/>
                <w:szCs w:val="18"/>
                <w:lang w:eastAsia="en-GB"/>
              </w:rPr>
              <w:t>indici</w:t>
            </w:r>
          </w:p>
        </w:tc>
        <w:tc>
          <w:tcPr>
            <w:tcW w:w="1290" w:type="dxa"/>
            <w:tcBorders>
              <w:top w:val="nil"/>
              <w:left w:val="nil"/>
              <w:bottom w:val="single" w:sz="4" w:space="0" w:color="auto"/>
              <w:right w:val="nil"/>
            </w:tcBorders>
            <w:shd w:val="clear" w:color="auto" w:fill="D9D9D9"/>
            <w:noWrap/>
            <w:vAlign w:val="center"/>
            <w:hideMark/>
          </w:tcPr>
          <w:p w14:paraId="43AA695F" w14:textId="77777777" w:rsidR="0058366E" w:rsidRDefault="00834B5B" w:rsidP="00C17464">
            <w:pPr>
              <w:widowControl/>
              <w:overflowPunct/>
              <w:autoSpaceDE/>
              <w:autoSpaceDN/>
              <w:adjustRightInd/>
              <w:spacing w:before="40" w:after="20"/>
              <w:jc w:val="right"/>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 xml:space="preserve">variazioni </w:t>
            </w:r>
          </w:p>
          <w:p w14:paraId="447A17A9" w14:textId="0A2EE240"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congiunturali</w:t>
            </w:r>
          </w:p>
        </w:tc>
        <w:tc>
          <w:tcPr>
            <w:tcW w:w="1119" w:type="dxa"/>
            <w:tcBorders>
              <w:top w:val="nil"/>
              <w:left w:val="nil"/>
              <w:bottom w:val="single" w:sz="4" w:space="0" w:color="auto"/>
              <w:right w:val="nil"/>
            </w:tcBorders>
            <w:shd w:val="clear" w:color="auto" w:fill="FFFFFF"/>
            <w:vAlign w:val="center"/>
          </w:tcPr>
          <w:p w14:paraId="1AEA76A1" w14:textId="77777777"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variazioni tendenziali</w:t>
            </w:r>
          </w:p>
        </w:tc>
      </w:tr>
      <w:tr w:rsidR="005E64FE" w:rsidRPr="00C8504B" w14:paraId="47798980" w14:textId="77777777" w:rsidTr="002205F1">
        <w:trPr>
          <w:trHeight w:val="553"/>
        </w:trPr>
        <w:tc>
          <w:tcPr>
            <w:tcW w:w="3100" w:type="dxa"/>
            <w:vMerge/>
            <w:tcBorders>
              <w:left w:val="nil"/>
              <w:bottom w:val="single" w:sz="4" w:space="0" w:color="auto"/>
              <w:right w:val="nil"/>
            </w:tcBorders>
            <w:shd w:val="clear" w:color="000000" w:fill="FFFFFF"/>
            <w:vAlign w:val="center"/>
            <w:hideMark/>
          </w:tcPr>
          <w:p w14:paraId="34AE9BAE" w14:textId="77777777" w:rsidR="005E64FE" w:rsidRPr="00C8504B" w:rsidRDefault="005E64FE" w:rsidP="005E64FE">
            <w:pPr>
              <w:spacing w:before="40" w:after="20"/>
              <w:rPr>
                <w:color w:val="000000"/>
                <w:kern w:val="0"/>
                <w:sz w:val="18"/>
                <w:szCs w:val="18"/>
                <w:lang w:eastAsia="en-GB"/>
              </w:rPr>
            </w:pPr>
          </w:p>
        </w:tc>
        <w:tc>
          <w:tcPr>
            <w:tcW w:w="1134" w:type="dxa"/>
            <w:tcBorders>
              <w:top w:val="nil"/>
              <w:left w:val="nil"/>
              <w:bottom w:val="single" w:sz="4" w:space="0" w:color="auto"/>
              <w:right w:val="nil"/>
            </w:tcBorders>
            <w:vAlign w:val="center"/>
          </w:tcPr>
          <w:p w14:paraId="29972520" w14:textId="3860DA29" w:rsidR="005E64FE" w:rsidRDefault="005E64FE" w:rsidP="005E64FE">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novembre</w:t>
            </w:r>
          </w:p>
          <w:p w14:paraId="2677F7F8" w14:textId="77777777" w:rsidR="005E64FE" w:rsidRPr="00C8504B" w:rsidRDefault="005E64FE" w:rsidP="005E64FE">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2025</w:t>
            </w:r>
          </w:p>
        </w:tc>
        <w:tc>
          <w:tcPr>
            <w:tcW w:w="1134" w:type="dxa"/>
            <w:tcBorders>
              <w:top w:val="nil"/>
              <w:left w:val="nil"/>
              <w:bottom w:val="single" w:sz="4" w:space="0" w:color="auto"/>
              <w:right w:val="nil"/>
            </w:tcBorders>
            <w:vAlign w:val="center"/>
          </w:tcPr>
          <w:p w14:paraId="6370B989" w14:textId="27E2A334" w:rsidR="005E64FE" w:rsidRDefault="005E64FE" w:rsidP="005E64FE">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nov-25</w:t>
            </w:r>
          </w:p>
          <w:p w14:paraId="768AB1CE" w14:textId="02780183" w:rsidR="005E64FE" w:rsidRPr="00E03E58" w:rsidRDefault="005E64FE" w:rsidP="005E64FE">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ott-25</w:t>
            </w:r>
          </w:p>
        </w:tc>
        <w:tc>
          <w:tcPr>
            <w:tcW w:w="1276" w:type="dxa"/>
            <w:gridSpan w:val="2"/>
            <w:tcBorders>
              <w:top w:val="nil"/>
              <w:left w:val="nil"/>
              <w:bottom w:val="single" w:sz="4" w:space="0" w:color="auto"/>
              <w:right w:val="nil"/>
            </w:tcBorders>
            <w:vAlign w:val="center"/>
          </w:tcPr>
          <w:p w14:paraId="41D42166" w14:textId="080CE129" w:rsidR="005E64FE" w:rsidRDefault="005E64FE" w:rsidP="005E64FE">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nov-25</w:t>
            </w:r>
          </w:p>
          <w:p w14:paraId="02121FBF" w14:textId="2953E18D" w:rsidR="005E64FE" w:rsidRPr="008814F3" w:rsidRDefault="005E64FE" w:rsidP="005E64FE">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rPr>
              <w:t>nov-24</w:t>
            </w:r>
          </w:p>
        </w:tc>
        <w:tc>
          <w:tcPr>
            <w:tcW w:w="1153" w:type="dxa"/>
            <w:tcBorders>
              <w:top w:val="nil"/>
              <w:left w:val="nil"/>
              <w:bottom w:val="single" w:sz="4" w:space="0" w:color="auto"/>
              <w:right w:val="nil"/>
            </w:tcBorders>
            <w:noWrap/>
            <w:vAlign w:val="center"/>
            <w:hideMark/>
          </w:tcPr>
          <w:p w14:paraId="5CD58D9F" w14:textId="77777777" w:rsidR="005E64FE" w:rsidRDefault="005E64FE" w:rsidP="005E64FE">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novembre</w:t>
            </w:r>
          </w:p>
          <w:p w14:paraId="3FE9D4E5" w14:textId="07A706F9" w:rsidR="005E64FE" w:rsidRPr="00C8504B" w:rsidRDefault="005E64FE" w:rsidP="005E64FE">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2025</w:t>
            </w:r>
          </w:p>
        </w:tc>
        <w:tc>
          <w:tcPr>
            <w:tcW w:w="1290" w:type="dxa"/>
            <w:tcBorders>
              <w:top w:val="nil"/>
              <w:left w:val="nil"/>
              <w:bottom w:val="single" w:sz="4" w:space="0" w:color="auto"/>
              <w:right w:val="nil"/>
            </w:tcBorders>
            <w:noWrap/>
            <w:vAlign w:val="center"/>
            <w:hideMark/>
          </w:tcPr>
          <w:p w14:paraId="35D7FE8E" w14:textId="77777777" w:rsidR="005E64FE" w:rsidRDefault="005E64FE" w:rsidP="005E64FE">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nov-25</w:t>
            </w:r>
          </w:p>
          <w:p w14:paraId="7945E933" w14:textId="3A4D6434" w:rsidR="005E64FE" w:rsidRPr="00E03E58" w:rsidRDefault="005E64FE" w:rsidP="005E64FE">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ott-25</w:t>
            </w:r>
          </w:p>
        </w:tc>
        <w:tc>
          <w:tcPr>
            <w:tcW w:w="1119" w:type="dxa"/>
            <w:tcBorders>
              <w:top w:val="nil"/>
              <w:left w:val="nil"/>
              <w:bottom w:val="single" w:sz="4" w:space="0" w:color="auto"/>
              <w:right w:val="nil"/>
            </w:tcBorders>
            <w:noWrap/>
            <w:vAlign w:val="center"/>
            <w:hideMark/>
          </w:tcPr>
          <w:p w14:paraId="07757129" w14:textId="77777777" w:rsidR="005E64FE" w:rsidRDefault="005E64FE" w:rsidP="005E64FE">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nov-25</w:t>
            </w:r>
          </w:p>
          <w:p w14:paraId="2C11F1E4" w14:textId="3F82F003" w:rsidR="005E64FE" w:rsidRPr="008814F3" w:rsidRDefault="005E64FE" w:rsidP="005E64FE">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rPr>
              <w:t>nov-24</w:t>
            </w:r>
          </w:p>
        </w:tc>
      </w:tr>
      <w:tr w:rsidR="00FD5B7B" w:rsidRPr="000830DA" w14:paraId="6E4CD114" w14:textId="77777777" w:rsidTr="00F31652">
        <w:trPr>
          <w:trHeight w:val="255"/>
        </w:trPr>
        <w:tc>
          <w:tcPr>
            <w:tcW w:w="3100" w:type="dxa"/>
            <w:tcBorders>
              <w:top w:val="single" w:sz="4" w:space="0" w:color="auto"/>
              <w:left w:val="nil"/>
              <w:bottom w:val="single" w:sz="4" w:space="0" w:color="auto"/>
              <w:right w:val="nil"/>
            </w:tcBorders>
            <w:vAlign w:val="center"/>
            <w:hideMark/>
          </w:tcPr>
          <w:p w14:paraId="1C9CCCE4" w14:textId="77777777" w:rsidR="00FD5B7B" w:rsidRPr="000830DA" w:rsidRDefault="00FD5B7B" w:rsidP="00FD5B7B">
            <w:pPr>
              <w:widowControl/>
              <w:overflowPunct/>
              <w:autoSpaceDE/>
              <w:autoSpaceDN/>
              <w:adjustRightInd/>
              <w:spacing w:before="0" w:after="0"/>
              <w:rPr>
                <w:rFonts w:ascii="Arial Narrow" w:hAnsi="Arial Narrow"/>
                <w:color w:val="000000"/>
                <w:kern w:val="0"/>
                <w:sz w:val="18"/>
                <w:szCs w:val="18"/>
                <w:lang w:eastAsia="en-GB"/>
              </w:rPr>
            </w:pPr>
            <w:r w:rsidRPr="00C8504B">
              <w:rPr>
                <w:rFonts w:ascii="Arial Narrow" w:hAnsi="Arial Narrow"/>
                <w:color w:val="000000"/>
                <w:kern w:val="0"/>
                <w:sz w:val="18"/>
                <w:szCs w:val="18"/>
                <w:lang w:eastAsia="en-GB"/>
              </w:rPr>
              <w:t xml:space="preserve">Indice nazionale per l’intera collettività NIC </w:t>
            </w:r>
          </w:p>
        </w:tc>
        <w:tc>
          <w:tcPr>
            <w:tcW w:w="1134" w:type="dxa"/>
            <w:tcBorders>
              <w:top w:val="single" w:sz="4" w:space="0" w:color="auto"/>
              <w:left w:val="nil"/>
              <w:bottom w:val="single" w:sz="4" w:space="0" w:color="auto"/>
              <w:right w:val="nil"/>
            </w:tcBorders>
            <w:shd w:val="clear" w:color="000000" w:fill="D9D9D9"/>
            <w:noWrap/>
          </w:tcPr>
          <w:p w14:paraId="466D150E" w14:textId="0F92F2A7" w:rsidR="00FD5B7B" w:rsidRPr="00FD5B7B" w:rsidRDefault="00947BFA" w:rsidP="00FD5B7B">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122,5</w:t>
            </w:r>
          </w:p>
        </w:tc>
        <w:tc>
          <w:tcPr>
            <w:tcW w:w="1134" w:type="dxa"/>
            <w:tcBorders>
              <w:top w:val="single" w:sz="4" w:space="0" w:color="auto"/>
              <w:left w:val="nil"/>
              <w:bottom w:val="single" w:sz="4" w:space="0" w:color="auto"/>
              <w:right w:val="nil"/>
            </w:tcBorders>
            <w:shd w:val="clear" w:color="000000" w:fill="FFFFFF"/>
            <w:noWrap/>
          </w:tcPr>
          <w:p w14:paraId="61CD85D6" w14:textId="7EEC7E4A" w:rsidR="00FD5B7B" w:rsidRPr="00FD5B7B" w:rsidRDefault="00947BFA" w:rsidP="00FD5B7B">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-0,2</w:t>
            </w:r>
          </w:p>
        </w:tc>
        <w:tc>
          <w:tcPr>
            <w:tcW w:w="1276" w:type="dxa"/>
            <w:gridSpan w:val="2"/>
            <w:tcBorders>
              <w:top w:val="single" w:sz="4" w:space="0" w:color="auto"/>
              <w:left w:val="nil"/>
              <w:bottom w:val="single" w:sz="4" w:space="0" w:color="auto"/>
              <w:right w:val="nil"/>
            </w:tcBorders>
            <w:shd w:val="clear" w:color="auto" w:fill="D9D9D9"/>
            <w:noWrap/>
          </w:tcPr>
          <w:p w14:paraId="24945516" w14:textId="0A7CC2AD" w:rsidR="00FD5B7B" w:rsidRPr="00FD5B7B" w:rsidRDefault="00947BFA" w:rsidP="00FD5B7B">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+1,2</w:t>
            </w:r>
          </w:p>
        </w:tc>
        <w:tc>
          <w:tcPr>
            <w:tcW w:w="1153" w:type="dxa"/>
            <w:tcBorders>
              <w:top w:val="single" w:sz="4" w:space="0" w:color="auto"/>
              <w:left w:val="nil"/>
              <w:bottom w:val="single" w:sz="4" w:space="0" w:color="auto"/>
              <w:right w:val="nil"/>
            </w:tcBorders>
            <w:shd w:val="clear" w:color="auto" w:fill="FFFFFF"/>
            <w:noWrap/>
          </w:tcPr>
          <w:p w14:paraId="6990E782" w14:textId="227ABCD3" w:rsidR="00FD5B7B" w:rsidRPr="00FD5B7B" w:rsidRDefault="005E64FE" w:rsidP="00FD5B7B">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122,4</w:t>
            </w:r>
          </w:p>
        </w:tc>
        <w:tc>
          <w:tcPr>
            <w:tcW w:w="1290" w:type="dxa"/>
            <w:tcBorders>
              <w:top w:val="single" w:sz="4" w:space="0" w:color="auto"/>
              <w:left w:val="nil"/>
              <w:bottom w:val="single" w:sz="4" w:space="0" w:color="auto"/>
              <w:right w:val="nil"/>
            </w:tcBorders>
            <w:shd w:val="clear" w:color="auto" w:fill="D9D9D9"/>
            <w:noWrap/>
          </w:tcPr>
          <w:p w14:paraId="770E611B" w14:textId="2218BF8E" w:rsidR="00FD5B7B" w:rsidRPr="00FD5B7B" w:rsidRDefault="005E64FE" w:rsidP="00FD5B7B">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-0,2</w:t>
            </w:r>
          </w:p>
        </w:tc>
        <w:tc>
          <w:tcPr>
            <w:tcW w:w="1119" w:type="dxa"/>
            <w:tcBorders>
              <w:top w:val="single" w:sz="4" w:space="0" w:color="auto"/>
              <w:left w:val="nil"/>
              <w:bottom w:val="single" w:sz="4" w:space="0" w:color="auto"/>
              <w:right w:val="nil"/>
            </w:tcBorders>
            <w:shd w:val="clear" w:color="000000" w:fill="FFFFFF"/>
            <w:noWrap/>
          </w:tcPr>
          <w:p w14:paraId="7DB044D0" w14:textId="287F9EF7" w:rsidR="00FD5B7B" w:rsidRPr="00FD5B7B" w:rsidRDefault="005E64FE" w:rsidP="00FD5B7B">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+1,1</w:t>
            </w:r>
          </w:p>
        </w:tc>
      </w:tr>
      <w:tr w:rsidR="003B4634" w:rsidRPr="000830DA" w14:paraId="4F595B8B" w14:textId="77777777" w:rsidTr="00F31652">
        <w:trPr>
          <w:trHeight w:val="255"/>
        </w:trPr>
        <w:tc>
          <w:tcPr>
            <w:tcW w:w="3100" w:type="dxa"/>
            <w:tcBorders>
              <w:top w:val="single" w:sz="4" w:space="0" w:color="auto"/>
              <w:left w:val="nil"/>
              <w:bottom w:val="single" w:sz="4" w:space="0" w:color="auto"/>
              <w:right w:val="nil"/>
            </w:tcBorders>
            <w:shd w:val="clear" w:color="000000" w:fill="FFFFFF"/>
            <w:vAlign w:val="center"/>
            <w:hideMark/>
          </w:tcPr>
          <w:p w14:paraId="13FDCD4D" w14:textId="77777777" w:rsidR="003B4634" w:rsidRPr="000830DA" w:rsidRDefault="003B4634" w:rsidP="003B4634">
            <w:pPr>
              <w:widowControl/>
              <w:overflowPunct/>
              <w:autoSpaceDE/>
              <w:autoSpaceDN/>
              <w:adjustRightInd/>
              <w:spacing w:before="0" w:after="0"/>
              <w:rPr>
                <w:rFonts w:ascii="Arial Narrow" w:hAnsi="Arial Narrow"/>
                <w:color w:val="000000"/>
                <w:kern w:val="0"/>
                <w:sz w:val="18"/>
                <w:szCs w:val="18"/>
                <w:lang w:eastAsia="en-GB"/>
              </w:rPr>
            </w:pPr>
            <w:r w:rsidRPr="00C8504B">
              <w:rPr>
                <w:rFonts w:ascii="Arial Narrow" w:hAnsi="Arial Narrow"/>
                <w:color w:val="000000"/>
                <w:kern w:val="0"/>
                <w:sz w:val="18"/>
                <w:szCs w:val="18"/>
                <w:lang w:eastAsia="en-GB"/>
              </w:rPr>
              <w:t xml:space="preserve">Indice armonizzato IPCA </w:t>
            </w:r>
          </w:p>
        </w:tc>
        <w:tc>
          <w:tcPr>
            <w:tcW w:w="1134" w:type="dxa"/>
            <w:tcBorders>
              <w:top w:val="single" w:sz="4" w:space="0" w:color="auto"/>
              <w:left w:val="nil"/>
              <w:bottom w:val="single" w:sz="4" w:space="0" w:color="auto"/>
              <w:right w:val="nil"/>
            </w:tcBorders>
            <w:shd w:val="clear" w:color="000000" w:fill="D9D9D9"/>
          </w:tcPr>
          <w:p w14:paraId="0AB9BF25" w14:textId="68C4AE89" w:rsidR="003B4634" w:rsidRPr="00FD5B7B" w:rsidRDefault="00947BFA" w:rsidP="003B4634">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124,7</w:t>
            </w:r>
          </w:p>
        </w:tc>
        <w:tc>
          <w:tcPr>
            <w:tcW w:w="1134" w:type="dxa"/>
            <w:tcBorders>
              <w:top w:val="single" w:sz="4" w:space="0" w:color="auto"/>
              <w:left w:val="nil"/>
              <w:bottom w:val="single" w:sz="4" w:space="0" w:color="auto"/>
              <w:right w:val="nil"/>
            </w:tcBorders>
            <w:shd w:val="clear" w:color="000000" w:fill="FFFFFF"/>
          </w:tcPr>
          <w:p w14:paraId="12E69C73" w14:textId="4461332F" w:rsidR="003B4634" w:rsidRPr="00FD5B7B" w:rsidRDefault="00947BFA" w:rsidP="003B4634">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-0,2</w:t>
            </w:r>
          </w:p>
        </w:tc>
        <w:tc>
          <w:tcPr>
            <w:tcW w:w="1276" w:type="dxa"/>
            <w:gridSpan w:val="2"/>
            <w:tcBorders>
              <w:top w:val="single" w:sz="4" w:space="0" w:color="auto"/>
              <w:left w:val="nil"/>
              <w:bottom w:val="single" w:sz="4" w:space="0" w:color="auto"/>
              <w:right w:val="nil"/>
            </w:tcBorders>
            <w:shd w:val="clear" w:color="auto" w:fill="D9D9D9"/>
          </w:tcPr>
          <w:p w14:paraId="340CAF7C" w14:textId="1D5F6730" w:rsidR="003B4634" w:rsidRPr="00FD5B7B" w:rsidRDefault="00947BFA" w:rsidP="003B4634">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+1,1</w:t>
            </w:r>
          </w:p>
        </w:tc>
        <w:tc>
          <w:tcPr>
            <w:tcW w:w="1153" w:type="dxa"/>
            <w:tcBorders>
              <w:top w:val="single" w:sz="4" w:space="0" w:color="auto"/>
              <w:left w:val="nil"/>
              <w:bottom w:val="single" w:sz="4" w:space="0" w:color="auto"/>
              <w:right w:val="nil"/>
            </w:tcBorders>
            <w:shd w:val="clear" w:color="auto" w:fill="FFFFFF"/>
            <w:noWrap/>
          </w:tcPr>
          <w:p w14:paraId="65B4FB5D" w14:textId="1CD18DCF" w:rsidR="003B4634" w:rsidRPr="00FD5B7B" w:rsidRDefault="005E64FE" w:rsidP="003B4634">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124,7</w:t>
            </w:r>
          </w:p>
        </w:tc>
        <w:tc>
          <w:tcPr>
            <w:tcW w:w="1290" w:type="dxa"/>
            <w:tcBorders>
              <w:top w:val="single" w:sz="4" w:space="0" w:color="auto"/>
              <w:left w:val="nil"/>
              <w:bottom w:val="single" w:sz="4" w:space="0" w:color="auto"/>
              <w:right w:val="nil"/>
            </w:tcBorders>
            <w:shd w:val="clear" w:color="auto" w:fill="D9D9D9"/>
            <w:noWrap/>
          </w:tcPr>
          <w:p w14:paraId="6B1C1E63" w14:textId="4D30837F" w:rsidR="003B4634" w:rsidRPr="00FD5B7B" w:rsidRDefault="005E64FE" w:rsidP="003B4634">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-0,2</w:t>
            </w:r>
          </w:p>
        </w:tc>
        <w:tc>
          <w:tcPr>
            <w:tcW w:w="1119" w:type="dxa"/>
            <w:tcBorders>
              <w:top w:val="single" w:sz="4" w:space="0" w:color="auto"/>
              <w:left w:val="nil"/>
              <w:bottom w:val="single" w:sz="4" w:space="0" w:color="auto"/>
              <w:right w:val="nil"/>
            </w:tcBorders>
            <w:shd w:val="clear" w:color="000000" w:fill="FFFFFF"/>
            <w:noWrap/>
          </w:tcPr>
          <w:p w14:paraId="30C6A29E" w14:textId="2F23503A" w:rsidR="003B4634" w:rsidRPr="00FD5B7B" w:rsidRDefault="005E64FE" w:rsidP="003B4634">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+1,1</w:t>
            </w:r>
          </w:p>
        </w:tc>
      </w:tr>
    </w:tbl>
    <w:p w14:paraId="3219BCA9" w14:textId="77777777" w:rsidR="00EA102B" w:rsidRPr="000830DA" w:rsidRDefault="00EA102B" w:rsidP="000830DA">
      <w:pPr>
        <w:widowControl/>
        <w:overflowPunct/>
        <w:autoSpaceDE/>
        <w:autoSpaceDN/>
        <w:adjustRightInd/>
        <w:spacing w:before="0" w:after="0"/>
        <w:jc w:val="right"/>
        <w:rPr>
          <w:rFonts w:ascii="Arial Narrow" w:hAnsi="Arial Narrow"/>
          <w:color w:val="000000"/>
          <w:kern w:val="0"/>
          <w:sz w:val="18"/>
          <w:szCs w:val="18"/>
          <w:lang w:eastAsia="en-GB"/>
        </w:rPr>
      </w:pPr>
    </w:p>
    <w:p w14:paraId="20677F15" w14:textId="77777777" w:rsidR="00187F03" w:rsidRDefault="00187F03" w:rsidP="00D77C5C">
      <w:pPr>
        <w:pStyle w:val="Corpodeltesto2"/>
        <w:tabs>
          <w:tab w:val="left" w:pos="0"/>
          <w:tab w:val="left" w:pos="6300"/>
        </w:tabs>
        <w:spacing w:line="240" w:lineRule="auto"/>
        <w:jc w:val="both"/>
        <w:rPr>
          <w:rFonts w:ascii="Arial" w:hAnsi="Arial" w:cs="Arial"/>
          <w:iCs/>
          <w:kern w:val="28"/>
          <w:sz w:val="21"/>
          <w:szCs w:val="21"/>
        </w:rPr>
      </w:pPr>
    </w:p>
    <w:p w14:paraId="3D82FA62" w14:textId="77777777" w:rsidR="007C11B8" w:rsidRDefault="007C11B8" w:rsidP="00D77C5C">
      <w:pPr>
        <w:pStyle w:val="Corpodeltesto2"/>
        <w:tabs>
          <w:tab w:val="left" w:pos="0"/>
          <w:tab w:val="left" w:pos="6300"/>
        </w:tabs>
        <w:spacing w:line="240" w:lineRule="auto"/>
        <w:jc w:val="both"/>
        <w:rPr>
          <w:rFonts w:ascii="Arial" w:hAnsi="Arial" w:cs="Arial"/>
          <w:iCs/>
          <w:kern w:val="28"/>
          <w:sz w:val="21"/>
          <w:szCs w:val="21"/>
        </w:rPr>
      </w:pPr>
    </w:p>
    <w:p w14:paraId="64CC4C74" w14:textId="77777777" w:rsidR="007C11B8" w:rsidRDefault="007C11B8" w:rsidP="00D77C5C">
      <w:pPr>
        <w:pStyle w:val="Corpodeltesto2"/>
        <w:tabs>
          <w:tab w:val="left" w:pos="0"/>
          <w:tab w:val="left" w:pos="6300"/>
        </w:tabs>
        <w:spacing w:line="240" w:lineRule="auto"/>
        <w:jc w:val="both"/>
        <w:rPr>
          <w:rFonts w:ascii="Arial" w:hAnsi="Arial" w:cs="Arial"/>
          <w:iCs/>
          <w:kern w:val="28"/>
          <w:sz w:val="21"/>
          <w:szCs w:val="21"/>
        </w:rPr>
      </w:pPr>
    </w:p>
    <w:p w14:paraId="0C9DE997" w14:textId="77777777" w:rsidR="007C11B8" w:rsidRPr="00C8504B" w:rsidRDefault="007C11B8" w:rsidP="00D77C5C">
      <w:pPr>
        <w:pStyle w:val="Corpodeltesto2"/>
        <w:tabs>
          <w:tab w:val="left" w:pos="0"/>
          <w:tab w:val="left" w:pos="6300"/>
        </w:tabs>
        <w:spacing w:line="240" w:lineRule="auto"/>
        <w:jc w:val="both"/>
        <w:rPr>
          <w:rFonts w:ascii="Arial" w:hAnsi="Arial" w:cs="Arial"/>
          <w:iCs/>
          <w:kern w:val="28"/>
          <w:sz w:val="21"/>
          <w:szCs w:val="21"/>
        </w:rPr>
        <w:sectPr w:rsidR="007C11B8" w:rsidRPr="00C8504B" w:rsidSect="000161B7">
          <w:headerReference w:type="default" r:id="rId31"/>
          <w:pgSz w:w="11907" w:h="16840" w:code="9"/>
          <w:pgMar w:top="1537" w:right="851" w:bottom="680" w:left="851" w:header="567" w:footer="567" w:gutter="0"/>
          <w:cols w:space="720"/>
          <w:noEndnote/>
          <w:docGrid w:linePitch="272"/>
        </w:sectPr>
      </w:pPr>
    </w:p>
    <w:p w14:paraId="21170B77" w14:textId="77777777" w:rsidR="00F17668" w:rsidRDefault="00F17668" w:rsidP="00F17668">
      <w:pPr>
        <w:spacing w:before="0" w:after="120"/>
        <w:jc w:val="both"/>
        <w:rPr>
          <w:rFonts w:ascii="Arial" w:hAnsi="Arial" w:cs="Arial"/>
          <w:b/>
          <w:bCs/>
        </w:rPr>
      </w:pPr>
    </w:p>
    <w:p w14:paraId="0C1FA442" w14:textId="77777777" w:rsidR="00F17668" w:rsidRPr="0052659F" w:rsidRDefault="00F17668" w:rsidP="00F17668">
      <w:pPr>
        <w:spacing w:before="0" w:after="120"/>
        <w:jc w:val="both"/>
        <w:rPr>
          <w:rFonts w:ascii="Arial" w:hAnsi="Arial" w:cs="Arial"/>
          <w:b/>
          <w:bCs/>
        </w:rPr>
      </w:pPr>
      <w:r w:rsidRPr="0052659F">
        <w:rPr>
          <w:rFonts w:ascii="Arial" w:hAnsi="Arial" w:cs="Arial"/>
          <w:b/>
          <w:bCs/>
        </w:rPr>
        <w:t>Altri beni</w:t>
      </w:r>
      <w:r w:rsidRPr="0052659F">
        <w:rPr>
          <w:rFonts w:ascii="Arial" w:hAnsi="Arial" w:cs="Arial"/>
          <w:bCs/>
        </w:rPr>
        <w:t>:</w:t>
      </w:r>
      <w:r w:rsidRPr="0052659F">
        <w:rPr>
          <w:rFonts w:ascii="Arial" w:hAnsi="Arial" w:cs="Arial"/>
          <w:b/>
          <w:bCs/>
        </w:rPr>
        <w:t xml:space="preserve"> </w:t>
      </w:r>
      <w:r w:rsidRPr="0052659F">
        <w:rPr>
          <w:rFonts w:ascii="Arial" w:hAnsi="Arial" w:cs="Arial"/>
          <w:bCs/>
        </w:rPr>
        <w:t>comprendono i beni di consumo ad esclusione dei beni alimentari, dei beni energetici e dei tabacchi.</w:t>
      </w:r>
    </w:p>
    <w:p w14:paraId="34ED2B27" w14:textId="77777777" w:rsidR="00F17668" w:rsidRPr="0052659F" w:rsidRDefault="00F17668" w:rsidP="00F17668">
      <w:pPr>
        <w:spacing w:before="0" w:after="120"/>
        <w:jc w:val="both"/>
        <w:rPr>
          <w:rFonts w:ascii="Arial" w:hAnsi="Arial" w:cs="Arial"/>
          <w:bCs/>
        </w:rPr>
      </w:pPr>
      <w:r w:rsidRPr="0052659F">
        <w:rPr>
          <w:rFonts w:ascii="Arial" w:hAnsi="Arial" w:cs="Arial"/>
          <w:b/>
          <w:bCs/>
        </w:rPr>
        <w:t>Altri beni regolamentati</w:t>
      </w:r>
      <w:r w:rsidRPr="0052659F">
        <w:rPr>
          <w:rFonts w:ascii="Arial" w:hAnsi="Arial" w:cs="Arial"/>
          <w:bCs/>
        </w:rPr>
        <w:t>: comprendono l’acqua potabile e i medicinali.</w:t>
      </w:r>
    </w:p>
    <w:p w14:paraId="099D5355" w14:textId="77777777" w:rsidR="00F17668" w:rsidRPr="000F531B" w:rsidRDefault="00F17668" w:rsidP="00F17668">
      <w:pPr>
        <w:spacing w:before="0" w:after="120"/>
        <w:jc w:val="both"/>
        <w:rPr>
          <w:rFonts w:ascii="Arial" w:hAnsi="Arial" w:cs="Arial"/>
          <w:bCs/>
        </w:rPr>
      </w:pPr>
      <w:r w:rsidRPr="0052659F">
        <w:rPr>
          <w:rFonts w:ascii="Arial" w:hAnsi="Arial" w:cs="Arial"/>
          <w:b/>
          <w:bCs/>
        </w:rPr>
        <w:t>Beni alimentari</w:t>
      </w:r>
      <w:r w:rsidRPr="0052659F">
        <w:rPr>
          <w:rFonts w:ascii="Arial" w:hAnsi="Arial" w:cs="Arial"/>
          <w:bCs/>
        </w:rPr>
        <w:t>: comprendono oltre ai generi alimentari (come, ad esempio, il pane, la carne, i formaggi), le bevande</w:t>
      </w:r>
      <w:r w:rsidRPr="000F531B">
        <w:rPr>
          <w:rFonts w:ascii="Arial" w:hAnsi="Arial" w:cs="Arial"/>
          <w:bCs/>
        </w:rPr>
        <w:t xml:space="preserve"> analcoliche e quelle alcoliche.</w:t>
      </w:r>
    </w:p>
    <w:p w14:paraId="7392A763" w14:textId="77777777" w:rsidR="00F17668" w:rsidRPr="000F531B" w:rsidRDefault="00F17668" w:rsidP="00F17668">
      <w:pPr>
        <w:spacing w:before="0" w:after="120"/>
        <w:jc w:val="both"/>
        <w:rPr>
          <w:rFonts w:ascii="Arial" w:hAnsi="Arial" w:cs="Arial"/>
          <w:bCs/>
        </w:rPr>
      </w:pPr>
      <w:r w:rsidRPr="000F531B">
        <w:rPr>
          <w:rFonts w:ascii="Arial" w:hAnsi="Arial" w:cs="Arial"/>
          <w:bCs/>
        </w:rPr>
        <w:t xml:space="preserve">Si definiscono </w:t>
      </w:r>
      <w:r w:rsidRPr="000F531B">
        <w:rPr>
          <w:rFonts w:ascii="Arial" w:hAnsi="Arial" w:cs="Arial"/>
          <w:bCs/>
          <w:i/>
        </w:rPr>
        <w:t>lavorati</w:t>
      </w:r>
      <w:r w:rsidRPr="000F531B">
        <w:rPr>
          <w:rFonts w:ascii="Arial" w:hAnsi="Arial" w:cs="Arial"/>
          <w:bCs/>
        </w:rPr>
        <w:t xml:space="preserve"> i beni alimentari destinati al consumo finale che sono il risultato di un processo di trasformazione industriale (come</w:t>
      </w:r>
      <w:r>
        <w:rPr>
          <w:rFonts w:ascii="Arial" w:hAnsi="Arial" w:cs="Arial"/>
          <w:bCs/>
        </w:rPr>
        <w:t>,</w:t>
      </w:r>
      <w:r w:rsidRPr="000F531B">
        <w:rPr>
          <w:rFonts w:ascii="Arial" w:hAnsi="Arial" w:cs="Arial"/>
          <w:bCs/>
        </w:rPr>
        <w:t xml:space="preserve"> ad esempio</w:t>
      </w:r>
      <w:r>
        <w:rPr>
          <w:rFonts w:ascii="Arial" w:hAnsi="Arial" w:cs="Arial"/>
          <w:bCs/>
        </w:rPr>
        <w:t>,</w:t>
      </w:r>
      <w:r w:rsidRPr="000F531B">
        <w:rPr>
          <w:rFonts w:ascii="Arial" w:hAnsi="Arial" w:cs="Arial"/>
          <w:bCs/>
        </w:rPr>
        <w:t xml:space="preserve"> i succhi di frutta, gli insaccati, i prodotti surgelati). Si dicono </w:t>
      </w:r>
      <w:r w:rsidRPr="000F531B">
        <w:rPr>
          <w:rFonts w:ascii="Arial" w:hAnsi="Arial" w:cs="Arial"/>
          <w:bCs/>
          <w:i/>
        </w:rPr>
        <w:t>non lavorati</w:t>
      </w:r>
      <w:r w:rsidRPr="000F531B">
        <w:rPr>
          <w:rFonts w:ascii="Arial" w:hAnsi="Arial" w:cs="Arial"/>
          <w:bCs/>
        </w:rPr>
        <w:t xml:space="preserve"> i beni alimentari non trasformati (come la carne fresca, il pesce fresco, la frutta e la verdura fresca).</w:t>
      </w:r>
    </w:p>
    <w:p w14:paraId="5C2C740E" w14:textId="77777777" w:rsidR="00F17668" w:rsidRPr="000F531B" w:rsidRDefault="00F17668" w:rsidP="00F17668">
      <w:pPr>
        <w:spacing w:before="0" w:after="120"/>
        <w:jc w:val="both"/>
        <w:rPr>
          <w:rFonts w:ascii="Arial" w:hAnsi="Arial" w:cs="Arial"/>
          <w:bCs/>
        </w:rPr>
      </w:pPr>
      <w:r w:rsidRPr="000F531B">
        <w:rPr>
          <w:rFonts w:ascii="Arial" w:hAnsi="Arial" w:cs="Arial"/>
          <w:b/>
          <w:bCs/>
        </w:rPr>
        <w:t>Beni alimentari, per la cura della casa e della persona</w:t>
      </w:r>
      <w:r>
        <w:rPr>
          <w:rFonts w:ascii="Arial" w:hAnsi="Arial" w:cs="Arial"/>
          <w:b/>
          <w:bCs/>
        </w:rPr>
        <w:t xml:space="preserve"> (</w:t>
      </w:r>
      <w:r w:rsidRPr="00FC185A">
        <w:rPr>
          <w:rFonts w:ascii="Arial" w:hAnsi="Arial" w:cs="Arial"/>
          <w:b/>
          <w:bCs/>
        </w:rPr>
        <w:t>cos</w:t>
      </w:r>
      <w:r>
        <w:rPr>
          <w:rFonts w:ascii="Arial" w:hAnsi="Arial" w:cs="Arial"/>
          <w:b/>
          <w:bCs/>
        </w:rPr>
        <w:t>i</w:t>
      </w:r>
      <w:r w:rsidRPr="00FC185A">
        <w:rPr>
          <w:rFonts w:ascii="Arial" w:hAnsi="Arial" w:cs="Arial"/>
          <w:b/>
          <w:bCs/>
        </w:rPr>
        <w:t>ddetto "carrello della spesa"</w:t>
      </w:r>
      <w:r>
        <w:rPr>
          <w:rFonts w:ascii="Arial" w:hAnsi="Arial" w:cs="Arial"/>
          <w:b/>
          <w:bCs/>
        </w:rPr>
        <w:t>)</w:t>
      </w:r>
      <w:r w:rsidRPr="000F531B">
        <w:rPr>
          <w:rFonts w:ascii="Arial" w:hAnsi="Arial" w:cs="Arial"/>
          <w:bCs/>
        </w:rPr>
        <w:t>: includono, oltre ai beni alimentari, i beni per la pulizia e la manutenzione ordinaria della casa e i beni per l’igiene personale e pr</w:t>
      </w:r>
      <w:r>
        <w:rPr>
          <w:rFonts w:ascii="Arial" w:hAnsi="Arial" w:cs="Arial"/>
          <w:bCs/>
        </w:rPr>
        <w:t>odotti di bellezza.</w:t>
      </w:r>
    </w:p>
    <w:p w14:paraId="306D16ED" w14:textId="77777777" w:rsidR="00F17668" w:rsidRDefault="00F17668" w:rsidP="00F17668">
      <w:pPr>
        <w:spacing w:before="0" w:after="120"/>
        <w:jc w:val="both"/>
        <w:rPr>
          <w:rFonts w:ascii="Arial" w:hAnsi="Arial" w:cs="Arial"/>
          <w:bCs/>
        </w:rPr>
      </w:pPr>
      <w:r w:rsidRPr="000F531B">
        <w:rPr>
          <w:rFonts w:ascii="Arial" w:hAnsi="Arial" w:cs="Arial"/>
          <w:b/>
          <w:bCs/>
        </w:rPr>
        <w:t>Beni durevoli</w:t>
      </w:r>
      <w:r w:rsidRPr="000F531B">
        <w:rPr>
          <w:rFonts w:ascii="Arial" w:hAnsi="Arial" w:cs="Arial"/>
          <w:bCs/>
        </w:rPr>
        <w:t>: includono</w:t>
      </w:r>
      <w:r>
        <w:rPr>
          <w:rFonts w:ascii="Arial" w:hAnsi="Arial" w:cs="Arial"/>
          <w:bCs/>
        </w:rPr>
        <w:t xml:space="preserve"> i beni di trasporto, gli articoli di arredamento, gli elettrodomestici, le attrezzature sanitarie e gli apparecchi terapeutici, gli apparecchi telefonici, gli apparecchi per la ricreazione, i prodotti della gioielleria e orologeria.</w:t>
      </w:r>
    </w:p>
    <w:p w14:paraId="641553C5" w14:textId="77777777" w:rsidR="00F17668" w:rsidRDefault="00F17668" w:rsidP="00F17668">
      <w:pPr>
        <w:spacing w:before="0" w:after="120"/>
        <w:jc w:val="both"/>
        <w:rPr>
          <w:rFonts w:ascii="Arial" w:hAnsi="Arial" w:cs="Arial"/>
          <w:bCs/>
        </w:rPr>
      </w:pPr>
      <w:r w:rsidRPr="000F531B">
        <w:rPr>
          <w:rFonts w:ascii="Arial" w:hAnsi="Arial" w:cs="Arial"/>
          <w:b/>
          <w:bCs/>
        </w:rPr>
        <w:t>Beni non durevoli</w:t>
      </w:r>
      <w:r w:rsidRPr="000F531B">
        <w:rPr>
          <w:rFonts w:ascii="Arial" w:hAnsi="Arial" w:cs="Arial"/>
          <w:bCs/>
        </w:rPr>
        <w:t>: comprendono i detergenti per la pulizia della casa, i prodotti per la c</w:t>
      </w:r>
      <w:r>
        <w:rPr>
          <w:rFonts w:ascii="Arial" w:hAnsi="Arial" w:cs="Arial"/>
          <w:bCs/>
        </w:rPr>
        <w:t>ura della persona, i medicinali, i prodotti per la riparazione e manutenzione della casa, i prodotti per il giardinaggio, i giornali e periodici, gli articoli di cancelleria.</w:t>
      </w:r>
    </w:p>
    <w:p w14:paraId="213B85F5" w14:textId="77777777" w:rsidR="00F17668" w:rsidRPr="000F531B" w:rsidRDefault="00F17668" w:rsidP="00F17668">
      <w:pPr>
        <w:spacing w:before="0" w:after="120"/>
        <w:jc w:val="both"/>
        <w:rPr>
          <w:rFonts w:ascii="Arial" w:hAnsi="Arial" w:cs="Arial"/>
          <w:b/>
          <w:bCs/>
        </w:rPr>
      </w:pPr>
      <w:r w:rsidRPr="000F531B">
        <w:rPr>
          <w:rFonts w:ascii="Arial" w:hAnsi="Arial" w:cs="Arial"/>
          <w:b/>
          <w:bCs/>
        </w:rPr>
        <w:t>Beni semidurevoli</w:t>
      </w:r>
      <w:r w:rsidRPr="000F531B">
        <w:rPr>
          <w:rFonts w:ascii="Arial" w:hAnsi="Arial" w:cs="Arial"/>
          <w:bCs/>
        </w:rPr>
        <w:t>: comprendono i capi di abbigliamento, le calzature,</w:t>
      </w:r>
      <w:r>
        <w:rPr>
          <w:rFonts w:ascii="Arial" w:hAnsi="Arial" w:cs="Arial"/>
          <w:bCs/>
        </w:rPr>
        <w:t xml:space="preserve"> gli articoli tessili per la casa, la cristalleria, stoviglie e utensili domestici, i pezzi di ricambio e gli accessori per i mezzi di trasporto, gli accessori per gli apparecchi per la ricreazione, i giochi e i prodotti per gli hobby, i prodotti relativi agli effetti personali,</w:t>
      </w:r>
      <w:r w:rsidRPr="000F531B">
        <w:rPr>
          <w:rFonts w:ascii="Arial" w:hAnsi="Arial" w:cs="Arial"/>
          <w:bCs/>
        </w:rPr>
        <w:t xml:space="preserve"> i libri.</w:t>
      </w:r>
      <w:r w:rsidRPr="000F531B">
        <w:rPr>
          <w:rFonts w:ascii="Arial" w:hAnsi="Arial" w:cs="Arial"/>
          <w:b/>
          <w:bCs/>
        </w:rPr>
        <w:t xml:space="preserve"> </w:t>
      </w:r>
    </w:p>
    <w:p w14:paraId="038ED63C" w14:textId="77777777" w:rsidR="00F17668" w:rsidRPr="000F531B" w:rsidRDefault="00F17668" w:rsidP="00F17668">
      <w:pPr>
        <w:spacing w:before="0" w:after="120"/>
        <w:jc w:val="both"/>
        <w:rPr>
          <w:rFonts w:ascii="Arial" w:hAnsi="Arial" w:cs="Arial"/>
          <w:bCs/>
        </w:rPr>
      </w:pPr>
      <w:r w:rsidRPr="000F531B">
        <w:rPr>
          <w:rFonts w:ascii="Arial" w:hAnsi="Arial" w:cs="Arial"/>
          <w:b/>
          <w:bCs/>
        </w:rPr>
        <w:t>Beni energetici regolamentati</w:t>
      </w:r>
      <w:r w:rsidRPr="000F531B">
        <w:rPr>
          <w:rFonts w:ascii="Arial" w:hAnsi="Arial" w:cs="Arial"/>
          <w:bCs/>
        </w:rPr>
        <w:t xml:space="preserve">: includono le tariffe per l’energia elettrica </w:t>
      </w:r>
      <w:r>
        <w:rPr>
          <w:rFonts w:ascii="Arial" w:hAnsi="Arial" w:cs="Arial"/>
          <w:bCs/>
        </w:rPr>
        <w:t xml:space="preserve">mercato tutelato </w:t>
      </w:r>
      <w:r w:rsidRPr="000F531B">
        <w:rPr>
          <w:rFonts w:ascii="Arial" w:hAnsi="Arial" w:cs="Arial"/>
          <w:bCs/>
        </w:rPr>
        <w:t>e il gas di rete per uso domestico</w:t>
      </w:r>
      <w:r>
        <w:rPr>
          <w:rFonts w:ascii="Arial" w:hAnsi="Arial" w:cs="Arial"/>
          <w:bCs/>
        </w:rPr>
        <w:t xml:space="preserve"> mercato tutelato</w:t>
      </w:r>
      <w:r w:rsidRPr="000F531B">
        <w:rPr>
          <w:rFonts w:ascii="Arial" w:hAnsi="Arial" w:cs="Arial"/>
          <w:bCs/>
        </w:rPr>
        <w:t>.</w:t>
      </w:r>
    </w:p>
    <w:p w14:paraId="19BD6130" w14:textId="77777777" w:rsidR="00F17668" w:rsidRDefault="00F37821" w:rsidP="00F17668">
      <w:pPr>
        <w:spacing w:before="0" w:after="120"/>
        <w:jc w:val="both"/>
        <w:rPr>
          <w:rFonts w:ascii="Arial" w:hAnsi="Arial" w:cs="Arial"/>
          <w:bCs/>
        </w:rPr>
      </w:pPr>
      <w:r w:rsidRPr="001F4360">
        <w:rPr>
          <w:rFonts w:ascii="Arial" w:hAnsi="Arial" w:cs="Arial"/>
          <w:b/>
          <w:bCs/>
        </w:rPr>
        <w:t>Beni energetici non regolamentati</w:t>
      </w:r>
      <w:r w:rsidRPr="001F4360">
        <w:rPr>
          <w:rFonts w:ascii="Arial" w:hAnsi="Arial" w:cs="Arial"/>
          <w:bCs/>
        </w:rPr>
        <w:t>: comprendono i carburanti per gli autoveicoli, i lubrificanti, la ricarica elettrica per auto, i combustibili per uso domestico non regolamentati, il gas di rete per uso domestico mercato libero, l’energia elettrica mercato libero.</w:t>
      </w:r>
    </w:p>
    <w:p w14:paraId="11463A6B" w14:textId="77777777" w:rsidR="00F17668" w:rsidRPr="000F531B" w:rsidRDefault="00F17668" w:rsidP="00F17668">
      <w:pPr>
        <w:spacing w:before="0" w:after="120"/>
        <w:jc w:val="both"/>
        <w:rPr>
          <w:rFonts w:ascii="Arial" w:hAnsi="Arial" w:cs="Arial"/>
          <w:bCs/>
        </w:rPr>
      </w:pPr>
      <w:r w:rsidRPr="000F531B">
        <w:rPr>
          <w:rFonts w:ascii="Arial" w:hAnsi="Arial" w:cs="Arial"/>
          <w:b/>
          <w:bCs/>
        </w:rPr>
        <w:t>Beni regolamentati</w:t>
      </w:r>
      <w:r w:rsidRPr="000F531B">
        <w:rPr>
          <w:rFonts w:ascii="Arial" w:hAnsi="Arial" w:cs="Arial"/>
          <w:bCs/>
        </w:rPr>
        <w:t>: includono i beni energetici regolamentati e gli altri beni regolamentati.</w:t>
      </w:r>
    </w:p>
    <w:p w14:paraId="4E3BD564" w14:textId="77777777" w:rsidR="00F17668" w:rsidRPr="000F531B" w:rsidRDefault="00F17668" w:rsidP="00F17668">
      <w:pPr>
        <w:spacing w:before="0" w:after="120"/>
        <w:jc w:val="both"/>
        <w:rPr>
          <w:rFonts w:ascii="Arial" w:hAnsi="Arial" w:cs="Arial"/>
          <w:bCs/>
        </w:rPr>
      </w:pPr>
      <w:r w:rsidRPr="000F531B">
        <w:rPr>
          <w:rFonts w:ascii="Arial" w:hAnsi="Arial" w:cs="Arial"/>
          <w:b/>
          <w:bCs/>
        </w:rPr>
        <w:t>COICOP</w:t>
      </w:r>
      <w:r w:rsidRPr="000F531B">
        <w:rPr>
          <w:rFonts w:ascii="Arial" w:hAnsi="Arial" w:cs="Arial"/>
          <w:bCs/>
        </w:rPr>
        <w:t>: classificazione dei consumi individuali secondo l’utilizzo finale</w:t>
      </w:r>
      <w:r>
        <w:rPr>
          <w:rFonts w:ascii="Arial" w:hAnsi="Arial" w:cs="Arial"/>
          <w:bCs/>
        </w:rPr>
        <w:t>.</w:t>
      </w:r>
    </w:p>
    <w:p w14:paraId="687631D8" w14:textId="77777777" w:rsidR="00F17668" w:rsidRPr="000F531B" w:rsidRDefault="00F17668" w:rsidP="00F17668">
      <w:pPr>
        <w:spacing w:before="0" w:after="120"/>
        <w:jc w:val="both"/>
        <w:rPr>
          <w:rFonts w:ascii="Arial" w:hAnsi="Arial" w:cs="Arial"/>
        </w:rPr>
      </w:pPr>
      <w:r w:rsidRPr="000F531B">
        <w:rPr>
          <w:rFonts w:ascii="Arial" w:hAnsi="Arial" w:cs="Arial"/>
          <w:b/>
        </w:rPr>
        <w:t>Componente di fondo</w:t>
      </w:r>
      <w:r w:rsidRPr="000F531B">
        <w:rPr>
          <w:rFonts w:ascii="Arial" w:hAnsi="Arial" w:cs="Arial"/>
        </w:rPr>
        <w:t xml:space="preserve">: viene calcolata escludendo i beni alimentari non lavorati e i beni energetici. </w:t>
      </w:r>
    </w:p>
    <w:p w14:paraId="1963277A" w14:textId="77777777" w:rsidR="00F17668" w:rsidRPr="000F531B" w:rsidRDefault="00F17668" w:rsidP="00F17668">
      <w:pPr>
        <w:spacing w:before="0" w:after="120"/>
        <w:jc w:val="both"/>
        <w:rPr>
          <w:rFonts w:ascii="Arial" w:hAnsi="Arial" w:cs="Arial"/>
          <w:bCs/>
        </w:rPr>
      </w:pPr>
      <w:r w:rsidRPr="000F531B">
        <w:rPr>
          <w:rFonts w:ascii="Arial" w:hAnsi="Arial" w:cs="Arial"/>
          <w:b/>
          <w:bCs/>
        </w:rPr>
        <w:t>Contributo alla variazione tendenziale dell’indice generale</w:t>
      </w:r>
      <w:r w:rsidRPr="000F531B">
        <w:rPr>
          <w:rFonts w:ascii="Arial" w:hAnsi="Arial" w:cs="Arial"/>
          <w:bCs/>
        </w:rPr>
        <w:t>: permette di valutare l’incidenza delle variazioni di prezzo delle singole componenti sull’aumento o sulla diminuzione dell’indice aggregato. A tal fine, il tasso di variazione tendenziale dell’indice generale viene scomposto nella somma degli effetti attribuibili a ciascuna delle variazioni delle sue componenti. Poiché si tratta di un indice concatenato, il contributo della componente i-esima alla variazione dell’indice generale è funzione della dinamica di prezzo di tale componente e della modifica del suo peso relativo nei due anni a confronto. I contributi alla variazione tendenziale dell’indice generale sono calcolati a partire dagli indici elementari di prezzo dei prodotti del paniere di riferimento. Per effetto degli arrotondamenti, la loro somma può differire dalla variazione dell’indice generale.</w:t>
      </w:r>
    </w:p>
    <w:p w14:paraId="0BEE3E67" w14:textId="77777777" w:rsidR="00F17668" w:rsidRPr="000F531B" w:rsidRDefault="00F17668" w:rsidP="00F17668">
      <w:pPr>
        <w:spacing w:before="0" w:after="120"/>
        <w:jc w:val="both"/>
        <w:rPr>
          <w:rFonts w:ascii="Arial" w:hAnsi="Arial" w:cs="Arial"/>
          <w:b/>
          <w:bCs/>
        </w:rPr>
      </w:pPr>
      <w:hyperlink r:id="rId32" w:history="1">
        <w:r w:rsidRPr="00C55AE4">
          <w:rPr>
            <w:rStyle w:val="Collegamentoipertestuale"/>
            <w:rFonts w:ascii="Arial" w:hAnsi="Arial" w:cs="Arial"/>
            <w:b/>
            <w:bCs/>
          </w:rPr>
          <w:t>ECOICOP</w:t>
        </w:r>
      </w:hyperlink>
      <w:r>
        <w:rPr>
          <w:rFonts w:ascii="Arial" w:hAnsi="Arial" w:cs="Arial"/>
          <w:bCs/>
        </w:rPr>
        <w:t xml:space="preserve">: </w:t>
      </w:r>
      <w:r w:rsidRPr="000F531B">
        <w:rPr>
          <w:rFonts w:ascii="Arial" w:hAnsi="Arial" w:cs="Arial"/>
          <w:bCs/>
        </w:rPr>
        <w:t>classificazione europea dei consumi individuali secondo l’utilizzo finale</w:t>
      </w:r>
      <w:r w:rsidRPr="00C55AE4">
        <w:rPr>
          <w:rFonts w:ascii="Arial" w:hAnsi="Arial" w:cs="Arial"/>
          <w:bCs/>
        </w:rPr>
        <w:t>, che prevede un livello di dettaglio (le sottoclassi) maggiore rispetto alla COICOP.</w:t>
      </w:r>
    </w:p>
    <w:p w14:paraId="4DDCA90B" w14:textId="77777777" w:rsidR="00F17668" w:rsidRDefault="00F17668" w:rsidP="00F17668">
      <w:pPr>
        <w:spacing w:before="0" w:after="120"/>
        <w:jc w:val="both"/>
        <w:rPr>
          <w:rFonts w:ascii="Arial" w:hAnsi="Arial" w:cs="Arial"/>
          <w:bCs/>
        </w:rPr>
      </w:pPr>
      <w:r w:rsidRPr="000F531B">
        <w:rPr>
          <w:rFonts w:ascii="Arial" w:hAnsi="Arial" w:cs="Arial"/>
          <w:b/>
          <w:bCs/>
        </w:rPr>
        <w:t>FOI</w:t>
      </w:r>
      <w:r w:rsidRPr="000F531B">
        <w:rPr>
          <w:rFonts w:ascii="Arial" w:hAnsi="Arial" w:cs="Arial"/>
          <w:bCs/>
        </w:rPr>
        <w:t>: indice nazionale dei prezzi al consumo per le famiglie di operai e impiegati.</w:t>
      </w:r>
    </w:p>
    <w:p w14:paraId="254DEA9B" w14:textId="77777777" w:rsidR="00F17668" w:rsidRDefault="00F17668" w:rsidP="00F17668">
      <w:pPr>
        <w:spacing w:before="0" w:after="120"/>
        <w:jc w:val="both"/>
        <w:rPr>
          <w:rFonts w:ascii="Arial" w:hAnsi="Arial" w:cs="Arial"/>
          <w:bCs/>
        </w:rPr>
      </w:pPr>
      <w:r w:rsidRPr="00C96343">
        <w:rPr>
          <w:rFonts w:ascii="Arial" w:hAnsi="Arial" w:cs="Arial"/>
          <w:b/>
          <w:bCs/>
        </w:rPr>
        <w:t>Inflazione</w:t>
      </w:r>
      <w:r w:rsidRPr="00C96343">
        <w:rPr>
          <w:rFonts w:ascii="Arial" w:hAnsi="Arial" w:cs="Arial"/>
          <w:bCs/>
        </w:rPr>
        <w:t>: misura le variazioni nel tempo dei prezzi di un insieme di prodotti (paniere) rappresentativo di tutti i beni e servizi destinati al consumo finale delle famiglie, acquistabili sul mercato attraverso transazioni monetarie.</w:t>
      </w:r>
    </w:p>
    <w:p w14:paraId="392E0D75" w14:textId="77777777" w:rsidR="00F37821" w:rsidRDefault="00F37821" w:rsidP="00F37821">
      <w:pPr>
        <w:spacing w:before="0" w:after="120"/>
        <w:jc w:val="both"/>
        <w:rPr>
          <w:rFonts w:ascii="Arial" w:hAnsi="Arial" w:cs="Arial"/>
          <w:bCs/>
        </w:rPr>
      </w:pPr>
      <w:r w:rsidRPr="000F531B">
        <w:rPr>
          <w:rFonts w:ascii="Arial" w:hAnsi="Arial" w:cs="Arial"/>
          <w:b/>
          <w:bCs/>
        </w:rPr>
        <w:t>Inflazione acquisita</w:t>
      </w:r>
      <w:r w:rsidRPr="000F531B">
        <w:rPr>
          <w:rFonts w:ascii="Arial" w:hAnsi="Arial" w:cs="Arial"/>
          <w:bCs/>
        </w:rPr>
        <w:t xml:space="preserve">: rappresenta la variazione media dell’indice nell’anno indicato, che si avrebbe ipotizzando che l’indice stesso rimanga al medesimo livello dell’ultimo dato mensile disponibile nella restante parte dell’anno. </w:t>
      </w:r>
    </w:p>
    <w:p w14:paraId="36C7107B" w14:textId="77777777" w:rsidR="00F37821" w:rsidRPr="005863C9" w:rsidRDefault="00F37821" w:rsidP="00F37821">
      <w:pPr>
        <w:spacing w:before="0" w:after="120"/>
        <w:jc w:val="both"/>
        <w:rPr>
          <w:rFonts w:ascii="Arial" w:hAnsi="Arial" w:cs="Arial"/>
          <w:bCs/>
        </w:rPr>
      </w:pPr>
      <w:r>
        <w:rPr>
          <w:rFonts w:ascii="Arial" w:hAnsi="Arial" w:cs="Arial"/>
          <w:b/>
          <w:bCs/>
        </w:rPr>
        <w:t>I</w:t>
      </w:r>
      <w:r w:rsidRPr="005863C9">
        <w:rPr>
          <w:rFonts w:ascii="Arial" w:hAnsi="Arial" w:cs="Arial"/>
          <w:b/>
          <w:bCs/>
        </w:rPr>
        <w:t>nflazione “ereditat</w:t>
      </w:r>
      <w:r>
        <w:rPr>
          <w:rFonts w:ascii="Arial" w:hAnsi="Arial" w:cs="Arial"/>
          <w:b/>
          <w:bCs/>
        </w:rPr>
        <w:t>a</w:t>
      </w:r>
      <w:r w:rsidRPr="005863C9">
        <w:rPr>
          <w:rFonts w:ascii="Arial" w:hAnsi="Arial" w:cs="Arial"/>
          <w:b/>
          <w:bCs/>
        </w:rPr>
        <w:t>” nell’anno t dall’anno t-1</w:t>
      </w:r>
      <w:r w:rsidRPr="005863C9">
        <w:rPr>
          <w:rFonts w:ascii="Arial" w:hAnsi="Arial" w:cs="Arial"/>
          <w:bCs/>
        </w:rPr>
        <w:t xml:space="preserve">: variazione percentuale misurata tra il mese di dicembre dell’anno t-1 e la media dell’anno t-1. </w:t>
      </w:r>
      <w:r>
        <w:rPr>
          <w:rFonts w:ascii="Arial" w:hAnsi="Arial" w:cs="Arial"/>
          <w:bCs/>
        </w:rPr>
        <w:t>In altre parole, se nel corso dell’anno t non si verificassero variazioni congiunturali dell’indice generale dei prezzi, la sua variazione media annua risulterebbe pari all’inflazione ereditata.</w:t>
      </w:r>
    </w:p>
    <w:p w14:paraId="0DD00365" w14:textId="77777777" w:rsidR="00F37821" w:rsidRDefault="00F37821" w:rsidP="00F37821">
      <w:pPr>
        <w:spacing w:before="0" w:after="120"/>
        <w:jc w:val="both"/>
        <w:rPr>
          <w:rFonts w:ascii="Arial" w:hAnsi="Arial" w:cs="Arial"/>
          <w:bCs/>
        </w:rPr>
      </w:pPr>
      <w:r>
        <w:rPr>
          <w:rFonts w:ascii="Arial" w:hAnsi="Arial" w:cs="Arial"/>
          <w:b/>
          <w:bCs/>
        </w:rPr>
        <w:t>Inflazione “propria</w:t>
      </w:r>
      <w:r w:rsidRPr="005863C9">
        <w:rPr>
          <w:rFonts w:ascii="Arial" w:hAnsi="Arial" w:cs="Arial"/>
          <w:b/>
          <w:bCs/>
        </w:rPr>
        <w:t>” dell’anno t</w:t>
      </w:r>
      <w:r w:rsidRPr="005863C9">
        <w:rPr>
          <w:rFonts w:ascii="Arial" w:hAnsi="Arial" w:cs="Arial"/>
          <w:bCs/>
        </w:rPr>
        <w:t xml:space="preserve">: variazione percentuale misurata tra la media dell’anno t e il dicembre dell’anno t-1. </w:t>
      </w:r>
      <w:r>
        <w:rPr>
          <w:rFonts w:ascii="Arial" w:hAnsi="Arial" w:cs="Arial"/>
          <w:bCs/>
        </w:rPr>
        <w:t>Essa rappresenta la variazione dell’indice generale dovuta alle variazioni di prezzo verificatesi nel corso dell’anno t.</w:t>
      </w:r>
    </w:p>
    <w:p w14:paraId="001F02D3" w14:textId="77777777" w:rsidR="00F17668" w:rsidRDefault="00F17668" w:rsidP="00F17668">
      <w:pPr>
        <w:spacing w:before="0" w:after="120"/>
        <w:jc w:val="both"/>
        <w:rPr>
          <w:rFonts w:ascii="Arial" w:hAnsi="Arial" w:cs="Arial"/>
          <w:bCs/>
        </w:rPr>
      </w:pPr>
    </w:p>
    <w:p w14:paraId="40BC16EB" w14:textId="77777777" w:rsidR="00D93855" w:rsidRPr="000F531B" w:rsidRDefault="00D93855" w:rsidP="00F17668">
      <w:pPr>
        <w:spacing w:before="0" w:after="120"/>
        <w:jc w:val="both"/>
        <w:rPr>
          <w:rFonts w:ascii="Arial" w:hAnsi="Arial" w:cs="Arial"/>
          <w:bCs/>
        </w:rPr>
      </w:pPr>
    </w:p>
    <w:p w14:paraId="0AC80D0B" w14:textId="77777777" w:rsidR="00F17668" w:rsidRPr="000F531B" w:rsidRDefault="00F17668" w:rsidP="00F17668">
      <w:pPr>
        <w:spacing w:before="0" w:after="120"/>
        <w:jc w:val="both"/>
        <w:rPr>
          <w:rFonts w:ascii="Arial" w:hAnsi="Arial" w:cs="Arial"/>
          <w:bCs/>
        </w:rPr>
      </w:pPr>
      <w:r w:rsidRPr="000F531B">
        <w:rPr>
          <w:rFonts w:ascii="Arial" w:hAnsi="Arial" w:cs="Arial"/>
          <w:b/>
          <w:bCs/>
        </w:rPr>
        <w:t>IPCA</w:t>
      </w:r>
      <w:r w:rsidRPr="000F531B">
        <w:rPr>
          <w:rFonts w:ascii="Arial" w:hAnsi="Arial" w:cs="Arial"/>
          <w:bCs/>
        </w:rPr>
        <w:t>: indice armonizzato dei prezzi al consumo per i Paesi dell’Unione europea.</w:t>
      </w:r>
    </w:p>
    <w:p w14:paraId="37A90E6D" w14:textId="77777777" w:rsidR="00F17668" w:rsidRPr="000F531B" w:rsidRDefault="00F17668" w:rsidP="00F17668">
      <w:pPr>
        <w:spacing w:before="0" w:after="120"/>
        <w:jc w:val="both"/>
        <w:rPr>
          <w:rFonts w:ascii="Arial" w:hAnsi="Arial" w:cs="Arial"/>
          <w:bCs/>
        </w:rPr>
      </w:pPr>
      <w:r w:rsidRPr="000F531B">
        <w:rPr>
          <w:rFonts w:ascii="Arial" w:hAnsi="Arial" w:cs="Arial"/>
          <w:b/>
          <w:bCs/>
        </w:rPr>
        <w:t>IPCA-AS</w:t>
      </w:r>
      <w:r w:rsidRPr="000F531B">
        <w:rPr>
          <w:rFonts w:ascii="Arial" w:hAnsi="Arial" w:cs="Arial"/>
          <w:bCs/>
        </w:rPr>
        <w:t>: indici armonizzati dei prezzi al consumo per aggregati speciali</w:t>
      </w:r>
      <w:r>
        <w:rPr>
          <w:rFonts w:ascii="Arial" w:hAnsi="Arial" w:cs="Arial"/>
          <w:bCs/>
        </w:rPr>
        <w:t xml:space="preserve"> s</w:t>
      </w:r>
      <w:r w:rsidRPr="000F531B">
        <w:rPr>
          <w:rFonts w:ascii="Arial" w:hAnsi="Arial" w:cs="Arial"/>
          <w:bCs/>
        </w:rPr>
        <w:t xml:space="preserve">ono indicatori costruiti secondo uno schema classificatorio </w:t>
      </w:r>
      <w:r>
        <w:rPr>
          <w:rFonts w:ascii="Arial" w:hAnsi="Arial" w:cs="Arial"/>
          <w:bCs/>
        </w:rPr>
        <w:t>diverso</w:t>
      </w:r>
      <w:r w:rsidRPr="000F531B">
        <w:rPr>
          <w:rFonts w:ascii="Arial" w:hAnsi="Arial" w:cs="Arial"/>
          <w:bCs/>
        </w:rPr>
        <w:t xml:space="preserve"> </w:t>
      </w:r>
      <w:r>
        <w:rPr>
          <w:rFonts w:ascii="Arial" w:hAnsi="Arial" w:cs="Arial"/>
          <w:bCs/>
        </w:rPr>
        <w:t>d</w:t>
      </w:r>
      <w:r w:rsidRPr="000F531B">
        <w:rPr>
          <w:rFonts w:ascii="Arial" w:hAnsi="Arial" w:cs="Arial"/>
          <w:bCs/>
        </w:rPr>
        <w:t>alla ECOICOP-IPCA e da quello utilizzato per gli indici NIC per tipologia di prodotto. L</w:t>
      </w:r>
      <w:r>
        <w:rPr>
          <w:rFonts w:ascii="Arial" w:hAnsi="Arial" w:cs="Arial"/>
          <w:bCs/>
        </w:rPr>
        <w:t>a struttura</w:t>
      </w:r>
      <w:r w:rsidRPr="000F531B">
        <w:rPr>
          <w:rFonts w:ascii="Arial" w:hAnsi="Arial" w:cs="Arial"/>
          <w:bCs/>
        </w:rPr>
        <w:t xml:space="preserve"> di classificazione </w:t>
      </w:r>
      <w:r>
        <w:rPr>
          <w:rFonts w:ascii="Arial" w:hAnsi="Arial" w:cs="Arial"/>
          <w:bCs/>
        </w:rPr>
        <w:t>e le procedure</w:t>
      </w:r>
      <w:r w:rsidRPr="000F531B">
        <w:rPr>
          <w:rFonts w:ascii="Arial" w:hAnsi="Arial" w:cs="Arial"/>
          <w:bCs/>
        </w:rPr>
        <w:t xml:space="preserve"> di calcolo sono comuni a quell</w:t>
      </w:r>
      <w:r>
        <w:rPr>
          <w:rFonts w:ascii="Arial" w:hAnsi="Arial" w:cs="Arial"/>
          <w:bCs/>
        </w:rPr>
        <w:t>e</w:t>
      </w:r>
      <w:r w:rsidRPr="000F531B">
        <w:rPr>
          <w:rFonts w:ascii="Arial" w:hAnsi="Arial" w:cs="Arial"/>
          <w:bCs/>
        </w:rPr>
        <w:t xml:space="preserve"> </w:t>
      </w:r>
      <w:r w:rsidRPr="000F531B">
        <w:rPr>
          <w:rFonts w:ascii="Arial" w:hAnsi="Arial" w:cs="Arial"/>
        </w:rPr>
        <w:t>utilizzat</w:t>
      </w:r>
      <w:r>
        <w:rPr>
          <w:rFonts w:ascii="Arial" w:hAnsi="Arial" w:cs="Arial"/>
        </w:rPr>
        <w:t>e</w:t>
      </w:r>
      <w:r w:rsidRPr="000F531B">
        <w:rPr>
          <w:rFonts w:ascii="Arial" w:hAnsi="Arial" w:cs="Arial"/>
        </w:rPr>
        <w:t xml:space="preserve"> da Eurostat</w:t>
      </w:r>
      <w:r>
        <w:rPr>
          <w:rFonts w:ascii="Arial" w:hAnsi="Arial" w:cs="Arial"/>
        </w:rPr>
        <w:t xml:space="preserve"> e ne condividono le innovazioni di carattere metodologico</w:t>
      </w:r>
      <w:r w:rsidRPr="000F531B">
        <w:rPr>
          <w:rFonts w:ascii="Arial" w:hAnsi="Arial" w:cs="Arial"/>
        </w:rPr>
        <w:t>.</w:t>
      </w:r>
      <w:r>
        <w:rPr>
          <w:rFonts w:ascii="Arial" w:hAnsi="Arial" w:cs="Arial"/>
        </w:rPr>
        <w:t xml:space="preserve"> In particolare, dalla diffusione degli indici definitivi di gennaio 2019 cambia il metodo di calcolo degli aggregati speciali dell’IPCA che sono ottenuti aggregando gli indici delle sottoclassi della ECOICOP (in precedenza, per il computo di questi indicatori erano utilizzati gli indici delle classi).</w:t>
      </w:r>
      <w:r w:rsidRPr="000F531B">
        <w:rPr>
          <w:rFonts w:ascii="Arial" w:hAnsi="Arial" w:cs="Arial"/>
          <w:bCs/>
        </w:rPr>
        <w:t xml:space="preserve"> </w:t>
      </w:r>
      <w:r>
        <w:rPr>
          <w:rFonts w:ascii="Arial" w:hAnsi="Arial" w:cs="Arial"/>
          <w:bCs/>
        </w:rPr>
        <w:t>Per una migliore fruibilità dei nuovi indicatori, le serie degli aggregati speciali, secondo il nuovo schema, sono state ricostruite per il periodo gennaio 2017 - dicembre 2018 e sostituiscono, per l’intervallo temporale in questione, quelle precedentemente diffuse, basate sulla vecchia metodologia di calcolo</w:t>
      </w:r>
      <w:r w:rsidRPr="000F531B">
        <w:rPr>
          <w:rFonts w:ascii="Arial" w:hAnsi="Arial" w:cs="Arial"/>
        </w:rPr>
        <w:t>.</w:t>
      </w:r>
      <w:r w:rsidRPr="000F531B">
        <w:rPr>
          <w:rFonts w:ascii="Arial" w:hAnsi="Arial" w:cs="Arial"/>
          <w:bCs/>
        </w:rPr>
        <w:t xml:space="preserve"> </w:t>
      </w:r>
    </w:p>
    <w:p w14:paraId="13600452" w14:textId="77777777" w:rsidR="00654311" w:rsidRPr="000F531B" w:rsidRDefault="00F17668" w:rsidP="00654311">
      <w:pPr>
        <w:spacing w:before="0" w:after="120"/>
        <w:jc w:val="both"/>
        <w:rPr>
          <w:rFonts w:ascii="Arial" w:hAnsi="Arial" w:cs="Arial"/>
          <w:bCs/>
        </w:rPr>
      </w:pPr>
      <w:r w:rsidRPr="000F531B">
        <w:rPr>
          <w:rFonts w:ascii="Arial" w:hAnsi="Arial" w:cs="Arial"/>
          <w:b/>
          <w:bCs/>
        </w:rPr>
        <w:t>IPCA-TC</w:t>
      </w:r>
      <w:r w:rsidRPr="000F531B">
        <w:rPr>
          <w:rFonts w:ascii="Arial" w:hAnsi="Arial" w:cs="Arial"/>
          <w:bCs/>
        </w:rPr>
        <w:t>: indice armonizzato dei prezzi al consumo a tassazione costante per i Paesi dell’Unione europea.</w:t>
      </w:r>
      <w:r w:rsidR="00654311">
        <w:rPr>
          <w:rFonts w:ascii="Arial" w:hAnsi="Arial" w:cs="Arial"/>
          <w:bCs/>
        </w:rPr>
        <w:t xml:space="preserve"> Viene calcolato escludendo l’impatto (teorico) delle variazioni delle imposte indirette sui prezzi al consumo</w:t>
      </w:r>
      <w:r w:rsidR="00654311" w:rsidRPr="000F531B">
        <w:rPr>
          <w:rFonts w:ascii="Arial" w:hAnsi="Arial" w:cs="Arial"/>
          <w:bCs/>
        </w:rPr>
        <w:t>.</w:t>
      </w:r>
    </w:p>
    <w:p w14:paraId="3EA40CC8" w14:textId="77777777" w:rsidR="00F17668" w:rsidRPr="000F531B" w:rsidRDefault="00F17668" w:rsidP="00F17668">
      <w:pPr>
        <w:spacing w:before="0" w:after="120"/>
        <w:jc w:val="both"/>
        <w:rPr>
          <w:rFonts w:ascii="Arial" w:hAnsi="Arial" w:cs="Arial"/>
        </w:rPr>
      </w:pPr>
      <w:r w:rsidRPr="000F531B">
        <w:rPr>
          <w:rFonts w:ascii="Arial" w:hAnsi="Arial" w:cs="Arial"/>
          <w:b/>
        </w:rPr>
        <w:t>NIC</w:t>
      </w:r>
      <w:r w:rsidRPr="000F531B">
        <w:rPr>
          <w:rFonts w:ascii="Arial" w:hAnsi="Arial" w:cs="Arial"/>
        </w:rPr>
        <w:t>: indice nazionale dei prezzi al consumo per l’intera collettività.</w:t>
      </w:r>
    </w:p>
    <w:p w14:paraId="368B3517" w14:textId="77777777" w:rsidR="00F17668" w:rsidRPr="000F531B" w:rsidRDefault="00F17668" w:rsidP="00F17668">
      <w:pPr>
        <w:widowControl/>
        <w:overflowPunct/>
        <w:autoSpaceDE/>
        <w:adjustRightInd/>
        <w:spacing w:before="0" w:after="120"/>
        <w:jc w:val="both"/>
        <w:rPr>
          <w:rFonts w:ascii="Arial" w:hAnsi="Arial" w:cs="Arial"/>
        </w:rPr>
      </w:pPr>
      <w:r w:rsidRPr="000F531B">
        <w:rPr>
          <w:rFonts w:ascii="Arial" w:hAnsi="Arial" w:cs="Arial"/>
          <w:b/>
        </w:rPr>
        <w:t>Prodotti ad alta frequenza di acquisto</w:t>
      </w:r>
      <w:r w:rsidRPr="000F531B">
        <w:rPr>
          <w:rFonts w:ascii="Arial" w:hAnsi="Arial" w:cs="Arial"/>
        </w:rPr>
        <w:t>: includono, oltre ai generi alimentari, le bevande alcoliche e analcoliche, i tabacchi, le spese per l’affitto, i beni non durevoli per la casa, i servizi per la pulizia e manutenzione della casa, i carburanti, i trasporti urbani, i giornali e i periodici, i servizi di ristorazione, le spese di assistenza.</w:t>
      </w:r>
    </w:p>
    <w:p w14:paraId="1580846E" w14:textId="77777777" w:rsidR="00F17668" w:rsidRPr="000F531B" w:rsidRDefault="00F17668" w:rsidP="00F17668">
      <w:pPr>
        <w:spacing w:before="0" w:after="120"/>
        <w:ind w:right="38"/>
        <w:jc w:val="both"/>
        <w:rPr>
          <w:rFonts w:ascii="Arial" w:hAnsi="Arial" w:cs="Arial"/>
        </w:rPr>
      </w:pPr>
      <w:r w:rsidRPr="000F531B">
        <w:rPr>
          <w:rFonts w:ascii="Arial" w:hAnsi="Arial" w:cs="Arial"/>
          <w:b/>
        </w:rPr>
        <w:t>Prodotti a media frequenza</w:t>
      </w:r>
      <w:r w:rsidRPr="000F531B">
        <w:rPr>
          <w:rFonts w:ascii="Arial" w:hAnsi="Arial" w:cs="Arial"/>
        </w:rPr>
        <w:t xml:space="preserve"> </w:t>
      </w:r>
      <w:r w:rsidRPr="000F531B">
        <w:rPr>
          <w:rFonts w:ascii="Arial" w:hAnsi="Arial" w:cs="Arial"/>
          <w:b/>
        </w:rPr>
        <w:t>di acquisto</w:t>
      </w:r>
      <w:r w:rsidRPr="000F531B">
        <w:rPr>
          <w:rFonts w:ascii="Arial" w:hAnsi="Arial" w:cs="Arial"/>
        </w:rPr>
        <w:t xml:space="preserve">: comprendono, </w:t>
      </w:r>
      <w:r w:rsidRPr="00642DBC">
        <w:rPr>
          <w:rFonts w:ascii="Arial" w:hAnsi="Arial" w:cs="Arial"/>
        </w:rPr>
        <w:t>tra gli altri,</w:t>
      </w:r>
      <w:r w:rsidRPr="000F531B">
        <w:rPr>
          <w:rFonts w:ascii="Arial" w:hAnsi="Arial" w:cs="Arial"/>
        </w:rPr>
        <w:t xml:space="preserve"> le spese di abbigliamento, le tariffe elettriche e quelle relative all’acqua potabile e lo smaltimento dei rifiuti, i medicinali, i servizi medici e quelli dentistici, i trasporti stradali, ferroviari marittimi e aerei, i servizi postali e telefonici, i servizi ricreativi e culturali, i pacchetti vacanze, i libri, gli alberghi e gli altri servizi di alloggio.</w:t>
      </w:r>
    </w:p>
    <w:p w14:paraId="7E6537F7" w14:textId="77777777" w:rsidR="00F17668" w:rsidRPr="000F531B" w:rsidRDefault="00F17668" w:rsidP="00F17668">
      <w:pPr>
        <w:spacing w:before="0" w:after="120"/>
        <w:jc w:val="both"/>
        <w:rPr>
          <w:rFonts w:ascii="Arial" w:hAnsi="Arial" w:cs="Arial"/>
        </w:rPr>
      </w:pPr>
      <w:r w:rsidRPr="000F531B">
        <w:rPr>
          <w:rFonts w:ascii="Arial" w:hAnsi="Arial" w:cs="Arial"/>
          <w:b/>
        </w:rPr>
        <w:t>Prodotti a bassa frequenza di acquisto</w:t>
      </w:r>
      <w:r w:rsidRPr="000F531B">
        <w:rPr>
          <w:rFonts w:ascii="Arial" w:hAnsi="Arial" w:cs="Arial"/>
        </w:rPr>
        <w:t>: comprendono gli elettrodomestici, i servizi ospedalieri, l’acquisto dei mezzi di trasporto, i servizi di trasloco, gli apparecchi audiovisivi, fotografici e informatici, gli articoli sportivi.</w:t>
      </w:r>
    </w:p>
    <w:p w14:paraId="0C20EDED" w14:textId="77777777" w:rsidR="00F17668" w:rsidRDefault="00F17668" w:rsidP="00F17668">
      <w:pPr>
        <w:spacing w:before="0" w:after="120"/>
        <w:jc w:val="both"/>
        <w:rPr>
          <w:rFonts w:ascii="Arial" w:hAnsi="Arial" w:cs="Arial"/>
        </w:rPr>
      </w:pPr>
      <w:r w:rsidRPr="000F531B">
        <w:rPr>
          <w:rFonts w:ascii="Arial" w:hAnsi="Arial" w:cs="Arial"/>
          <w:b/>
        </w:rPr>
        <w:t>Servizi regolamentati</w:t>
      </w:r>
      <w:r w:rsidRPr="000F531B">
        <w:rPr>
          <w:rFonts w:ascii="Arial" w:hAnsi="Arial" w:cs="Arial"/>
        </w:rPr>
        <w:t xml:space="preserve">: tipologie di servizio i cui prezzi sono stabiliti da amministrazioni nazionali o locali e da servizi di pubblica utilità soggetti a regolamentazione da parte di specifiche Agenzie (Authority). Comprendono i certificati, </w:t>
      </w:r>
      <w:r>
        <w:rPr>
          <w:rFonts w:ascii="Arial" w:hAnsi="Arial" w:cs="Arial"/>
        </w:rPr>
        <w:t>i documenti di riconoscimento</w:t>
      </w:r>
      <w:r w:rsidRPr="000F531B">
        <w:rPr>
          <w:rFonts w:ascii="Arial" w:hAnsi="Arial" w:cs="Arial"/>
        </w:rPr>
        <w:t xml:space="preserve">, la tariffa per i rifiuti solidi, la tariffa per la raccolta di acque reflue, l’istruzione secondaria, le mense scolastiche, i trasporti urbani unimodali e multimodali (biglietti e abbonamenti), il trasporto extra-urbano su bus e multimodale, i taxi, i trasporti ferroviari regionali, i pedaggi autostradali, </w:t>
      </w:r>
      <w:r>
        <w:rPr>
          <w:rFonts w:ascii="Arial" w:hAnsi="Arial" w:cs="Arial"/>
        </w:rPr>
        <w:t>i musei, i giochi lotterie e scommesse, la revisione auto, alcuni servizi postali, i nidi d’infanzia comunali, i servizi di alloggio universitario.</w:t>
      </w:r>
    </w:p>
    <w:p w14:paraId="665465DA" w14:textId="77777777" w:rsidR="00F17668" w:rsidRDefault="00F17668" w:rsidP="00F17668">
      <w:pPr>
        <w:spacing w:before="0" w:after="120"/>
        <w:jc w:val="both"/>
        <w:rPr>
          <w:rFonts w:ascii="Arial" w:hAnsi="Arial" w:cs="Arial"/>
        </w:rPr>
      </w:pPr>
      <w:r w:rsidRPr="000F531B">
        <w:rPr>
          <w:rFonts w:ascii="Arial" w:hAnsi="Arial" w:cs="Arial"/>
          <w:b/>
        </w:rPr>
        <w:t>Servizi relativi ai trasporti</w:t>
      </w:r>
      <w:r w:rsidRPr="000F531B">
        <w:rPr>
          <w:rFonts w:ascii="Arial" w:hAnsi="Arial" w:cs="Arial"/>
        </w:rPr>
        <w:t>: comprendono i traspor</w:t>
      </w:r>
      <w:r>
        <w:rPr>
          <w:rFonts w:ascii="Arial" w:hAnsi="Arial" w:cs="Arial"/>
        </w:rPr>
        <w:t>ti aerei, marittimi, ferroviari</w:t>
      </w:r>
      <w:r w:rsidRPr="000F531B">
        <w:rPr>
          <w:rFonts w:ascii="Arial" w:hAnsi="Arial" w:cs="Arial"/>
        </w:rPr>
        <w:t xml:space="preserve"> e stradali, i servizi di manutenzione e riparazione di mezzi di trasporto, le assicurazioni sui mezzi di trasporto.</w:t>
      </w:r>
    </w:p>
    <w:p w14:paraId="4ED44458" w14:textId="77777777" w:rsidR="00F17668" w:rsidRDefault="00F17668" w:rsidP="00F17668">
      <w:pPr>
        <w:spacing w:before="0" w:after="120"/>
        <w:jc w:val="both"/>
        <w:rPr>
          <w:rFonts w:ascii="Arial" w:hAnsi="Arial" w:cs="Arial"/>
        </w:rPr>
      </w:pPr>
      <w:r w:rsidRPr="000F531B">
        <w:rPr>
          <w:rFonts w:ascii="Arial" w:hAnsi="Arial" w:cs="Arial"/>
          <w:b/>
        </w:rPr>
        <w:t>Servizi relativi all’abitazione</w:t>
      </w:r>
      <w:r w:rsidRPr="000F531B">
        <w:rPr>
          <w:rFonts w:ascii="Arial" w:hAnsi="Arial" w:cs="Arial"/>
        </w:rPr>
        <w:t>: comprendono i servizi di riparazione, la pulizia e la manutenzione della casa, la tariffa per i rifiuti solidi, la tariffa per la raccolta acque reflue, il canone d</w:t>
      </w:r>
      <w:r>
        <w:rPr>
          <w:rFonts w:ascii="Arial" w:hAnsi="Arial" w:cs="Arial"/>
        </w:rPr>
        <w:t>’affitto, le spese condominiali, i servizi assicurativi connessi all’abitazione.</w:t>
      </w:r>
    </w:p>
    <w:p w14:paraId="404ED03E" w14:textId="77777777" w:rsidR="00F17668" w:rsidRPr="000F531B" w:rsidRDefault="00F17668" w:rsidP="00F17668">
      <w:pPr>
        <w:spacing w:before="0" w:after="120"/>
        <w:jc w:val="both"/>
        <w:rPr>
          <w:rFonts w:ascii="Arial" w:hAnsi="Arial" w:cs="Arial"/>
        </w:rPr>
      </w:pPr>
      <w:r w:rsidRPr="000F531B">
        <w:rPr>
          <w:rFonts w:ascii="Arial" w:hAnsi="Arial" w:cs="Arial"/>
          <w:b/>
        </w:rPr>
        <w:t>Servizi relativi alle comunicazioni</w:t>
      </w:r>
      <w:r w:rsidRPr="000F531B">
        <w:rPr>
          <w:rFonts w:ascii="Arial" w:hAnsi="Arial" w:cs="Arial"/>
        </w:rPr>
        <w:t>: comprendono i servizi di telefonia e i servizi postali.</w:t>
      </w:r>
    </w:p>
    <w:p w14:paraId="2A97A00F" w14:textId="77777777" w:rsidR="00F17668" w:rsidRDefault="00F17668" w:rsidP="00F17668">
      <w:pPr>
        <w:spacing w:before="0" w:after="120"/>
        <w:jc w:val="both"/>
        <w:rPr>
          <w:rFonts w:ascii="Arial" w:hAnsi="Arial" w:cs="Arial"/>
        </w:rPr>
      </w:pPr>
      <w:r w:rsidRPr="000F531B">
        <w:rPr>
          <w:rFonts w:ascii="Arial" w:hAnsi="Arial" w:cs="Arial"/>
          <w:b/>
        </w:rPr>
        <w:t>Servizi ricreativi, culturali e per la cura della persona</w:t>
      </w:r>
      <w:r w:rsidRPr="000F531B">
        <w:rPr>
          <w:rFonts w:ascii="Arial" w:hAnsi="Arial" w:cs="Arial"/>
        </w:rPr>
        <w:t>: comprendono i pacchetti vacanza, i servizi di alloggio, i ristoranti, bar e simili, le mense, la riparazione di apparecchi audiovisivi, fotografici e informatici, i servizi per l'abbigliamento, i servizi per l</w:t>
      </w:r>
      <w:r>
        <w:rPr>
          <w:rFonts w:ascii="Arial" w:hAnsi="Arial" w:cs="Arial"/>
        </w:rPr>
        <w:t>’</w:t>
      </w:r>
      <w:r w:rsidRPr="000F531B">
        <w:rPr>
          <w:rFonts w:ascii="Arial" w:hAnsi="Arial" w:cs="Arial"/>
        </w:rPr>
        <w:t xml:space="preserve">igiene personale, i servizi ricreativi e culturali vari, </w:t>
      </w:r>
      <w:r>
        <w:rPr>
          <w:rFonts w:ascii="Arial" w:hAnsi="Arial" w:cs="Arial"/>
        </w:rPr>
        <w:t>i giochi lotterie e scommesse</w:t>
      </w:r>
      <w:r w:rsidRPr="000F531B">
        <w:rPr>
          <w:rFonts w:ascii="Arial" w:hAnsi="Arial" w:cs="Arial"/>
        </w:rPr>
        <w:t>.</w:t>
      </w:r>
    </w:p>
    <w:p w14:paraId="15E42882" w14:textId="77777777" w:rsidR="00F17668" w:rsidRDefault="00F17668" w:rsidP="00F17668">
      <w:pPr>
        <w:spacing w:before="0" w:after="120"/>
        <w:jc w:val="both"/>
        <w:rPr>
          <w:rFonts w:ascii="Arial" w:hAnsi="Arial" w:cs="Arial"/>
        </w:rPr>
      </w:pPr>
      <w:r w:rsidRPr="000F531B">
        <w:rPr>
          <w:rFonts w:ascii="Arial" w:hAnsi="Arial" w:cs="Arial"/>
          <w:b/>
        </w:rPr>
        <w:t>Servizi vari</w:t>
      </w:r>
      <w:r w:rsidRPr="000F531B">
        <w:rPr>
          <w:rFonts w:ascii="Arial" w:hAnsi="Arial" w:cs="Arial"/>
        </w:rPr>
        <w:t>:</w:t>
      </w:r>
      <w:r w:rsidRPr="00D93855">
        <w:rPr>
          <w:rFonts w:ascii="Arial" w:hAnsi="Arial" w:cs="Arial"/>
        </w:rPr>
        <w:t xml:space="preserve"> </w:t>
      </w:r>
      <w:r w:rsidRPr="000F531B">
        <w:rPr>
          <w:rFonts w:ascii="Arial" w:hAnsi="Arial" w:cs="Arial"/>
        </w:rPr>
        <w:t>comprendono l’istruzione, i servizi medici, i servizi per l’assistenza, i servizi finanziari</w:t>
      </w:r>
      <w:r>
        <w:rPr>
          <w:rFonts w:ascii="Arial" w:hAnsi="Arial" w:cs="Arial"/>
        </w:rPr>
        <w:t>, professioni liberali, servizio funebre,</w:t>
      </w:r>
      <w:r w:rsidRPr="000F531B">
        <w:rPr>
          <w:rFonts w:ascii="Arial" w:hAnsi="Arial" w:cs="Arial"/>
        </w:rPr>
        <w:t xml:space="preserve"> </w:t>
      </w:r>
      <w:r>
        <w:rPr>
          <w:rFonts w:ascii="Arial" w:hAnsi="Arial" w:cs="Arial"/>
        </w:rPr>
        <w:t>servizi veterinari, servizi assicurativi privati connessi alla salute</w:t>
      </w:r>
      <w:r w:rsidRPr="000F531B">
        <w:rPr>
          <w:rFonts w:ascii="Arial" w:hAnsi="Arial" w:cs="Arial"/>
        </w:rPr>
        <w:t>.</w:t>
      </w:r>
    </w:p>
    <w:p w14:paraId="6DA74A66" w14:textId="45DE1035" w:rsidR="00654311" w:rsidRDefault="00654311" w:rsidP="00F17668">
      <w:pPr>
        <w:spacing w:before="0" w:after="120"/>
        <w:jc w:val="both"/>
        <w:rPr>
          <w:rFonts w:ascii="Arial" w:hAnsi="Arial" w:cs="Arial"/>
        </w:rPr>
      </w:pPr>
      <w:r w:rsidRPr="00E75504">
        <w:rPr>
          <w:rFonts w:ascii="Arial" w:hAnsi="Arial" w:cs="Arial"/>
          <w:b/>
        </w:rPr>
        <w:t>Spesa equivalente</w:t>
      </w:r>
      <w:r>
        <w:t xml:space="preserve">: </w:t>
      </w:r>
      <w:r w:rsidRPr="00E75504">
        <w:rPr>
          <w:rFonts w:ascii="Arial" w:hAnsi="Arial" w:cs="Arial"/>
        </w:rPr>
        <w:t>è calcolata dividendo il valore della spesa familiare per un opportuno coefficiente di correzione (scala di equivalenza), che permette di tener conto dell’effetto delle economie di scala e di rendere direttamente confrontabili i livelli di spesa di famiglie di ampiezza diversa.</w:t>
      </w:r>
      <w:r>
        <w:rPr>
          <w:rFonts w:ascii="Arial" w:hAnsi="Arial" w:cs="Arial"/>
        </w:rPr>
        <w:t xml:space="preserve"> </w:t>
      </w:r>
      <w:r w:rsidRPr="002F5494">
        <w:rPr>
          <w:rFonts w:ascii="Arial" w:hAnsi="Arial" w:cs="Arial"/>
        </w:rPr>
        <w:t xml:space="preserve">Nel presente </w:t>
      </w:r>
      <w:r>
        <w:rPr>
          <w:rFonts w:ascii="Arial" w:hAnsi="Arial" w:cs="Arial"/>
        </w:rPr>
        <w:t>comunicato</w:t>
      </w:r>
      <w:r w:rsidRPr="002F5494">
        <w:rPr>
          <w:rFonts w:ascii="Arial" w:hAnsi="Arial" w:cs="Arial"/>
        </w:rPr>
        <w:t xml:space="preserve"> si utilizza la scala di equivalenza Carbonaro.</w:t>
      </w:r>
    </w:p>
    <w:p w14:paraId="6CF2BA85" w14:textId="77777777" w:rsidR="000B05D5" w:rsidRPr="00431E4B" w:rsidRDefault="000B05D5" w:rsidP="000B05D5">
      <w:pPr>
        <w:spacing w:before="0" w:after="120"/>
        <w:jc w:val="both"/>
        <w:rPr>
          <w:rFonts w:ascii="Arial" w:hAnsi="Arial" w:cs="Arial"/>
          <w:bCs/>
        </w:rPr>
      </w:pPr>
      <w:r w:rsidRPr="00431E4B">
        <w:rPr>
          <w:rFonts w:ascii="Arial" w:hAnsi="Arial" w:cs="Arial"/>
          <w:b/>
          <w:bCs/>
        </w:rPr>
        <w:t>Trascinamento all’anno t+1</w:t>
      </w:r>
      <w:r w:rsidRPr="00431E4B">
        <w:rPr>
          <w:rFonts w:ascii="Arial" w:hAnsi="Arial" w:cs="Arial"/>
          <w:bCs/>
        </w:rPr>
        <w:t>: variazione percentuale misurata tra il mese di dicembre dell’anno t e la media dell’anno t</w:t>
      </w:r>
      <w:r>
        <w:rPr>
          <w:rFonts w:ascii="Arial" w:hAnsi="Arial" w:cs="Arial"/>
          <w:bCs/>
        </w:rPr>
        <w:t>. In altre parole, il trascinamento non è altro che l’eredità, in termini di inflazione, che l’anno t lascia all’anno t+1.</w:t>
      </w:r>
    </w:p>
    <w:p w14:paraId="36EA8278" w14:textId="77777777" w:rsidR="00F17668" w:rsidRPr="000F531B" w:rsidRDefault="00F17668" w:rsidP="00F17668">
      <w:pPr>
        <w:spacing w:before="0" w:after="120"/>
        <w:jc w:val="both"/>
        <w:rPr>
          <w:rFonts w:ascii="Arial" w:hAnsi="Arial" w:cs="Arial"/>
          <w:bCs/>
        </w:rPr>
      </w:pPr>
      <w:r w:rsidRPr="000F531B">
        <w:rPr>
          <w:rFonts w:ascii="Arial" w:hAnsi="Arial" w:cs="Arial"/>
          <w:b/>
          <w:bCs/>
        </w:rPr>
        <w:t>Variazione congiunturale</w:t>
      </w:r>
      <w:r w:rsidRPr="000F531B">
        <w:rPr>
          <w:rFonts w:ascii="Arial" w:hAnsi="Arial" w:cs="Arial"/>
          <w:bCs/>
        </w:rPr>
        <w:t>: variazione rispetto al periodo precedente.</w:t>
      </w:r>
    </w:p>
    <w:p w14:paraId="5D9BFCB3" w14:textId="77777777" w:rsidR="00F17668" w:rsidRPr="0049298E" w:rsidRDefault="00F17668" w:rsidP="00F17668">
      <w:pPr>
        <w:spacing w:before="0" w:after="120"/>
        <w:jc w:val="both"/>
        <w:rPr>
          <w:rFonts w:ascii="Arial" w:hAnsi="Arial" w:cs="Arial"/>
          <w:bCs/>
        </w:rPr>
      </w:pPr>
      <w:r w:rsidRPr="000F531B">
        <w:rPr>
          <w:rFonts w:ascii="Arial" w:hAnsi="Arial" w:cs="Arial"/>
          <w:b/>
          <w:bCs/>
        </w:rPr>
        <w:t>Variazione tendenziale</w:t>
      </w:r>
      <w:r w:rsidRPr="0049298E">
        <w:rPr>
          <w:rFonts w:ascii="Arial" w:hAnsi="Arial" w:cs="Arial"/>
          <w:b/>
          <w:bCs/>
        </w:rPr>
        <w:t>:</w:t>
      </w:r>
      <w:r w:rsidRPr="000F531B">
        <w:rPr>
          <w:rFonts w:ascii="Arial" w:hAnsi="Arial" w:cs="Arial"/>
          <w:b/>
          <w:bCs/>
        </w:rPr>
        <w:t xml:space="preserve"> </w:t>
      </w:r>
      <w:r w:rsidRPr="0049298E">
        <w:rPr>
          <w:rFonts w:ascii="Arial" w:hAnsi="Arial" w:cs="Arial"/>
          <w:bCs/>
        </w:rPr>
        <w:t>variazione rispetto allo stesso periodo dell’anno precedente.</w:t>
      </w:r>
    </w:p>
    <w:p w14:paraId="443A4754" w14:textId="77777777" w:rsidR="00F17668" w:rsidRDefault="00F17668" w:rsidP="00F17668">
      <w:pPr>
        <w:pStyle w:val="Corpodeltesto2"/>
        <w:tabs>
          <w:tab w:val="left" w:pos="0"/>
          <w:tab w:val="left" w:pos="6300"/>
        </w:tabs>
        <w:spacing w:line="240" w:lineRule="auto"/>
        <w:jc w:val="both"/>
        <w:rPr>
          <w:rFonts w:ascii="Arial" w:hAnsi="Arial" w:cs="Arial"/>
          <w:bCs/>
        </w:rPr>
      </w:pPr>
    </w:p>
    <w:p w14:paraId="0ACF355D" w14:textId="77777777" w:rsidR="00F17668" w:rsidRDefault="00F17668" w:rsidP="00F17668">
      <w:pPr>
        <w:pStyle w:val="Corpodeltesto2"/>
        <w:tabs>
          <w:tab w:val="left" w:pos="0"/>
          <w:tab w:val="left" w:pos="6300"/>
        </w:tabs>
        <w:spacing w:line="240" w:lineRule="auto"/>
        <w:jc w:val="both"/>
        <w:rPr>
          <w:rFonts w:ascii="Arial" w:hAnsi="Arial" w:cs="Arial"/>
          <w:bCs/>
        </w:rPr>
      </w:pPr>
    </w:p>
    <w:p w14:paraId="4A3EEE14" w14:textId="77777777" w:rsidR="004868BD" w:rsidRPr="00C8504B" w:rsidRDefault="00A07190" w:rsidP="00A07190">
      <w:pPr>
        <w:widowControl/>
        <w:overflowPunct/>
        <w:autoSpaceDE/>
        <w:autoSpaceDN/>
        <w:adjustRightInd/>
        <w:spacing w:before="0" w:after="0"/>
        <w:rPr>
          <w:rFonts w:ascii="Arial" w:hAnsi="Arial" w:cs="Arial"/>
          <w:b/>
          <w:spacing w:val="-3"/>
        </w:rPr>
      </w:pPr>
      <w:r>
        <w:rPr>
          <w:rFonts w:ascii="Arial" w:hAnsi="Arial" w:cs="Arial"/>
          <w:bCs/>
        </w:rPr>
        <w:br w:type="page"/>
      </w:r>
    </w:p>
    <w:p w14:paraId="6B403F11" w14:textId="77777777" w:rsidR="00AA3917" w:rsidRPr="00C8504B" w:rsidRDefault="00AA3917" w:rsidP="00080F2D">
      <w:pPr>
        <w:pStyle w:val="Corpotesto"/>
        <w:spacing w:after="120" w:line="240" w:lineRule="auto"/>
        <w:jc w:val="both"/>
        <w:rPr>
          <w:rFonts w:ascii="Arial" w:hAnsi="Arial" w:cs="Arial"/>
          <w:b/>
          <w:sz w:val="24"/>
          <w:szCs w:val="24"/>
        </w:rPr>
        <w:sectPr w:rsidR="00AA3917" w:rsidRPr="00C8504B" w:rsidSect="000161B7">
          <w:headerReference w:type="default" r:id="rId33"/>
          <w:pgSz w:w="11907" w:h="16840" w:code="9"/>
          <w:pgMar w:top="1537" w:right="851" w:bottom="680" w:left="851" w:header="567" w:footer="567" w:gutter="0"/>
          <w:cols w:space="720"/>
          <w:noEndnote/>
          <w:docGrid w:linePitch="272"/>
        </w:sectPr>
      </w:pPr>
    </w:p>
    <w:p w14:paraId="1AC06C29" w14:textId="77777777" w:rsidR="00ED00B1" w:rsidRPr="001969C1" w:rsidRDefault="00ED00B1" w:rsidP="00ED00B1">
      <w:pPr>
        <w:spacing w:before="0" w:after="120"/>
        <w:jc w:val="both"/>
        <w:rPr>
          <w:rFonts w:ascii="Arial" w:hAnsi="Arial" w:cs="Arial"/>
          <w:b/>
          <w:sz w:val="18"/>
          <w:szCs w:val="22"/>
        </w:rPr>
      </w:pPr>
    </w:p>
    <w:p w14:paraId="63021378" w14:textId="77777777" w:rsidR="00ED00B1" w:rsidRPr="006C5085" w:rsidRDefault="00ED00B1" w:rsidP="00ED00B1">
      <w:pPr>
        <w:spacing w:before="0" w:after="120"/>
        <w:jc w:val="both"/>
        <w:rPr>
          <w:rFonts w:ascii="Arial" w:hAnsi="Arial" w:cs="Arial"/>
          <w:b/>
          <w:sz w:val="22"/>
          <w:szCs w:val="22"/>
        </w:rPr>
      </w:pPr>
      <w:r w:rsidRPr="006C5085">
        <w:rPr>
          <w:rFonts w:ascii="Arial" w:hAnsi="Arial" w:cs="Arial"/>
          <w:b/>
          <w:sz w:val="22"/>
          <w:szCs w:val="22"/>
        </w:rPr>
        <w:t>Introduzione e quadro normativo</w:t>
      </w:r>
    </w:p>
    <w:p w14:paraId="61B1D3BC" w14:textId="77777777" w:rsidR="00ED00B1" w:rsidRPr="006C5085" w:rsidRDefault="00ED00B1" w:rsidP="00ED00B1">
      <w:pPr>
        <w:tabs>
          <w:tab w:val="left" w:pos="1843"/>
        </w:tabs>
        <w:spacing w:before="0" w:after="120"/>
        <w:jc w:val="both"/>
        <w:rPr>
          <w:rFonts w:ascii="Arial" w:hAnsi="Arial" w:cs="Arial"/>
          <w:szCs w:val="21"/>
          <w:highlight w:val="yellow"/>
        </w:rPr>
      </w:pPr>
      <w:r w:rsidRPr="006C5085">
        <w:rPr>
          <w:rFonts w:ascii="Arial" w:hAnsi="Arial" w:cs="Arial"/>
          <w:szCs w:val="21"/>
        </w:rPr>
        <w:t xml:space="preserve">Gli indici dei prezzi al consumo misurano le variazioni nel tempo dei prezzi di un insieme di prodotti (paniere) rappresentativo di tutti i beni e servizi destinati al consumo finale delle famiglie, acquistabili sul mercato attraverso transazioni monetarie (sono escluse le transazioni a titolo gratuito, gli autoconsumi, i fitti figurativi, ecc.). Gli indici dei prezzi al consumo sono calcolati utilizzando l’indice a catena del tipo </w:t>
      </w:r>
      <w:proofErr w:type="spellStart"/>
      <w:r w:rsidRPr="006C5085">
        <w:rPr>
          <w:rFonts w:ascii="Arial" w:hAnsi="Arial" w:cs="Arial"/>
          <w:szCs w:val="21"/>
        </w:rPr>
        <w:t>Laspeyres</w:t>
      </w:r>
      <w:proofErr w:type="spellEnd"/>
      <w:r w:rsidRPr="006C5085">
        <w:rPr>
          <w:rFonts w:ascii="Arial" w:hAnsi="Arial" w:cs="Arial"/>
          <w:szCs w:val="21"/>
        </w:rPr>
        <w:t xml:space="preserve">, in cui sia il paniere dei prodotti sia il sistema dei pesi vengono aggiornati con cadenza annuale. In particolare, a dicembre di ogni anno, nel corso delle attività di </w:t>
      </w:r>
      <w:proofErr w:type="spellStart"/>
      <w:r w:rsidRPr="006C5085">
        <w:rPr>
          <w:rFonts w:ascii="Arial" w:hAnsi="Arial" w:cs="Arial"/>
          <w:szCs w:val="21"/>
        </w:rPr>
        <w:t>ribasamento</w:t>
      </w:r>
      <w:proofErr w:type="spellEnd"/>
      <w:r w:rsidRPr="006C5085">
        <w:rPr>
          <w:rFonts w:ascii="Arial" w:hAnsi="Arial" w:cs="Arial"/>
          <w:szCs w:val="21"/>
        </w:rPr>
        <w:t>, si rinnova il paniere di prodotti e la struttura di ponderazione, ossia gli elementi di base per il calcolo degli indici dell’anno successivo.</w:t>
      </w:r>
    </w:p>
    <w:p w14:paraId="7E14B7C6" w14:textId="77777777" w:rsidR="00ED00B1" w:rsidRPr="006C5085" w:rsidRDefault="00ED00B1" w:rsidP="00ED00B1">
      <w:pPr>
        <w:tabs>
          <w:tab w:val="left" w:pos="1843"/>
        </w:tabs>
        <w:spacing w:before="0" w:after="120"/>
        <w:jc w:val="both"/>
        <w:rPr>
          <w:rFonts w:ascii="Arial" w:hAnsi="Arial" w:cs="Arial"/>
          <w:szCs w:val="21"/>
        </w:rPr>
      </w:pPr>
      <w:r w:rsidRPr="006C5085">
        <w:rPr>
          <w:rFonts w:ascii="Arial" w:hAnsi="Arial" w:cs="Arial"/>
          <w:szCs w:val="21"/>
        </w:rPr>
        <w:t xml:space="preserve">Il sistema degli indici dei prezzi al consumo è articolato in tre diversi indicatori: </w:t>
      </w:r>
    </w:p>
    <w:p w14:paraId="7BDB1705" w14:textId="77777777" w:rsidR="00ED00B1" w:rsidRPr="006C5085" w:rsidRDefault="00ED00B1" w:rsidP="00ED00B1">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6C5085">
        <w:rPr>
          <w:rFonts w:ascii="Arial" w:hAnsi="Arial" w:cs="Arial"/>
          <w:b/>
          <w:bCs/>
          <w:szCs w:val="21"/>
        </w:rPr>
        <w:t xml:space="preserve">l’indice nazionale dei prezzi al consumo per l’intera collettività (NIC) </w:t>
      </w:r>
      <w:r w:rsidRPr="006C5085">
        <w:rPr>
          <w:rFonts w:ascii="Arial" w:hAnsi="Arial" w:cs="Arial"/>
          <w:szCs w:val="21"/>
        </w:rPr>
        <w:t xml:space="preserve">è utilizzato come misura dell’inflazione per l’intero sistema economico; in altre parole, si considera la collettività nazionale come un’unica grande famiglia di consumatori sebbene caratterizzata, al suo interno, da abitudini di spesa molto differenziate; </w:t>
      </w:r>
    </w:p>
    <w:p w14:paraId="1F0F10D5" w14:textId="77777777" w:rsidR="00ED00B1" w:rsidRPr="006C5085" w:rsidRDefault="00ED00B1" w:rsidP="00ED00B1">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6C5085">
        <w:rPr>
          <w:rFonts w:ascii="Arial" w:hAnsi="Arial" w:cs="Arial"/>
          <w:b/>
          <w:bCs/>
          <w:szCs w:val="21"/>
        </w:rPr>
        <w:t xml:space="preserve">l’indice dei prezzi al consumo per le famiglie di operai e impiegati (FOI) </w:t>
      </w:r>
      <w:r w:rsidRPr="006C5085">
        <w:rPr>
          <w:rFonts w:ascii="Arial" w:hAnsi="Arial" w:cs="Arial"/>
          <w:szCs w:val="21"/>
        </w:rPr>
        <w:t xml:space="preserve">si riferisce ai consumi dell’insieme delle famiglie che fanno capo ad un lavoratore dipendente; è l’indice usato per adeguare periodicamente valori monetari, quali i canoni di affitto o gli assegni dovuti al coniuge separato; </w:t>
      </w:r>
    </w:p>
    <w:p w14:paraId="20057227" w14:textId="77777777" w:rsidR="00ED00B1" w:rsidRPr="006C5085" w:rsidRDefault="00ED00B1" w:rsidP="00ED00B1">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6C5085">
        <w:rPr>
          <w:rFonts w:ascii="Arial" w:hAnsi="Arial" w:cs="Arial"/>
          <w:b/>
          <w:bCs/>
          <w:szCs w:val="21"/>
        </w:rPr>
        <w:t xml:space="preserve">l’indice dei prezzi al consumo armonizzato per i paesi dell’Unione europea (IPCA) </w:t>
      </w:r>
      <w:r w:rsidRPr="006C5085">
        <w:rPr>
          <w:rFonts w:ascii="Arial" w:hAnsi="Arial" w:cs="Arial"/>
          <w:iCs/>
          <w:szCs w:val="21"/>
        </w:rPr>
        <w:t>assicura una misura dell’inflazione comparabile tra i diversi paesi europei, attraverso l’adozione di un impianto concettuale, metodologico e tecnico condiviso; viene quindi assunto come indicatore per verificare la convergenza delle economie dei paesi membri dell’Unione europea; l’indice viene calcolato, pubblicato e inviato mensilmente dall’Istat a Eurostat secondo un calendario prefissato. Eurostat, a sua volta, diffonde gli indici armonizzati dei singoli paesi dell’Ue, sulla base dei quali elabora e diffonde l’indice sintetico europeo; l’indice IPCA è elaborato anche nella versione “a tassazione costante (IPCA-TC)”.</w:t>
      </w:r>
    </w:p>
    <w:p w14:paraId="0BF9138B" w14:textId="77777777" w:rsidR="00ED00B1" w:rsidRPr="006C5085" w:rsidRDefault="00ED00B1" w:rsidP="00ED00B1">
      <w:pPr>
        <w:spacing w:before="0" w:after="120"/>
        <w:jc w:val="both"/>
        <w:rPr>
          <w:rFonts w:ascii="Arial" w:hAnsi="Arial" w:cs="Arial"/>
          <w:szCs w:val="21"/>
        </w:rPr>
      </w:pPr>
      <w:r w:rsidRPr="006C5085">
        <w:rPr>
          <w:rFonts w:ascii="Arial" w:hAnsi="Arial" w:cs="Arial"/>
          <w:szCs w:val="21"/>
        </w:rPr>
        <w:t xml:space="preserve">Le serie degli indici nazionali NIC e FOI hanno base di riferimento 2015=100. Anche l’indice IPCA è calcolato e diffuso con base di riferimento 2015=100, in linea con gli altri Paesi dell’Unione europea e in conformità al </w:t>
      </w:r>
      <w:hyperlink r:id="rId34" w:history="1">
        <w:r w:rsidRPr="006C5085">
          <w:rPr>
            <w:rStyle w:val="Collegamentoipertestuale"/>
            <w:rFonts w:ascii="Arial" w:hAnsi="Arial" w:cs="Arial"/>
            <w:b/>
            <w:szCs w:val="21"/>
          </w:rPr>
          <w:t>Regolamento (UE) n. 2016/792</w:t>
        </w:r>
      </w:hyperlink>
      <w:r w:rsidRPr="006C5085">
        <w:rPr>
          <w:rFonts w:ascii="Arial" w:hAnsi="Arial" w:cs="Arial"/>
          <w:szCs w:val="21"/>
        </w:rPr>
        <w:t xml:space="preserve"> del Parlamento e del Consiglio</w:t>
      </w:r>
      <w:r w:rsidRPr="006C5085">
        <w:t xml:space="preserve"> </w:t>
      </w:r>
      <w:r w:rsidRPr="006C5085">
        <w:rPr>
          <w:rFonts w:ascii="Arial" w:hAnsi="Arial" w:cs="Arial"/>
          <w:szCs w:val="21"/>
        </w:rPr>
        <w:t xml:space="preserve">e con il </w:t>
      </w:r>
      <w:hyperlink r:id="rId35" w:history="1">
        <w:r w:rsidRPr="006C5085">
          <w:rPr>
            <w:rStyle w:val="Collegamentoipertestuale"/>
            <w:rFonts w:ascii="Arial" w:hAnsi="Arial" w:cs="Arial"/>
            <w:b/>
            <w:szCs w:val="21"/>
          </w:rPr>
          <w:t>Regolamento di Esecuzione (UE) n. 2020/1148</w:t>
        </w:r>
      </w:hyperlink>
      <w:r w:rsidRPr="006C5085">
        <w:rPr>
          <w:rFonts w:ascii="Arial" w:hAnsi="Arial" w:cs="Arial"/>
          <w:szCs w:val="21"/>
        </w:rPr>
        <w:t xml:space="preserve"> della Commissione del 31 luglio 2020.</w:t>
      </w:r>
    </w:p>
    <w:p w14:paraId="6D6F7903" w14:textId="77777777" w:rsidR="00ED00B1" w:rsidRPr="006C5085" w:rsidRDefault="00ED00B1" w:rsidP="00ED00B1">
      <w:pPr>
        <w:spacing w:before="0" w:after="120"/>
        <w:jc w:val="both"/>
        <w:rPr>
          <w:rFonts w:ascii="Arial" w:hAnsi="Arial" w:cs="Arial"/>
          <w:szCs w:val="21"/>
        </w:rPr>
      </w:pPr>
      <w:r w:rsidRPr="006C5085">
        <w:rPr>
          <w:rFonts w:ascii="Arial" w:hAnsi="Arial" w:cs="Arial"/>
          <w:szCs w:val="21"/>
        </w:rPr>
        <w:t>La rilevazione dei prezzi al consumo è disciplinata anche da diverse leggi e regolamenti che definiscono i soggetti coinvolti (l’Istituto nazionale di statistica e i Comuni) e le relative funzioni:</w:t>
      </w:r>
    </w:p>
    <w:p w14:paraId="688246CC" w14:textId="77777777" w:rsidR="00ED00B1" w:rsidRPr="006C5085" w:rsidRDefault="00ED00B1" w:rsidP="00ED00B1">
      <w:pPr>
        <w:numPr>
          <w:ilvl w:val="0"/>
          <w:numId w:val="6"/>
        </w:numPr>
        <w:spacing w:before="0" w:after="0"/>
        <w:ind w:left="426" w:hanging="284"/>
        <w:jc w:val="both"/>
        <w:rPr>
          <w:rFonts w:ascii="Arial" w:hAnsi="Arial" w:cs="Arial"/>
          <w:spacing w:val="-4"/>
          <w:szCs w:val="21"/>
        </w:rPr>
      </w:pPr>
      <w:r w:rsidRPr="006C5085">
        <w:rPr>
          <w:rFonts w:ascii="Arial" w:hAnsi="Arial" w:cs="Arial"/>
          <w:szCs w:val="21"/>
        </w:rPr>
        <w:t xml:space="preserve">il </w:t>
      </w:r>
      <w:r w:rsidRPr="006C5085">
        <w:rPr>
          <w:rFonts w:ascii="Arial" w:hAnsi="Arial" w:cs="Arial"/>
          <w:b/>
          <w:szCs w:val="21"/>
        </w:rPr>
        <w:t xml:space="preserve">Regio Decreto Legge </w:t>
      </w:r>
      <w:r w:rsidRPr="006C5085">
        <w:rPr>
          <w:rFonts w:ascii="Arial" w:hAnsi="Arial" w:cs="Arial"/>
          <w:b/>
          <w:iCs/>
          <w:szCs w:val="21"/>
        </w:rPr>
        <w:t>n. 222/1927</w:t>
      </w:r>
      <w:r w:rsidRPr="006C5085">
        <w:rPr>
          <w:rFonts w:ascii="Arial" w:hAnsi="Arial" w:cs="Arial"/>
          <w:szCs w:val="21"/>
        </w:rPr>
        <w:t>, che</w:t>
      </w:r>
      <w:r w:rsidRPr="006C5085">
        <w:rPr>
          <w:rFonts w:ascii="Arial" w:hAnsi="Arial" w:cs="Arial"/>
          <w:i/>
          <w:iCs/>
          <w:szCs w:val="21"/>
        </w:rPr>
        <w:t xml:space="preserve"> </w:t>
      </w:r>
      <w:r w:rsidRPr="006C5085">
        <w:rPr>
          <w:rFonts w:ascii="Arial" w:hAnsi="Arial" w:cs="Arial"/>
          <w:szCs w:val="21"/>
        </w:rPr>
        <w:t>conferisce l’incarico all’Istituto centrale di statistica di promuovere la formazione di indici del costo della vita in tutti i comuni con più di 100.000 abitanti e in altri, preferibilmente scelti tra i capoluoghi di provincia o tra quelli con più di 50.000 abitanti che abbiano uffici di statistica idonei;</w:t>
      </w:r>
    </w:p>
    <w:p w14:paraId="68E2F0B9" w14:textId="77777777" w:rsidR="00ED00B1" w:rsidRPr="006C5085" w:rsidRDefault="00ED00B1" w:rsidP="00ED00B1">
      <w:pPr>
        <w:numPr>
          <w:ilvl w:val="0"/>
          <w:numId w:val="6"/>
        </w:numPr>
        <w:spacing w:before="0" w:after="0"/>
        <w:ind w:left="426" w:hanging="284"/>
        <w:jc w:val="both"/>
        <w:rPr>
          <w:rFonts w:ascii="Arial" w:hAnsi="Arial" w:cs="Arial"/>
          <w:spacing w:val="-4"/>
          <w:szCs w:val="21"/>
        </w:rPr>
      </w:pPr>
      <w:r w:rsidRPr="006C5085">
        <w:rPr>
          <w:rFonts w:ascii="Arial" w:hAnsi="Arial" w:cs="Arial"/>
          <w:color w:val="000000"/>
          <w:szCs w:val="21"/>
        </w:rPr>
        <w:t xml:space="preserve">la </w:t>
      </w:r>
      <w:r w:rsidRPr="006C5085">
        <w:rPr>
          <w:rFonts w:ascii="Arial" w:hAnsi="Arial" w:cs="Arial"/>
          <w:b/>
          <w:iCs/>
          <w:szCs w:val="21"/>
        </w:rPr>
        <w:t>Legge n. 621/1975</w:t>
      </w:r>
      <w:r w:rsidRPr="006C5085">
        <w:rPr>
          <w:rFonts w:ascii="Arial" w:hAnsi="Arial" w:cs="Arial"/>
          <w:i/>
          <w:iCs/>
          <w:szCs w:val="21"/>
        </w:rPr>
        <w:t xml:space="preserve"> </w:t>
      </w:r>
      <w:r w:rsidRPr="006C5085">
        <w:rPr>
          <w:rFonts w:ascii="Arial" w:hAnsi="Arial" w:cs="Arial"/>
          <w:color w:val="000000"/>
          <w:szCs w:val="21"/>
        </w:rPr>
        <w:t>modifica come di seguito il regio decreto relativamente ai comuni cui spetta l’obbligo di condurre l’indagine sui prezzi al consumo: “tra i comuni di cui all’art. 1 … devono intendersi compresi tutti i comuni capoluogo di provincia e quelli con oltre 30.000 abitanti che abbiano un ufficio di statistica idoneo”;</w:t>
      </w:r>
    </w:p>
    <w:p w14:paraId="6539E9A2" w14:textId="77777777" w:rsidR="00ED00B1" w:rsidRPr="006C5085" w:rsidRDefault="00ED00B1" w:rsidP="00ED00B1">
      <w:pPr>
        <w:numPr>
          <w:ilvl w:val="0"/>
          <w:numId w:val="6"/>
        </w:numPr>
        <w:spacing w:before="0" w:after="0"/>
        <w:ind w:left="426" w:hanging="284"/>
        <w:jc w:val="both"/>
        <w:rPr>
          <w:rFonts w:ascii="Arial" w:hAnsi="Arial" w:cs="Arial"/>
          <w:spacing w:val="-4"/>
          <w:szCs w:val="21"/>
        </w:rPr>
      </w:pPr>
      <w:r w:rsidRPr="006C5085">
        <w:rPr>
          <w:rFonts w:ascii="Arial" w:hAnsi="Arial" w:cs="Arial"/>
          <w:szCs w:val="21"/>
        </w:rPr>
        <w:t xml:space="preserve">il </w:t>
      </w:r>
      <w:hyperlink r:id="rId36" w:history="1">
        <w:proofErr w:type="spellStart"/>
        <w:r w:rsidRPr="006C5085">
          <w:rPr>
            <w:rStyle w:val="Collegamentoipertestuale"/>
            <w:rFonts w:ascii="Arial" w:hAnsi="Arial" w:cs="Arial"/>
            <w:b/>
            <w:szCs w:val="21"/>
          </w:rPr>
          <w:t>D.lgs</w:t>
        </w:r>
        <w:proofErr w:type="spellEnd"/>
        <w:r w:rsidRPr="006C5085">
          <w:rPr>
            <w:rStyle w:val="Collegamentoipertestuale"/>
            <w:rFonts w:ascii="Arial" w:hAnsi="Arial" w:cs="Arial"/>
            <w:b/>
            <w:szCs w:val="21"/>
          </w:rPr>
          <w:t xml:space="preserve"> n. 322/1989</w:t>
        </w:r>
      </w:hyperlink>
      <w:r w:rsidRPr="006C5085">
        <w:rPr>
          <w:rFonts w:ascii="Arial" w:hAnsi="Arial" w:cs="Arial"/>
          <w:color w:val="000000"/>
          <w:szCs w:val="21"/>
        </w:rPr>
        <w:t>,</w:t>
      </w:r>
      <w:r w:rsidRPr="006C5085">
        <w:rPr>
          <w:rFonts w:ascii="Arial" w:hAnsi="Arial" w:cs="Arial"/>
          <w:i/>
          <w:iCs/>
          <w:szCs w:val="21"/>
        </w:rPr>
        <w:t xml:space="preserve"> </w:t>
      </w:r>
      <w:r w:rsidRPr="006C5085">
        <w:rPr>
          <w:rFonts w:ascii="Arial" w:hAnsi="Arial" w:cs="Arial"/>
          <w:color w:val="000000"/>
          <w:szCs w:val="21"/>
        </w:rPr>
        <w:t>che disciplina le attività di rilevazione, elaborazione, analisi e diffusione e archiviazione dei dati statistici svolte dagli enti e organismi pubblici di informazione statistica, al fine di realizzare l’unità di indirizzo, l’omogeneità organizzativa e la razionalizzazione dei flussi a livello centrale e locale.</w:t>
      </w:r>
    </w:p>
    <w:p w14:paraId="79C4D26D" w14:textId="77777777" w:rsidR="00ED00B1" w:rsidRPr="002C252F" w:rsidRDefault="00ED00B1" w:rsidP="00ED00B1">
      <w:pPr>
        <w:spacing w:before="0" w:after="120"/>
        <w:jc w:val="both"/>
        <w:rPr>
          <w:rFonts w:ascii="Arial" w:hAnsi="Arial" w:cs="Arial"/>
          <w:b/>
          <w:sz w:val="18"/>
          <w:szCs w:val="22"/>
        </w:rPr>
      </w:pPr>
    </w:p>
    <w:p w14:paraId="0EC992FE" w14:textId="77777777" w:rsidR="00ED00B1" w:rsidRPr="002C252F" w:rsidRDefault="00ED00B1" w:rsidP="00ED00B1">
      <w:pPr>
        <w:spacing w:before="0" w:after="120"/>
        <w:jc w:val="both"/>
        <w:rPr>
          <w:rFonts w:ascii="Arial" w:hAnsi="Arial" w:cs="Arial"/>
          <w:b/>
          <w:sz w:val="22"/>
          <w:szCs w:val="22"/>
        </w:rPr>
      </w:pPr>
      <w:r w:rsidRPr="002C252F">
        <w:rPr>
          <w:rFonts w:ascii="Arial" w:hAnsi="Arial" w:cs="Arial"/>
          <w:b/>
          <w:sz w:val="22"/>
          <w:szCs w:val="22"/>
        </w:rPr>
        <w:t xml:space="preserve">Copertura dell’indagine e organizzazione della rilevazione </w:t>
      </w:r>
    </w:p>
    <w:p w14:paraId="6618C342" w14:textId="77777777" w:rsidR="00ED00B1" w:rsidRPr="002C252F" w:rsidRDefault="00ED00B1" w:rsidP="00ED00B1">
      <w:pPr>
        <w:spacing w:before="0" w:after="80"/>
        <w:jc w:val="both"/>
        <w:rPr>
          <w:rFonts w:ascii="Arial" w:hAnsi="Arial" w:cs="Arial"/>
          <w:szCs w:val="21"/>
        </w:rPr>
      </w:pPr>
      <w:r w:rsidRPr="002C252F">
        <w:rPr>
          <w:rFonts w:ascii="Arial" w:hAnsi="Arial" w:cs="Arial"/>
          <w:szCs w:val="21"/>
        </w:rPr>
        <w:t xml:space="preserve">I dati che concorrono alla costruzione degli indici mensili dei prezzi al consumo sono raccolti attraverso l’utilizzo di una pluralità di fonti: la </w:t>
      </w:r>
      <w:r w:rsidRPr="002C252F">
        <w:rPr>
          <w:rFonts w:ascii="Arial" w:hAnsi="Arial" w:cs="Arial"/>
          <w:i/>
          <w:szCs w:val="21"/>
        </w:rPr>
        <w:t>rilevazione territoriale</w:t>
      </w:r>
      <w:r w:rsidRPr="002C252F">
        <w:rPr>
          <w:rFonts w:ascii="Arial" w:hAnsi="Arial" w:cs="Arial"/>
          <w:szCs w:val="21"/>
        </w:rPr>
        <w:t xml:space="preserve">, condotta dagli Uffici comunali di statistica (UCS); la </w:t>
      </w:r>
      <w:r w:rsidRPr="002C252F">
        <w:rPr>
          <w:rFonts w:ascii="Arial" w:hAnsi="Arial" w:cs="Arial"/>
          <w:i/>
          <w:szCs w:val="21"/>
        </w:rPr>
        <w:t>rilevazione centralizzata</w:t>
      </w:r>
      <w:r w:rsidRPr="002C252F">
        <w:rPr>
          <w:rFonts w:ascii="Arial" w:hAnsi="Arial" w:cs="Arial"/>
          <w:szCs w:val="21"/>
        </w:rPr>
        <w:t xml:space="preserve">, condotta dall’Istat direttamente o attraverso la collaborazione con grandi fornitori di dati; </w:t>
      </w:r>
      <w:r w:rsidRPr="00705AA4">
        <w:rPr>
          <w:rFonts w:ascii="Arial" w:hAnsi="Arial" w:cs="Arial"/>
          <w:i/>
          <w:szCs w:val="21"/>
        </w:rPr>
        <w:t>gli scanner data</w:t>
      </w:r>
      <w:r w:rsidRPr="002C252F">
        <w:rPr>
          <w:rFonts w:ascii="Arial" w:hAnsi="Arial" w:cs="Arial"/>
          <w:szCs w:val="21"/>
        </w:rPr>
        <w:t xml:space="preserve"> provenienti dalla Grande Distribuzione Organizzata (GDO); </w:t>
      </w:r>
      <w:r w:rsidRPr="00705AA4">
        <w:rPr>
          <w:rFonts w:ascii="Arial" w:hAnsi="Arial" w:cs="Arial"/>
          <w:i/>
          <w:szCs w:val="21"/>
        </w:rPr>
        <w:t>la fonte amministrativa</w:t>
      </w:r>
      <w:r w:rsidRPr="002C252F">
        <w:rPr>
          <w:rFonts w:ascii="Arial" w:hAnsi="Arial" w:cs="Arial"/>
          <w:szCs w:val="21"/>
        </w:rPr>
        <w:t xml:space="preserve">. </w:t>
      </w:r>
    </w:p>
    <w:p w14:paraId="5F07A287" w14:textId="77777777" w:rsidR="00ED00B1" w:rsidRDefault="00ED00B1" w:rsidP="00ED00B1">
      <w:pPr>
        <w:jc w:val="both"/>
        <w:rPr>
          <w:rFonts w:ascii="Arial" w:hAnsi="Arial" w:cs="Arial"/>
          <w:szCs w:val="21"/>
        </w:rPr>
      </w:pPr>
      <w:r>
        <w:rPr>
          <w:rFonts w:ascii="Arial" w:hAnsi="Arial" w:cs="Arial"/>
          <w:szCs w:val="21"/>
        </w:rPr>
        <w:t>Nel 2025</w:t>
      </w:r>
      <w:r w:rsidRPr="006E14F1">
        <w:rPr>
          <w:rFonts w:ascii="Arial" w:hAnsi="Arial" w:cs="Arial"/>
          <w:szCs w:val="21"/>
        </w:rPr>
        <w:t xml:space="preserve">, i prodotti rilevati in modo esclusivo mediante la rilevazione territoriale ammontano, in </w:t>
      </w:r>
      <w:r>
        <w:rPr>
          <w:rFonts w:ascii="Arial" w:hAnsi="Arial" w:cs="Arial"/>
          <w:szCs w:val="21"/>
        </w:rPr>
        <w:t>termini di peso, a circa il 49,4% del paniere, contro il 25,8</w:t>
      </w:r>
      <w:r w:rsidRPr="006E14F1">
        <w:rPr>
          <w:rFonts w:ascii="Arial" w:hAnsi="Arial" w:cs="Arial"/>
          <w:szCs w:val="21"/>
        </w:rPr>
        <w:t xml:space="preserve">% dei beni e servizi a rilevazione esclusivamente centralizzata. Tramite l’acquisizione dei dati scanner dalla GDO vengono rilevati tutti i prodotti cosiddetti </w:t>
      </w:r>
      <w:proofErr w:type="spellStart"/>
      <w:r w:rsidRPr="006E14F1">
        <w:rPr>
          <w:rFonts w:ascii="Arial" w:hAnsi="Arial" w:cs="Arial"/>
          <w:szCs w:val="21"/>
        </w:rPr>
        <w:t>grocery</w:t>
      </w:r>
      <w:proofErr w:type="spellEnd"/>
      <w:r w:rsidRPr="006E14F1">
        <w:rPr>
          <w:rFonts w:ascii="Arial" w:hAnsi="Arial" w:cs="Arial"/>
          <w:szCs w:val="21"/>
        </w:rPr>
        <w:t xml:space="preserve"> (beni alimentari confezionati e beni per la cura della casa e della persona) e alcuni prodotti relativi alla frutta e verdura fresca a peso imposto, che rappresentano </w:t>
      </w:r>
      <w:r>
        <w:rPr>
          <w:rFonts w:ascii="Arial" w:hAnsi="Arial" w:cs="Arial"/>
          <w:szCs w:val="21"/>
        </w:rPr>
        <w:t>il 13,4</w:t>
      </w:r>
      <w:r w:rsidRPr="006E14F1">
        <w:rPr>
          <w:rFonts w:ascii="Arial" w:hAnsi="Arial" w:cs="Arial"/>
          <w:szCs w:val="21"/>
        </w:rPr>
        <w:t xml:space="preserve">% in termini di peso. </w:t>
      </w:r>
      <w:r w:rsidRPr="00372BEA">
        <w:rPr>
          <w:rFonts w:ascii="Arial" w:hAnsi="Arial" w:cs="Arial"/>
          <w:szCs w:val="21"/>
        </w:rPr>
        <w:t xml:space="preserve">A queste tre modalità si aggiunge l’utilizzo delle fonti amministrative: la base dati </w:t>
      </w:r>
      <w:r>
        <w:rPr>
          <w:rFonts w:ascii="Arial" w:hAnsi="Arial" w:cs="Arial"/>
          <w:szCs w:val="21"/>
        </w:rPr>
        <w:t xml:space="preserve">del Ministero delle imprese e del made in </w:t>
      </w:r>
      <w:proofErr w:type="spellStart"/>
      <w:r>
        <w:rPr>
          <w:rFonts w:ascii="Arial" w:hAnsi="Arial" w:cs="Arial"/>
          <w:szCs w:val="21"/>
        </w:rPr>
        <w:t>Italy</w:t>
      </w:r>
      <w:proofErr w:type="spellEnd"/>
      <w:r>
        <w:rPr>
          <w:rFonts w:ascii="Arial" w:hAnsi="Arial" w:cs="Arial"/>
          <w:szCs w:val="21"/>
        </w:rPr>
        <w:t xml:space="preserve"> (MIMIT, ex </w:t>
      </w:r>
      <w:r w:rsidRPr="00372BEA">
        <w:rPr>
          <w:rFonts w:ascii="Arial" w:hAnsi="Arial" w:cs="Arial"/>
          <w:szCs w:val="21"/>
        </w:rPr>
        <w:t>MISE</w:t>
      </w:r>
      <w:r>
        <w:rPr>
          <w:rFonts w:ascii="Arial" w:hAnsi="Arial" w:cs="Arial"/>
          <w:szCs w:val="21"/>
        </w:rPr>
        <w:t xml:space="preserve"> Ministero dello Sviluppo Economico)</w:t>
      </w:r>
      <w:r w:rsidRPr="00372BEA">
        <w:rPr>
          <w:rFonts w:ascii="Arial" w:hAnsi="Arial" w:cs="Arial"/>
          <w:szCs w:val="21"/>
        </w:rPr>
        <w:t xml:space="preserve"> dei prezzi dei</w:t>
      </w:r>
      <w:r>
        <w:rPr>
          <w:rFonts w:ascii="Arial" w:hAnsi="Arial" w:cs="Arial"/>
          <w:szCs w:val="21"/>
        </w:rPr>
        <w:t xml:space="preserve"> carburanti, che pesa per il 6,6% </w:t>
      </w:r>
      <w:r w:rsidRPr="00372BEA">
        <w:rPr>
          <w:rFonts w:ascii="Arial" w:hAnsi="Arial" w:cs="Arial"/>
          <w:szCs w:val="21"/>
        </w:rPr>
        <w:t>sul paniere, i dati forniti dall’Osservatorio immobiliare dell’Agenzia delle entrate per la rilevazione dei prezzi degli Affitti reali per abitazioni di privati c</w:t>
      </w:r>
      <w:r>
        <w:rPr>
          <w:rFonts w:ascii="Arial" w:hAnsi="Arial" w:cs="Arial"/>
          <w:szCs w:val="21"/>
        </w:rPr>
        <w:t>he pesa per il 2,7</w:t>
      </w:r>
      <w:r w:rsidRPr="00372BEA">
        <w:rPr>
          <w:rFonts w:ascii="Arial" w:hAnsi="Arial" w:cs="Arial"/>
          <w:szCs w:val="21"/>
        </w:rPr>
        <w:t>% e l’Agenzia delle dogane e dei monopoli per la rilevazione dei tabacchi c</w:t>
      </w:r>
      <w:r>
        <w:rPr>
          <w:rFonts w:ascii="Arial" w:hAnsi="Arial" w:cs="Arial"/>
          <w:szCs w:val="21"/>
        </w:rPr>
        <w:t>he incide sul paniere per il 2,1</w:t>
      </w:r>
      <w:r w:rsidRPr="00372BEA">
        <w:rPr>
          <w:rFonts w:ascii="Arial" w:hAnsi="Arial" w:cs="Arial"/>
          <w:szCs w:val="21"/>
        </w:rPr>
        <w:t>%.</w:t>
      </w:r>
    </w:p>
    <w:p w14:paraId="42F2EFEE" w14:textId="77777777" w:rsidR="00ED00B1" w:rsidRDefault="00ED00B1" w:rsidP="00ED00B1">
      <w:pPr>
        <w:tabs>
          <w:tab w:val="left" w:pos="5812"/>
        </w:tabs>
        <w:spacing w:before="0" w:after="120"/>
        <w:jc w:val="both"/>
        <w:rPr>
          <w:rFonts w:ascii="Arial" w:hAnsi="Arial" w:cs="Arial"/>
          <w:szCs w:val="21"/>
        </w:rPr>
      </w:pPr>
    </w:p>
    <w:p w14:paraId="7CEB63F6" w14:textId="77777777" w:rsidR="00321DB7" w:rsidRDefault="00321DB7" w:rsidP="00ED00B1">
      <w:pPr>
        <w:tabs>
          <w:tab w:val="left" w:pos="5812"/>
        </w:tabs>
        <w:spacing w:before="0" w:after="120"/>
        <w:jc w:val="both"/>
        <w:rPr>
          <w:rFonts w:ascii="Arial" w:hAnsi="Arial" w:cs="Arial"/>
          <w:szCs w:val="21"/>
        </w:rPr>
      </w:pPr>
    </w:p>
    <w:p w14:paraId="6D66C0C9" w14:textId="77777777" w:rsidR="00ED00B1" w:rsidRDefault="00ED00B1" w:rsidP="00ED00B1">
      <w:pPr>
        <w:tabs>
          <w:tab w:val="left" w:pos="5812"/>
        </w:tabs>
        <w:spacing w:before="0" w:after="120"/>
        <w:jc w:val="both"/>
        <w:rPr>
          <w:rFonts w:ascii="Arial" w:hAnsi="Arial" w:cs="Arial"/>
          <w:szCs w:val="21"/>
        </w:rPr>
      </w:pPr>
      <w:r w:rsidRPr="006E560E">
        <w:rPr>
          <w:rFonts w:ascii="Arial" w:hAnsi="Arial" w:cs="Arial"/>
          <w:szCs w:val="21"/>
        </w:rPr>
        <w:t xml:space="preserve">Nel </w:t>
      </w:r>
      <w:r>
        <w:rPr>
          <w:rFonts w:ascii="Arial" w:hAnsi="Arial" w:cs="Arial"/>
          <w:szCs w:val="21"/>
        </w:rPr>
        <w:t>2025,</w:t>
      </w:r>
      <w:r w:rsidRPr="006E560E">
        <w:rPr>
          <w:rFonts w:ascii="Arial" w:hAnsi="Arial" w:cs="Arial"/>
          <w:szCs w:val="21"/>
        </w:rPr>
        <w:t xml:space="preserve"> i comuni che concorrono al calcolo degli indici per tutti gli aggregati di prodotto del paniere sono </w:t>
      </w:r>
      <w:r>
        <w:rPr>
          <w:rFonts w:ascii="Arial" w:hAnsi="Arial" w:cs="Arial"/>
          <w:szCs w:val="21"/>
        </w:rPr>
        <w:t>80</w:t>
      </w:r>
      <w:r w:rsidRPr="006E560E">
        <w:rPr>
          <w:rFonts w:ascii="Arial" w:hAnsi="Arial" w:cs="Arial"/>
          <w:szCs w:val="21"/>
        </w:rPr>
        <w:t xml:space="preserve"> (di cui 19 capoluoghi di regione, </w:t>
      </w:r>
      <w:r>
        <w:rPr>
          <w:rFonts w:ascii="Arial" w:hAnsi="Arial" w:cs="Arial"/>
          <w:szCs w:val="21"/>
        </w:rPr>
        <w:t>60</w:t>
      </w:r>
      <w:r w:rsidRPr="006E560E">
        <w:rPr>
          <w:rFonts w:ascii="Arial" w:hAnsi="Arial" w:cs="Arial"/>
          <w:szCs w:val="21"/>
        </w:rPr>
        <w:t xml:space="preserve"> capoluoghi di provincia</w:t>
      </w:r>
      <w:r>
        <w:rPr>
          <w:rFonts w:ascii="Arial" w:hAnsi="Arial" w:cs="Arial"/>
          <w:szCs w:val="21"/>
        </w:rPr>
        <w:t xml:space="preserve">, </w:t>
      </w:r>
      <w:r w:rsidRPr="006E560E">
        <w:rPr>
          <w:rFonts w:ascii="Arial" w:hAnsi="Arial" w:cs="Arial"/>
          <w:szCs w:val="21"/>
        </w:rPr>
        <w:t>1 comune non capoluogo con più di 30</w:t>
      </w:r>
      <w:r>
        <w:rPr>
          <w:rFonts w:ascii="Arial" w:hAnsi="Arial" w:cs="Arial"/>
          <w:szCs w:val="21"/>
        </w:rPr>
        <w:t xml:space="preserve">mila </w:t>
      </w:r>
      <w:r w:rsidRPr="006E560E">
        <w:rPr>
          <w:rFonts w:ascii="Arial" w:hAnsi="Arial" w:cs="Arial"/>
          <w:szCs w:val="21"/>
        </w:rPr>
        <w:t>abitanti</w:t>
      </w:r>
      <w:r w:rsidRPr="006E560E">
        <w:rPr>
          <w:rStyle w:val="Rimandonotaapidipagina"/>
          <w:rFonts w:ascii="Arial" w:hAnsi="Arial" w:cs="Arial"/>
          <w:szCs w:val="21"/>
        </w:rPr>
        <w:footnoteReference w:id="1"/>
      </w:r>
      <w:r>
        <w:rPr>
          <w:rFonts w:ascii="Arial" w:hAnsi="Arial" w:cs="Arial"/>
          <w:szCs w:val="21"/>
        </w:rPr>
        <w:t>); rispetto al 2024 si segnala il passaggio alla rilevazione completa del comune di Savona, che invece fino al 2024 svolgeva la rilevazione su un sottoinsieme di prodotti. Oltre a Savona che ha ampliato la rilevazione, si segnala l’uscita dal campione di Monza, s</w:t>
      </w:r>
      <w:r w:rsidRPr="006E560E">
        <w:rPr>
          <w:rFonts w:ascii="Arial" w:hAnsi="Arial" w:cs="Arial"/>
          <w:szCs w:val="21"/>
        </w:rPr>
        <w:t xml:space="preserve">ono </w:t>
      </w:r>
      <w:r>
        <w:rPr>
          <w:rFonts w:ascii="Arial" w:hAnsi="Arial" w:cs="Arial"/>
          <w:szCs w:val="21"/>
        </w:rPr>
        <w:t>così</w:t>
      </w:r>
      <w:r w:rsidRPr="006E560E">
        <w:rPr>
          <w:rFonts w:ascii="Arial" w:hAnsi="Arial" w:cs="Arial"/>
          <w:szCs w:val="21"/>
        </w:rPr>
        <w:t xml:space="preserve"> 1</w:t>
      </w:r>
      <w:r>
        <w:rPr>
          <w:rFonts w:ascii="Arial" w:hAnsi="Arial" w:cs="Arial"/>
          <w:szCs w:val="21"/>
        </w:rPr>
        <w:t>0</w:t>
      </w:r>
      <w:r w:rsidRPr="006E560E">
        <w:rPr>
          <w:rFonts w:ascii="Arial" w:hAnsi="Arial" w:cs="Arial"/>
          <w:szCs w:val="21"/>
        </w:rPr>
        <w:t xml:space="preserve"> i comuni</w:t>
      </w:r>
      <w:r w:rsidRPr="006E560E">
        <w:rPr>
          <w:rStyle w:val="Rimandonotaapidipagina"/>
          <w:rFonts w:ascii="Arial" w:hAnsi="Arial"/>
          <w:szCs w:val="21"/>
        </w:rPr>
        <w:footnoteReference w:id="2"/>
      </w:r>
      <w:r w:rsidRPr="006E560E">
        <w:rPr>
          <w:rFonts w:ascii="Arial" w:hAnsi="Arial" w:cs="Arial"/>
          <w:szCs w:val="21"/>
        </w:rPr>
        <w:t xml:space="preserve"> che partecipano al calcolo degli indici per un sottoinsieme di prodotti (</w:t>
      </w:r>
      <w:r w:rsidRPr="006E560E">
        <w:rPr>
          <w:rFonts w:ascii="Arial" w:hAnsi="Arial" w:cs="Arial"/>
        </w:rPr>
        <w:t>tariffe locali quali fornitura acqua, raccolta rifiuti, raccolta acque reflue, trasporti urbani, taxi, mense scolastiche, nido d’infanzia comunale, e altri servizi come manifestazioni sportive, cinema, spettacoli teatrali, istruzione secondaria superiore, mense universitarie, ecc.)</w:t>
      </w:r>
      <w:r>
        <w:rPr>
          <w:rFonts w:ascii="Arial" w:hAnsi="Arial" w:cs="Arial"/>
          <w:szCs w:val="21"/>
        </w:rPr>
        <w:t>.</w:t>
      </w:r>
    </w:p>
    <w:p w14:paraId="19FED8EE" w14:textId="77777777" w:rsidR="00ED00B1" w:rsidRDefault="00ED00B1" w:rsidP="00ED00B1">
      <w:pPr>
        <w:tabs>
          <w:tab w:val="left" w:pos="5812"/>
        </w:tabs>
        <w:spacing w:before="0" w:after="120"/>
        <w:jc w:val="both"/>
        <w:rPr>
          <w:rFonts w:ascii="Arial" w:hAnsi="Arial" w:cs="Arial"/>
        </w:rPr>
      </w:pPr>
      <w:r>
        <w:rPr>
          <w:rFonts w:ascii="Arial" w:hAnsi="Arial" w:cs="Arial"/>
        </w:rPr>
        <w:t>Nei 90</w:t>
      </w:r>
      <w:r w:rsidRPr="000C2436">
        <w:rPr>
          <w:rFonts w:ascii="Arial" w:hAnsi="Arial" w:cs="Arial"/>
        </w:rPr>
        <w:t xml:space="preserve"> comuni si contano </w:t>
      </w:r>
      <w:r>
        <w:rPr>
          <w:rFonts w:ascii="Arial" w:hAnsi="Arial" w:cs="Arial"/>
        </w:rPr>
        <w:t>più di 45</w:t>
      </w:r>
      <w:r w:rsidRPr="000C2436">
        <w:rPr>
          <w:rFonts w:ascii="Arial" w:hAnsi="Arial" w:cs="Arial"/>
        </w:rPr>
        <w:t xml:space="preserve">mila unità di rilevazione (tra punti vendita, imprese e istituzioni) dove gli Uffici comunali di statistica monitorano il prezzo di almeno un prodotto; a queste si aggiungono </w:t>
      </w:r>
      <w:r>
        <w:rPr>
          <w:rFonts w:ascii="Arial" w:hAnsi="Arial" w:cs="Arial"/>
        </w:rPr>
        <w:t>più di</w:t>
      </w:r>
      <w:r w:rsidRPr="000C2436">
        <w:rPr>
          <w:rFonts w:ascii="Arial" w:hAnsi="Arial" w:cs="Arial"/>
        </w:rPr>
        <w:t xml:space="preserve"> 2.</w:t>
      </w:r>
      <w:r>
        <w:rPr>
          <w:rFonts w:ascii="Arial" w:hAnsi="Arial" w:cs="Arial"/>
        </w:rPr>
        <w:t>9</w:t>
      </w:r>
      <w:r w:rsidRPr="000C2436">
        <w:rPr>
          <w:rFonts w:ascii="Arial" w:hAnsi="Arial" w:cs="Arial"/>
        </w:rPr>
        <w:t>00 abitazioni per la rilevazione dei canoni di affitto di abitazioni di Enti pubblici</w:t>
      </w:r>
      <w:r w:rsidRPr="009F011E">
        <w:rPr>
          <w:rStyle w:val="Rimandonotaapidipagina"/>
          <w:rFonts w:ascii="Arial" w:hAnsi="Arial"/>
          <w:szCs w:val="21"/>
        </w:rPr>
        <w:footnoteReference w:id="3"/>
      </w:r>
      <w:r w:rsidRPr="009F011E">
        <w:rPr>
          <w:rFonts w:ascii="Arial" w:hAnsi="Arial" w:cs="Arial"/>
          <w:szCs w:val="21"/>
        </w:rPr>
        <w:t>.</w:t>
      </w:r>
      <w:r>
        <w:rPr>
          <w:rFonts w:ascii="Arial" w:hAnsi="Arial" w:cs="Arial"/>
          <w:szCs w:val="21"/>
        </w:rPr>
        <w:t xml:space="preserve"> </w:t>
      </w:r>
      <w:r w:rsidRPr="006E14F1">
        <w:rPr>
          <w:rFonts w:ascii="Arial" w:hAnsi="Arial" w:cs="Arial"/>
        </w:rPr>
        <w:t xml:space="preserve">Nel complesso sono </w:t>
      </w:r>
      <w:r>
        <w:rPr>
          <w:rFonts w:ascii="Arial" w:hAnsi="Arial" w:cs="Arial"/>
        </w:rPr>
        <w:t>più di 388</w:t>
      </w:r>
      <w:r w:rsidRPr="006E14F1">
        <w:rPr>
          <w:rFonts w:ascii="Arial" w:hAnsi="Arial" w:cs="Arial"/>
        </w:rPr>
        <w:t xml:space="preserve">mila le quotazioni che contribuiscono al calcolo dell’inflazione, inviate mensilmente all’Istat dagli Uffici comunali di statistica (erano </w:t>
      </w:r>
      <w:r>
        <w:rPr>
          <w:rFonts w:ascii="Arial" w:hAnsi="Arial" w:cs="Arial"/>
        </w:rPr>
        <w:t>circa 385</w:t>
      </w:r>
      <w:r w:rsidRPr="006E14F1">
        <w:rPr>
          <w:rFonts w:ascii="Arial" w:hAnsi="Arial" w:cs="Arial"/>
        </w:rPr>
        <w:t>mila del 202</w:t>
      </w:r>
      <w:r>
        <w:rPr>
          <w:rFonts w:ascii="Arial" w:hAnsi="Arial" w:cs="Arial"/>
        </w:rPr>
        <w:t>4)</w:t>
      </w:r>
      <w:r w:rsidRPr="006E14F1">
        <w:rPr>
          <w:rFonts w:ascii="Arial" w:hAnsi="Arial" w:cs="Arial"/>
        </w:rPr>
        <w:t xml:space="preserve">. </w:t>
      </w:r>
      <w:r w:rsidRPr="007D28C7">
        <w:rPr>
          <w:rFonts w:ascii="Arial" w:hAnsi="Arial" w:cs="Arial"/>
          <w:szCs w:val="21"/>
        </w:rPr>
        <w:t>A seguito dell’aggiornamento annuale dei piani di ril</w:t>
      </w:r>
      <w:r>
        <w:rPr>
          <w:rFonts w:ascii="Arial" w:hAnsi="Arial" w:cs="Arial"/>
          <w:szCs w:val="21"/>
        </w:rPr>
        <w:t>evazione comunali sono nuove il 5,</w:t>
      </w:r>
      <w:r w:rsidR="0013651B">
        <w:rPr>
          <w:rFonts w:ascii="Arial" w:hAnsi="Arial" w:cs="Arial"/>
          <w:szCs w:val="21"/>
        </w:rPr>
        <w:t>7</w:t>
      </w:r>
      <w:r w:rsidRPr="007D28C7">
        <w:rPr>
          <w:rFonts w:ascii="Arial" w:hAnsi="Arial" w:cs="Arial"/>
          <w:szCs w:val="21"/>
        </w:rPr>
        <w:t>% delle at</w:t>
      </w:r>
      <w:r>
        <w:rPr>
          <w:rFonts w:ascii="Arial" w:hAnsi="Arial" w:cs="Arial"/>
          <w:szCs w:val="21"/>
        </w:rPr>
        <w:t>tuali referenze di prodotto (5,4% nel 2024</w:t>
      </w:r>
      <w:r w:rsidRPr="007D28C7">
        <w:rPr>
          <w:rFonts w:ascii="Arial" w:hAnsi="Arial" w:cs="Arial"/>
          <w:szCs w:val="21"/>
        </w:rPr>
        <w:t xml:space="preserve">): di queste, il </w:t>
      </w:r>
      <w:r>
        <w:rPr>
          <w:rFonts w:ascii="Arial" w:hAnsi="Arial" w:cs="Arial"/>
          <w:szCs w:val="21"/>
        </w:rPr>
        <w:t>1,8</w:t>
      </w:r>
      <w:r w:rsidRPr="007D28C7">
        <w:rPr>
          <w:rFonts w:ascii="Arial" w:hAnsi="Arial" w:cs="Arial"/>
          <w:szCs w:val="21"/>
        </w:rPr>
        <w:t xml:space="preserve">% sono referenze di prodotti nuovi mentre nel restante </w:t>
      </w:r>
      <w:r>
        <w:rPr>
          <w:rFonts w:ascii="Arial" w:hAnsi="Arial" w:cs="Arial"/>
          <w:szCs w:val="21"/>
        </w:rPr>
        <w:t>4,0</w:t>
      </w:r>
      <w:r w:rsidRPr="007D28C7">
        <w:rPr>
          <w:rFonts w:ascii="Arial" w:hAnsi="Arial" w:cs="Arial"/>
          <w:szCs w:val="21"/>
        </w:rPr>
        <w:t>% si tratta di referenze di prodotti già presenti nel paniere dello scorso anno</w:t>
      </w:r>
      <w:r w:rsidRPr="006E14F1">
        <w:rPr>
          <w:rFonts w:ascii="Arial" w:hAnsi="Arial" w:cs="Arial"/>
        </w:rPr>
        <w:t>.</w:t>
      </w:r>
    </w:p>
    <w:p w14:paraId="60D4EA51" w14:textId="77777777" w:rsidR="00ED00B1" w:rsidRDefault="00ED00B1" w:rsidP="00ED00B1">
      <w:pPr>
        <w:widowControl/>
        <w:overflowPunct/>
        <w:spacing w:before="120" w:after="60"/>
        <w:jc w:val="both"/>
        <w:rPr>
          <w:rFonts w:ascii="Arial" w:hAnsi="Arial" w:cs="Arial"/>
        </w:rPr>
      </w:pPr>
      <w:r w:rsidRPr="009F011E">
        <w:rPr>
          <w:rFonts w:ascii="Arial" w:hAnsi="Arial" w:cs="Arial"/>
        </w:rPr>
        <w:t>Nel 202</w:t>
      </w:r>
      <w:r>
        <w:rPr>
          <w:rFonts w:ascii="Arial" w:hAnsi="Arial" w:cs="Arial"/>
        </w:rPr>
        <w:t>5</w:t>
      </w:r>
      <w:r w:rsidRPr="009F011E">
        <w:rPr>
          <w:rFonts w:ascii="Arial" w:hAnsi="Arial" w:cs="Arial"/>
        </w:rPr>
        <w:t xml:space="preserve">, </w:t>
      </w:r>
      <w:r>
        <w:rPr>
          <w:rFonts w:ascii="Arial" w:hAnsi="Arial" w:cs="Arial"/>
        </w:rPr>
        <w:t>sono oltre 237</w:t>
      </w:r>
      <w:r w:rsidRPr="006E14F1">
        <w:rPr>
          <w:rFonts w:ascii="Arial" w:hAnsi="Arial" w:cs="Arial"/>
        </w:rPr>
        <w:t xml:space="preserve">mila le quotazioni di prezzo raccolte ogni mese centralmente dall’Istat, a cui si aggiungono, 80 milioni di dati utilizzati, rilevati tramite tecniche di </w:t>
      </w:r>
      <w:proofErr w:type="spellStart"/>
      <w:r w:rsidRPr="006E14F1">
        <w:rPr>
          <w:rFonts w:ascii="Arial" w:hAnsi="Arial" w:cs="Arial"/>
        </w:rPr>
        <w:t>scraping</w:t>
      </w:r>
      <w:proofErr w:type="spellEnd"/>
      <w:r w:rsidRPr="006E14F1">
        <w:rPr>
          <w:rFonts w:ascii="Arial" w:hAnsi="Arial" w:cs="Arial"/>
        </w:rPr>
        <w:t xml:space="preserve"> relativamente al trasporto aereo passeggeri. </w:t>
      </w:r>
      <w:r w:rsidRPr="009F011E">
        <w:rPr>
          <w:rFonts w:ascii="Arial" w:hAnsi="Arial" w:cs="Arial"/>
          <w:szCs w:val="21"/>
        </w:rPr>
        <w:t>Inoltre</w:t>
      </w:r>
      <w:r>
        <w:rPr>
          <w:rFonts w:ascii="Arial" w:hAnsi="Arial" w:cs="Arial"/>
          <w:szCs w:val="21"/>
        </w:rPr>
        <w:t xml:space="preserve"> </w:t>
      </w:r>
      <w:r w:rsidRPr="009F011E">
        <w:rPr>
          <w:rFonts w:ascii="Arial" w:hAnsi="Arial" w:cs="Arial"/>
          <w:szCs w:val="21"/>
        </w:rPr>
        <w:t xml:space="preserve">circa 400 </w:t>
      </w:r>
      <w:r>
        <w:rPr>
          <w:rFonts w:ascii="Arial" w:hAnsi="Arial" w:cs="Arial"/>
          <w:szCs w:val="21"/>
        </w:rPr>
        <w:t xml:space="preserve">vengono </w:t>
      </w:r>
      <w:r w:rsidRPr="009F011E">
        <w:rPr>
          <w:rFonts w:ascii="Arial" w:hAnsi="Arial" w:cs="Arial"/>
          <w:szCs w:val="21"/>
        </w:rPr>
        <w:t xml:space="preserve">rilevate </w:t>
      </w:r>
      <w:r w:rsidRPr="00990771">
        <w:rPr>
          <w:rFonts w:ascii="Arial" w:hAnsi="Arial" w:cs="Arial"/>
          <w:szCs w:val="21"/>
        </w:rPr>
        <w:t>mediante indagine diretta, condotta presso un campione di imprese di assicurazione le quali forniscono i prezzi relativi a tre profili assicurativi riconducibili alla copertura dei rischi contro incendio, furto e danneggiament</w:t>
      </w:r>
      <w:r>
        <w:rPr>
          <w:rFonts w:ascii="Arial" w:hAnsi="Arial" w:cs="Arial"/>
          <w:szCs w:val="21"/>
        </w:rPr>
        <w:t>o del contenuto dell’abitazione</w:t>
      </w:r>
      <w:r w:rsidRPr="009F011E">
        <w:rPr>
          <w:rFonts w:ascii="Arial" w:hAnsi="Arial" w:cs="Arial"/>
        </w:rPr>
        <w:t xml:space="preserve">. </w:t>
      </w:r>
    </w:p>
    <w:p w14:paraId="632E06AE" w14:textId="77777777" w:rsidR="00ED00B1" w:rsidRDefault="00ED00B1" w:rsidP="00ED00B1">
      <w:pPr>
        <w:widowControl/>
        <w:overflowPunct/>
        <w:spacing w:before="120" w:after="60"/>
        <w:jc w:val="both"/>
        <w:rPr>
          <w:rFonts w:ascii="Arial" w:hAnsi="Arial" w:cs="Arial"/>
          <w:szCs w:val="21"/>
        </w:rPr>
      </w:pPr>
      <w:r w:rsidRPr="00990771">
        <w:rPr>
          <w:rFonts w:ascii="Arial" w:hAnsi="Arial" w:cs="Arial"/>
        </w:rPr>
        <w:t xml:space="preserve">La rilevazione dei prezzi al consumo tramite scanner data interessa cinque tipologie distributive della Grande Distribuzione Organizzata: ipermercati, supermercati, discount, piccole superfici di vendita (note anche come “libero servizio”, punti vendita con superficie compresa tra i 100 e i 400 mq) e </w:t>
      </w:r>
      <w:proofErr w:type="spellStart"/>
      <w:r w:rsidRPr="00990771">
        <w:rPr>
          <w:rFonts w:ascii="Arial" w:hAnsi="Arial" w:cs="Arial"/>
        </w:rPr>
        <w:t>specialist</w:t>
      </w:r>
      <w:proofErr w:type="spellEnd"/>
      <w:r w:rsidRPr="00990771">
        <w:rPr>
          <w:rFonts w:ascii="Arial" w:hAnsi="Arial" w:cs="Arial"/>
        </w:rPr>
        <w:t xml:space="preserve"> </w:t>
      </w:r>
      <w:proofErr w:type="spellStart"/>
      <w:r w:rsidRPr="00990771">
        <w:rPr>
          <w:rFonts w:ascii="Arial" w:hAnsi="Arial" w:cs="Arial"/>
        </w:rPr>
        <w:t>drug</w:t>
      </w:r>
      <w:proofErr w:type="spellEnd"/>
      <w:r w:rsidRPr="00990771">
        <w:rPr>
          <w:rFonts w:ascii="Arial" w:hAnsi="Arial" w:cs="Arial"/>
        </w:rPr>
        <w:t xml:space="preserve"> (specialisti dei prodotti per la cura della casa e della persona). Nel complesso, la rilevazione dei prezzi tramite scanner data interessa 105 aggregati di prodotto, appartenenti a sei divisioni della ECOICOP (Prodotti alimentari e bevande analcoliche, Bevande alcoliche e tabacchi, Mobili articoli e servizi per la casa, Servizi sanitari e spese per la salute, Ricreazione spettacoli e cultura, Altri beni e servizi</w:t>
      </w:r>
      <w:r>
        <w:rPr>
          <w:rFonts w:ascii="Arial" w:hAnsi="Arial" w:cs="Arial"/>
        </w:rPr>
        <w:t xml:space="preserve">). </w:t>
      </w:r>
      <w:r w:rsidRPr="00990771">
        <w:rPr>
          <w:rFonts w:ascii="Arial" w:hAnsi="Arial" w:cs="Arial"/>
          <w:szCs w:val="21"/>
        </w:rPr>
        <w:t xml:space="preserve">L’utilizzo stabile di informazioni provenienti dalle casse della GDO per la stima dell’inflazione si è reso possibile grazie a una proficua collaborazione dell’Istat con l’Associazione della Distribuzione moderna (ADM) e i rappresentanti delle principali catene operanti in Italia. L’accordo prevede che i dati vengano acquisiti dall’Istat per il tramite della società A.C. Nielsen, previa autorizzazione all’utilizzo dei dati da parte delle catene della Grande Distribuzione. L’Istat acquisisce i dati settimanali di fatturato e quantità distinti per punto vendita e per GTIN (codice a barre), per singolo punto vendita di 19 grandi gruppi della GDO in Italia per tutte le 107 province del territorio nazionale. Il campione dei punti vendita è rappresentativo di tutto l’universo delle cinque tipologie distributive </w:t>
      </w:r>
      <w:r>
        <w:rPr>
          <w:rFonts w:ascii="Arial" w:hAnsi="Arial" w:cs="Arial"/>
          <w:szCs w:val="21"/>
        </w:rPr>
        <w:t>della GDO e comprende circa 4.25</w:t>
      </w:r>
      <w:r w:rsidRPr="00990771">
        <w:rPr>
          <w:rFonts w:ascii="Arial" w:hAnsi="Arial" w:cs="Arial"/>
          <w:szCs w:val="21"/>
        </w:rPr>
        <w:t>0 punti vendita distribuiti sull’intero territorio nazionale.</w:t>
      </w:r>
      <w:r>
        <w:rPr>
          <w:rFonts w:ascii="Arial" w:hAnsi="Arial" w:cs="Arial"/>
          <w:szCs w:val="21"/>
        </w:rPr>
        <w:t xml:space="preserve"> </w:t>
      </w:r>
      <w:r w:rsidRPr="00990771">
        <w:rPr>
          <w:rFonts w:ascii="Arial" w:hAnsi="Arial" w:cs="Arial"/>
          <w:szCs w:val="21"/>
        </w:rPr>
        <w:t>L’individuazione delle referenze che entrano nel calcolo dell’indice avviene tramite i codici a barre (GTIN), che identificano univocamente i prodotti sull’intero territorio nazionale. Il valore unitario del prezzo per ciascun codice a barre è la media dei prezzi effettivamente pagati dai consumatori per quei prodotti.</w:t>
      </w:r>
      <w:r>
        <w:rPr>
          <w:rFonts w:ascii="Arial" w:hAnsi="Arial" w:cs="Arial"/>
          <w:szCs w:val="21"/>
        </w:rPr>
        <w:t xml:space="preserve"> </w:t>
      </w:r>
      <w:r w:rsidRPr="00990771">
        <w:rPr>
          <w:rFonts w:ascii="Arial" w:hAnsi="Arial" w:cs="Arial"/>
          <w:szCs w:val="21"/>
        </w:rPr>
        <w:t>Per la selezione delle referenze, l’Istat utilizza un approccio di tipo dinamico che implica una selezione del campione di referenze in ciascun mese. L’approccio dinamico permette di utilizzare l’informazione proveniente dall’universo dei GTIN venduti in ciascun punto vendita e di seguire l’evoluzione dei prodotti che entrano ed escono dal mercato nei dodici mesi dell’anno.</w:t>
      </w:r>
      <w:r>
        <w:rPr>
          <w:rFonts w:ascii="Arial" w:hAnsi="Arial" w:cs="Arial"/>
          <w:szCs w:val="21"/>
        </w:rPr>
        <w:t xml:space="preserve"> </w:t>
      </w:r>
      <w:r w:rsidRPr="00990771">
        <w:rPr>
          <w:rFonts w:ascii="Arial" w:hAnsi="Arial" w:cs="Arial"/>
          <w:szCs w:val="21"/>
        </w:rPr>
        <w:t xml:space="preserve">Nel complesso, per ciascuna settimana, si utilizzano per </w:t>
      </w:r>
      <w:r>
        <w:rPr>
          <w:rFonts w:ascii="Arial" w:hAnsi="Arial" w:cs="Arial"/>
          <w:szCs w:val="21"/>
        </w:rPr>
        <w:t>il calcolo degli indici oltre 21</w:t>
      </w:r>
      <w:r w:rsidRPr="00990771">
        <w:rPr>
          <w:rFonts w:ascii="Arial" w:hAnsi="Arial" w:cs="Arial"/>
          <w:szCs w:val="21"/>
        </w:rPr>
        <w:t xml:space="preserve"> milioni di referenze il cui prezzo settimanale viene calcolato sulla base dei dati di fatturato e quantità vendute in ciascun punto vendita e relative a </w:t>
      </w:r>
      <w:r>
        <w:rPr>
          <w:rFonts w:ascii="Arial" w:hAnsi="Arial" w:cs="Arial"/>
          <w:szCs w:val="21"/>
        </w:rPr>
        <w:t xml:space="preserve">circa </w:t>
      </w:r>
      <w:r w:rsidRPr="00990771">
        <w:rPr>
          <w:rFonts w:ascii="Arial" w:hAnsi="Arial" w:cs="Arial"/>
          <w:szCs w:val="21"/>
        </w:rPr>
        <w:t xml:space="preserve">260mila GTIN distinti. A seguito della selezione dinamica contribuiscono quindi mediamente ogni mese al calcolo degli indici </w:t>
      </w:r>
      <w:r>
        <w:rPr>
          <w:rFonts w:ascii="Arial" w:hAnsi="Arial" w:cs="Arial"/>
          <w:szCs w:val="21"/>
        </w:rPr>
        <w:t>circa</w:t>
      </w:r>
      <w:r w:rsidRPr="00990771">
        <w:rPr>
          <w:rFonts w:ascii="Arial" w:hAnsi="Arial" w:cs="Arial"/>
          <w:szCs w:val="21"/>
        </w:rPr>
        <w:t xml:space="preserve"> 12 milioni di referenze, per un totale di circa 33 milioni di quotazioni di prezzo.</w:t>
      </w:r>
    </w:p>
    <w:p w14:paraId="77C33892" w14:textId="77777777" w:rsidR="00ED00B1" w:rsidRDefault="00ED00B1" w:rsidP="00ED00B1">
      <w:pPr>
        <w:widowControl/>
        <w:overflowPunct/>
        <w:spacing w:before="0" w:after="120"/>
        <w:jc w:val="both"/>
        <w:rPr>
          <w:rFonts w:ascii="Arial" w:hAnsi="Arial" w:cs="Arial"/>
        </w:rPr>
      </w:pPr>
      <w:r w:rsidRPr="00990771">
        <w:rPr>
          <w:rFonts w:ascii="Arial" w:hAnsi="Arial" w:cs="Arial"/>
        </w:rPr>
        <w:t>Le rilevazioni di fonte amministrativa per il calcolo dei prezzi al consumo sono diverse. Tra queste rientrano quelle relative ai Tabacchi i cui dati sono forniti dall’Agenzia delle dogane e dei monopoli (ADM). Gli indici calcolati sono relativi a tre aggregati di prodotto: Sigarette, Sigari e sigaretti e Altri tabacchi (trinciati per sigarette, tabacco da fiuto e da mastico, altri tabacchi da fumo, tabacchi da inalazione). Il campione e il sistema di ponderazione sono ottenuti sulla base del valore annuo delle vendite dei principali tabacchi lavorati in commercio.</w:t>
      </w:r>
      <w:r>
        <w:rPr>
          <w:rFonts w:ascii="Arial" w:hAnsi="Arial" w:cs="Arial"/>
        </w:rPr>
        <w:t xml:space="preserve"> </w:t>
      </w:r>
    </w:p>
    <w:p w14:paraId="175E2071" w14:textId="77777777" w:rsidR="00ED00B1" w:rsidRDefault="00ED00B1" w:rsidP="00ED00B1">
      <w:pPr>
        <w:widowControl/>
        <w:overflowPunct/>
        <w:spacing w:before="0" w:after="120"/>
        <w:jc w:val="both"/>
        <w:rPr>
          <w:rFonts w:ascii="Arial" w:hAnsi="Arial" w:cs="Arial"/>
        </w:rPr>
      </w:pPr>
      <w:r>
        <w:rPr>
          <w:rFonts w:ascii="Arial" w:hAnsi="Arial" w:cs="Arial"/>
          <w:szCs w:val="21"/>
        </w:rPr>
        <w:t>D</w:t>
      </w:r>
      <w:r w:rsidRPr="00B41AD2">
        <w:rPr>
          <w:rFonts w:ascii="Arial" w:hAnsi="Arial" w:cs="Arial"/>
          <w:szCs w:val="21"/>
        </w:rPr>
        <w:t>al 2017</w:t>
      </w:r>
      <w:r w:rsidRPr="00B41AD2">
        <w:rPr>
          <w:rFonts w:ascii="Arial" w:hAnsi="Arial" w:cs="Arial"/>
        </w:rPr>
        <w:t xml:space="preserve"> </w:t>
      </w:r>
      <w:r>
        <w:rPr>
          <w:rFonts w:ascii="Arial" w:hAnsi="Arial" w:cs="Arial"/>
        </w:rPr>
        <w:t xml:space="preserve">anche per i </w:t>
      </w:r>
      <w:r w:rsidRPr="00B41AD2">
        <w:rPr>
          <w:rFonts w:ascii="Arial" w:hAnsi="Arial" w:cs="Arial"/>
        </w:rPr>
        <w:t xml:space="preserve">prezzi al consumo dei carburanti </w:t>
      </w:r>
      <w:r>
        <w:rPr>
          <w:rFonts w:ascii="Arial" w:hAnsi="Arial" w:cs="Arial"/>
        </w:rPr>
        <w:t xml:space="preserve">si utilizzano </w:t>
      </w:r>
      <w:r w:rsidRPr="00B41AD2">
        <w:rPr>
          <w:rFonts w:ascii="Arial" w:hAnsi="Arial" w:cs="Arial"/>
        </w:rPr>
        <w:t xml:space="preserve">dati di fonte amministrativa, grazie a un accordo siglato con il </w:t>
      </w:r>
      <w:r>
        <w:rPr>
          <w:rFonts w:ascii="Arial" w:hAnsi="Arial" w:cs="Arial"/>
        </w:rPr>
        <w:t>MIMIT (ex MISE)</w:t>
      </w:r>
      <w:r w:rsidRPr="00B41AD2">
        <w:rPr>
          <w:rFonts w:ascii="Arial" w:hAnsi="Arial" w:cs="Arial"/>
        </w:rPr>
        <w:t xml:space="preserve"> che, in ottemperanza alla normativa vigente, raccoglie i dati sui prezzi di questi prodott</w:t>
      </w:r>
      <w:r>
        <w:rPr>
          <w:rFonts w:ascii="Arial" w:hAnsi="Arial" w:cs="Arial"/>
        </w:rPr>
        <w:t>i</w:t>
      </w:r>
      <w:r w:rsidRPr="00B41AD2">
        <w:rPr>
          <w:rFonts w:ascii="Arial" w:hAnsi="Arial" w:cs="Arial"/>
        </w:rPr>
        <w:t xml:space="preserve">. </w:t>
      </w:r>
      <w:r>
        <w:rPr>
          <w:rFonts w:ascii="Arial" w:hAnsi="Arial" w:cs="Arial"/>
        </w:rPr>
        <w:lastRenderedPageBreak/>
        <w:t>In particolare, n</w:t>
      </w:r>
      <w:r w:rsidRPr="00BF0530">
        <w:rPr>
          <w:rFonts w:ascii="Arial" w:hAnsi="Arial" w:cs="Arial"/>
          <w:szCs w:val="21"/>
        </w:rPr>
        <w:t>el 202</w:t>
      </w:r>
      <w:r>
        <w:rPr>
          <w:rFonts w:ascii="Arial" w:hAnsi="Arial" w:cs="Arial"/>
          <w:szCs w:val="21"/>
        </w:rPr>
        <w:t xml:space="preserve">5, gli </w:t>
      </w:r>
      <w:r w:rsidRPr="00BF0530">
        <w:rPr>
          <w:rFonts w:ascii="Arial" w:hAnsi="Arial" w:cs="Arial"/>
          <w:szCs w:val="21"/>
        </w:rPr>
        <w:t>indic</w:t>
      </w:r>
      <w:r>
        <w:rPr>
          <w:rFonts w:ascii="Arial" w:hAnsi="Arial" w:cs="Arial"/>
          <w:szCs w:val="21"/>
        </w:rPr>
        <w:t>i dei prezzi dei carburanti</w:t>
      </w:r>
      <w:r w:rsidRPr="00BF0530">
        <w:rPr>
          <w:rFonts w:ascii="Arial" w:hAnsi="Arial" w:cs="Arial"/>
          <w:szCs w:val="21"/>
        </w:rPr>
        <w:t xml:space="preserve"> </w:t>
      </w:r>
      <w:r>
        <w:rPr>
          <w:rFonts w:ascii="Arial" w:hAnsi="Arial" w:cs="Arial"/>
          <w:szCs w:val="21"/>
        </w:rPr>
        <w:t>sono</w:t>
      </w:r>
      <w:r w:rsidRPr="00BF0530">
        <w:rPr>
          <w:rFonts w:ascii="Arial" w:hAnsi="Arial" w:cs="Arial"/>
          <w:szCs w:val="21"/>
        </w:rPr>
        <w:t xml:space="preserve"> calcolat</w:t>
      </w:r>
      <w:r>
        <w:rPr>
          <w:rFonts w:ascii="Arial" w:hAnsi="Arial" w:cs="Arial"/>
          <w:szCs w:val="21"/>
        </w:rPr>
        <w:t>i</w:t>
      </w:r>
      <w:r w:rsidRPr="00BF0530">
        <w:rPr>
          <w:rFonts w:ascii="Arial" w:hAnsi="Arial" w:cs="Arial"/>
          <w:szCs w:val="21"/>
        </w:rPr>
        <w:t xml:space="preserve"> attraverso l’elaborazione di </w:t>
      </w:r>
      <w:r>
        <w:rPr>
          <w:rFonts w:ascii="Arial" w:hAnsi="Arial" w:cs="Arial"/>
          <w:szCs w:val="21"/>
        </w:rPr>
        <w:t>circa 214</w:t>
      </w:r>
      <w:r w:rsidRPr="00BF0530">
        <w:rPr>
          <w:rFonts w:ascii="Arial" w:hAnsi="Arial" w:cs="Arial"/>
          <w:szCs w:val="21"/>
        </w:rPr>
        <w:t xml:space="preserve">mila osservazioni di prezzo al mese, provenienti da </w:t>
      </w:r>
      <w:r>
        <w:rPr>
          <w:rFonts w:ascii="Arial" w:hAnsi="Arial" w:cs="Arial"/>
          <w:szCs w:val="21"/>
        </w:rPr>
        <w:t>circa 20.700</w:t>
      </w:r>
      <w:r w:rsidRPr="00BF0530">
        <w:rPr>
          <w:rFonts w:ascii="Arial" w:hAnsi="Arial" w:cs="Arial"/>
          <w:szCs w:val="21"/>
        </w:rPr>
        <w:t xml:space="preserve"> impianti, pari a</w:t>
      </w:r>
      <w:r>
        <w:rPr>
          <w:rFonts w:ascii="Arial" w:hAnsi="Arial" w:cs="Arial"/>
          <w:szCs w:val="21"/>
        </w:rPr>
        <w:t>l 92,7</w:t>
      </w:r>
      <w:r w:rsidRPr="00BF0530">
        <w:rPr>
          <w:rFonts w:ascii="Arial" w:hAnsi="Arial" w:cs="Arial"/>
          <w:szCs w:val="21"/>
        </w:rPr>
        <w:t xml:space="preserve">% di quelli attivi e presenti nella banca dati del </w:t>
      </w:r>
      <w:r>
        <w:rPr>
          <w:rFonts w:ascii="Arial" w:hAnsi="Arial" w:cs="Arial"/>
        </w:rPr>
        <w:t>MIMIT</w:t>
      </w:r>
      <w:r w:rsidRPr="00BF0530">
        <w:rPr>
          <w:rFonts w:ascii="Arial" w:hAnsi="Arial" w:cs="Arial"/>
          <w:szCs w:val="21"/>
        </w:rPr>
        <w:t>. La copertura dei distributori di carburanti per area territoriale comprende</w:t>
      </w:r>
      <w:r>
        <w:rPr>
          <w:rFonts w:ascii="Arial" w:hAnsi="Arial" w:cs="Arial"/>
          <w:szCs w:val="21"/>
        </w:rPr>
        <w:t xml:space="preserve"> oltre 4.800 impianti nel Nord-Ovest, oltre 4.200 nel Nord-Est, quasi 4.600 al Centro, circa 4.800 al Sud e circa 2.250 nelle Isole</w:t>
      </w:r>
      <w:r w:rsidRPr="00BF0530">
        <w:rPr>
          <w:rFonts w:ascii="Arial" w:hAnsi="Arial" w:cs="Arial"/>
          <w:szCs w:val="21"/>
        </w:rPr>
        <w:t>.</w:t>
      </w:r>
    </w:p>
    <w:p w14:paraId="110F5C01" w14:textId="77777777" w:rsidR="00ED00B1" w:rsidRPr="00990771" w:rsidRDefault="00ED00B1" w:rsidP="00ED00B1">
      <w:pPr>
        <w:widowControl/>
        <w:overflowPunct/>
        <w:spacing w:before="0" w:after="120"/>
        <w:jc w:val="both"/>
        <w:rPr>
          <w:rFonts w:ascii="Arial" w:hAnsi="Arial" w:cs="Arial"/>
        </w:rPr>
      </w:pPr>
      <w:r w:rsidRPr="00B9233A">
        <w:rPr>
          <w:rFonts w:ascii="Arial" w:hAnsi="Arial" w:cs="Arial"/>
          <w:szCs w:val="21"/>
        </w:rPr>
        <w:t xml:space="preserve">I dati del Ministero </w:t>
      </w:r>
      <w:r>
        <w:rPr>
          <w:rFonts w:ascii="Arial" w:hAnsi="Arial" w:cs="Arial"/>
          <w:szCs w:val="21"/>
        </w:rPr>
        <w:t xml:space="preserve">delle Imprese e del Made in </w:t>
      </w:r>
      <w:proofErr w:type="spellStart"/>
      <w:r>
        <w:rPr>
          <w:rFonts w:ascii="Arial" w:hAnsi="Arial" w:cs="Arial"/>
          <w:szCs w:val="21"/>
        </w:rPr>
        <w:t>Italy</w:t>
      </w:r>
      <w:proofErr w:type="spellEnd"/>
      <w:r w:rsidRPr="00B9233A">
        <w:rPr>
          <w:rFonts w:ascii="Arial" w:hAnsi="Arial" w:cs="Arial"/>
          <w:szCs w:val="21"/>
        </w:rPr>
        <w:t xml:space="preserve"> </w:t>
      </w:r>
      <w:r>
        <w:rPr>
          <w:rFonts w:ascii="Arial" w:hAnsi="Arial" w:cs="Arial"/>
          <w:szCs w:val="21"/>
        </w:rPr>
        <w:t>coprono i quattro</w:t>
      </w:r>
      <w:r w:rsidRPr="00B9233A">
        <w:rPr>
          <w:rFonts w:ascii="Arial" w:hAnsi="Arial" w:cs="Arial"/>
          <w:szCs w:val="21"/>
        </w:rPr>
        <w:t xml:space="preserve"> aggregati di prodotto riferi</w:t>
      </w:r>
      <w:r>
        <w:rPr>
          <w:rFonts w:ascii="Arial" w:hAnsi="Arial" w:cs="Arial"/>
          <w:szCs w:val="21"/>
        </w:rPr>
        <w:t>ti</w:t>
      </w:r>
      <w:r w:rsidRPr="00B9233A">
        <w:rPr>
          <w:rFonts w:ascii="Arial" w:hAnsi="Arial" w:cs="Arial"/>
          <w:szCs w:val="21"/>
        </w:rPr>
        <w:t xml:space="preserve"> ai carburanti per autotrazione che compongono il paniere: </w:t>
      </w:r>
      <w:r>
        <w:rPr>
          <w:rFonts w:ascii="Arial" w:hAnsi="Arial" w:cs="Arial"/>
          <w:szCs w:val="21"/>
        </w:rPr>
        <w:t>Benzina, G</w:t>
      </w:r>
      <w:r w:rsidRPr="00B9233A">
        <w:rPr>
          <w:rFonts w:ascii="Arial" w:hAnsi="Arial" w:cs="Arial"/>
          <w:szCs w:val="21"/>
        </w:rPr>
        <w:t>asolio</w:t>
      </w:r>
      <w:r>
        <w:rPr>
          <w:rFonts w:ascii="Arial" w:hAnsi="Arial" w:cs="Arial"/>
          <w:szCs w:val="21"/>
        </w:rPr>
        <w:t xml:space="preserve"> per mezzi di trasporto</w:t>
      </w:r>
      <w:r w:rsidRPr="00B9233A">
        <w:rPr>
          <w:rFonts w:ascii="Arial" w:hAnsi="Arial" w:cs="Arial"/>
          <w:szCs w:val="21"/>
        </w:rPr>
        <w:t xml:space="preserve">, </w:t>
      </w:r>
      <w:r>
        <w:rPr>
          <w:rFonts w:ascii="Arial" w:hAnsi="Arial" w:cs="Arial"/>
          <w:szCs w:val="21"/>
        </w:rPr>
        <w:t xml:space="preserve">Gas </w:t>
      </w:r>
      <w:r w:rsidRPr="00B9233A">
        <w:rPr>
          <w:rFonts w:ascii="Arial" w:hAnsi="Arial" w:cs="Arial"/>
          <w:szCs w:val="21"/>
        </w:rPr>
        <w:t xml:space="preserve">GPL e </w:t>
      </w:r>
      <w:r>
        <w:rPr>
          <w:rFonts w:ascii="Arial" w:hAnsi="Arial" w:cs="Arial"/>
          <w:szCs w:val="21"/>
        </w:rPr>
        <w:t xml:space="preserve">Gas </w:t>
      </w:r>
      <w:r w:rsidRPr="00B9233A">
        <w:rPr>
          <w:rFonts w:ascii="Arial" w:hAnsi="Arial" w:cs="Arial"/>
          <w:szCs w:val="21"/>
        </w:rPr>
        <w:t>metano</w:t>
      </w:r>
      <w:r>
        <w:rPr>
          <w:rFonts w:ascii="Arial" w:hAnsi="Arial" w:cs="Arial"/>
          <w:szCs w:val="21"/>
        </w:rPr>
        <w:t xml:space="preserve"> per autotrazione</w:t>
      </w:r>
      <w:r w:rsidRPr="00990771">
        <w:rPr>
          <w:rFonts w:ascii="Arial" w:hAnsi="Arial" w:cs="Arial"/>
        </w:rPr>
        <w:t>.</w:t>
      </w:r>
    </w:p>
    <w:p w14:paraId="15495ABF" w14:textId="77777777" w:rsidR="00ED00B1" w:rsidRDefault="00ED00B1" w:rsidP="00ED00B1">
      <w:pPr>
        <w:widowControl/>
        <w:overflowPunct/>
        <w:spacing w:before="0" w:after="120"/>
        <w:jc w:val="both"/>
        <w:rPr>
          <w:rFonts w:ascii="Arial" w:hAnsi="Arial" w:cs="Arial"/>
        </w:rPr>
      </w:pPr>
      <w:r w:rsidRPr="00990771">
        <w:rPr>
          <w:rFonts w:ascii="Arial" w:hAnsi="Arial" w:cs="Arial"/>
        </w:rPr>
        <w:t>Infine, dal 2022 la rilevazione sui canoni di affitto per le abitazioni di proprietà privata viene effettuata dall’Istat utilizzando la base dati delle locazioni immobiliari dell’Osservatorio del mercato immobiliare dell’Agenzia delle entrate. In seguito alla operazione di validazione dei dati, sono circa un milione e mezzo i canoni di affitto utilizzabili per il calcolo dell’indice mensile.</w:t>
      </w:r>
    </w:p>
    <w:p w14:paraId="3A2B16B2" w14:textId="77777777" w:rsidR="00ED00B1" w:rsidRDefault="00ED00B1" w:rsidP="00ED00B1">
      <w:pPr>
        <w:widowControl/>
        <w:overflowPunct/>
        <w:spacing w:before="0" w:after="120"/>
        <w:jc w:val="both"/>
        <w:rPr>
          <w:rFonts w:ascii="Arial" w:hAnsi="Arial" w:cs="Arial"/>
        </w:rPr>
      </w:pPr>
    </w:p>
    <w:p w14:paraId="2212852E" w14:textId="77777777" w:rsidR="00ED00B1" w:rsidRPr="00C8504B" w:rsidRDefault="00ED00B1" w:rsidP="00ED00B1">
      <w:pPr>
        <w:spacing w:before="0" w:after="120"/>
        <w:jc w:val="both"/>
        <w:rPr>
          <w:rFonts w:ascii="Arial" w:hAnsi="Arial" w:cs="Arial"/>
          <w:b/>
          <w:sz w:val="6"/>
          <w:szCs w:val="6"/>
        </w:rPr>
      </w:pPr>
      <w:r w:rsidRPr="00C8504B">
        <w:rPr>
          <w:rFonts w:ascii="Arial" w:hAnsi="Arial" w:cs="Arial"/>
          <w:b/>
          <w:sz w:val="22"/>
          <w:szCs w:val="22"/>
        </w:rPr>
        <w:t>Metodologia di calcolo degli indici e delle variazioni</w:t>
      </w:r>
    </w:p>
    <w:p w14:paraId="3B8BF95F" w14:textId="77777777" w:rsidR="00ED00B1" w:rsidRPr="00C8504B" w:rsidRDefault="00ED00B1" w:rsidP="00ED00B1">
      <w:pPr>
        <w:spacing w:before="0" w:after="120"/>
        <w:jc w:val="both"/>
        <w:rPr>
          <w:rFonts w:ascii="Arial" w:hAnsi="Arial" w:cs="Arial"/>
          <w:b/>
          <w:sz w:val="18"/>
          <w:szCs w:val="18"/>
        </w:rPr>
      </w:pPr>
      <w:r w:rsidRPr="00C8504B">
        <w:rPr>
          <w:rFonts w:ascii="Arial" w:hAnsi="Arial" w:cs="Arial"/>
          <w:b/>
        </w:rPr>
        <w:t xml:space="preserve">Struttura di ponderazione </w:t>
      </w:r>
    </w:p>
    <w:p w14:paraId="03EA8C2E" w14:textId="77777777" w:rsidR="00ED00B1" w:rsidRDefault="00ED00B1" w:rsidP="00ED00B1">
      <w:pPr>
        <w:tabs>
          <w:tab w:val="left" w:pos="10206"/>
        </w:tabs>
        <w:spacing w:before="0" w:after="120"/>
        <w:jc w:val="both"/>
        <w:rPr>
          <w:rFonts w:ascii="Arial" w:hAnsi="Arial" w:cs="Arial"/>
          <w:szCs w:val="21"/>
        </w:rPr>
      </w:pPr>
      <w:r w:rsidRPr="002C252F">
        <w:rPr>
          <w:rFonts w:ascii="Arial" w:hAnsi="Arial" w:cs="Arial"/>
          <w:szCs w:val="21"/>
        </w:rPr>
        <w:t>Non tutti i beni e i servizi che entrano nel paniere hanno la stessa importanza nei consumi della popolazione. L’esigenza di misurare il livello dei prezzi e la loro dinamica temporale attraverso indicatori di sintesi richiede la definizione di un sistema</w:t>
      </w:r>
      <w:r w:rsidRPr="00C43F15">
        <w:rPr>
          <w:rFonts w:ascii="Arial" w:hAnsi="Arial" w:cs="Arial"/>
          <w:szCs w:val="21"/>
        </w:rPr>
        <w:t xml:space="preserve"> di ponderazione che consenta di elaborare tali indicatori tenendo conto della diversa rilevanza che i singoli prodotti assumono sulla spesa complessiva per consumi delle famiglie. </w:t>
      </w:r>
    </w:p>
    <w:p w14:paraId="58106BF2" w14:textId="77777777" w:rsidR="00ED00B1" w:rsidRDefault="00ED00B1" w:rsidP="00ED00B1">
      <w:pPr>
        <w:tabs>
          <w:tab w:val="left" w:pos="10206"/>
        </w:tabs>
        <w:spacing w:before="0" w:after="120"/>
        <w:jc w:val="both"/>
        <w:rPr>
          <w:rFonts w:ascii="Arial" w:hAnsi="Arial" w:cs="Arial"/>
          <w:szCs w:val="21"/>
        </w:rPr>
      </w:pPr>
      <w:r w:rsidRPr="00CB741B">
        <w:rPr>
          <w:rFonts w:ascii="Arial" w:hAnsi="Arial" w:cs="Arial"/>
          <w:szCs w:val="21"/>
        </w:rPr>
        <w:t xml:space="preserve">Ogni anno i coefficienti di ponderazione degli indici sono aggiornati per tener conto dell’evoluzione dei consumi finali delle famiglie, come risulta dalle stime della Contabilità nazionale dell’Istat e dell’indagine sulle Spese delle famiglie, oltre che dai dati provenienti da altre fonti ausiliarie interne ed esterne all’Istituto (tra queste ultime le basi dati di importanti società di analisi e ricerche di mercato, quali </w:t>
      </w:r>
      <w:r w:rsidRPr="00464FBB">
        <w:rPr>
          <w:rFonts w:ascii="Arial" w:hAnsi="Arial" w:cs="Arial"/>
          <w:szCs w:val="21"/>
        </w:rPr>
        <w:t xml:space="preserve">A.C. Nielsen, Banca d’Italia, GfK </w:t>
      </w:r>
      <w:r>
        <w:rPr>
          <w:rFonts w:ascii="Arial" w:hAnsi="Arial" w:cs="Arial"/>
          <w:szCs w:val="21"/>
        </w:rPr>
        <w:t>Italia S.r.l.</w:t>
      </w:r>
      <w:r w:rsidRPr="00CB741B">
        <w:rPr>
          <w:rFonts w:ascii="Arial" w:hAnsi="Arial" w:cs="Arial"/>
          <w:szCs w:val="21"/>
        </w:rPr>
        <w:t>).</w:t>
      </w:r>
      <w:r>
        <w:rPr>
          <w:rFonts w:ascii="Arial" w:hAnsi="Arial" w:cs="Arial"/>
          <w:szCs w:val="21"/>
        </w:rPr>
        <w:t xml:space="preserve"> </w:t>
      </w:r>
      <w:r w:rsidRPr="00CB741B">
        <w:rPr>
          <w:rFonts w:ascii="Arial" w:hAnsi="Arial" w:cs="Arial"/>
          <w:szCs w:val="21"/>
        </w:rPr>
        <w:t>Tale operazione garantisce che il sistema dei pesi utilizzato per la stima dell’inflazione mantenga elevato nel tempo il grado di rappresentatività delle quote di spesa che i consumatori destinano all’acquisto dei beni e servizi finali.</w:t>
      </w:r>
    </w:p>
    <w:p w14:paraId="0909F557" w14:textId="77777777" w:rsidR="00ED00B1" w:rsidRDefault="00ED00B1" w:rsidP="00ED00B1">
      <w:pPr>
        <w:tabs>
          <w:tab w:val="left" w:pos="10206"/>
        </w:tabs>
        <w:spacing w:before="0" w:after="120"/>
        <w:jc w:val="both"/>
        <w:rPr>
          <w:rFonts w:ascii="Arial" w:hAnsi="Arial" w:cs="Arial"/>
        </w:rPr>
      </w:pPr>
      <w:r>
        <w:rPr>
          <w:rFonts w:ascii="Arial" w:hAnsi="Arial" w:cs="Arial"/>
        </w:rPr>
        <w:t>A</w:t>
      </w:r>
      <w:r w:rsidRPr="004E5BD7">
        <w:rPr>
          <w:rFonts w:ascii="Arial" w:hAnsi="Arial" w:cs="Arial"/>
        </w:rPr>
        <w:t>l fine di salvaguardare la coerenza tra la struttura di ponderazione degli indici e quella dei bilanci delle famiglie, e nel rispetto delle linee guida Eurostat, per la revisione dei pesi sono stati utilizzati i dati delle principali fonti int</w:t>
      </w:r>
      <w:r>
        <w:rPr>
          <w:rFonts w:ascii="Arial" w:hAnsi="Arial" w:cs="Arial"/>
        </w:rPr>
        <w:t>erne più recenti disponibili. In particolare, le spese di riferimento sono relative al 2024 per la fonte di</w:t>
      </w:r>
      <w:r w:rsidRPr="004E5BD7">
        <w:rPr>
          <w:rFonts w:ascii="Arial" w:hAnsi="Arial" w:cs="Arial"/>
        </w:rPr>
        <w:t xml:space="preserve"> Contabilità nazionale</w:t>
      </w:r>
      <w:r>
        <w:rPr>
          <w:rStyle w:val="Rimandonotaapidipagina"/>
          <w:rFonts w:ascii="Arial" w:hAnsi="Arial" w:cs="Arial"/>
        </w:rPr>
        <w:footnoteReference w:id="4"/>
      </w:r>
      <w:r w:rsidRPr="004E5BD7">
        <w:rPr>
          <w:rFonts w:ascii="Arial" w:hAnsi="Arial" w:cs="Arial"/>
        </w:rPr>
        <w:t xml:space="preserve"> </w:t>
      </w:r>
      <w:r>
        <w:rPr>
          <w:rFonts w:ascii="Arial" w:hAnsi="Arial" w:cs="Arial"/>
        </w:rPr>
        <w:t>e al 2023 per l’</w:t>
      </w:r>
      <w:r w:rsidRPr="004E5BD7">
        <w:rPr>
          <w:rFonts w:ascii="Arial" w:hAnsi="Arial" w:cs="Arial"/>
        </w:rPr>
        <w:t>indagine sulle Spese del</w:t>
      </w:r>
      <w:r>
        <w:rPr>
          <w:rFonts w:ascii="Arial" w:hAnsi="Arial" w:cs="Arial"/>
        </w:rPr>
        <w:t>le</w:t>
      </w:r>
      <w:r w:rsidRPr="004E5BD7">
        <w:rPr>
          <w:rFonts w:ascii="Arial" w:hAnsi="Arial" w:cs="Arial"/>
        </w:rPr>
        <w:t xml:space="preserve"> famiglie</w:t>
      </w:r>
      <w:r>
        <w:rPr>
          <w:rFonts w:ascii="Arial" w:hAnsi="Arial" w:cs="Arial"/>
        </w:rPr>
        <w:t>.</w:t>
      </w:r>
      <w:r w:rsidRPr="004E5BD7">
        <w:rPr>
          <w:rFonts w:ascii="Arial" w:hAnsi="Arial" w:cs="Arial"/>
        </w:rPr>
        <w:t xml:space="preserve"> </w:t>
      </w:r>
    </w:p>
    <w:p w14:paraId="5E15B696" w14:textId="77777777" w:rsidR="00ED00B1" w:rsidRDefault="00ED00B1" w:rsidP="00ED00B1">
      <w:pPr>
        <w:tabs>
          <w:tab w:val="left" w:pos="10206"/>
        </w:tabs>
        <w:spacing w:before="0" w:after="120"/>
        <w:jc w:val="both"/>
        <w:rPr>
          <w:rFonts w:ascii="Arial" w:hAnsi="Arial" w:cs="Arial"/>
        </w:rPr>
      </w:pPr>
      <w:r w:rsidRPr="009E5858">
        <w:rPr>
          <w:rFonts w:ascii="Arial" w:hAnsi="Arial" w:cs="Arial"/>
        </w:rPr>
        <w:t xml:space="preserve">Nel Prospetto 1 è riportata la versione </w:t>
      </w:r>
      <w:r>
        <w:rPr>
          <w:rFonts w:ascii="Arial" w:hAnsi="Arial" w:cs="Arial"/>
        </w:rPr>
        <w:t>finale</w:t>
      </w:r>
      <w:r w:rsidRPr="009E5858">
        <w:rPr>
          <w:rFonts w:ascii="Arial" w:hAnsi="Arial" w:cs="Arial"/>
        </w:rPr>
        <w:t xml:space="preserve"> della struttura dei pesi per divisione di spesa utilizzata per il calcolo dei tre indici dei prezzi al consumo (NIC, IPCA e FOI).</w:t>
      </w:r>
    </w:p>
    <w:p w14:paraId="020A8A3D" w14:textId="77777777" w:rsidR="00ED00B1" w:rsidRPr="00CF58C9" w:rsidRDefault="00ED00B1" w:rsidP="00ED00B1">
      <w:pPr>
        <w:tabs>
          <w:tab w:val="left" w:pos="10206"/>
        </w:tabs>
        <w:spacing w:before="0" w:after="120"/>
        <w:jc w:val="both"/>
        <w:rPr>
          <w:rFonts w:ascii="Arial" w:hAnsi="Arial" w:cs="Arial"/>
          <w:sz w:val="16"/>
          <w:szCs w:val="16"/>
        </w:rPr>
      </w:pPr>
    </w:p>
    <w:p w14:paraId="6965EF4B" w14:textId="77777777" w:rsidR="00ED00B1" w:rsidRPr="00881841" w:rsidRDefault="00ED00B1" w:rsidP="00EA74F8">
      <w:pPr>
        <w:pStyle w:val="001TitoGra"/>
        <w:spacing w:line="240" w:lineRule="auto"/>
        <w:jc w:val="both"/>
        <w:rPr>
          <w:b w:val="0"/>
          <w:sz w:val="20"/>
          <w:szCs w:val="20"/>
        </w:rPr>
      </w:pPr>
      <w:r w:rsidRPr="001611C8">
        <w:rPr>
          <w:rStyle w:val="001TitoGraRed"/>
        </w:rPr>
        <w:t xml:space="preserve">PROSPETTO </w:t>
      </w:r>
      <w:r>
        <w:rPr>
          <w:rStyle w:val="001TitoGraRed"/>
        </w:rPr>
        <w:t>1</w:t>
      </w:r>
      <w:r w:rsidRPr="001611C8">
        <w:rPr>
          <w:rStyle w:val="001TitoGraRed"/>
        </w:rPr>
        <w:t>.</w:t>
      </w:r>
      <w:r w:rsidRPr="00703E31">
        <w:t xml:space="preserve"> PESI UTILIZZATI PER IL CALCOLO DEGLI INDICI NAZIONALI DEI PREZZI AL CONSUMO, PER DIVISIONI DI SPESA</w:t>
      </w:r>
      <w:r>
        <w:t>.</w:t>
      </w:r>
      <w:r w:rsidRPr="00E95D57">
        <w:rPr>
          <w:b w:val="0"/>
        </w:rPr>
        <w:t xml:space="preserve"> </w:t>
      </w:r>
      <w:r>
        <w:rPr>
          <w:b w:val="0"/>
          <w:sz w:val="20"/>
          <w:szCs w:val="20"/>
        </w:rPr>
        <w:t>Anno 2025</w:t>
      </w:r>
      <w:r w:rsidRPr="00881841">
        <w:rPr>
          <w:b w:val="0"/>
          <w:sz w:val="20"/>
          <w:szCs w:val="20"/>
        </w:rPr>
        <w:t xml:space="preserve">, valori percentuali </w:t>
      </w:r>
    </w:p>
    <w:tbl>
      <w:tblPr>
        <w:tblW w:w="10206" w:type="dxa"/>
        <w:tblInd w:w="70"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4872"/>
        <w:gridCol w:w="1778"/>
        <w:gridCol w:w="1778"/>
        <w:gridCol w:w="1778"/>
      </w:tblGrid>
      <w:tr w:rsidR="00ED00B1" w:rsidRPr="00881841" w14:paraId="31DAB01A" w14:textId="77777777" w:rsidTr="00ED00B1">
        <w:trPr>
          <w:trHeight w:val="255"/>
        </w:trPr>
        <w:tc>
          <w:tcPr>
            <w:tcW w:w="4872" w:type="dxa"/>
            <w:vMerge w:val="restart"/>
            <w:shd w:val="clear" w:color="auto" w:fill="FFFFFF"/>
            <w:vAlign w:val="center"/>
            <w:hideMark/>
          </w:tcPr>
          <w:p w14:paraId="069A05BD" w14:textId="77777777" w:rsidR="00ED00B1" w:rsidRPr="0046573B" w:rsidRDefault="00ED00B1" w:rsidP="00ED00B1">
            <w:pPr>
              <w:widowControl/>
              <w:overflowPunct/>
              <w:autoSpaceDE/>
              <w:adjustRightInd/>
              <w:spacing w:before="0" w:after="0"/>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DIVISIONI DI SPESA</w:t>
            </w:r>
          </w:p>
        </w:tc>
        <w:tc>
          <w:tcPr>
            <w:tcW w:w="5334" w:type="dxa"/>
            <w:gridSpan w:val="3"/>
            <w:shd w:val="clear" w:color="auto" w:fill="D9D9D9"/>
            <w:vAlign w:val="center"/>
            <w:hideMark/>
          </w:tcPr>
          <w:p w14:paraId="5DDAE6F2" w14:textId="77777777" w:rsidR="00ED00B1" w:rsidRPr="00881841" w:rsidRDefault="00ED00B1" w:rsidP="00ED00B1">
            <w:pPr>
              <w:spacing w:before="0" w:after="0"/>
              <w:jc w:val="center"/>
              <w:rPr>
                <w:rFonts w:ascii="Arial Narrow" w:hAnsi="Arial Narrow" w:cs="Arial"/>
                <w:b/>
                <w:sz w:val="18"/>
                <w:szCs w:val="18"/>
              </w:rPr>
            </w:pPr>
            <w:r w:rsidRPr="0046573B">
              <w:rPr>
                <w:rFonts w:ascii="Arial Narrow" w:hAnsi="Arial Narrow" w:cs="Calibri"/>
                <w:b/>
                <w:bCs/>
                <w:color w:val="000000"/>
                <w:kern w:val="0"/>
                <w:sz w:val="18"/>
                <w:szCs w:val="18"/>
              </w:rPr>
              <w:t>Pesi</w:t>
            </w:r>
          </w:p>
        </w:tc>
      </w:tr>
      <w:tr w:rsidR="00ED00B1" w:rsidRPr="00881841" w14:paraId="4047DB41" w14:textId="77777777" w:rsidTr="00ED00B1">
        <w:trPr>
          <w:trHeight w:val="255"/>
        </w:trPr>
        <w:tc>
          <w:tcPr>
            <w:tcW w:w="4872" w:type="dxa"/>
            <w:vMerge/>
            <w:vAlign w:val="center"/>
            <w:hideMark/>
          </w:tcPr>
          <w:p w14:paraId="2DA29549" w14:textId="77777777" w:rsidR="00ED00B1" w:rsidRPr="0046573B" w:rsidRDefault="00ED00B1" w:rsidP="00ED00B1">
            <w:pPr>
              <w:widowControl/>
              <w:overflowPunct/>
              <w:autoSpaceDE/>
              <w:autoSpaceDN/>
              <w:adjustRightInd/>
              <w:spacing w:before="0" w:after="0"/>
              <w:rPr>
                <w:rFonts w:ascii="Arial Narrow" w:hAnsi="Arial Narrow" w:cs="Calibri"/>
                <w:b/>
                <w:bCs/>
                <w:color w:val="000000"/>
                <w:kern w:val="0"/>
                <w:sz w:val="18"/>
                <w:szCs w:val="18"/>
              </w:rPr>
            </w:pPr>
          </w:p>
        </w:tc>
        <w:tc>
          <w:tcPr>
            <w:tcW w:w="1778" w:type="dxa"/>
            <w:vAlign w:val="center"/>
            <w:hideMark/>
          </w:tcPr>
          <w:p w14:paraId="5145E211" w14:textId="77777777" w:rsidR="00ED00B1" w:rsidRPr="0046573B" w:rsidRDefault="00ED00B1" w:rsidP="00ED00B1">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NIC</w:t>
            </w:r>
          </w:p>
        </w:tc>
        <w:tc>
          <w:tcPr>
            <w:tcW w:w="1778" w:type="dxa"/>
            <w:vAlign w:val="center"/>
            <w:hideMark/>
          </w:tcPr>
          <w:p w14:paraId="00FE8A22" w14:textId="77777777" w:rsidR="00ED00B1" w:rsidRPr="0046573B" w:rsidRDefault="00ED00B1" w:rsidP="00ED00B1">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IPCA</w:t>
            </w:r>
          </w:p>
        </w:tc>
        <w:tc>
          <w:tcPr>
            <w:tcW w:w="1778" w:type="dxa"/>
            <w:vAlign w:val="center"/>
            <w:hideMark/>
          </w:tcPr>
          <w:p w14:paraId="4005F9AB" w14:textId="77777777" w:rsidR="00ED00B1" w:rsidRPr="0046573B" w:rsidRDefault="00ED00B1" w:rsidP="00ED00B1">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FOI</w:t>
            </w:r>
          </w:p>
        </w:tc>
      </w:tr>
      <w:tr w:rsidR="0050077B" w:rsidRPr="00881841" w14:paraId="29B6D1D0" w14:textId="77777777" w:rsidTr="00ED00B1">
        <w:trPr>
          <w:trHeight w:val="255"/>
        </w:trPr>
        <w:tc>
          <w:tcPr>
            <w:tcW w:w="4872" w:type="dxa"/>
            <w:vAlign w:val="center"/>
            <w:hideMark/>
          </w:tcPr>
          <w:p w14:paraId="1FB33285"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Prodotti alimentari e bevande analcoliche</w:t>
            </w:r>
          </w:p>
        </w:tc>
        <w:tc>
          <w:tcPr>
            <w:tcW w:w="1778" w:type="dxa"/>
            <w:tcBorders>
              <w:top w:val="single" w:sz="4" w:space="0" w:color="auto"/>
              <w:left w:val="nil"/>
              <w:bottom w:val="single" w:sz="4" w:space="0" w:color="auto"/>
              <w:right w:val="nil"/>
            </w:tcBorders>
            <w:shd w:val="clear" w:color="000000" w:fill="D9D9D9"/>
            <w:vAlign w:val="center"/>
          </w:tcPr>
          <w:p w14:paraId="38A5CCFE"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17,1290</w:t>
            </w:r>
          </w:p>
        </w:tc>
        <w:tc>
          <w:tcPr>
            <w:tcW w:w="1778" w:type="dxa"/>
            <w:tcBorders>
              <w:top w:val="single" w:sz="4" w:space="0" w:color="auto"/>
              <w:left w:val="nil"/>
              <w:bottom w:val="single" w:sz="4" w:space="0" w:color="auto"/>
              <w:right w:val="nil"/>
            </w:tcBorders>
            <w:vAlign w:val="center"/>
          </w:tcPr>
          <w:p w14:paraId="4BB5FA59"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18,1425</w:t>
            </w:r>
          </w:p>
        </w:tc>
        <w:tc>
          <w:tcPr>
            <w:tcW w:w="1778" w:type="dxa"/>
            <w:tcBorders>
              <w:top w:val="single" w:sz="4" w:space="0" w:color="auto"/>
              <w:left w:val="nil"/>
              <w:bottom w:val="single" w:sz="4" w:space="0" w:color="auto"/>
              <w:right w:val="nil"/>
            </w:tcBorders>
            <w:shd w:val="clear" w:color="000000" w:fill="D9D9D9"/>
            <w:vAlign w:val="center"/>
          </w:tcPr>
          <w:p w14:paraId="1F520C83"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15,7993</w:t>
            </w:r>
          </w:p>
        </w:tc>
      </w:tr>
      <w:tr w:rsidR="0050077B" w:rsidRPr="00881841" w14:paraId="66A493DB" w14:textId="77777777" w:rsidTr="00ED00B1">
        <w:trPr>
          <w:trHeight w:val="255"/>
        </w:trPr>
        <w:tc>
          <w:tcPr>
            <w:tcW w:w="4872" w:type="dxa"/>
            <w:vAlign w:val="center"/>
            <w:hideMark/>
          </w:tcPr>
          <w:p w14:paraId="659BD255"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Bevande alcoliche e tabacchi</w:t>
            </w:r>
          </w:p>
        </w:tc>
        <w:tc>
          <w:tcPr>
            <w:tcW w:w="1778" w:type="dxa"/>
            <w:tcBorders>
              <w:top w:val="single" w:sz="4" w:space="0" w:color="auto"/>
              <w:left w:val="nil"/>
              <w:bottom w:val="single" w:sz="4" w:space="0" w:color="auto"/>
              <w:right w:val="nil"/>
            </w:tcBorders>
            <w:shd w:val="clear" w:color="000000" w:fill="D9D9D9"/>
            <w:vAlign w:val="center"/>
          </w:tcPr>
          <w:p w14:paraId="25E0E271"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3,0112</w:t>
            </w:r>
          </w:p>
        </w:tc>
        <w:tc>
          <w:tcPr>
            <w:tcW w:w="1778" w:type="dxa"/>
            <w:tcBorders>
              <w:top w:val="single" w:sz="4" w:space="0" w:color="auto"/>
              <w:left w:val="nil"/>
              <w:bottom w:val="single" w:sz="4" w:space="0" w:color="auto"/>
              <w:right w:val="nil"/>
            </w:tcBorders>
            <w:vAlign w:val="center"/>
          </w:tcPr>
          <w:p w14:paraId="3F5BE18B"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3,1911</w:t>
            </w:r>
          </w:p>
        </w:tc>
        <w:tc>
          <w:tcPr>
            <w:tcW w:w="1778" w:type="dxa"/>
            <w:tcBorders>
              <w:top w:val="single" w:sz="4" w:space="0" w:color="auto"/>
              <w:left w:val="nil"/>
              <w:bottom w:val="single" w:sz="4" w:space="0" w:color="auto"/>
              <w:right w:val="nil"/>
            </w:tcBorders>
            <w:shd w:val="clear" w:color="000000" w:fill="D9D9D9"/>
            <w:vAlign w:val="center"/>
          </w:tcPr>
          <w:p w14:paraId="42E858D4"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3,2673</w:t>
            </w:r>
          </w:p>
        </w:tc>
      </w:tr>
      <w:tr w:rsidR="0050077B" w:rsidRPr="00881841" w14:paraId="1663FD7F" w14:textId="77777777" w:rsidTr="00ED00B1">
        <w:trPr>
          <w:trHeight w:val="255"/>
        </w:trPr>
        <w:tc>
          <w:tcPr>
            <w:tcW w:w="4872" w:type="dxa"/>
            <w:vAlign w:val="center"/>
            <w:hideMark/>
          </w:tcPr>
          <w:p w14:paraId="52C92667"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Abbigliamento e calzature</w:t>
            </w:r>
          </w:p>
        </w:tc>
        <w:tc>
          <w:tcPr>
            <w:tcW w:w="1778" w:type="dxa"/>
            <w:tcBorders>
              <w:top w:val="single" w:sz="4" w:space="0" w:color="auto"/>
              <w:left w:val="nil"/>
              <w:bottom w:val="single" w:sz="4" w:space="0" w:color="auto"/>
              <w:right w:val="nil"/>
            </w:tcBorders>
            <w:shd w:val="clear" w:color="000000" w:fill="D9D9D9"/>
            <w:vAlign w:val="center"/>
          </w:tcPr>
          <w:p w14:paraId="09D32233"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5,9351</w:t>
            </w:r>
          </w:p>
        </w:tc>
        <w:tc>
          <w:tcPr>
            <w:tcW w:w="1778" w:type="dxa"/>
            <w:tcBorders>
              <w:top w:val="single" w:sz="4" w:space="0" w:color="auto"/>
              <w:left w:val="nil"/>
              <w:bottom w:val="single" w:sz="4" w:space="0" w:color="auto"/>
              <w:right w:val="nil"/>
            </w:tcBorders>
            <w:vAlign w:val="center"/>
          </w:tcPr>
          <w:p w14:paraId="03D3BDC5"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6,7911</w:t>
            </w:r>
          </w:p>
        </w:tc>
        <w:tc>
          <w:tcPr>
            <w:tcW w:w="1778" w:type="dxa"/>
            <w:tcBorders>
              <w:top w:val="single" w:sz="4" w:space="0" w:color="auto"/>
              <w:left w:val="nil"/>
              <w:bottom w:val="single" w:sz="4" w:space="0" w:color="auto"/>
              <w:right w:val="nil"/>
            </w:tcBorders>
            <w:shd w:val="clear" w:color="000000" w:fill="D9D9D9"/>
            <w:vAlign w:val="center"/>
          </w:tcPr>
          <w:p w14:paraId="6D23EDBB"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6,3457</w:t>
            </w:r>
          </w:p>
        </w:tc>
      </w:tr>
      <w:tr w:rsidR="0050077B" w:rsidRPr="00881841" w14:paraId="3D9AD227" w14:textId="77777777" w:rsidTr="00ED00B1">
        <w:trPr>
          <w:trHeight w:val="255"/>
        </w:trPr>
        <w:tc>
          <w:tcPr>
            <w:tcW w:w="4872" w:type="dxa"/>
            <w:vAlign w:val="center"/>
            <w:hideMark/>
          </w:tcPr>
          <w:p w14:paraId="1500AD9B"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Abitazione, acqua, elettricità e combustibili</w:t>
            </w:r>
          </w:p>
        </w:tc>
        <w:tc>
          <w:tcPr>
            <w:tcW w:w="1778" w:type="dxa"/>
            <w:tcBorders>
              <w:top w:val="single" w:sz="4" w:space="0" w:color="auto"/>
              <w:left w:val="nil"/>
              <w:bottom w:val="single" w:sz="4" w:space="0" w:color="auto"/>
              <w:right w:val="nil"/>
            </w:tcBorders>
            <w:shd w:val="clear" w:color="000000" w:fill="D9D9D9"/>
            <w:vAlign w:val="center"/>
          </w:tcPr>
          <w:p w14:paraId="5610DD30"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11,8883</w:t>
            </w:r>
          </w:p>
        </w:tc>
        <w:tc>
          <w:tcPr>
            <w:tcW w:w="1778" w:type="dxa"/>
            <w:tcBorders>
              <w:top w:val="single" w:sz="4" w:space="0" w:color="auto"/>
              <w:left w:val="nil"/>
              <w:bottom w:val="single" w:sz="4" w:space="0" w:color="auto"/>
              <w:right w:val="nil"/>
            </w:tcBorders>
            <w:vAlign w:val="center"/>
          </w:tcPr>
          <w:p w14:paraId="60025805"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12,6003</w:t>
            </w:r>
          </w:p>
        </w:tc>
        <w:tc>
          <w:tcPr>
            <w:tcW w:w="1778" w:type="dxa"/>
            <w:tcBorders>
              <w:top w:val="single" w:sz="4" w:space="0" w:color="auto"/>
              <w:left w:val="nil"/>
              <w:bottom w:val="single" w:sz="4" w:space="0" w:color="auto"/>
              <w:right w:val="nil"/>
            </w:tcBorders>
            <w:shd w:val="clear" w:color="000000" w:fill="D9D9D9"/>
            <w:vAlign w:val="center"/>
          </w:tcPr>
          <w:p w14:paraId="54F7B2FF"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12,1653</w:t>
            </w:r>
          </w:p>
        </w:tc>
      </w:tr>
      <w:tr w:rsidR="0050077B" w:rsidRPr="00881841" w14:paraId="0BF93048" w14:textId="77777777" w:rsidTr="00ED00B1">
        <w:trPr>
          <w:trHeight w:val="255"/>
        </w:trPr>
        <w:tc>
          <w:tcPr>
            <w:tcW w:w="4872" w:type="dxa"/>
            <w:vAlign w:val="center"/>
            <w:hideMark/>
          </w:tcPr>
          <w:p w14:paraId="777D031F"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Mobili, articoli e servizi per la casa</w:t>
            </w:r>
          </w:p>
        </w:tc>
        <w:tc>
          <w:tcPr>
            <w:tcW w:w="1778" w:type="dxa"/>
            <w:tcBorders>
              <w:top w:val="single" w:sz="4" w:space="0" w:color="auto"/>
              <w:left w:val="nil"/>
              <w:bottom w:val="single" w:sz="4" w:space="0" w:color="auto"/>
              <w:right w:val="nil"/>
            </w:tcBorders>
            <w:shd w:val="clear" w:color="000000" w:fill="D9D9D9"/>
            <w:vAlign w:val="center"/>
          </w:tcPr>
          <w:p w14:paraId="11EDBE1E"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6,8441</w:t>
            </w:r>
          </w:p>
        </w:tc>
        <w:tc>
          <w:tcPr>
            <w:tcW w:w="1778" w:type="dxa"/>
            <w:tcBorders>
              <w:top w:val="single" w:sz="4" w:space="0" w:color="auto"/>
              <w:left w:val="nil"/>
              <w:bottom w:val="single" w:sz="4" w:space="0" w:color="auto"/>
              <w:right w:val="nil"/>
            </w:tcBorders>
            <w:vAlign w:val="center"/>
          </w:tcPr>
          <w:p w14:paraId="68A33021"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7,2823</w:t>
            </w:r>
          </w:p>
        </w:tc>
        <w:tc>
          <w:tcPr>
            <w:tcW w:w="1778" w:type="dxa"/>
            <w:tcBorders>
              <w:top w:val="single" w:sz="4" w:space="0" w:color="auto"/>
              <w:left w:val="nil"/>
              <w:bottom w:val="single" w:sz="4" w:space="0" w:color="auto"/>
              <w:right w:val="nil"/>
            </w:tcBorders>
            <w:shd w:val="clear" w:color="000000" w:fill="D9D9D9"/>
            <w:vAlign w:val="center"/>
          </w:tcPr>
          <w:p w14:paraId="577A5AC6"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6,9536</w:t>
            </w:r>
          </w:p>
        </w:tc>
      </w:tr>
      <w:tr w:rsidR="0050077B" w:rsidRPr="00881841" w14:paraId="0B4389A2" w14:textId="77777777" w:rsidTr="00ED00B1">
        <w:trPr>
          <w:trHeight w:val="255"/>
        </w:trPr>
        <w:tc>
          <w:tcPr>
            <w:tcW w:w="4872" w:type="dxa"/>
            <w:vAlign w:val="center"/>
            <w:hideMark/>
          </w:tcPr>
          <w:p w14:paraId="71BDDF2B"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Servizi sanitari e spese per la salute</w:t>
            </w:r>
          </w:p>
        </w:tc>
        <w:tc>
          <w:tcPr>
            <w:tcW w:w="1778" w:type="dxa"/>
            <w:tcBorders>
              <w:top w:val="single" w:sz="4" w:space="0" w:color="auto"/>
              <w:left w:val="nil"/>
              <w:bottom w:val="single" w:sz="4" w:space="0" w:color="auto"/>
              <w:right w:val="nil"/>
            </w:tcBorders>
            <w:shd w:val="clear" w:color="000000" w:fill="D9D9D9"/>
            <w:vAlign w:val="center"/>
          </w:tcPr>
          <w:p w14:paraId="1C276A7C"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8,1284</w:t>
            </w:r>
          </w:p>
        </w:tc>
        <w:tc>
          <w:tcPr>
            <w:tcW w:w="1778" w:type="dxa"/>
            <w:tcBorders>
              <w:top w:val="single" w:sz="4" w:space="0" w:color="auto"/>
              <w:left w:val="nil"/>
              <w:bottom w:val="single" w:sz="4" w:space="0" w:color="auto"/>
              <w:right w:val="nil"/>
            </w:tcBorders>
            <w:vAlign w:val="center"/>
          </w:tcPr>
          <w:p w14:paraId="2F2CE63F"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4,1673</w:t>
            </w:r>
          </w:p>
        </w:tc>
        <w:tc>
          <w:tcPr>
            <w:tcW w:w="1778" w:type="dxa"/>
            <w:tcBorders>
              <w:top w:val="single" w:sz="4" w:space="0" w:color="auto"/>
              <w:left w:val="nil"/>
              <w:bottom w:val="single" w:sz="4" w:space="0" w:color="auto"/>
              <w:right w:val="nil"/>
            </w:tcBorders>
            <w:shd w:val="clear" w:color="000000" w:fill="D9D9D9"/>
            <w:vAlign w:val="center"/>
          </w:tcPr>
          <w:p w14:paraId="6889D880"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6,9034</w:t>
            </w:r>
          </w:p>
        </w:tc>
      </w:tr>
      <w:tr w:rsidR="0050077B" w:rsidRPr="00881841" w14:paraId="40C411F2" w14:textId="77777777" w:rsidTr="00ED00B1">
        <w:trPr>
          <w:trHeight w:val="255"/>
        </w:trPr>
        <w:tc>
          <w:tcPr>
            <w:tcW w:w="4872" w:type="dxa"/>
            <w:vAlign w:val="center"/>
            <w:hideMark/>
          </w:tcPr>
          <w:p w14:paraId="3903CB3E"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Trasporti</w:t>
            </w:r>
          </w:p>
        </w:tc>
        <w:tc>
          <w:tcPr>
            <w:tcW w:w="1778" w:type="dxa"/>
            <w:tcBorders>
              <w:top w:val="single" w:sz="4" w:space="0" w:color="auto"/>
              <w:left w:val="nil"/>
              <w:bottom w:val="single" w:sz="4" w:space="0" w:color="auto"/>
              <w:right w:val="nil"/>
            </w:tcBorders>
            <w:shd w:val="clear" w:color="000000" w:fill="D9D9D9"/>
            <w:vAlign w:val="center"/>
          </w:tcPr>
          <w:p w14:paraId="6198D69F"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15,2266</w:t>
            </w:r>
          </w:p>
        </w:tc>
        <w:tc>
          <w:tcPr>
            <w:tcW w:w="1778" w:type="dxa"/>
            <w:tcBorders>
              <w:top w:val="single" w:sz="4" w:space="0" w:color="auto"/>
              <w:left w:val="nil"/>
              <w:bottom w:val="single" w:sz="4" w:space="0" w:color="auto"/>
              <w:right w:val="nil"/>
            </w:tcBorders>
            <w:vAlign w:val="center"/>
          </w:tcPr>
          <w:p w14:paraId="3F6E8E71"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16,0891</w:t>
            </w:r>
          </w:p>
        </w:tc>
        <w:tc>
          <w:tcPr>
            <w:tcW w:w="1778" w:type="dxa"/>
            <w:tcBorders>
              <w:top w:val="single" w:sz="4" w:space="0" w:color="auto"/>
              <w:left w:val="nil"/>
              <w:bottom w:val="single" w:sz="4" w:space="0" w:color="auto"/>
              <w:right w:val="nil"/>
            </w:tcBorders>
            <w:shd w:val="clear" w:color="000000" w:fill="D9D9D9"/>
            <w:vAlign w:val="center"/>
          </w:tcPr>
          <w:p w14:paraId="0F5B687C"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17,0123</w:t>
            </w:r>
          </w:p>
        </w:tc>
      </w:tr>
      <w:tr w:rsidR="0050077B" w:rsidRPr="00881841" w14:paraId="6FACA06E" w14:textId="77777777" w:rsidTr="00ED00B1">
        <w:trPr>
          <w:trHeight w:val="255"/>
        </w:trPr>
        <w:tc>
          <w:tcPr>
            <w:tcW w:w="4872" w:type="dxa"/>
            <w:vAlign w:val="center"/>
            <w:hideMark/>
          </w:tcPr>
          <w:p w14:paraId="3CF153E5"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Comunicazioni</w:t>
            </w:r>
          </w:p>
        </w:tc>
        <w:tc>
          <w:tcPr>
            <w:tcW w:w="1778" w:type="dxa"/>
            <w:tcBorders>
              <w:top w:val="single" w:sz="4" w:space="0" w:color="auto"/>
              <w:left w:val="nil"/>
              <w:bottom w:val="single" w:sz="4" w:space="0" w:color="auto"/>
              <w:right w:val="nil"/>
            </w:tcBorders>
            <w:shd w:val="clear" w:color="000000" w:fill="D9D9D9"/>
            <w:vAlign w:val="center"/>
          </w:tcPr>
          <w:p w14:paraId="112C5003"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1,9136</w:t>
            </w:r>
          </w:p>
        </w:tc>
        <w:tc>
          <w:tcPr>
            <w:tcW w:w="1778" w:type="dxa"/>
            <w:tcBorders>
              <w:top w:val="single" w:sz="4" w:space="0" w:color="auto"/>
              <w:left w:val="nil"/>
              <w:bottom w:val="single" w:sz="4" w:space="0" w:color="auto"/>
              <w:right w:val="nil"/>
            </w:tcBorders>
            <w:vAlign w:val="center"/>
          </w:tcPr>
          <w:p w14:paraId="6C063211"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2,0303</w:t>
            </w:r>
          </w:p>
        </w:tc>
        <w:tc>
          <w:tcPr>
            <w:tcW w:w="1778" w:type="dxa"/>
            <w:tcBorders>
              <w:top w:val="single" w:sz="4" w:space="0" w:color="auto"/>
              <w:left w:val="nil"/>
              <w:bottom w:val="single" w:sz="4" w:space="0" w:color="auto"/>
              <w:right w:val="nil"/>
            </w:tcBorders>
            <w:shd w:val="clear" w:color="000000" w:fill="D9D9D9"/>
            <w:vAlign w:val="center"/>
          </w:tcPr>
          <w:p w14:paraId="44BBB21B"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2,2695</w:t>
            </w:r>
          </w:p>
        </w:tc>
      </w:tr>
      <w:tr w:rsidR="0050077B" w:rsidRPr="00881841" w14:paraId="22820522" w14:textId="77777777" w:rsidTr="00ED00B1">
        <w:trPr>
          <w:trHeight w:val="255"/>
        </w:trPr>
        <w:tc>
          <w:tcPr>
            <w:tcW w:w="4872" w:type="dxa"/>
            <w:vAlign w:val="center"/>
            <w:hideMark/>
          </w:tcPr>
          <w:p w14:paraId="4C938802"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Ricreazione, spettacoli e cultura</w:t>
            </w:r>
          </w:p>
        </w:tc>
        <w:tc>
          <w:tcPr>
            <w:tcW w:w="1778" w:type="dxa"/>
            <w:tcBorders>
              <w:top w:val="single" w:sz="4" w:space="0" w:color="auto"/>
              <w:left w:val="nil"/>
              <w:bottom w:val="single" w:sz="4" w:space="0" w:color="auto"/>
              <w:right w:val="nil"/>
            </w:tcBorders>
            <w:shd w:val="clear" w:color="000000" w:fill="D9D9D9"/>
            <w:vAlign w:val="center"/>
          </w:tcPr>
          <w:p w14:paraId="52D58BDE"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7,4624</w:t>
            </w:r>
          </w:p>
        </w:tc>
        <w:tc>
          <w:tcPr>
            <w:tcW w:w="1778" w:type="dxa"/>
            <w:tcBorders>
              <w:top w:val="single" w:sz="4" w:space="0" w:color="auto"/>
              <w:left w:val="nil"/>
              <w:bottom w:val="single" w:sz="4" w:space="0" w:color="auto"/>
              <w:right w:val="nil"/>
            </w:tcBorders>
            <w:vAlign w:val="center"/>
          </w:tcPr>
          <w:p w14:paraId="6563A700"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5,8814</w:t>
            </w:r>
          </w:p>
        </w:tc>
        <w:tc>
          <w:tcPr>
            <w:tcW w:w="1778" w:type="dxa"/>
            <w:tcBorders>
              <w:top w:val="single" w:sz="4" w:space="0" w:color="auto"/>
              <w:left w:val="nil"/>
              <w:bottom w:val="single" w:sz="4" w:space="0" w:color="auto"/>
              <w:right w:val="nil"/>
            </w:tcBorders>
            <w:shd w:val="clear" w:color="000000" w:fill="D9D9D9"/>
            <w:vAlign w:val="center"/>
          </w:tcPr>
          <w:p w14:paraId="3B0AA5A9"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7,6695</w:t>
            </w:r>
          </w:p>
        </w:tc>
      </w:tr>
      <w:tr w:rsidR="0050077B" w:rsidRPr="00881841" w14:paraId="458C288C" w14:textId="77777777" w:rsidTr="00ED00B1">
        <w:trPr>
          <w:trHeight w:val="255"/>
        </w:trPr>
        <w:tc>
          <w:tcPr>
            <w:tcW w:w="4872" w:type="dxa"/>
            <w:vAlign w:val="center"/>
            <w:hideMark/>
          </w:tcPr>
          <w:p w14:paraId="710BC0CA"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Istruzione</w:t>
            </w:r>
          </w:p>
        </w:tc>
        <w:tc>
          <w:tcPr>
            <w:tcW w:w="1778" w:type="dxa"/>
            <w:tcBorders>
              <w:top w:val="single" w:sz="4" w:space="0" w:color="auto"/>
              <w:left w:val="nil"/>
              <w:bottom w:val="single" w:sz="4" w:space="0" w:color="auto"/>
              <w:right w:val="nil"/>
            </w:tcBorders>
            <w:shd w:val="clear" w:color="000000" w:fill="D9D9D9"/>
            <w:vAlign w:val="center"/>
          </w:tcPr>
          <w:p w14:paraId="6AF0049C"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0,921</w:t>
            </w:r>
          </w:p>
        </w:tc>
        <w:tc>
          <w:tcPr>
            <w:tcW w:w="1778" w:type="dxa"/>
            <w:tcBorders>
              <w:top w:val="single" w:sz="4" w:space="0" w:color="auto"/>
              <w:left w:val="nil"/>
              <w:bottom w:val="single" w:sz="4" w:space="0" w:color="auto"/>
              <w:right w:val="nil"/>
            </w:tcBorders>
            <w:vAlign w:val="center"/>
          </w:tcPr>
          <w:p w14:paraId="14EDBF00"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0,9761</w:t>
            </w:r>
          </w:p>
        </w:tc>
        <w:tc>
          <w:tcPr>
            <w:tcW w:w="1778" w:type="dxa"/>
            <w:tcBorders>
              <w:top w:val="single" w:sz="4" w:space="0" w:color="auto"/>
              <w:left w:val="nil"/>
              <w:bottom w:val="single" w:sz="4" w:space="0" w:color="auto"/>
              <w:right w:val="nil"/>
            </w:tcBorders>
            <w:shd w:val="clear" w:color="000000" w:fill="D9D9D9"/>
            <w:vAlign w:val="center"/>
          </w:tcPr>
          <w:p w14:paraId="7FC50CE2"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1,1337</w:t>
            </w:r>
          </w:p>
        </w:tc>
      </w:tr>
      <w:tr w:rsidR="0050077B" w:rsidRPr="00881841" w14:paraId="3098F521" w14:textId="77777777" w:rsidTr="00ED00B1">
        <w:trPr>
          <w:trHeight w:val="255"/>
        </w:trPr>
        <w:tc>
          <w:tcPr>
            <w:tcW w:w="4872" w:type="dxa"/>
            <w:vAlign w:val="center"/>
            <w:hideMark/>
          </w:tcPr>
          <w:p w14:paraId="2CFC52CF"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Servizi ricettivi e di ristorazione</w:t>
            </w:r>
          </w:p>
        </w:tc>
        <w:tc>
          <w:tcPr>
            <w:tcW w:w="1778" w:type="dxa"/>
            <w:tcBorders>
              <w:top w:val="single" w:sz="4" w:space="0" w:color="auto"/>
              <w:left w:val="nil"/>
              <w:bottom w:val="single" w:sz="4" w:space="0" w:color="auto"/>
              <w:right w:val="nil"/>
            </w:tcBorders>
            <w:shd w:val="clear" w:color="000000" w:fill="D9D9D9"/>
            <w:vAlign w:val="center"/>
          </w:tcPr>
          <w:p w14:paraId="6701A1C5"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11,9507</w:t>
            </w:r>
          </w:p>
        </w:tc>
        <w:tc>
          <w:tcPr>
            <w:tcW w:w="1778" w:type="dxa"/>
            <w:tcBorders>
              <w:top w:val="single" w:sz="4" w:space="0" w:color="auto"/>
              <w:left w:val="nil"/>
              <w:bottom w:val="single" w:sz="4" w:space="0" w:color="auto"/>
              <w:right w:val="nil"/>
            </w:tcBorders>
            <w:vAlign w:val="center"/>
          </w:tcPr>
          <w:p w14:paraId="44A7E2D9"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12,6621</w:t>
            </w:r>
          </w:p>
        </w:tc>
        <w:tc>
          <w:tcPr>
            <w:tcW w:w="1778" w:type="dxa"/>
            <w:tcBorders>
              <w:top w:val="single" w:sz="4" w:space="0" w:color="auto"/>
              <w:left w:val="nil"/>
              <w:bottom w:val="single" w:sz="4" w:space="0" w:color="auto"/>
              <w:right w:val="nil"/>
            </w:tcBorders>
            <w:shd w:val="clear" w:color="000000" w:fill="D9D9D9"/>
            <w:vAlign w:val="center"/>
          </w:tcPr>
          <w:p w14:paraId="77B68854"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11,3922</w:t>
            </w:r>
          </w:p>
        </w:tc>
      </w:tr>
      <w:tr w:rsidR="0050077B" w:rsidRPr="00881841" w14:paraId="3F2DFC58" w14:textId="77777777" w:rsidTr="00ED00B1">
        <w:trPr>
          <w:trHeight w:val="255"/>
        </w:trPr>
        <w:tc>
          <w:tcPr>
            <w:tcW w:w="4872" w:type="dxa"/>
            <w:vAlign w:val="center"/>
            <w:hideMark/>
          </w:tcPr>
          <w:p w14:paraId="7700BB24" w14:textId="77777777" w:rsidR="0050077B" w:rsidRPr="0046573B" w:rsidRDefault="0050077B" w:rsidP="0050077B">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 xml:space="preserve">Altri beni e servizi </w:t>
            </w:r>
          </w:p>
        </w:tc>
        <w:tc>
          <w:tcPr>
            <w:tcW w:w="1778" w:type="dxa"/>
            <w:tcBorders>
              <w:top w:val="single" w:sz="4" w:space="0" w:color="auto"/>
              <w:left w:val="nil"/>
              <w:bottom w:val="single" w:sz="4" w:space="0" w:color="auto"/>
              <w:right w:val="nil"/>
            </w:tcBorders>
            <w:shd w:val="clear" w:color="000000" w:fill="D9D9D9"/>
            <w:vAlign w:val="center"/>
          </w:tcPr>
          <w:p w14:paraId="72185135"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9,5896</w:t>
            </w:r>
          </w:p>
        </w:tc>
        <w:tc>
          <w:tcPr>
            <w:tcW w:w="1778" w:type="dxa"/>
            <w:tcBorders>
              <w:top w:val="single" w:sz="4" w:space="0" w:color="auto"/>
              <w:left w:val="nil"/>
              <w:bottom w:val="single" w:sz="4" w:space="0" w:color="auto"/>
              <w:right w:val="nil"/>
            </w:tcBorders>
            <w:vAlign w:val="center"/>
          </w:tcPr>
          <w:p w14:paraId="29F04548"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10,1864</w:t>
            </w:r>
          </w:p>
        </w:tc>
        <w:tc>
          <w:tcPr>
            <w:tcW w:w="1778" w:type="dxa"/>
            <w:tcBorders>
              <w:top w:val="single" w:sz="4" w:space="0" w:color="auto"/>
              <w:left w:val="nil"/>
              <w:bottom w:val="single" w:sz="4" w:space="0" w:color="auto"/>
              <w:right w:val="nil"/>
            </w:tcBorders>
            <w:shd w:val="clear" w:color="000000" w:fill="D9D9D9"/>
            <w:vAlign w:val="center"/>
          </w:tcPr>
          <w:p w14:paraId="019EABB5" w14:textId="77777777" w:rsidR="0050077B" w:rsidRPr="00361427" w:rsidRDefault="0050077B" w:rsidP="0050077B">
            <w:pPr>
              <w:widowControl/>
              <w:overflowPunct/>
              <w:autoSpaceDE/>
              <w:autoSpaceDN/>
              <w:adjustRightInd/>
              <w:spacing w:before="0" w:after="0"/>
              <w:jc w:val="center"/>
              <w:rPr>
                <w:rFonts w:ascii="Arial Narrow" w:hAnsi="Arial Narrow" w:cs="Calibri"/>
                <w:color w:val="000000"/>
                <w:kern w:val="0"/>
                <w:sz w:val="18"/>
                <w:szCs w:val="18"/>
              </w:rPr>
            </w:pPr>
            <w:r>
              <w:rPr>
                <w:rFonts w:ascii="Arial Narrow" w:hAnsi="Arial Narrow" w:cs="Calibri"/>
                <w:color w:val="000000"/>
                <w:sz w:val="18"/>
                <w:szCs w:val="18"/>
              </w:rPr>
              <w:t>9,0882</w:t>
            </w:r>
          </w:p>
        </w:tc>
      </w:tr>
      <w:tr w:rsidR="0050077B" w:rsidRPr="00881841" w14:paraId="5E6BC104" w14:textId="77777777" w:rsidTr="00ED00B1">
        <w:trPr>
          <w:trHeight w:val="255"/>
        </w:trPr>
        <w:tc>
          <w:tcPr>
            <w:tcW w:w="4872" w:type="dxa"/>
            <w:shd w:val="clear" w:color="auto" w:fill="E31C18"/>
            <w:vAlign w:val="center"/>
            <w:hideMark/>
          </w:tcPr>
          <w:p w14:paraId="6236A1A5" w14:textId="77777777" w:rsidR="0050077B" w:rsidRPr="0046573B" w:rsidRDefault="0050077B" w:rsidP="0050077B">
            <w:pPr>
              <w:widowControl/>
              <w:overflowPunct/>
              <w:autoSpaceDE/>
              <w:adjustRightInd/>
              <w:spacing w:before="0" w:after="0"/>
              <w:rPr>
                <w:rFonts w:ascii="Arial Narrow" w:hAnsi="Arial Narrow" w:cs="Calibri"/>
                <w:b/>
                <w:bCs/>
                <w:color w:val="FFFFFF"/>
                <w:kern w:val="0"/>
                <w:sz w:val="18"/>
                <w:szCs w:val="18"/>
              </w:rPr>
            </w:pPr>
            <w:r w:rsidRPr="0046573B">
              <w:rPr>
                <w:rFonts w:ascii="Arial Narrow" w:hAnsi="Arial Narrow" w:cs="Calibri"/>
                <w:b/>
                <w:bCs/>
                <w:color w:val="FFFFFF"/>
                <w:kern w:val="0"/>
                <w:sz w:val="18"/>
                <w:szCs w:val="18"/>
              </w:rPr>
              <w:t>Indice generale</w:t>
            </w:r>
          </w:p>
        </w:tc>
        <w:tc>
          <w:tcPr>
            <w:tcW w:w="1778" w:type="dxa"/>
            <w:shd w:val="clear" w:color="auto" w:fill="E31C18"/>
            <w:vAlign w:val="center"/>
          </w:tcPr>
          <w:p w14:paraId="64E42EE6" w14:textId="77777777" w:rsidR="0050077B" w:rsidRPr="00881705" w:rsidRDefault="0050077B" w:rsidP="0050077B">
            <w:pPr>
              <w:widowControl/>
              <w:overflowPunct/>
              <w:autoSpaceDE/>
              <w:autoSpaceDN/>
              <w:adjustRightInd/>
              <w:spacing w:before="0" w:after="0"/>
              <w:jc w:val="center"/>
              <w:rPr>
                <w:rFonts w:ascii="Arial Narrow" w:hAnsi="Arial Narrow" w:cs="Calibri"/>
                <w:b/>
                <w:bCs/>
                <w:color w:val="FFFFFF"/>
                <w:kern w:val="0"/>
                <w:sz w:val="18"/>
                <w:szCs w:val="18"/>
              </w:rPr>
            </w:pPr>
            <w:r w:rsidRPr="00881705">
              <w:rPr>
                <w:rFonts w:ascii="Arial Narrow" w:hAnsi="Arial Narrow" w:cs="Calibri"/>
                <w:b/>
                <w:bCs/>
                <w:color w:val="FFFFFF"/>
                <w:kern w:val="0"/>
                <w:sz w:val="18"/>
                <w:szCs w:val="18"/>
              </w:rPr>
              <w:t>100,0000</w:t>
            </w:r>
          </w:p>
        </w:tc>
        <w:tc>
          <w:tcPr>
            <w:tcW w:w="1778" w:type="dxa"/>
            <w:shd w:val="clear" w:color="auto" w:fill="E31C18"/>
            <w:vAlign w:val="center"/>
          </w:tcPr>
          <w:p w14:paraId="20E82657" w14:textId="77777777" w:rsidR="0050077B" w:rsidRPr="00881705" w:rsidRDefault="0050077B" w:rsidP="0050077B">
            <w:pPr>
              <w:widowControl/>
              <w:overflowPunct/>
              <w:autoSpaceDE/>
              <w:autoSpaceDN/>
              <w:adjustRightInd/>
              <w:spacing w:before="0" w:after="0"/>
              <w:jc w:val="center"/>
              <w:rPr>
                <w:rFonts w:ascii="Arial Narrow" w:hAnsi="Arial Narrow" w:cs="Calibri"/>
                <w:b/>
                <w:bCs/>
                <w:color w:val="FFFFFF"/>
                <w:kern w:val="0"/>
                <w:sz w:val="18"/>
                <w:szCs w:val="18"/>
              </w:rPr>
            </w:pPr>
            <w:r w:rsidRPr="00881705">
              <w:rPr>
                <w:rFonts w:ascii="Arial Narrow" w:hAnsi="Arial Narrow" w:cs="Calibri"/>
                <w:b/>
                <w:bCs/>
                <w:color w:val="FFFFFF"/>
                <w:kern w:val="0"/>
                <w:sz w:val="18"/>
                <w:szCs w:val="18"/>
              </w:rPr>
              <w:t>100,0000</w:t>
            </w:r>
          </w:p>
        </w:tc>
        <w:tc>
          <w:tcPr>
            <w:tcW w:w="1778" w:type="dxa"/>
            <w:shd w:val="clear" w:color="auto" w:fill="E31C18"/>
            <w:vAlign w:val="center"/>
          </w:tcPr>
          <w:p w14:paraId="0513A9F5" w14:textId="77777777" w:rsidR="0050077B" w:rsidRPr="00881705" w:rsidRDefault="0050077B" w:rsidP="0050077B">
            <w:pPr>
              <w:widowControl/>
              <w:overflowPunct/>
              <w:autoSpaceDE/>
              <w:autoSpaceDN/>
              <w:adjustRightInd/>
              <w:spacing w:before="0" w:after="0"/>
              <w:jc w:val="center"/>
              <w:rPr>
                <w:rFonts w:ascii="Arial Narrow" w:hAnsi="Arial Narrow" w:cs="Calibri"/>
                <w:b/>
                <w:bCs/>
                <w:color w:val="FFFFFF"/>
                <w:kern w:val="0"/>
                <w:sz w:val="18"/>
                <w:szCs w:val="18"/>
              </w:rPr>
            </w:pPr>
            <w:r w:rsidRPr="00881705">
              <w:rPr>
                <w:rFonts w:ascii="Arial Narrow" w:hAnsi="Arial Narrow" w:cs="Calibri"/>
                <w:b/>
                <w:bCs/>
                <w:color w:val="FFFFFF"/>
                <w:kern w:val="0"/>
                <w:sz w:val="18"/>
                <w:szCs w:val="18"/>
              </w:rPr>
              <w:t>100,0000</w:t>
            </w:r>
          </w:p>
        </w:tc>
      </w:tr>
    </w:tbl>
    <w:p w14:paraId="66D8AC50" w14:textId="77777777" w:rsidR="00ED00B1" w:rsidRDefault="00ED00B1" w:rsidP="00ED00B1">
      <w:pPr>
        <w:tabs>
          <w:tab w:val="left" w:pos="10206"/>
        </w:tabs>
        <w:spacing w:before="0" w:after="120"/>
        <w:jc w:val="both"/>
        <w:rPr>
          <w:rFonts w:ascii="Arial" w:hAnsi="Arial" w:cs="Arial"/>
          <w:szCs w:val="21"/>
        </w:rPr>
      </w:pPr>
    </w:p>
    <w:p w14:paraId="21576E8D" w14:textId="77777777" w:rsidR="00ED00B1" w:rsidRPr="00C8504B" w:rsidRDefault="00ED00B1" w:rsidP="00ED00B1">
      <w:pPr>
        <w:pStyle w:val="Titolo4"/>
        <w:spacing w:before="0" w:after="120"/>
        <w:rPr>
          <w:rFonts w:ascii="Arial" w:hAnsi="Arial" w:cs="Arial"/>
          <w:bCs w:val="0"/>
          <w:i w:val="0"/>
          <w:color w:val="auto"/>
          <w:szCs w:val="22"/>
        </w:rPr>
      </w:pPr>
      <w:r w:rsidRPr="00C8504B">
        <w:rPr>
          <w:rFonts w:ascii="Arial" w:hAnsi="Arial" w:cs="Arial"/>
          <w:bCs w:val="0"/>
          <w:i w:val="0"/>
          <w:color w:val="auto"/>
          <w:szCs w:val="22"/>
        </w:rPr>
        <w:t xml:space="preserve">Indici nazionali e territoriali </w:t>
      </w:r>
    </w:p>
    <w:p w14:paraId="3238E9DF" w14:textId="77777777" w:rsidR="00ED00B1" w:rsidRDefault="00ED00B1" w:rsidP="00ED00B1">
      <w:pPr>
        <w:spacing w:before="0" w:after="120"/>
        <w:jc w:val="both"/>
        <w:rPr>
          <w:rFonts w:ascii="Arial" w:hAnsi="Arial" w:cs="Arial"/>
          <w:szCs w:val="21"/>
        </w:rPr>
      </w:pPr>
      <w:r w:rsidRPr="002875F7">
        <w:rPr>
          <w:rFonts w:ascii="Arial" w:hAnsi="Arial" w:cs="Arial"/>
          <w:szCs w:val="21"/>
        </w:rPr>
        <w:t xml:space="preserve">La metodologia di calcolo degli indici dei prezzi al consumo prevede quattro diversi processi di aggregazione degli indici di ciascun aggregato di prodotto calcolati per ogni capoluogo di provincia. </w:t>
      </w:r>
    </w:p>
    <w:p w14:paraId="4C70D0E6" w14:textId="77777777" w:rsidR="00ED00B1" w:rsidRPr="002875F7" w:rsidRDefault="00ED00B1" w:rsidP="00ED00B1">
      <w:pPr>
        <w:spacing w:before="0" w:after="120"/>
        <w:jc w:val="both"/>
        <w:rPr>
          <w:rFonts w:ascii="Arial" w:hAnsi="Arial" w:cs="Arial"/>
          <w:szCs w:val="21"/>
        </w:rPr>
      </w:pPr>
      <w:r w:rsidRPr="002875F7">
        <w:rPr>
          <w:rFonts w:ascii="Arial" w:hAnsi="Arial" w:cs="Arial"/>
          <w:bCs/>
          <w:szCs w:val="21"/>
        </w:rPr>
        <w:t>L’</w:t>
      </w:r>
      <w:r w:rsidRPr="002875F7">
        <w:rPr>
          <w:rFonts w:ascii="Arial" w:hAnsi="Arial" w:cs="Arial"/>
          <w:bCs/>
          <w:i/>
          <w:szCs w:val="21"/>
        </w:rPr>
        <w:t>indice nazionale</w:t>
      </w:r>
      <w:r w:rsidRPr="002875F7">
        <w:rPr>
          <w:rFonts w:ascii="Arial" w:hAnsi="Arial" w:cs="Arial"/>
          <w:bCs/>
          <w:szCs w:val="21"/>
        </w:rPr>
        <w:t xml:space="preserve"> si ottiene nel modo seguente</w:t>
      </w:r>
      <w:r w:rsidRPr="002875F7">
        <w:rPr>
          <w:rFonts w:ascii="Arial" w:hAnsi="Arial" w:cs="Arial"/>
          <w:szCs w:val="21"/>
        </w:rPr>
        <w:t>:</w:t>
      </w:r>
    </w:p>
    <w:p w14:paraId="1F0AECEF" w14:textId="77777777" w:rsidR="00ED00B1" w:rsidRPr="002875F7" w:rsidRDefault="00ED00B1" w:rsidP="00ED00B1">
      <w:pPr>
        <w:widowControl/>
        <w:numPr>
          <w:ilvl w:val="0"/>
          <w:numId w:val="7"/>
        </w:numPr>
        <w:tabs>
          <w:tab w:val="clear" w:pos="720"/>
          <w:tab w:val="num" w:pos="502"/>
        </w:tabs>
        <w:spacing w:before="0" w:after="120"/>
        <w:ind w:left="284" w:hanging="284"/>
        <w:jc w:val="both"/>
        <w:rPr>
          <w:rFonts w:ascii="Arial" w:hAnsi="Arial" w:cs="Arial"/>
          <w:szCs w:val="21"/>
        </w:rPr>
      </w:pPr>
      <w:r w:rsidRPr="002875F7">
        <w:rPr>
          <w:rFonts w:ascii="Arial" w:hAnsi="Arial" w:cs="Arial"/>
          <w:szCs w:val="21"/>
        </w:rPr>
        <w:t xml:space="preserve">si aggregano tra loro gli indici provinciali di aggregato di prodotto per costruire l’indice regionale di aggregato di prodotto; per quanto riguarda i beni alimentari (esclusi i prodotti freschi) e per la cura della casa e della persona, gli indici regionali di aggregato di prodotto sono calcolati tendendo distinte le diverse tipologie distributive (ipermercati, supermercati, discount, libero servizio, </w:t>
      </w:r>
      <w:proofErr w:type="spellStart"/>
      <w:r w:rsidRPr="002875F7">
        <w:rPr>
          <w:rFonts w:ascii="Arial" w:hAnsi="Arial" w:cs="Arial"/>
          <w:szCs w:val="21"/>
        </w:rPr>
        <w:t>specialist</w:t>
      </w:r>
      <w:proofErr w:type="spellEnd"/>
      <w:r w:rsidRPr="002875F7">
        <w:rPr>
          <w:rFonts w:ascii="Arial" w:hAnsi="Arial" w:cs="Arial"/>
          <w:szCs w:val="21"/>
        </w:rPr>
        <w:t xml:space="preserve"> </w:t>
      </w:r>
      <w:proofErr w:type="spellStart"/>
      <w:r w:rsidRPr="002875F7">
        <w:rPr>
          <w:rFonts w:ascii="Arial" w:hAnsi="Arial" w:cs="Arial"/>
          <w:szCs w:val="21"/>
        </w:rPr>
        <w:t>drug</w:t>
      </w:r>
      <w:proofErr w:type="spellEnd"/>
      <w:r w:rsidRPr="002875F7">
        <w:rPr>
          <w:rFonts w:ascii="Arial" w:hAnsi="Arial" w:cs="Arial"/>
          <w:szCs w:val="21"/>
        </w:rPr>
        <w:t xml:space="preserve">) per i quali si utilizzano le informazioni provenienti dai registratori elettronici di cassa (scanner data); per un numero limitato di aggregati, l’indice viene calcolato integrando le informazioni provenienti dagli scanner data con quelle rilevate direttamente dagli Uffici Comunali di Statistica; i coefficienti di ponderazione adoperati per le sintesi degli indici provinciali si basano, in generale, sul peso di ciascun capoluogo di provincia in termini di popolazione residente; </w:t>
      </w:r>
    </w:p>
    <w:p w14:paraId="01305D74" w14:textId="77777777" w:rsidR="00ED00B1" w:rsidRPr="002875F7" w:rsidRDefault="00ED00B1" w:rsidP="00ED00B1">
      <w:pPr>
        <w:widowControl/>
        <w:numPr>
          <w:ilvl w:val="0"/>
          <w:numId w:val="7"/>
        </w:numPr>
        <w:tabs>
          <w:tab w:val="clear" w:pos="720"/>
          <w:tab w:val="num" w:pos="502"/>
        </w:tabs>
        <w:spacing w:before="0" w:after="120"/>
        <w:ind w:left="284" w:hanging="284"/>
        <w:jc w:val="both"/>
        <w:rPr>
          <w:rFonts w:ascii="Arial" w:hAnsi="Arial" w:cs="Arial"/>
          <w:szCs w:val="21"/>
        </w:rPr>
      </w:pPr>
      <w:r w:rsidRPr="002875F7">
        <w:rPr>
          <w:rFonts w:ascii="Arial" w:hAnsi="Arial" w:cs="Arial"/>
          <w:szCs w:val="21"/>
        </w:rPr>
        <w:t xml:space="preserve">si aggregano tra loro gli indici regionali di aggregato di prodotto per costruire l’indice nazionale di aggregato di prodotto; i coefficienti di ponderazione utilizzati si basano sul peso di ciascuna regione in termini di consumi delle famiglie; </w:t>
      </w:r>
    </w:p>
    <w:p w14:paraId="377DC956" w14:textId="77777777" w:rsidR="00ED00B1" w:rsidRPr="002875F7" w:rsidRDefault="00ED00B1" w:rsidP="00ED00B1">
      <w:pPr>
        <w:widowControl/>
        <w:numPr>
          <w:ilvl w:val="0"/>
          <w:numId w:val="7"/>
        </w:numPr>
        <w:tabs>
          <w:tab w:val="clear" w:pos="720"/>
          <w:tab w:val="num" w:pos="502"/>
        </w:tabs>
        <w:spacing w:before="0" w:after="120"/>
        <w:ind w:left="284" w:hanging="284"/>
        <w:jc w:val="both"/>
        <w:rPr>
          <w:rFonts w:ascii="Arial" w:hAnsi="Arial" w:cs="Arial"/>
          <w:szCs w:val="21"/>
        </w:rPr>
      </w:pPr>
      <w:r w:rsidRPr="002875F7">
        <w:rPr>
          <w:rFonts w:ascii="Arial" w:hAnsi="Arial" w:cs="Arial"/>
          <w:szCs w:val="21"/>
        </w:rPr>
        <w:t xml:space="preserve">l’indice generale nazionale dei prezzi al consumo si ottiene come media ponderata degli indici nazionali di aggregato di prodotto. I coefficienti di ponderazione utilizzati si basano sul peso di ciascun aggregato di prodotto in termini di consumi delle famiglie. </w:t>
      </w:r>
    </w:p>
    <w:p w14:paraId="6FA1C9CC" w14:textId="77777777" w:rsidR="00ED00B1" w:rsidRPr="002875F7" w:rsidRDefault="00ED00B1" w:rsidP="00ED00B1">
      <w:pPr>
        <w:tabs>
          <w:tab w:val="left" w:pos="2098"/>
        </w:tabs>
        <w:spacing w:before="0" w:after="120"/>
        <w:jc w:val="both"/>
        <w:rPr>
          <w:rFonts w:ascii="Arial" w:hAnsi="Arial" w:cs="Arial"/>
          <w:szCs w:val="21"/>
        </w:rPr>
      </w:pPr>
      <w:r w:rsidRPr="002875F7">
        <w:rPr>
          <w:rFonts w:ascii="Arial" w:hAnsi="Arial" w:cs="Arial"/>
          <w:bCs/>
          <w:szCs w:val="21"/>
        </w:rPr>
        <w:t xml:space="preserve">Gli </w:t>
      </w:r>
      <w:r w:rsidRPr="002875F7">
        <w:rPr>
          <w:rFonts w:ascii="Arial" w:hAnsi="Arial" w:cs="Arial"/>
          <w:i/>
          <w:szCs w:val="21"/>
        </w:rPr>
        <w:t xml:space="preserve">indici per </w:t>
      </w:r>
      <w:r w:rsidRPr="002875F7">
        <w:rPr>
          <w:rFonts w:ascii="Arial" w:hAnsi="Arial" w:cs="Arial"/>
          <w:bCs/>
          <w:i/>
          <w:szCs w:val="21"/>
        </w:rPr>
        <w:t>capoluogo di provincia, regione e</w:t>
      </w:r>
      <w:r w:rsidRPr="002875F7">
        <w:rPr>
          <w:rFonts w:ascii="Arial" w:hAnsi="Arial" w:cs="Arial"/>
          <w:bCs/>
          <w:szCs w:val="21"/>
        </w:rPr>
        <w:t xml:space="preserve"> </w:t>
      </w:r>
      <w:r w:rsidRPr="002875F7">
        <w:rPr>
          <w:rFonts w:ascii="Arial" w:hAnsi="Arial" w:cs="Arial"/>
          <w:i/>
          <w:szCs w:val="21"/>
        </w:rPr>
        <w:t>ripartizione geografica</w:t>
      </w:r>
      <w:r w:rsidRPr="002875F7">
        <w:rPr>
          <w:rFonts w:ascii="Arial" w:hAnsi="Arial" w:cs="Arial"/>
          <w:szCs w:val="21"/>
        </w:rPr>
        <w:t xml:space="preserve"> si ottengono come segue:</w:t>
      </w:r>
    </w:p>
    <w:p w14:paraId="2CC78F72" w14:textId="77777777" w:rsidR="00ED00B1" w:rsidRPr="002875F7" w:rsidRDefault="00ED00B1" w:rsidP="00ED00B1">
      <w:pPr>
        <w:widowControl/>
        <w:numPr>
          <w:ilvl w:val="0"/>
          <w:numId w:val="7"/>
        </w:numPr>
        <w:tabs>
          <w:tab w:val="clear" w:pos="720"/>
          <w:tab w:val="num" w:pos="502"/>
        </w:tabs>
        <w:spacing w:before="0" w:after="120"/>
        <w:ind w:left="284" w:hanging="284"/>
        <w:jc w:val="both"/>
        <w:rPr>
          <w:rFonts w:ascii="Arial" w:hAnsi="Arial" w:cs="Arial"/>
          <w:szCs w:val="21"/>
        </w:rPr>
      </w:pPr>
      <w:r w:rsidRPr="002875F7">
        <w:rPr>
          <w:rFonts w:ascii="Arial" w:hAnsi="Arial" w:cs="Arial"/>
          <w:szCs w:val="21"/>
        </w:rPr>
        <w:t>l’indice generale per regione e per ripartizione geografica dei prezzi sono calcolati rispettivamente come media ponderata degli indici regionali e ripartizionali di aggregato di prodotto</w:t>
      </w:r>
      <w:r>
        <w:rPr>
          <w:rFonts w:ascii="Arial" w:hAnsi="Arial" w:cs="Arial"/>
          <w:szCs w:val="21"/>
        </w:rPr>
        <w:t>; i</w:t>
      </w:r>
      <w:r w:rsidRPr="002875F7">
        <w:rPr>
          <w:rFonts w:ascii="Arial" w:hAnsi="Arial" w:cs="Arial"/>
          <w:szCs w:val="21"/>
        </w:rPr>
        <w:t xml:space="preserve"> coefficienti di ponderazione utilizzati si basano sul peso di ciascun aggregato di prodotto in te</w:t>
      </w:r>
      <w:r>
        <w:rPr>
          <w:rFonts w:ascii="Arial" w:hAnsi="Arial" w:cs="Arial"/>
          <w:szCs w:val="21"/>
        </w:rPr>
        <w:t>rmini di consumi delle famiglie;</w:t>
      </w:r>
    </w:p>
    <w:p w14:paraId="7ED6D776" w14:textId="77777777" w:rsidR="00ED00B1" w:rsidRPr="002875F7" w:rsidRDefault="00ED00B1" w:rsidP="00ED00B1">
      <w:pPr>
        <w:widowControl/>
        <w:numPr>
          <w:ilvl w:val="0"/>
          <w:numId w:val="7"/>
        </w:numPr>
        <w:tabs>
          <w:tab w:val="clear" w:pos="720"/>
          <w:tab w:val="num" w:pos="502"/>
        </w:tabs>
        <w:spacing w:before="0" w:after="120"/>
        <w:ind w:left="284" w:hanging="284"/>
        <w:jc w:val="both"/>
        <w:rPr>
          <w:rFonts w:ascii="Arial" w:hAnsi="Arial" w:cs="Arial"/>
          <w:szCs w:val="21"/>
        </w:rPr>
      </w:pPr>
      <w:r w:rsidRPr="002875F7">
        <w:rPr>
          <w:rFonts w:ascii="Arial" w:hAnsi="Arial" w:cs="Arial"/>
          <w:szCs w:val="21"/>
        </w:rPr>
        <w:t>l’indice generale provinciale si ottiene come media aritmetica ponderata degli aggregati di prodotto calcolati a livello di capoluogo di provincia</w:t>
      </w:r>
      <w:r>
        <w:rPr>
          <w:rFonts w:ascii="Arial" w:hAnsi="Arial" w:cs="Arial"/>
          <w:szCs w:val="21"/>
        </w:rPr>
        <w:t>; i</w:t>
      </w:r>
      <w:r w:rsidRPr="002875F7">
        <w:rPr>
          <w:rFonts w:ascii="Arial" w:hAnsi="Arial" w:cs="Arial"/>
          <w:szCs w:val="21"/>
        </w:rPr>
        <w:t xml:space="preserve"> coefficienti di ponderazione utilizzati si basano sul peso di ciascun aggregato di prodotto in termini di consumi delle famiglie. La struttura di ponderazione utilizzata è quella definita a livello regionale.</w:t>
      </w:r>
    </w:p>
    <w:p w14:paraId="1314BBE9" w14:textId="77777777" w:rsidR="00ED00B1" w:rsidRPr="002875F7" w:rsidRDefault="00ED00B1" w:rsidP="00ED00B1">
      <w:pPr>
        <w:widowControl/>
        <w:spacing w:before="0" w:after="120"/>
        <w:jc w:val="both"/>
        <w:rPr>
          <w:rFonts w:ascii="Arial" w:hAnsi="Arial" w:cs="Arial"/>
          <w:bCs/>
          <w:szCs w:val="21"/>
          <w:highlight w:val="yellow"/>
        </w:rPr>
      </w:pPr>
      <w:r w:rsidRPr="002875F7">
        <w:rPr>
          <w:rFonts w:ascii="Arial" w:hAnsi="Arial" w:cs="Arial"/>
          <w:bCs/>
          <w:szCs w:val="21"/>
        </w:rPr>
        <w:t xml:space="preserve">Il calcolo degli indici sintetici (per ogni livello di sintesi degli aggregati) avviene applicando la formula dell’indice a catena di </w:t>
      </w:r>
      <w:proofErr w:type="spellStart"/>
      <w:r w:rsidRPr="002875F7">
        <w:rPr>
          <w:rFonts w:ascii="Arial" w:hAnsi="Arial" w:cs="Arial"/>
          <w:bCs/>
          <w:szCs w:val="21"/>
        </w:rPr>
        <w:t>Laspeyres</w:t>
      </w:r>
      <w:proofErr w:type="spellEnd"/>
      <w:r w:rsidRPr="002875F7">
        <w:rPr>
          <w:rFonts w:ascii="Arial" w:hAnsi="Arial" w:cs="Arial"/>
          <w:bCs/>
          <w:szCs w:val="21"/>
        </w:rPr>
        <w:t>; pertanto, gli indici mensili dell’anno corrente sono calcolati con riferimento al mese di dicembre dell’anno precedente (base di calcolo) e successivamente raccordati al periodo scelto come base di riferimento dell’indice per misurare la dinamica dei prezzi su un periodo di tempo pluriennale.</w:t>
      </w:r>
    </w:p>
    <w:p w14:paraId="1D799ECE" w14:textId="77777777" w:rsidR="00ED00B1" w:rsidRPr="00963ACB" w:rsidRDefault="00ED00B1" w:rsidP="00ED00B1">
      <w:pPr>
        <w:widowControl/>
        <w:tabs>
          <w:tab w:val="left" w:pos="284"/>
        </w:tabs>
        <w:spacing w:before="0" w:after="120"/>
        <w:jc w:val="both"/>
        <w:rPr>
          <w:rFonts w:ascii="Arial" w:hAnsi="Arial" w:cs="Arial"/>
          <w:szCs w:val="21"/>
        </w:rPr>
      </w:pPr>
    </w:p>
    <w:p w14:paraId="5DCE1169" w14:textId="77777777" w:rsidR="00ED00B1" w:rsidRPr="00833545" w:rsidRDefault="00ED00B1" w:rsidP="00ED00B1">
      <w:pPr>
        <w:tabs>
          <w:tab w:val="left" w:pos="10206"/>
        </w:tabs>
        <w:spacing w:before="0" w:after="120"/>
        <w:jc w:val="both"/>
        <w:rPr>
          <w:rFonts w:ascii="Arial" w:hAnsi="Arial" w:cs="Arial"/>
          <w:b/>
          <w:sz w:val="22"/>
          <w:szCs w:val="22"/>
        </w:rPr>
      </w:pPr>
      <w:r w:rsidRPr="00833545">
        <w:rPr>
          <w:rFonts w:ascii="Arial" w:hAnsi="Arial" w:cs="Arial"/>
          <w:b/>
          <w:sz w:val="22"/>
          <w:szCs w:val="22"/>
        </w:rPr>
        <w:t>Classificazione degli indici dei prezzi al consumo</w:t>
      </w:r>
    </w:p>
    <w:p w14:paraId="457EDB69" w14:textId="77777777" w:rsidR="00ED00B1" w:rsidRPr="00747050" w:rsidRDefault="00ED00B1" w:rsidP="00ED00B1">
      <w:pPr>
        <w:widowControl/>
        <w:tabs>
          <w:tab w:val="left" w:pos="10206"/>
        </w:tabs>
        <w:overflowPunct/>
        <w:spacing w:before="0" w:after="120"/>
        <w:jc w:val="both"/>
        <w:rPr>
          <w:rFonts w:ascii="Arial" w:hAnsi="Arial" w:cs="Arial"/>
          <w:szCs w:val="21"/>
        </w:rPr>
      </w:pPr>
      <w:r w:rsidRPr="00747050">
        <w:rPr>
          <w:rFonts w:ascii="Arial" w:hAnsi="Arial" w:cs="Arial"/>
          <w:szCs w:val="21"/>
        </w:rPr>
        <w:t xml:space="preserve">La classificazione adottata per gli indici dei prezzi al consumo è la </w:t>
      </w:r>
      <w:proofErr w:type="spellStart"/>
      <w:r w:rsidRPr="00747050">
        <w:rPr>
          <w:rFonts w:ascii="Arial" w:hAnsi="Arial" w:cs="Arial"/>
          <w:i/>
          <w:szCs w:val="21"/>
        </w:rPr>
        <w:t>European</w:t>
      </w:r>
      <w:proofErr w:type="spellEnd"/>
      <w:r w:rsidRPr="00747050">
        <w:rPr>
          <w:rFonts w:ascii="Arial" w:hAnsi="Arial" w:cs="Arial"/>
          <w:i/>
          <w:szCs w:val="21"/>
        </w:rPr>
        <w:t xml:space="preserve"> </w:t>
      </w:r>
      <w:proofErr w:type="spellStart"/>
      <w:r w:rsidRPr="00747050">
        <w:rPr>
          <w:rFonts w:ascii="Arial" w:hAnsi="Arial" w:cs="Arial"/>
          <w:i/>
          <w:iCs/>
          <w:szCs w:val="21"/>
        </w:rPr>
        <w:t>Classification</w:t>
      </w:r>
      <w:proofErr w:type="spellEnd"/>
      <w:r w:rsidRPr="00747050">
        <w:rPr>
          <w:rFonts w:ascii="Arial" w:hAnsi="Arial" w:cs="Arial"/>
          <w:i/>
          <w:iCs/>
          <w:szCs w:val="21"/>
        </w:rPr>
        <w:t xml:space="preserve"> of </w:t>
      </w:r>
      <w:proofErr w:type="spellStart"/>
      <w:r w:rsidRPr="00747050">
        <w:rPr>
          <w:rFonts w:ascii="Arial" w:hAnsi="Arial" w:cs="Arial"/>
          <w:i/>
          <w:iCs/>
          <w:szCs w:val="21"/>
        </w:rPr>
        <w:t>Individual</w:t>
      </w:r>
      <w:proofErr w:type="spellEnd"/>
      <w:r w:rsidRPr="00747050">
        <w:rPr>
          <w:rFonts w:ascii="Arial" w:hAnsi="Arial" w:cs="Arial"/>
          <w:i/>
          <w:iCs/>
          <w:szCs w:val="21"/>
        </w:rPr>
        <w:t xml:space="preserve"> </w:t>
      </w:r>
      <w:proofErr w:type="spellStart"/>
      <w:r w:rsidRPr="00747050">
        <w:rPr>
          <w:rFonts w:ascii="Arial" w:hAnsi="Arial" w:cs="Arial"/>
          <w:i/>
          <w:iCs/>
          <w:szCs w:val="21"/>
        </w:rPr>
        <w:t>Consumption</w:t>
      </w:r>
      <w:proofErr w:type="spellEnd"/>
      <w:r w:rsidRPr="00747050">
        <w:rPr>
          <w:rFonts w:ascii="Arial" w:hAnsi="Arial" w:cs="Arial"/>
          <w:i/>
          <w:iCs/>
          <w:szCs w:val="21"/>
        </w:rPr>
        <w:t xml:space="preserve"> by </w:t>
      </w:r>
      <w:proofErr w:type="spellStart"/>
      <w:r w:rsidRPr="00747050">
        <w:rPr>
          <w:rFonts w:ascii="Arial" w:hAnsi="Arial" w:cs="Arial"/>
          <w:i/>
          <w:iCs/>
          <w:szCs w:val="21"/>
        </w:rPr>
        <w:t>Purpose</w:t>
      </w:r>
      <w:proofErr w:type="spellEnd"/>
      <w:r w:rsidRPr="00747050">
        <w:rPr>
          <w:rFonts w:ascii="Arial" w:hAnsi="Arial" w:cs="Arial"/>
          <w:szCs w:val="21"/>
        </w:rPr>
        <w:t xml:space="preserve"> (ECOICOP), allegata al nuovo Regolamento quadro europeo degli indici dei prezzi al consumo armonizzati e dell’indice dei prezzi delle abitazioni (</w:t>
      </w:r>
      <w:r w:rsidRPr="00747050">
        <w:rPr>
          <w:rFonts w:ascii="Arial" w:hAnsi="Arial" w:cs="Arial"/>
          <w:b/>
          <w:szCs w:val="21"/>
        </w:rPr>
        <w:t>Reg. n. 2016/792</w:t>
      </w:r>
      <w:r w:rsidRPr="00747050">
        <w:rPr>
          <w:rFonts w:ascii="Arial" w:hAnsi="Arial" w:cs="Arial"/>
          <w:szCs w:val="21"/>
        </w:rPr>
        <w:t>). La struttura gerarchica prevista secondo la classificazione ECOICOP presenta quattro livelli di disaggregazione: Divisioni di spesa, Gruppi di prodotto, Classi di prodotto e Sottoclassi di prodotto (in luogo dei primi tre livelli della classificazione COICOP vigente fino a dicembre 2015).</w:t>
      </w:r>
    </w:p>
    <w:p w14:paraId="2EB4250F" w14:textId="77777777" w:rsidR="00ED00B1" w:rsidRPr="00747050" w:rsidRDefault="00ED00B1" w:rsidP="00ED00B1">
      <w:pPr>
        <w:widowControl/>
        <w:tabs>
          <w:tab w:val="left" w:pos="10206"/>
        </w:tabs>
        <w:overflowPunct/>
        <w:spacing w:before="0" w:after="120"/>
        <w:jc w:val="both"/>
        <w:rPr>
          <w:rFonts w:ascii="Arial" w:hAnsi="Arial" w:cs="Arial"/>
          <w:szCs w:val="21"/>
        </w:rPr>
      </w:pPr>
      <w:r w:rsidRPr="00747050">
        <w:rPr>
          <w:rFonts w:ascii="Arial" w:hAnsi="Arial" w:cs="Arial"/>
          <w:szCs w:val="21"/>
        </w:rPr>
        <w:t>Ai fini del calcolo degli indici dei prezzi al consumo, le Sottoclassi di prodotto sono ulteriormente disaggregate in Segmenti di consumo.</w:t>
      </w:r>
    </w:p>
    <w:p w14:paraId="4FFE8917" w14:textId="77777777" w:rsidR="00ED00B1" w:rsidRPr="00747050" w:rsidRDefault="00ED00B1" w:rsidP="00ED00B1">
      <w:pPr>
        <w:widowControl/>
        <w:tabs>
          <w:tab w:val="left" w:pos="10206"/>
        </w:tabs>
        <w:overflowPunct/>
        <w:spacing w:before="0" w:after="120"/>
        <w:jc w:val="both"/>
        <w:rPr>
          <w:rFonts w:ascii="Arial" w:hAnsi="Arial" w:cs="Arial"/>
          <w:szCs w:val="21"/>
        </w:rPr>
      </w:pPr>
      <w:r w:rsidRPr="00747050">
        <w:rPr>
          <w:rFonts w:ascii="Arial" w:hAnsi="Arial" w:cs="Arial"/>
          <w:szCs w:val="21"/>
        </w:rPr>
        <w:t>In base alla struttura di classificazione degli indici e al dettaglio territoriale, gli indici NIC sono pubblicati fino al livello dei segmenti di consumo se riferiti all’intero territorio nazionale</w:t>
      </w:r>
      <w:r w:rsidRPr="00747050">
        <w:rPr>
          <w:rFonts w:ascii="Arial" w:hAnsi="Arial"/>
          <w:szCs w:val="21"/>
          <w:vertAlign w:val="superscript"/>
        </w:rPr>
        <w:footnoteReference w:id="5"/>
      </w:r>
      <w:r w:rsidRPr="00747050">
        <w:rPr>
          <w:rFonts w:ascii="Arial" w:hAnsi="Arial" w:cs="Arial"/>
          <w:szCs w:val="21"/>
        </w:rPr>
        <w:t xml:space="preserve">, fino a quello dei gruppi di prodotto se riferiti a ripartizione, regione e provincia. Gli indici FOI sono diffusi a livello nazionale e provinciale fino alle divisioni di spesa. </w:t>
      </w:r>
    </w:p>
    <w:p w14:paraId="72DE0C9F" w14:textId="77777777" w:rsidR="009D2505" w:rsidRDefault="00ED00B1" w:rsidP="00ED00B1">
      <w:pPr>
        <w:widowControl/>
        <w:overflowPunct/>
        <w:spacing w:before="0" w:after="120"/>
        <w:jc w:val="both"/>
        <w:rPr>
          <w:rFonts w:ascii="Arial" w:hAnsi="Arial" w:cs="Arial"/>
        </w:rPr>
      </w:pPr>
      <w:r w:rsidRPr="00747050">
        <w:rPr>
          <w:rFonts w:ascii="Arial" w:hAnsi="Arial" w:cs="Arial"/>
        </w:rPr>
        <w:t>In aggiunta, sia con riferimento all’indice NIC sia all’IPCA, vengono calcolati indici dei prezzi basati su schemi classificatori alternativi alla classificazione ECOICOP, rispettivamente gli indici per tipologia di prodotto e quelli degli aggregati speciali (IPCA-AS). In particolare,</w:t>
      </w:r>
      <w:r w:rsidRPr="00747050">
        <w:rPr>
          <w:rFonts w:ascii="Arial" w:hAnsi="Arial" w:cs="Arial"/>
          <w:szCs w:val="21"/>
        </w:rPr>
        <w:t xml:space="preserve"> </w:t>
      </w:r>
      <w:r w:rsidRPr="00747050">
        <w:rPr>
          <w:rFonts w:ascii="Arial" w:hAnsi="Arial" w:cs="Arial"/>
        </w:rPr>
        <w:t>gli IPCA-AS sono elaborati adottando lo stesso metodo di calcolo utilizzato da Eurostat (diverso da quello adottato per le tipologie di prodotto del NIC), al fine di permettere la piena comparabilità tra gli indici italiani e quelli elaborati da Eurostat per l’Ue, la zona euro e gli altri Paesi europei</w:t>
      </w:r>
      <w:r w:rsidRPr="00747050">
        <w:rPr>
          <w:rFonts w:ascii="Arial" w:hAnsi="Arial"/>
          <w:vertAlign w:val="superscript"/>
        </w:rPr>
        <w:footnoteReference w:id="6"/>
      </w:r>
      <w:r w:rsidRPr="00747050">
        <w:rPr>
          <w:rFonts w:ascii="Arial" w:hAnsi="Arial" w:cs="Arial"/>
        </w:rPr>
        <w:t xml:space="preserve">. </w:t>
      </w:r>
    </w:p>
    <w:p w14:paraId="4B9724B9" w14:textId="77777777" w:rsidR="00ED00B1" w:rsidRPr="00747050" w:rsidRDefault="00ED00B1" w:rsidP="00ED00B1">
      <w:pPr>
        <w:widowControl/>
        <w:overflowPunct/>
        <w:spacing w:before="0" w:after="120"/>
        <w:jc w:val="both"/>
        <w:rPr>
          <w:rFonts w:ascii="Arial" w:hAnsi="Arial" w:cs="Arial"/>
        </w:rPr>
      </w:pPr>
      <w:r w:rsidRPr="00747050">
        <w:rPr>
          <w:rFonts w:ascii="Arial" w:hAnsi="Arial" w:cs="Arial"/>
        </w:rPr>
        <w:lastRenderedPageBreak/>
        <w:t>Gli IPCA-AS a partire dai dati definitivi di gennaio 2019 sono calcolati aggregando gli indici delle sottoclassi della ECOICOP (in precedenza, per il computo di questi indicatori erano utilizzati gli indici delle classi). Per una migliore fruibilità dei nuovi indicatori, le serie degli aggregati speciali, secondo il nuovo schema, sono state ricostruite per il periodo gennaio 2017 - dicembre 2018.</w:t>
      </w:r>
    </w:p>
    <w:p w14:paraId="0068BBE1" w14:textId="77777777" w:rsidR="00ED00B1" w:rsidRPr="008E006C" w:rsidRDefault="00ED00B1" w:rsidP="00ED00B1">
      <w:pPr>
        <w:widowControl/>
        <w:tabs>
          <w:tab w:val="left" w:pos="10206"/>
        </w:tabs>
        <w:overflowPunct/>
        <w:spacing w:before="0" w:after="120"/>
        <w:jc w:val="both"/>
        <w:rPr>
          <w:rFonts w:ascii="Arial" w:hAnsi="Arial" w:cs="Arial"/>
          <w:szCs w:val="21"/>
        </w:rPr>
      </w:pPr>
    </w:p>
    <w:p w14:paraId="4CFC6514" w14:textId="77777777" w:rsidR="00ED00B1" w:rsidRPr="00833545" w:rsidRDefault="00ED00B1" w:rsidP="00ED00B1">
      <w:pPr>
        <w:pStyle w:val="Rientrocorpodeltesto"/>
        <w:spacing w:before="0"/>
        <w:ind w:left="0" w:hanging="1"/>
        <w:rPr>
          <w:rFonts w:ascii="Arial" w:hAnsi="Arial" w:cs="Arial"/>
          <w:b/>
          <w:bCs/>
          <w:szCs w:val="22"/>
        </w:rPr>
      </w:pPr>
      <w:r w:rsidRPr="00833545">
        <w:rPr>
          <w:rFonts w:ascii="Arial" w:hAnsi="Arial" w:cs="Arial"/>
          <w:b/>
          <w:bCs/>
          <w:szCs w:val="22"/>
        </w:rPr>
        <w:t>Rilevazione e calcolo degli indici dei prezzi dei prodotti stagionali</w:t>
      </w:r>
    </w:p>
    <w:p w14:paraId="09BE8EE8" w14:textId="77777777" w:rsidR="00ED00B1" w:rsidRPr="00747050" w:rsidRDefault="00ED00B1" w:rsidP="00ED00B1">
      <w:pPr>
        <w:spacing w:before="0" w:after="120"/>
        <w:jc w:val="both"/>
        <w:rPr>
          <w:rFonts w:ascii="Arial" w:hAnsi="Arial" w:cs="Arial"/>
        </w:rPr>
      </w:pPr>
      <w:r w:rsidRPr="00747050">
        <w:rPr>
          <w:rFonts w:ascii="Arial" w:hAnsi="Arial" w:cs="Arial"/>
        </w:rPr>
        <w:t xml:space="preserve">Dai dati di gennaio 2011 viene adottata la metodologia di rilevazione e calcolo degli indici dei prezzi dei prodotti stagionali, conforme alle norme previste prima dal Regolamento (CE) n. 330/2009 del 22 aprile 2009 e poi dal Regolamento di Esecuzione (UE) n. 2020/1148 della Commissione del 31 luglio 2020 (che ha abrogato il Regolamento 330/2009), per i prodotti stagionali appartenenti ai gruppi e classi di prodotto </w:t>
      </w:r>
      <w:r w:rsidRPr="00747050">
        <w:rPr>
          <w:rFonts w:ascii="Arial" w:hAnsi="Arial" w:cs="Arial"/>
          <w:i/>
        </w:rPr>
        <w:t>Frutta,</w:t>
      </w:r>
      <w:r w:rsidRPr="00747050">
        <w:rPr>
          <w:rFonts w:ascii="Arial" w:hAnsi="Arial" w:cs="Arial"/>
        </w:rPr>
        <w:t xml:space="preserve"> </w:t>
      </w:r>
      <w:r w:rsidRPr="00747050">
        <w:rPr>
          <w:rFonts w:ascii="Arial" w:hAnsi="Arial" w:cs="Arial"/>
          <w:i/>
        </w:rPr>
        <w:t>Vegetali</w:t>
      </w:r>
      <w:r w:rsidRPr="00747050">
        <w:rPr>
          <w:rFonts w:ascii="Arial" w:hAnsi="Arial" w:cs="Arial"/>
        </w:rPr>
        <w:t xml:space="preserve">, </w:t>
      </w:r>
      <w:r w:rsidRPr="00747050">
        <w:rPr>
          <w:rFonts w:ascii="Arial" w:hAnsi="Arial" w:cs="Arial"/>
          <w:i/>
        </w:rPr>
        <w:t>Abbigliamento e Calzature</w:t>
      </w:r>
      <w:r w:rsidRPr="00747050">
        <w:rPr>
          <w:rFonts w:ascii="Arial" w:hAnsi="Arial" w:cs="Arial"/>
        </w:rPr>
        <w:t>. La metodologia è adottata per i tre indici NIC, FOI e IPCA.</w:t>
      </w:r>
    </w:p>
    <w:p w14:paraId="6E7D0596" w14:textId="77777777" w:rsidR="00ED00B1" w:rsidRPr="00747050" w:rsidRDefault="00ED00B1" w:rsidP="00ED00B1">
      <w:pPr>
        <w:spacing w:before="0" w:after="120"/>
        <w:jc w:val="both"/>
        <w:rPr>
          <w:rFonts w:ascii="Arial" w:hAnsi="Arial" w:cs="Arial"/>
        </w:rPr>
      </w:pPr>
      <w:r w:rsidRPr="00747050">
        <w:rPr>
          <w:rFonts w:ascii="Arial" w:hAnsi="Arial" w:cs="Arial"/>
        </w:rPr>
        <w:t xml:space="preserve">Secondo il citato Regolamento si definisce </w:t>
      </w:r>
      <w:r w:rsidRPr="00747050">
        <w:rPr>
          <w:rFonts w:ascii="Arial" w:hAnsi="Arial" w:cs="Arial"/>
          <w:i/>
        </w:rPr>
        <w:t>prodotto stagionale</w:t>
      </w:r>
      <w:r w:rsidRPr="00747050">
        <w:rPr>
          <w:rFonts w:ascii="Arial" w:hAnsi="Arial" w:cs="Arial"/>
        </w:rPr>
        <w:t xml:space="preserve"> un singolo prodotto acquistabile o acquistato in quantità significative solo durante una parte dell’anno secondo uno schema ricorrente. </w:t>
      </w:r>
    </w:p>
    <w:p w14:paraId="4D4C4B3F" w14:textId="77777777" w:rsidR="00ED00B1" w:rsidRPr="00747050" w:rsidRDefault="00ED00B1" w:rsidP="00ED00B1">
      <w:pPr>
        <w:pStyle w:val="Default"/>
        <w:spacing w:after="120"/>
        <w:jc w:val="both"/>
        <w:rPr>
          <w:rFonts w:ascii="Arial" w:hAnsi="Arial" w:cs="Arial"/>
          <w:sz w:val="20"/>
          <w:szCs w:val="20"/>
        </w:rPr>
      </w:pPr>
      <w:r w:rsidRPr="00747050">
        <w:rPr>
          <w:rFonts w:ascii="Arial" w:hAnsi="Arial" w:cs="Arial"/>
          <w:sz w:val="20"/>
          <w:szCs w:val="20"/>
        </w:rPr>
        <w:t>Il Regolamento stabilisce, inoltre, che, in un dato mese, i prodotti stagionali siano considerati “in stagione” o “fuori stagione”. Sulla base di tale norma, ogni anno, l’Istat provvede alla definizione del calendario mensile valido per tutto l’anno, che stabilisce in un dato mese quando ogni specifico prodotto, appartenente alle suddette categorie o ai suddetti gruppi, deve essere considerato “</w:t>
      </w:r>
      <w:r w:rsidRPr="00747050">
        <w:rPr>
          <w:rFonts w:ascii="Arial" w:hAnsi="Arial" w:cs="Arial"/>
          <w:i/>
          <w:sz w:val="20"/>
          <w:szCs w:val="20"/>
        </w:rPr>
        <w:t>in stagione”</w:t>
      </w:r>
      <w:r w:rsidRPr="00747050">
        <w:rPr>
          <w:rFonts w:ascii="Arial" w:hAnsi="Arial" w:cs="Arial"/>
          <w:sz w:val="20"/>
          <w:szCs w:val="20"/>
        </w:rPr>
        <w:t xml:space="preserve"> oppure “</w:t>
      </w:r>
      <w:r w:rsidRPr="00747050">
        <w:rPr>
          <w:rFonts w:ascii="Arial" w:hAnsi="Arial" w:cs="Arial"/>
          <w:i/>
          <w:sz w:val="20"/>
          <w:szCs w:val="20"/>
        </w:rPr>
        <w:t>fuori stagione”</w:t>
      </w:r>
      <w:r w:rsidRPr="00747050">
        <w:rPr>
          <w:rFonts w:ascii="Arial" w:hAnsi="Arial" w:cs="Arial"/>
          <w:sz w:val="20"/>
          <w:szCs w:val="20"/>
        </w:rPr>
        <w:t>. L’adozione di un calendario della stagionalità comporta che la rilevazione territoriale dei prezzi al consumo sia effettuata solo nei mesi in cui il prodotto in questione è definito “</w:t>
      </w:r>
      <w:r w:rsidRPr="00747050">
        <w:rPr>
          <w:rFonts w:ascii="Arial" w:hAnsi="Arial" w:cs="Arial"/>
          <w:i/>
          <w:sz w:val="20"/>
          <w:szCs w:val="20"/>
        </w:rPr>
        <w:t>in stagione</w:t>
      </w:r>
      <w:r w:rsidRPr="00747050">
        <w:rPr>
          <w:rFonts w:ascii="Arial" w:hAnsi="Arial" w:cs="Arial"/>
          <w:sz w:val="20"/>
          <w:szCs w:val="20"/>
        </w:rPr>
        <w:t>”, mentre i prezzi dei prodotti “</w:t>
      </w:r>
      <w:r w:rsidRPr="00747050">
        <w:rPr>
          <w:rFonts w:ascii="Arial" w:hAnsi="Arial" w:cs="Arial"/>
          <w:i/>
          <w:sz w:val="20"/>
          <w:szCs w:val="20"/>
        </w:rPr>
        <w:t>fuori stagione</w:t>
      </w:r>
      <w:r w:rsidRPr="00747050">
        <w:rPr>
          <w:rFonts w:ascii="Arial" w:hAnsi="Arial" w:cs="Arial"/>
          <w:sz w:val="20"/>
          <w:szCs w:val="20"/>
        </w:rPr>
        <w:t>” sono stimati sulla base di una metodologia coerente con le indicazioni contenute nel Regolamento europeo.</w:t>
      </w:r>
    </w:p>
    <w:p w14:paraId="02EF7E31" w14:textId="77777777" w:rsidR="00ED00B1" w:rsidRDefault="00ED00B1" w:rsidP="00ED00B1">
      <w:pPr>
        <w:pStyle w:val="Default"/>
        <w:spacing w:after="120"/>
        <w:jc w:val="both"/>
        <w:rPr>
          <w:rFonts w:ascii="Arial" w:hAnsi="Arial" w:cs="Arial"/>
          <w:sz w:val="20"/>
          <w:szCs w:val="20"/>
        </w:rPr>
      </w:pPr>
    </w:p>
    <w:p w14:paraId="38C8CA29" w14:textId="77777777" w:rsidR="00ED00B1" w:rsidRPr="001D642A" w:rsidRDefault="00ED00B1" w:rsidP="00ED00B1">
      <w:pPr>
        <w:spacing w:before="0" w:after="120"/>
        <w:jc w:val="both"/>
        <w:rPr>
          <w:rFonts w:ascii="Arial" w:hAnsi="Arial" w:cs="Arial"/>
          <w:b/>
          <w:szCs w:val="22"/>
        </w:rPr>
      </w:pPr>
      <w:r w:rsidRPr="001D642A">
        <w:rPr>
          <w:rFonts w:ascii="Arial" w:hAnsi="Arial" w:cs="Arial"/>
          <w:b/>
          <w:szCs w:val="22"/>
        </w:rPr>
        <w:t>Stim</w:t>
      </w:r>
      <w:r>
        <w:rPr>
          <w:rFonts w:ascii="Arial" w:hAnsi="Arial" w:cs="Arial"/>
          <w:b/>
          <w:szCs w:val="22"/>
        </w:rPr>
        <w:t>a</w:t>
      </w:r>
      <w:r w:rsidRPr="001D642A">
        <w:rPr>
          <w:rFonts w:ascii="Arial" w:hAnsi="Arial" w:cs="Arial"/>
          <w:b/>
          <w:szCs w:val="22"/>
        </w:rPr>
        <w:t xml:space="preserve"> delle </w:t>
      </w:r>
      <w:r>
        <w:rPr>
          <w:rFonts w:ascii="Arial" w:hAnsi="Arial" w:cs="Arial"/>
          <w:b/>
          <w:szCs w:val="22"/>
        </w:rPr>
        <w:t>osservazioni</w:t>
      </w:r>
      <w:r w:rsidRPr="001D642A">
        <w:rPr>
          <w:rFonts w:ascii="Arial" w:hAnsi="Arial" w:cs="Arial"/>
          <w:b/>
          <w:szCs w:val="22"/>
        </w:rPr>
        <w:t xml:space="preserve"> </w:t>
      </w:r>
      <w:r>
        <w:rPr>
          <w:rFonts w:ascii="Arial" w:hAnsi="Arial" w:cs="Arial"/>
          <w:b/>
          <w:szCs w:val="22"/>
        </w:rPr>
        <w:t xml:space="preserve">mancanti </w:t>
      </w:r>
      <w:r w:rsidRPr="001D642A">
        <w:rPr>
          <w:rFonts w:ascii="Arial" w:hAnsi="Arial" w:cs="Arial"/>
          <w:b/>
          <w:szCs w:val="22"/>
        </w:rPr>
        <w:t>negli indici dei prezzi al consumo</w:t>
      </w:r>
    </w:p>
    <w:p w14:paraId="0A004EC2" w14:textId="77777777" w:rsidR="00ED00B1" w:rsidRPr="002875F7" w:rsidRDefault="00ED00B1" w:rsidP="00ED00B1">
      <w:pPr>
        <w:pStyle w:val="Default"/>
        <w:spacing w:after="120"/>
        <w:jc w:val="both"/>
        <w:rPr>
          <w:rFonts w:ascii="Arial" w:hAnsi="Arial" w:cs="Arial"/>
          <w:sz w:val="20"/>
          <w:szCs w:val="20"/>
        </w:rPr>
      </w:pPr>
      <w:r w:rsidRPr="002875F7">
        <w:rPr>
          <w:rFonts w:ascii="Arial" w:hAnsi="Arial" w:cs="Arial"/>
          <w:sz w:val="20"/>
          <w:szCs w:val="20"/>
        </w:rPr>
        <w:t>Le procedure di imputazione delle osservazioni mancanti adottate dall’Istat per la stima dell’inflazione sono coerenti con l’impianto metodologico indicato da Eurostat e condiviso con gli Stati membri dell’Unione europea</w:t>
      </w:r>
      <w:r w:rsidRPr="002875F7">
        <w:rPr>
          <w:rStyle w:val="Rimandonotaapidipagina"/>
          <w:rFonts w:ascii="Arial" w:hAnsi="Arial"/>
          <w:sz w:val="20"/>
          <w:szCs w:val="20"/>
        </w:rPr>
        <w:footnoteReference w:id="7"/>
      </w:r>
      <w:r w:rsidRPr="002875F7">
        <w:rPr>
          <w:rFonts w:ascii="Arial" w:hAnsi="Arial" w:cs="Arial"/>
          <w:sz w:val="20"/>
          <w:szCs w:val="20"/>
        </w:rPr>
        <w:t xml:space="preserve">. </w:t>
      </w:r>
    </w:p>
    <w:p w14:paraId="48DA1402" w14:textId="77777777" w:rsidR="00ED00B1" w:rsidRPr="002875F7" w:rsidRDefault="00ED00B1" w:rsidP="00ED00B1">
      <w:pPr>
        <w:pStyle w:val="Default"/>
        <w:spacing w:after="120"/>
        <w:jc w:val="both"/>
        <w:rPr>
          <w:rFonts w:ascii="Arial" w:hAnsi="Arial" w:cs="Arial"/>
          <w:sz w:val="20"/>
          <w:szCs w:val="20"/>
        </w:rPr>
      </w:pPr>
      <w:r w:rsidRPr="002875F7">
        <w:rPr>
          <w:rFonts w:ascii="Arial" w:hAnsi="Arial" w:cs="Arial"/>
          <w:sz w:val="20"/>
          <w:szCs w:val="20"/>
        </w:rPr>
        <w:t xml:space="preserve">Questo impianto, che riguarda tutti e tre gli indici (NIC, FOI e IPCA), si basa su tre principi: </w:t>
      </w:r>
    </w:p>
    <w:p w14:paraId="713E7F05" w14:textId="77777777" w:rsidR="00ED00B1" w:rsidRPr="002875F7" w:rsidRDefault="00ED00B1" w:rsidP="00ED00B1">
      <w:pPr>
        <w:pStyle w:val="Default"/>
        <w:spacing w:after="120"/>
        <w:ind w:left="284"/>
        <w:jc w:val="both"/>
        <w:rPr>
          <w:rFonts w:ascii="Arial" w:hAnsi="Arial" w:cs="Arial"/>
          <w:sz w:val="20"/>
          <w:szCs w:val="20"/>
        </w:rPr>
      </w:pPr>
      <w:r w:rsidRPr="002875F7">
        <w:rPr>
          <w:rFonts w:ascii="Arial" w:hAnsi="Arial" w:cs="Arial"/>
          <w:sz w:val="20"/>
          <w:szCs w:val="20"/>
        </w:rPr>
        <w:t>1.</w:t>
      </w:r>
      <w:r w:rsidRPr="002875F7">
        <w:rPr>
          <w:rFonts w:ascii="Arial" w:hAnsi="Arial" w:cs="Arial"/>
          <w:sz w:val="20"/>
          <w:szCs w:val="20"/>
        </w:rPr>
        <w:tab/>
        <w:t>stabilità dei pesi degli aggregati di prodotto che compongono il paniere,</w:t>
      </w:r>
    </w:p>
    <w:p w14:paraId="059BCB0C" w14:textId="77777777" w:rsidR="00ED00B1" w:rsidRPr="002875F7" w:rsidRDefault="00ED00B1" w:rsidP="00ED00B1">
      <w:pPr>
        <w:pStyle w:val="Default"/>
        <w:spacing w:after="120"/>
        <w:ind w:left="284"/>
        <w:jc w:val="both"/>
        <w:rPr>
          <w:rFonts w:ascii="Arial" w:hAnsi="Arial" w:cs="Arial"/>
          <w:sz w:val="20"/>
          <w:szCs w:val="20"/>
        </w:rPr>
      </w:pPr>
      <w:r w:rsidRPr="002875F7">
        <w:rPr>
          <w:rFonts w:ascii="Arial" w:hAnsi="Arial" w:cs="Arial"/>
          <w:sz w:val="20"/>
          <w:szCs w:val="20"/>
        </w:rPr>
        <w:t>2.</w:t>
      </w:r>
      <w:r w:rsidRPr="002875F7">
        <w:rPr>
          <w:rFonts w:ascii="Arial" w:hAnsi="Arial" w:cs="Arial"/>
          <w:sz w:val="20"/>
          <w:szCs w:val="20"/>
        </w:rPr>
        <w:tab/>
        <w:t>calcolo degli indici per tutti gli aggregati di prodotto e i diversi livelli di disaggregazione previsti dalla ECOICOP,</w:t>
      </w:r>
    </w:p>
    <w:p w14:paraId="44C931F3" w14:textId="77777777" w:rsidR="00ED00B1" w:rsidRPr="002875F7" w:rsidRDefault="00ED00B1" w:rsidP="00ED00B1">
      <w:pPr>
        <w:pStyle w:val="Default"/>
        <w:spacing w:after="120"/>
        <w:ind w:left="284"/>
        <w:jc w:val="both"/>
        <w:rPr>
          <w:rFonts w:ascii="Arial" w:hAnsi="Arial" w:cs="Arial"/>
          <w:sz w:val="20"/>
          <w:szCs w:val="20"/>
        </w:rPr>
      </w:pPr>
      <w:r w:rsidRPr="002875F7">
        <w:rPr>
          <w:rFonts w:ascii="Arial" w:hAnsi="Arial" w:cs="Arial"/>
          <w:sz w:val="20"/>
          <w:szCs w:val="20"/>
        </w:rPr>
        <w:t>3.</w:t>
      </w:r>
      <w:r w:rsidRPr="002875F7">
        <w:rPr>
          <w:rFonts w:ascii="Arial" w:hAnsi="Arial" w:cs="Arial"/>
          <w:sz w:val="20"/>
          <w:szCs w:val="20"/>
        </w:rPr>
        <w:tab/>
        <w:t>minimizzazione del numero di prezzi imputati</w:t>
      </w:r>
      <w:r w:rsidRPr="002875F7">
        <w:rPr>
          <w:rStyle w:val="Rimandonotaapidipagina"/>
          <w:rFonts w:ascii="Arial" w:hAnsi="Arial"/>
          <w:sz w:val="20"/>
          <w:szCs w:val="20"/>
        </w:rPr>
        <w:footnoteReference w:id="8"/>
      </w:r>
      <w:r w:rsidRPr="002875F7">
        <w:rPr>
          <w:rFonts w:ascii="Arial" w:hAnsi="Arial" w:cs="Arial"/>
          <w:sz w:val="20"/>
          <w:szCs w:val="20"/>
        </w:rPr>
        <w:t>.</w:t>
      </w:r>
    </w:p>
    <w:p w14:paraId="758DFFA8" w14:textId="77777777" w:rsidR="00ED00B1" w:rsidRPr="002875F7" w:rsidRDefault="00ED00B1" w:rsidP="00ED00B1">
      <w:pPr>
        <w:pStyle w:val="Default"/>
        <w:spacing w:after="120"/>
        <w:jc w:val="both"/>
        <w:rPr>
          <w:rFonts w:ascii="Arial" w:hAnsi="Arial" w:cs="Arial"/>
          <w:sz w:val="20"/>
          <w:szCs w:val="20"/>
        </w:rPr>
      </w:pPr>
      <w:r w:rsidRPr="002875F7">
        <w:rPr>
          <w:rFonts w:ascii="Arial" w:hAnsi="Arial" w:cs="Arial"/>
          <w:sz w:val="20"/>
          <w:szCs w:val="20"/>
        </w:rPr>
        <w:t xml:space="preserve">Le regole di imputazione si applicano sia ai casi in cui non è possibile rilevare il prezzo di un prodotto, sia ai casi nei quali l’assenza del prezzo deriva dalla sua indisponibilità nel mercato, e comportano l’applicazione di procedure di ricostruzione del prezzo mancante della referenza, basate prevalentemente sulla variazione del prezzo rispetto al mese precedente. </w:t>
      </w:r>
    </w:p>
    <w:p w14:paraId="6395BBB4" w14:textId="77777777" w:rsidR="00ED00B1" w:rsidRPr="002875F7" w:rsidRDefault="00ED00B1" w:rsidP="00ED00B1">
      <w:pPr>
        <w:pStyle w:val="Default"/>
        <w:spacing w:after="120"/>
        <w:jc w:val="both"/>
        <w:rPr>
          <w:rFonts w:ascii="Arial" w:hAnsi="Arial" w:cs="Arial"/>
          <w:sz w:val="20"/>
          <w:szCs w:val="20"/>
        </w:rPr>
      </w:pPr>
      <w:r w:rsidRPr="002875F7">
        <w:rPr>
          <w:rFonts w:ascii="Arial" w:hAnsi="Arial" w:cs="Arial"/>
          <w:sz w:val="20"/>
          <w:szCs w:val="20"/>
        </w:rPr>
        <w:t xml:space="preserve">L’individuazione della variazione congiunturale più idonea per la procedura di imputazione non è univocamente determinata, ma dipende da diversi fattori (tra i quali la quota di mancate rilevazioni per prodotto, la sua posizione nella struttura gerarchica, il suo grado di volatilità mensile e il carattere stagionale della dinamica dei prezzi). </w:t>
      </w:r>
    </w:p>
    <w:p w14:paraId="024EC2FC" w14:textId="77777777" w:rsidR="00ED00B1" w:rsidRPr="002875F7" w:rsidRDefault="00ED00B1" w:rsidP="00ED00B1">
      <w:pPr>
        <w:pStyle w:val="Default"/>
        <w:spacing w:after="120"/>
        <w:jc w:val="both"/>
        <w:rPr>
          <w:rFonts w:ascii="Arial" w:hAnsi="Arial" w:cs="Arial"/>
          <w:sz w:val="20"/>
          <w:szCs w:val="20"/>
        </w:rPr>
      </w:pPr>
      <w:r w:rsidRPr="002875F7">
        <w:rPr>
          <w:rFonts w:ascii="Arial" w:hAnsi="Arial" w:cs="Arial"/>
          <w:sz w:val="20"/>
          <w:szCs w:val="20"/>
        </w:rPr>
        <w:t>Le regole di imputazione delle mancate rilevazioni dei prezzi applicate ai prodotti delle diverse categorie merceologiche, sono di seguito elencate:</w:t>
      </w:r>
    </w:p>
    <w:p w14:paraId="229AE1D0" w14:textId="77777777" w:rsidR="00ED00B1" w:rsidRPr="002875F7" w:rsidRDefault="00ED00B1" w:rsidP="00ED00B1">
      <w:pPr>
        <w:pStyle w:val="Default"/>
        <w:numPr>
          <w:ilvl w:val="0"/>
          <w:numId w:val="17"/>
        </w:numPr>
        <w:ind w:left="567" w:hanging="357"/>
        <w:jc w:val="both"/>
        <w:rPr>
          <w:rFonts w:ascii="Arial" w:hAnsi="Arial" w:cs="Arial"/>
          <w:sz w:val="20"/>
          <w:szCs w:val="20"/>
        </w:rPr>
      </w:pPr>
      <w:r w:rsidRPr="002875F7">
        <w:rPr>
          <w:rFonts w:ascii="Arial" w:hAnsi="Arial" w:cs="Arial"/>
          <w:sz w:val="20"/>
          <w:szCs w:val="20"/>
        </w:rPr>
        <w:t xml:space="preserve">Per i prodotti </w:t>
      </w:r>
      <w:proofErr w:type="spellStart"/>
      <w:r w:rsidRPr="002875F7">
        <w:rPr>
          <w:rFonts w:ascii="Arial" w:hAnsi="Arial" w:cs="Arial"/>
          <w:sz w:val="20"/>
          <w:szCs w:val="20"/>
        </w:rPr>
        <w:t>grocery</w:t>
      </w:r>
      <w:proofErr w:type="spellEnd"/>
      <w:r w:rsidRPr="002875F7">
        <w:rPr>
          <w:rFonts w:ascii="Arial" w:hAnsi="Arial" w:cs="Arial"/>
          <w:sz w:val="20"/>
          <w:szCs w:val="20"/>
        </w:rPr>
        <w:t xml:space="preserve"> rilevati tramite scanner data, nell’ambito dell’approccio dinamico utilizzato per il calcolo degli indici e in accordo con le linee guida dell’Eurostat, i prezzi delle referenze (GTIN) temporaneamente assenti (per cause stagionali o accidentali) vengono imputati per un massimo di 14 mesi consecutivi.</w:t>
      </w:r>
    </w:p>
    <w:p w14:paraId="2AD5BF1C" w14:textId="77777777" w:rsidR="00ED00B1" w:rsidRDefault="00ED00B1" w:rsidP="00ED00B1">
      <w:pPr>
        <w:pStyle w:val="Default"/>
        <w:spacing w:before="120"/>
        <w:ind w:left="567"/>
        <w:jc w:val="both"/>
        <w:rPr>
          <w:rFonts w:ascii="Arial" w:hAnsi="Arial" w:cs="Arial"/>
          <w:sz w:val="20"/>
          <w:szCs w:val="20"/>
        </w:rPr>
      </w:pPr>
    </w:p>
    <w:p w14:paraId="651157C8" w14:textId="77777777" w:rsidR="00ED00B1" w:rsidRPr="002875F7" w:rsidRDefault="00ED00B1" w:rsidP="00ED00B1">
      <w:pPr>
        <w:pStyle w:val="Default"/>
        <w:spacing w:before="120"/>
        <w:ind w:left="567"/>
        <w:jc w:val="both"/>
        <w:rPr>
          <w:rFonts w:ascii="Arial" w:hAnsi="Arial" w:cs="Arial"/>
          <w:sz w:val="20"/>
          <w:szCs w:val="20"/>
        </w:rPr>
      </w:pPr>
      <w:r w:rsidRPr="002875F7">
        <w:rPr>
          <w:rFonts w:ascii="Arial" w:hAnsi="Arial" w:cs="Arial"/>
          <w:sz w:val="20"/>
          <w:szCs w:val="20"/>
        </w:rPr>
        <w:lastRenderedPageBreak/>
        <w:t>In particolare, qualora i prezzi mensili di alcune referenze di un determinato aggregato di prodotto risultino mancanti (come nel caso di assenza di vendite di un prodotto), essi vengono imputati per variazione, utilizzando il tasso di crescita su base mensile delle altre referenze, tenendo conto delle regole di aggregazione, per step successivi, adottate per la sintesi degli indici</w:t>
      </w:r>
      <w:r w:rsidRPr="002875F7">
        <w:rPr>
          <w:rStyle w:val="Rimandonotaapidipagina"/>
          <w:rFonts w:ascii="Arial" w:hAnsi="Arial"/>
          <w:sz w:val="20"/>
          <w:szCs w:val="20"/>
        </w:rPr>
        <w:footnoteReference w:id="9"/>
      </w:r>
      <w:r w:rsidRPr="002875F7">
        <w:rPr>
          <w:rFonts w:ascii="Arial" w:hAnsi="Arial" w:cs="Arial"/>
          <w:sz w:val="20"/>
          <w:szCs w:val="20"/>
        </w:rPr>
        <w:t xml:space="preserve">. </w:t>
      </w:r>
    </w:p>
    <w:p w14:paraId="65617FDA" w14:textId="77777777" w:rsidR="00ED00B1" w:rsidRPr="002875F7" w:rsidRDefault="00ED00B1" w:rsidP="00ED00B1">
      <w:pPr>
        <w:pStyle w:val="Default"/>
        <w:spacing w:before="120"/>
        <w:ind w:left="567"/>
        <w:jc w:val="both"/>
        <w:rPr>
          <w:rFonts w:ascii="Arial" w:hAnsi="Arial" w:cs="Arial"/>
          <w:sz w:val="20"/>
          <w:szCs w:val="20"/>
        </w:rPr>
      </w:pPr>
      <w:r w:rsidRPr="002875F7">
        <w:rPr>
          <w:rFonts w:ascii="Arial" w:hAnsi="Arial" w:cs="Arial"/>
          <w:sz w:val="20"/>
          <w:szCs w:val="20"/>
        </w:rPr>
        <w:t>Più in dettaglio, i prezzi mancanti vengono imputati all’interno di ciascun punto vendita stimando l’evoluzione dei prezzi dei GTIN effettivamente venduti nel mercato ECR cui il GTIN mancante appartiene. Per i GTIN che non trovano donatori all’interno del mercato ECR si considera lo strato cui appartiene il punto vendita e i prezzi mancanti vengono stimati seguendo l’evoluzione dei prezzi dello stesso mercato nello strato. Qualora non esistano donatori la procedura di stima sale di livello (provincia/aggregato di prodotto) fino ad imputare tutti i prezzi delle referenze mancanti. La metodologia implementata garantisce che la variazione degli aggregati di prodotto tenga conto delle sole informazioni effettivamente disponibili (l’imputazione è neutrale rispetto all’aggregazione).</w:t>
      </w:r>
    </w:p>
    <w:p w14:paraId="6872B31F" w14:textId="77777777" w:rsidR="00ED00B1" w:rsidRPr="002875F7" w:rsidRDefault="00ED00B1" w:rsidP="00ED00B1">
      <w:pPr>
        <w:pStyle w:val="Default"/>
        <w:spacing w:before="120"/>
        <w:ind w:left="567"/>
        <w:jc w:val="both"/>
        <w:rPr>
          <w:rFonts w:ascii="Arial" w:hAnsi="Arial" w:cs="Arial"/>
          <w:sz w:val="20"/>
          <w:szCs w:val="20"/>
        </w:rPr>
      </w:pPr>
      <w:r w:rsidRPr="002875F7">
        <w:rPr>
          <w:rFonts w:ascii="Arial" w:hAnsi="Arial" w:cs="Arial"/>
          <w:sz w:val="20"/>
          <w:szCs w:val="20"/>
        </w:rPr>
        <w:t>Le stesse regole di imputazione valgono nel caso in cui l’indisponibilità delle informazioni è dovuta alla chiusura del punto vendita. In tal caso vengono imputati i prezzi di tutte le corrispondenti referenze.</w:t>
      </w:r>
    </w:p>
    <w:p w14:paraId="134E9FCE" w14:textId="77777777" w:rsidR="00ED00B1" w:rsidRPr="002875F7" w:rsidRDefault="00ED00B1" w:rsidP="00ED00B1">
      <w:pPr>
        <w:pStyle w:val="Default"/>
        <w:numPr>
          <w:ilvl w:val="0"/>
          <w:numId w:val="17"/>
        </w:numPr>
        <w:spacing w:before="120" w:after="120"/>
        <w:ind w:left="568" w:hanging="284"/>
        <w:jc w:val="both"/>
        <w:rPr>
          <w:rFonts w:ascii="Arial" w:hAnsi="Arial" w:cs="Arial"/>
          <w:sz w:val="20"/>
          <w:szCs w:val="20"/>
        </w:rPr>
      </w:pPr>
      <w:r w:rsidRPr="002875F7">
        <w:rPr>
          <w:rFonts w:ascii="Arial" w:hAnsi="Arial" w:cs="Arial"/>
          <w:sz w:val="20"/>
          <w:szCs w:val="20"/>
        </w:rPr>
        <w:t>Nel settore dell’abbigliamento e calzature e per i prodotti alimentari freschi, quali frutta e vegetali freschi, per i quali è prevista la rilevazione bimensile, nel caso in cui non siano disponibili i prezzi per entrambe le date di rilevazione, le mancate risposte sono imputate per variazione dei prezzi delle referenze che sono state rilevate per lo stesso prodotto nel capoluogo di provincia, oppure nella regione o a livello nazionale, applicando le consuete procedure per la stima dei prezzi dei prodotti stagionali.</w:t>
      </w:r>
    </w:p>
    <w:p w14:paraId="4A5558C2" w14:textId="77777777" w:rsidR="00ED00B1" w:rsidRPr="002875F7" w:rsidRDefault="00ED00B1" w:rsidP="00ED00B1">
      <w:pPr>
        <w:pStyle w:val="Default"/>
        <w:numPr>
          <w:ilvl w:val="0"/>
          <w:numId w:val="17"/>
        </w:numPr>
        <w:spacing w:after="120"/>
        <w:ind w:left="567"/>
        <w:jc w:val="both"/>
        <w:rPr>
          <w:rFonts w:ascii="Arial" w:hAnsi="Arial" w:cs="Arial"/>
          <w:sz w:val="20"/>
          <w:szCs w:val="20"/>
        </w:rPr>
      </w:pPr>
      <w:r w:rsidRPr="002875F7">
        <w:rPr>
          <w:rFonts w:ascii="Arial" w:hAnsi="Arial" w:cs="Arial"/>
          <w:sz w:val="20"/>
          <w:szCs w:val="20"/>
        </w:rPr>
        <w:t>Per la stima dei prezzi dei prodotti alimentari freschi (per i quali è prevista la rilevazione mensile), dei prodotti ittici freschi (per i quali è prevista la rilevazione bimensile, nel caso in cui non siano disponibili i prezzi per entrambe le date di rilevazione), le mancate risposte sono imputate per variazione dei prezzi delle referenze rilevate per lo stesso prodotto nel capoluogo di provincia, oppure nella regione o a livello nazionale.</w:t>
      </w:r>
    </w:p>
    <w:p w14:paraId="473AE9C9" w14:textId="77777777" w:rsidR="00ED00B1" w:rsidRPr="002875F7" w:rsidRDefault="00ED00B1" w:rsidP="00ED00B1">
      <w:pPr>
        <w:pStyle w:val="Default"/>
        <w:numPr>
          <w:ilvl w:val="0"/>
          <w:numId w:val="17"/>
        </w:numPr>
        <w:spacing w:after="120"/>
        <w:ind w:left="567" w:hanging="283"/>
        <w:jc w:val="both"/>
        <w:rPr>
          <w:rFonts w:ascii="Arial" w:hAnsi="Arial" w:cs="Arial"/>
          <w:sz w:val="20"/>
          <w:szCs w:val="20"/>
        </w:rPr>
      </w:pPr>
      <w:r w:rsidRPr="000753A7">
        <w:rPr>
          <w:rFonts w:ascii="Arial" w:hAnsi="Arial" w:cs="Arial"/>
          <w:sz w:val="20"/>
          <w:szCs w:val="20"/>
        </w:rPr>
        <w:t>Per i prodotti dei servizi ricettivi, quali camera d’albergo e bed and breakfast le mancate risposte sono imputate utilizzando la variazione congiunturale dei prezzi rilevati nelle strutture ricettive della provincia per la stessa categoria per gli alberghi, oppure nello stesso aggregato; se invece il numero di osservazioni disponibili nel mese di riferimento dei dati non lo consente, il dato mancante viene imputato utilizzando la variazione congiunturale osservata nella provincia nello stesso mese dell’anno precedente, al fine di preservare la dinamica stagionale dell’aggregato</w:t>
      </w:r>
      <w:r w:rsidRPr="002875F7">
        <w:rPr>
          <w:rFonts w:ascii="Arial" w:hAnsi="Arial" w:cs="Arial"/>
          <w:sz w:val="20"/>
          <w:szCs w:val="20"/>
        </w:rPr>
        <w:t>.</w:t>
      </w:r>
    </w:p>
    <w:p w14:paraId="3A279FA8" w14:textId="77777777" w:rsidR="00ED00B1" w:rsidRPr="002875F7" w:rsidRDefault="00ED00B1" w:rsidP="00ED00B1">
      <w:pPr>
        <w:pStyle w:val="Default"/>
        <w:numPr>
          <w:ilvl w:val="0"/>
          <w:numId w:val="17"/>
        </w:numPr>
        <w:spacing w:after="120"/>
        <w:ind w:left="567" w:hanging="283"/>
        <w:jc w:val="both"/>
        <w:rPr>
          <w:rFonts w:ascii="Arial" w:hAnsi="Arial" w:cs="Arial"/>
          <w:sz w:val="20"/>
          <w:szCs w:val="20"/>
        </w:rPr>
      </w:pPr>
      <w:r w:rsidRPr="002875F7">
        <w:rPr>
          <w:rFonts w:ascii="Arial" w:hAnsi="Arial" w:cs="Arial"/>
          <w:sz w:val="20"/>
          <w:szCs w:val="20"/>
        </w:rPr>
        <w:t xml:space="preserve">Per i prezzi dei prodotti di arredamento e dei prodotti per la casa si applica il metodo del </w:t>
      </w:r>
      <w:proofErr w:type="spellStart"/>
      <w:r w:rsidRPr="002875F7">
        <w:rPr>
          <w:rFonts w:ascii="Arial" w:hAnsi="Arial" w:cs="Arial"/>
          <w:i/>
          <w:sz w:val="20"/>
          <w:szCs w:val="20"/>
        </w:rPr>
        <w:t>carry</w:t>
      </w:r>
      <w:proofErr w:type="spellEnd"/>
      <w:r w:rsidRPr="002875F7">
        <w:rPr>
          <w:rFonts w:ascii="Arial" w:hAnsi="Arial" w:cs="Arial"/>
          <w:i/>
          <w:sz w:val="20"/>
          <w:szCs w:val="20"/>
        </w:rPr>
        <w:t xml:space="preserve"> </w:t>
      </w:r>
      <w:proofErr w:type="spellStart"/>
      <w:r w:rsidRPr="002875F7">
        <w:rPr>
          <w:rFonts w:ascii="Arial" w:hAnsi="Arial" w:cs="Arial"/>
          <w:i/>
          <w:sz w:val="20"/>
          <w:szCs w:val="20"/>
        </w:rPr>
        <w:t>forward</w:t>
      </w:r>
      <w:proofErr w:type="spellEnd"/>
      <w:r w:rsidRPr="002875F7">
        <w:rPr>
          <w:rFonts w:ascii="Arial" w:hAnsi="Arial" w:cs="Arial"/>
          <w:sz w:val="20"/>
          <w:szCs w:val="20"/>
        </w:rPr>
        <w:t xml:space="preserve"> (ripetizione del prezzo del mese precedente), data la limitata variabilità temporale dei prezzi di questa categoria di prodotti.</w:t>
      </w:r>
    </w:p>
    <w:p w14:paraId="1D24CF7E" w14:textId="77777777" w:rsidR="00ED00B1" w:rsidRPr="002875F7" w:rsidRDefault="00ED00B1" w:rsidP="00ED00B1">
      <w:pPr>
        <w:pStyle w:val="Default"/>
        <w:numPr>
          <w:ilvl w:val="0"/>
          <w:numId w:val="17"/>
        </w:numPr>
        <w:spacing w:after="120"/>
        <w:ind w:left="567" w:hanging="283"/>
        <w:jc w:val="both"/>
        <w:rPr>
          <w:rFonts w:ascii="Arial" w:hAnsi="Arial" w:cs="Arial"/>
          <w:sz w:val="20"/>
          <w:szCs w:val="20"/>
        </w:rPr>
      </w:pPr>
      <w:r w:rsidRPr="002875F7">
        <w:rPr>
          <w:rFonts w:ascii="Arial" w:hAnsi="Arial" w:cs="Arial"/>
          <w:sz w:val="20"/>
          <w:szCs w:val="20"/>
        </w:rPr>
        <w:t xml:space="preserve">Analogamente il metodo del </w:t>
      </w:r>
      <w:proofErr w:type="spellStart"/>
      <w:r w:rsidRPr="002875F7">
        <w:rPr>
          <w:rFonts w:ascii="Arial" w:hAnsi="Arial" w:cs="Arial"/>
          <w:i/>
          <w:sz w:val="20"/>
          <w:szCs w:val="20"/>
        </w:rPr>
        <w:t>carry</w:t>
      </w:r>
      <w:proofErr w:type="spellEnd"/>
      <w:r w:rsidRPr="002875F7">
        <w:rPr>
          <w:rFonts w:ascii="Arial" w:hAnsi="Arial" w:cs="Arial"/>
          <w:i/>
          <w:sz w:val="20"/>
          <w:szCs w:val="20"/>
        </w:rPr>
        <w:t xml:space="preserve"> </w:t>
      </w:r>
      <w:proofErr w:type="spellStart"/>
      <w:r w:rsidRPr="002875F7">
        <w:rPr>
          <w:rFonts w:ascii="Arial" w:hAnsi="Arial" w:cs="Arial"/>
          <w:i/>
          <w:sz w:val="20"/>
          <w:szCs w:val="20"/>
        </w:rPr>
        <w:t>forward</w:t>
      </w:r>
      <w:proofErr w:type="spellEnd"/>
      <w:r w:rsidRPr="002875F7">
        <w:rPr>
          <w:rFonts w:ascii="Arial" w:hAnsi="Arial" w:cs="Arial"/>
          <w:sz w:val="20"/>
          <w:szCs w:val="20"/>
        </w:rPr>
        <w:t xml:space="preserve"> viene adottato per i prezzi dei servizi di ristorazione e dei servizi culturali e di intrattenimento.</w:t>
      </w:r>
    </w:p>
    <w:p w14:paraId="2838D7FC" w14:textId="77777777" w:rsidR="00ED00B1" w:rsidRDefault="00ED00B1" w:rsidP="00ED00B1">
      <w:pPr>
        <w:pStyle w:val="Default"/>
        <w:numPr>
          <w:ilvl w:val="0"/>
          <w:numId w:val="17"/>
        </w:numPr>
        <w:spacing w:after="120"/>
        <w:ind w:left="567" w:hanging="283"/>
        <w:jc w:val="both"/>
        <w:rPr>
          <w:rFonts w:ascii="Arial" w:hAnsi="Arial" w:cs="Arial"/>
          <w:sz w:val="20"/>
          <w:szCs w:val="20"/>
        </w:rPr>
      </w:pPr>
      <w:r w:rsidRPr="002875F7">
        <w:rPr>
          <w:rFonts w:ascii="Arial" w:hAnsi="Arial" w:cs="Arial"/>
          <w:sz w:val="20"/>
          <w:szCs w:val="20"/>
        </w:rPr>
        <w:t>Per i prodotti rilevati centralmente dall’Istat ogni quotazione mancante viene stimata utilizzando la variazione congiunturale degli indici che appartengono allo stesso strato; qualora i prezzi di uno strato risultino completamente assenti, la procedura di stima è basata sulla variazione degli indici di strato superiori.</w:t>
      </w:r>
    </w:p>
    <w:p w14:paraId="27C2B5C4" w14:textId="77777777" w:rsidR="00ED00B1" w:rsidRPr="00BC2BB0" w:rsidRDefault="00ED00B1" w:rsidP="00ED00B1">
      <w:pPr>
        <w:pStyle w:val="Default"/>
        <w:numPr>
          <w:ilvl w:val="0"/>
          <w:numId w:val="17"/>
        </w:numPr>
        <w:spacing w:after="120"/>
        <w:ind w:left="567" w:hanging="283"/>
        <w:jc w:val="both"/>
        <w:rPr>
          <w:rFonts w:ascii="Arial" w:hAnsi="Arial" w:cs="Arial"/>
          <w:sz w:val="20"/>
          <w:szCs w:val="20"/>
        </w:rPr>
      </w:pPr>
      <w:r w:rsidRPr="00BC2BB0">
        <w:rPr>
          <w:rFonts w:ascii="Arial" w:hAnsi="Arial" w:cs="Arial"/>
          <w:sz w:val="20"/>
          <w:szCs w:val="20"/>
        </w:rPr>
        <w:t>Per i prodotti indisponibili alla fruizione da parte delle famiglie (come accaduto nei periodi di lockdown durante la pandemia causata dal Covid-19) e che presentano un chiaro profilo stagionale, viene utilizzata la variazione dell’indice generale calcolata al netto di questi stessi prodotti.</w:t>
      </w:r>
    </w:p>
    <w:p w14:paraId="73C3E429" w14:textId="77777777" w:rsidR="00ED00B1" w:rsidRPr="002875F7" w:rsidRDefault="00ED00B1" w:rsidP="00ED00B1">
      <w:pPr>
        <w:pStyle w:val="Default"/>
        <w:spacing w:after="120"/>
        <w:jc w:val="both"/>
        <w:rPr>
          <w:rFonts w:ascii="Arial" w:hAnsi="Arial" w:cs="Arial"/>
          <w:sz w:val="20"/>
          <w:szCs w:val="20"/>
        </w:rPr>
      </w:pPr>
      <w:r w:rsidRPr="002875F7">
        <w:rPr>
          <w:rFonts w:ascii="Arial" w:hAnsi="Arial" w:cs="Arial"/>
          <w:sz w:val="20"/>
          <w:szCs w:val="20"/>
        </w:rPr>
        <w:t xml:space="preserve">Gli indici ai diversi livelli di aggregazione qualora abbiano una quota di imputazioni superiore al 50% (in termini di prezzi mancanti e/o di peso) sono segnalate, sulla base delle indicazioni di Eurostat, mediante l’utilizzo del flag “i” (dato imputato) sia nelle tabelle del Comunicato stampa, sia su </w:t>
      </w:r>
      <w:proofErr w:type="spellStart"/>
      <w:r w:rsidRPr="002875F7">
        <w:rPr>
          <w:rFonts w:ascii="Arial" w:hAnsi="Arial" w:cs="Arial"/>
          <w:sz w:val="20"/>
          <w:szCs w:val="20"/>
        </w:rPr>
        <w:t>I</w:t>
      </w:r>
      <w:r>
        <w:rPr>
          <w:rFonts w:ascii="Arial" w:hAnsi="Arial" w:cs="Arial"/>
          <w:sz w:val="20"/>
          <w:szCs w:val="20"/>
        </w:rPr>
        <w:t>stat.Data</w:t>
      </w:r>
      <w:proofErr w:type="spellEnd"/>
      <w:r w:rsidRPr="002875F7">
        <w:rPr>
          <w:rFonts w:ascii="Arial" w:hAnsi="Arial" w:cs="Arial"/>
          <w:sz w:val="20"/>
          <w:szCs w:val="20"/>
        </w:rPr>
        <w:t xml:space="preserve"> e nelle altre pubblicazioni. Per quanto riguarda gli indici diffusi su Rivaluta, in occasione del rilascio dei dati definitivi, quelli che presentano una quota di imputazioni superiore al 50% (in termini di prezzi mancanti e/o di peso) non sono resi disponibili.</w:t>
      </w:r>
    </w:p>
    <w:p w14:paraId="3D14EF6E" w14:textId="77777777" w:rsidR="00ED00B1" w:rsidRPr="009D2505" w:rsidRDefault="00ED00B1" w:rsidP="00ED00B1">
      <w:pPr>
        <w:pStyle w:val="Default"/>
        <w:spacing w:after="120"/>
        <w:jc w:val="both"/>
        <w:rPr>
          <w:rFonts w:ascii="Arial" w:hAnsi="Arial" w:cs="Arial"/>
          <w:sz w:val="16"/>
          <w:szCs w:val="16"/>
        </w:rPr>
      </w:pPr>
    </w:p>
    <w:p w14:paraId="67323696" w14:textId="77777777" w:rsidR="00ED00B1" w:rsidRPr="001D642A" w:rsidRDefault="00ED00B1" w:rsidP="00ED00B1">
      <w:pPr>
        <w:spacing w:before="0" w:after="120"/>
        <w:jc w:val="both"/>
        <w:rPr>
          <w:rFonts w:ascii="Arial" w:hAnsi="Arial" w:cs="Arial"/>
          <w:b/>
          <w:sz w:val="22"/>
          <w:szCs w:val="22"/>
        </w:rPr>
      </w:pPr>
      <w:r w:rsidRPr="001D642A">
        <w:rPr>
          <w:rFonts w:ascii="Arial" w:hAnsi="Arial" w:cs="Arial"/>
          <w:b/>
          <w:sz w:val="22"/>
          <w:szCs w:val="22"/>
        </w:rPr>
        <w:t>Stima preliminare degli indici dei prezzi al consumo IPCA: accuratezza e metodologia di calcolo</w:t>
      </w:r>
    </w:p>
    <w:p w14:paraId="0C64FA5A" w14:textId="77777777" w:rsidR="00ED00B1" w:rsidRPr="002875F7" w:rsidRDefault="00ED00B1" w:rsidP="009D2505">
      <w:pPr>
        <w:widowControl/>
        <w:overflowPunct/>
        <w:spacing w:before="0" w:after="60"/>
        <w:jc w:val="both"/>
        <w:rPr>
          <w:rFonts w:ascii="Arial" w:hAnsi="Arial" w:cs="Arial"/>
          <w:kern w:val="0"/>
        </w:rPr>
      </w:pPr>
      <w:r w:rsidRPr="002875F7">
        <w:rPr>
          <w:rFonts w:ascii="Arial" w:hAnsi="Arial" w:cs="Arial"/>
          <w:kern w:val="0"/>
        </w:rPr>
        <w:t>La diffusione degli indici dei prezzi al consumo avviene in due successivi istanti temporali secondo una diversa modalità di rilascio dei dati: prima come stima provvisoria, poi come stima definitiva. La diffusione della stima prov</w:t>
      </w:r>
      <w:r w:rsidRPr="002875F7">
        <w:rPr>
          <w:rFonts w:ascii="Arial" w:hAnsi="Arial" w:cs="Arial"/>
          <w:kern w:val="0"/>
        </w:rPr>
        <w:lastRenderedPageBreak/>
        <w:t xml:space="preserve">visoria degli indici IPCA (e degli indici NIC) avviene alla fine del mese di riferimento nel rispetto del calendario Eurostat di diffusione della stima anticipata dell’inflazione nell’area euro. Il rilascio dei dati definitivi avviene intorno alla metà del mese successivo a quello di riferimento. </w:t>
      </w:r>
    </w:p>
    <w:p w14:paraId="18E50AB7" w14:textId="77777777" w:rsidR="00ED00B1" w:rsidRPr="002875F7" w:rsidRDefault="00ED00B1" w:rsidP="009D2505">
      <w:pPr>
        <w:spacing w:before="0" w:after="60"/>
        <w:jc w:val="both"/>
        <w:rPr>
          <w:rFonts w:ascii="Arial" w:hAnsi="Arial" w:cs="Arial"/>
        </w:rPr>
      </w:pPr>
      <w:r w:rsidRPr="002875F7">
        <w:rPr>
          <w:rFonts w:ascii="Arial" w:hAnsi="Arial" w:cs="Arial"/>
        </w:rPr>
        <w:t>La finalità della diffusione dei dati provvisori, sia dell’indice IPCA sia dall’indice NIC, è quella di fornire informazioni più tempestive sull’andamento dei prezzi al consumo, stimando nel modo più accurato possibile il dato definitivo dell’inflazione rilasciato circa due settimane dopo. In questo contesto, l’analisi delle revisioni delle stime provvisorie dei tassi tendenziali rappresenta un importante strumento per valutare il corretto bilanciamento tra le due dimensioni della qualità dei dati, tempestività e accuratezza.</w:t>
      </w:r>
    </w:p>
    <w:p w14:paraId="25D8D4EA" w14:textId="77777777" w:rsidR="00ED00B1" w:rsidRPr="002875F7" w:rsidRDefault="00ED00B1" w:rsidP="009D2505">
      <w:pPr>
        <w:spacing w:before="0" w:after="60"/>
        <w:jc w:val="both"/>
        <w:rPr>
          <w:rFonts w:ascii="Arial" w:hAnsi="Arial" w:cs="Arial"/>
          <w:szCs w:val="21"/>
        </w:rPr>
      </w:pPr>
      <w:r w:rsidRPr="002875F7">
        <w:rPr>
          <w:rFonts w:ascii="Arial" w:hAnsi="Arial" w:cs="Arial"/>
        </w:rPr>
        <w:t>In linea con la politica di diffusione di Eurostat, che pubblica mensilmente una nota sull’accuratezza della stima anticipata dell’inflazione per l’area euro, questa sezione è dedicata all’</w:t>
      </w:r>
      <w:r w:rsidRPr="002875F7">
        <w:rPr>
          <w:rFonts w:ascii="Arial" w:hAnsi="Arial" w:cs="Arial"/>
          <w:szCs w:val="21"/>
        </w:rPr>
        <w:t>analisi dell’accuratezza e alla metodologia utilizzata per il calcolo della stima preliminare dell’indice IPCA.</w:t>
      </w:r>
    </w:p>
    <w:p w14:paraId="2A7B974C" w14:textId="77777777" w:rsidR="00545284" w:rsidRPr="004139E7" w:rsidRDefault="00545284" w:rsidP="00545284">
      <w:pPr>
        <w:spacing w:before="0" w:after="120"/>
        <w:jc w:val="both"/>
        <w:rPr>
          <w:rFonts w:ascii="Arial" w:hAnsi="Arial" w:cs="Arial"/>
          <w:sz w:val="16"/>
          <w:szCs w:val="16"/>
        </w:rPr>
      </w:pPr>
    </w:p>
    <w:p w14:paraId="6268129A" w14:textId="77777777" w:rsidR="00545284" w:rsidRPr="001D642A" w:rsidRDefault="00545284" w:rsidP="00545284">
      <w:pPr>
        <w:pStyle w:val="Rientrocorpodeltesto"/>
        <w:spacing w:before="0"/>
        <w:ind w:left="0" w:hanging="1"/>
        <w:rPr>
          <w:rFonts w:ascii="Arial" w:hAnsi="Arial" w:cs="Arial"/>
          <w:b/>
          <w:bCs/>
          <w:szCs w:val="22"/>
        </w:rPr>
      </w:pPr>
      <w:r w:rsidRPr="001D642A">
        <w:rPr>
          <w:rFonts w:ascii="Arial" w:hAnsi="Arial" w:cs="Arial"/>
          <w:b/>
          <w:bCs/>
          <w:szCs w:val="22"/>
        </w:rPr>
        <w:t>Accuratezza delle stime preliminari</w:t>
      </w:r>
    </w:p>
    <w:p w14:paraId="4D9E8F89" w14:textId="51FC93E1" w:rsidR="00545284" w:rsidRDefault="00545284" w:rsidP="00545284">
      <w:pPr>
        <w:widowControl/>
        <w:overflowPunct/>
        <w:spacing w:before="0" w:after="120"/>
        <w:jc w:val="both"/>
        <w:rPr>
          <w:rFonts w:ascii="Arial" w:hAnsi="Arial" w:cs="Arial"/>
        </w:rPr>
      </w:pPr>
      <w:r w:rsidRPr="001D642A">
        <w:rPr>
          <w:rFonts w:ascii="Arial" w:hAnsi="Arial" w:cs="Arial"/>
        </w:rPr>
        <w:t>Nel Prospetto 2 sono confrontati i tassi di variazione tendenziale definitivi e provvisori dell’indice generale IPCA e dei principali aggregati speciali per gli ultimi tredici mesi. In questo arco temporale, la differenza maggiore tra la stima definitiva e quella provvisoria del tasso tendenziale dell’</w:t>
      </w:r>
      <w:r>
        <w:rPr>
          <w:rFonts w:ascii="Arial" w:hAnsi="Arial" w:cs="Arial"/>
        </w:rPr>
        <w:t>indice generale è stata pari a -0,2 punti percentuali, osservata a maggio 2025, +0,1 a giugno 2025 e -0,1</w:t>
      </w:r>
      <w:r w:rsidRPr="001D642A">
        <w:rPr>
          <w:rFonts w:ascii="Arial" w:hAnsi="Arial" w:cs="Arial"/>
        </w:rPr>
        <w:t xml:space="preserve"> punti perce</w:t>
      </w:r>
      <w:r>
        <w:rPr>
          <w:rFonts w:ascii="Arial" w:hAnsi="Arial" w:cs="Arial"/>
        </w:rPr>
        <w:t>ntuali osservati a novembre 2024, aprile e agosto 2025</w:t>
      </w:r>
      <w:r w:rsidRPr="001D642A">
        <w:rPr>
          <w:rFonts w:ascii="Arial" w:hAnsi="Arial" w:cs="Arial"/>
        </w:rPr>
        <w:t xml:space="preserve">. Con riferimento ai principali aggregati speciali, le differenze maggiori tra la stima definitiva e quella provvisoria in termini di tassi tendenziali hanno interessato l’aggregato </w:t>
      </w:r>
      <w:r>
        <w:rPr>
          <w:rFonts w:ascii="Arial" w:hAnsi="Arial" w:cs="Arial"/>
        </w:rPr>
        <w:t xml:space="preserve">dell’Energia (-0,6 a marzo 2025; -0,5 ad aprile 2025; +0,5 a luglio 2025; +0,4% a giugno e -0,4% ad agosto 2025), quello </w:t>
      </w:r>
      <w:r w:rsidRPr="001D642A">
        <w:rPr>
          <w:rFonts w:ascii="Arial" w:hAnsi="Arial" w:cs="Arial"/>
        </w:rPr>
        <w:t>degli Alimentari lavorati</w:t>
      </w:r>
      <w:r>
        <w:rPr>
          <w:rFonts w:ascii="Arial" w:hAnsi="Arial" w:cs="Arial"/>
        </w:rPr>
        <w:t xml:space="preserve"> (</w:t>
      </w:r>
      <w:r w:rsidR="00DB7B60">
        <w:rPr>
          <w:rFonts w:ascii="Arial" w:hAnsi="Arial" w:cs="Arial"/>
        </w:rPr>
        <w:t xml:space="preserve">-0,5 a novembre 2025; </w:t>
      </w:r>
      <w:r>
        <w:rPr>
          <w:rFonts w:ascii="Arial" w:hAnsi="Arial" w:cs="Arial"/>
        </w:rPr>
        <w:t>-0,4 a novembre 2024</w:t>
      </w:r>
      <w:r w:rsidR="0050046D">
        <w:rPr>
          <w:rFonts w:ascii="Arial" w:hAnsi="Arial" w:cs="Arial"/>
        </w:rPr>
        <w:t xml:space="preserve"> e</w:t>
      </w:r>
      <w:r>
        <w:rPr>
          <w:rFonts w:ascii="Arial" w:hAnsi="Arial" w:cs="Arial"/>
        </w:rPr>
        <w:t xml:space="preserve"> a maggio 2025; -0,3 a dicembre 2024, febbraio, giugno e luglio 2025), quello degli Alimentari non lavorati (-0,4 a novembre 2024 e a maggio 2025; -0,3 a dicembre 2024). </w:t>
      </w:r>
    </w:p>
    <w:p w14:paraId="56F562B2" w14:textId="77777777" w:rsidR="00545284" w:rsidRPr="009D2505" w:rsidRDefault="00545284" w:rsidP="00545284">
      <w:pPr>
        <w:widowControl/>
        <w:overflowPunct/>
        <w:spacing w:before="0" w:after="120"/>
        <w:jc w:val="both"/>
        <w:rPr>
          <w:rFonts w:ascii="Arial" w:hAnsi="Arial" w:cs="Arial"/>
          <w:sz w:val="16"/>
          <w:szCs w:val="16"/>
        </w:rPr>
      </w:pPr>
    </w:p>
    <w:p w14:paraId="1ED81E08" w14:textId="12B1760C" w:rsidR="00545284" w:rsidRPr="001D642A" w:rsidRDefault="00545284" w:rsidP="00545284">
      <w:pPr>
        <w:pStyle w:val="001TitoGra"/>
        <w:spacing w:after="120" w:line="240" w:lineRule="auto"/>
        <w:jc w:val="both"/>
        <w:rPr>
          <w:vertAlign w:val="superscript"/>
        </w:rPr>
      </w:pPr>
      <w:r w:rsidRPr="001D642A">
        <w:rPr>
          <w:rStyle w:val="001TitoGraRed"/>
        </w:rPr>
        <w:t>PROSPETTO 2.</w:t>
      </w:r>
      <w:r w:rsidRPr="001D642A">
        <w:t xml:space="preserve"> STIME PRELIMINARI E DEFINITIVE DEGLI INDICI DEI PREZZI AL CONSUMO IPCA E DEI PRINCIPALI AGGREGATI SPECIALI</w:t>
      </w:r>
      <w:r w:rsidRPr="001D642A">
        <w:rPr>
          <w:b w:val="0"/>
          <w:sz w:val="20"/>
          <w:szCs w:val="20"/>
        </w:rPr>
        <w:t xml:space="preserve">. </w:t>
      </w:r>
      <w:r w:rsidRPr="00C8504B">
        <w:rPr>
          <w:b w:val="0"/>
        </w:rPr>
        <w:br/>
      </w:r>
      <w:r w:rsidR="00871817">
        <w:rPr>
          <w:b w:val="0"/>
          <w:sz w:val="20"/>
          <w:szCs w:val="20"/>
        </w:rPr>
        <w:t>Novembre</w:t>
      </w:r>
      <w:r>
        <w:rPr>
          <w:b w:val="0"/>
          <w:sz w:val="20"/>
          <w:szCs w:val="20"/>
        </w:rPr>
        <w:t xml:space="preserve"> 2024</w:t>
      </w:r>
      <w:r w:rsidRPr="001D642A">
        <w:rPr>
          <w:b w:val="0"/>
          <w:sz w:val="20"/>
          <w:szCs w:val="20"/>
        </w:rPr>
        <w:t xml:space="preserve"> – </w:t>
      </w:r>
      <w:r w:rsidR="00871817">
        <w:rPr>
          <w:b w:val="0"/>
          <w:sz w:val="20"/>
          <w:szCs w:val="20"/>
        </w:rPr>
        <w:t>novembre</w:t>
      </w:r>
      <w:r>
        <w:rPr>
          <w:b w:val="0"/>
          <w:sz w:val="20"/>
          <w:szCs w:val="20"/>
        </w:rPr>
        <w:t xml:space="preserve"> 2025</w:t>
      </w:r>
      <w:r w:rsidRPr="001D642A">
        <w:rPr>
          <w:b w:val="0"/>
          <w:sz w:val="20"/>
          <w:szCs w:val="20"/>
        </w:rPr>
        <w:t>, valori percentuali tendenziali (base 2015=100)</w:t>
      </w:r>
    </w:p>
    <w:tbl>
      <w:tblPr>
        <w:tblW w:w="10318" w:type="dxa"/>
        <w:jc w:val="center"/>
        <w:tblCellMar>
          <w:left w:w="70" w:type="dxa"/>
          <w:right w:w="70" w:type="dxa"/>
        </w:tblCellMar>
        <w:tblLook w:val="04A0" w:firstRow="1" w:lastRow="0" w:firstColumn="1" w:lastColumn="0" w:noHBand="0" w:noVBand="1"/>
      </w:tblPr>
      <w:tblGrid>
        <w:gridCol w:w="3402"/>
        <w:gridCol w:w="286"/>
        <w:gridCol w:w="510"/>
        <w:gridCol w:w="510"/>
        <w:gridCol w:w="510"/>
        <w:gridCol w:w="510"/>
        <w:gridCol w:w="510"/>
        <w:gridCol w:w="510"/>
        <w:gridCol w:w="510"/>
        <w:gridCol w:w="510"/>
        <w:gridCol w:w="510"/>
        <w:gridCol w:w="510"/>
        <w:gridCol w:w="510"/>
        <w:gridCol w:w="510"/>
        <w:gridCol w:w="510"/>
      </w:tblGrid>
      <w:tr w:rsidR="00967AAE" w:rsidRPr="00313984" w14:paraId="21EF01F6" w14:textId="77777777" w:rsidTr="0097338D">
        <w:trPr>
          <w:trHeight w:val="316"/>
          <w:jc w:val="center"/>
        </w:trPr>
        <w:tc>
          <w:tcPr>
            <w:tcW w:w="3402" w:type="dxa"/>
            <w:tcBorders>
              <w:top w:val="single" w:sz="4" w:space="0" w:color="auto"/>
              <w:left w:val="nil"/>
              <w:bottom w:val="single" w:sz="4" w:space="0" w:color="auto"/>
              <w:right w:val="nil"/>
            </w:tcBorders>
            <w:shd w:val="clear" w:color="000000" w:fill="FFFFFF"/>
            <w:noWrap/>
            <w:vAlign w:val="center"/>
            <w:hideMark/>
          </w:tcPr>
          <w:p w14:paraId="6404EACD" w14:textId="77777777" w:rsidR="00967AAE" w:rsidRPr="00363206" w:rsidRDefault="00967AAE" w:rsidP="00967AAE">
            <w:pPr>
              <w:ind w:right="-13"/>
              <w:rPr>
                <w:rFonts w:ascii="Arial Narrow" w:hAnsi="Arial Narrow"/>
                <w:b/>
                <w:bCs/>
                <w:color w:val="000000"/>
                <w:kern w:val="0"/>
                <w:sz w:val="16"/>
                <w:szCs w:val="18"/>
              </w:rPr>
            </w:pPr>
            <w:r w:rsidRPr="00363206">
              <w:rPr>
                <w:rFonts w:ascii="Arial Narrow" w:hAnsi="Arial Narrow"/>
                <w:b/>
                <w:bCs/>
                <w:color w:val="000000"/>
                <w:kern w:val="0"/>
                <w:sz w:val="16"/>
                <w:szCs w:val="18"/>
              </w:rPr>
              <w:t>Aggregati speciali</w:t>
            </w:r>
          </w:p>
        </w:tc>
        <w:tc>
          <w:tcPr>
            <w:tcW w:w="286" w:type="dxa"/>
            <w:tcBorders>
              <w:top w:val="single" w:sz="4" w:space="0" w:color="auto"/>
              <w:left w:val="nil"/>
              <w:bottom w:val="single" w:sz="4" w:space="0" w:color="auto"/>
              <w:right w:val="nil"/>
            </w:tcBorders>
            <w:shd w:val="clear" w:color="000000" w:fill="FFFFFF"/>
            <w:noWrap/>
            <w:vAlign w:val="center"/>
            <w:hideMark/>
          </w:tcPr>
          <w:p w14:paraId="2BB0A8C5" w14:textId="77777777" w:rsidR="00967AAE" w:rsidRPr="00363206" w:rsidRDefault="00967AAE" w:rsidP="00967AAE">
            <w:pPr>
              <w:ind w:left="-153" w:right="-13"/>
              <w:jc w:val="right"/>
              <w:rPr>
                <w:rFonts w:ascii="Arial Narrow" w:hAnsi="Arial Narrow"/>
                <w:b/>
                <w:bCs/>
                <w:color w:val="000000"/>
                <w:kern w:val="0"/>
                <w:sz w:val="16"/>
                <w:szCs w:val="18"/>
              </w:rPr>
            </w:pPr>
            <w:r w:rsidRPr="00363206">
              <w:rPr>
                <w:rFonts w:ascii="Arial Narrow" w:hAnsi="Arial Narrow"/>
                <w:b/>
                <w:bCs/>
                <w:color w:val="000000"/>
                <w:kern w:val="0"/>
                <w:sz w:val="16"/>
                <w:szCs w:val="18"/>
              </w:rPr>
              <w:t> </w:t>
            </w:r>
          </w:p>
        </w:tc>
        <w:tc>
          <w:tcPr>
            <w:tcW w:w="510" w:type="dxa"/>
            <w:tcBorders>
              <w:top w:val="single" w:sz="4" w:space="0" w:color="auto"/>
              <w:left w:val="nil"/>
              <w:bottom w:val="single" w:sz="4" w:space="0" w:color="auto"/>
              <w:right w:val="nil"/>
            </w:tcBorders>
            <w:shd w:val="clear" w:color="000000" w:fill="FFFFFF"/>
            <w:vAlign w:val="center"/>
          </w:tcPr>
          <w:p w14:paraId="33474F6E" w14:textId="18CC046D" w:rsidR="00967AAE"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nov</w:t>
            </w:r>
            <w:r w:rsidRPr="00CE5FCA">
              <w:rPr>
                <w:rFonts w:ascii="Arial Narrow" w:hAnsi="Arial Narrow"/>
                <w:b/>
                <w:bCs/>
                <w:color w:val="000000"/>
                <w:kern w:val="0"/>
                <w:sz w:val="16"/>
                <w:szCs w:val="18"/>
              </w:rPr>
              <w:t>-24</w:t>
            </w:r>
          </w:p>
        </w:tc>
        <w:tc>
          <w:tcPr>
            <w:tcW w:w="510" w:type="dxa"/>
            <w:tcBorders>
              <w:top w:val="single" w:sz="4" w:space="0" w:color="auto"/>
              <w:left w:val="nil"/>
              <w:bottom w:val="single" w:sz="4" w:space="0" w:color="auto"/>
              <w:right w:val="nil"/>
            </w:tcBorders>
            <w:shd w:val="clear" w:color="000000" w:fill="FFFFFF"/>
          </w:tcPr>
          <w:p w14:paraId="51BEFBD6" w14:textId="5BA41F11" w:rsidR="00967AAE" w:rsidRDefault="00967AAE" w:rsidP="00967AAE">
            <w:pPr>
              <w:ind w:left="-153" w:right="-13"/>
              <w:jc w:val="right"/>
              <w:rPr>
                <w:rFonts w:ascii="Arial Narrow" w:hAnsi="Arial Narrow"/>
                <w:b/>
                <w:bCs/>
                <w:color w:val="000000"/>
                <w:kern w:val="0"/>
                <w:sz w:val="16"/>
                <w:szCs w:val="18"/>
              </w:rPr>
            </w:pPr>
            <w:r w:rsidRPr="005A5085">
              <w:rPr>
                <w:rFonts w:ascii="Arial Narrow" w:hAnsi="Arial Narrow"/>
                <w:b/>
                <w:bCs/>
                <w:color w:val="000000"/>
                <w:kern w:val="0"/>
                <w:sz w:val="16"/>
                <w:szCs w:val="18"/>
              </w:rPr>
              <w:t>dic-24</w:t>
            </w:r>
          </w:p>
        </w:tc>
        <w:tc>
          <w:tcPr>
            <w:tcW w:w="510" w:type="dxa"/>
            <w:tcBorders>
              <w:top w:val="single" w:sz="4" w:space="0" w:color="auto"/>
              <w:left w:val="nil"/>
              <w:bottom w:val="single" w:sz="4" w:space="0" w:color="auto"/>
              <w:right w:val="nil"/>
            </w:tcBorders>
            <w:shd w:val="clear" w:color="000000" w:fill="FFFFFF"/>
          </w:tcPr>
          <w:p w14:paraId="26D02885" w14:textId="7AB0B74B" w:rsidR="00967AAE"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gen-25</w:t>
            </w:r>
          </w:p>
        </w:tc>
        <w:tc>
          <w:tcPr>
            <w:tcW w:w="510" w:type="dxa"/>
            <w:tcBorders>
              <w:top w:val="single" w:sz="4" w:space="0" w:color="auto"/>
              <w:left w:val="nil"/>
              <w:bottom w:val="single" w:sz="4" w:space="0" w:color="auto"/>
              <w:right w:val="nil"/>
            </w:tcBorders>
            <w:shd w:val="clear" w:color="000000" w:fill="FFFFFF"/>
          </w:tcPr>
          <w:p w14:paraId="1AAF3FC0" w14:textId="5D2BCFAF" w:rsidR="00967AAE"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feb-25</w:t>
            </w:r>
          </w:p>
        </w:tc>
        <w:tc>
          <w:tcPr>
            <w:tcW w:w="510" w:type="dxa"/>
            <w:tcBorders>
              <w:top w:val="single" w:sz="4" w:space="0" w:color="auto"/>
              <w:left w:val="nil"/>
              <w:bottom w:val="single" w:sz="4" w:space="0" w:color="auto"/>
              <w:right w:val="nil"/>
            </w:tcBorders>
            <w:shd w:val="clear" w:color="000000" w:fill="FFFFFF"/>
          </w:tcPr>
          <w:p w14:paraId="502D5C86" w14:textId="366FF5A3" w:rsidR="00967AAE"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mar-25</w:t>
            </w:r>
          </w:p>
        </w:tc>
        <w:tc>
          <w:tcPr>
            <w:tcW w:w="510" w:type="dxa"/>
            <w:tcBorders>
              <w:top w:val="single" w:sz="4" w:space="0" w:color="auto"/>
              <w:left w:val="nil"/>
              <w:bottom w:val="single" w:sz="4" w:space="0" w:color="auto"/>
              <w:right w:val="nil"/>
            </w:tcBorders>
            <w:shd w:val="clear" w:color="000000" w:fill="FFFFFF"/>
          </w:tcPr>
          <w:p w14:paraId="77436E39" w14:textId="2E73AF36" w:rsidR="00967AAE"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apr-25</w:t>
            </w:r>
          </w:p>
        </w:tc>
        <w:tc>
          <w:tcPr>
            <w:tcW w:w="510" w:type="dxa"/>
            <w:tcBorders>
              <w:top w:val="single" w:sz="4" w:space="0" w:color="auto"/>
              <w:left w:val="nil"/>
              <w:bottom w:val="single" w:sz="4" w:space="0" w:color="auto"/>
              <w:right w:val="nil"/>
            </w:tcBorders>
            <w:shd w:val="clear" w:color="000000" w:fill="FFFFFF"/>
          </w:tcPr>
          <w:p w14:paraId="70E86FF9" w14:textId="7D59B5A6" w:rsidR="00967AAE"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mag-25</w:t>
            </w:r>
          </w:p>
        </w:tc>
        <w:tc>
          <w:tcPr>
            <w:tcW w:w="510" w:type="dxa"/>
            <w:tcBorders>
              <w:top w:val="single" w:sz="4" w:space="0" w:color="auto"/>
              <w:left w:val="nil"/>
              <w:bottom w:val="single" w:sz="4" w:space="0" w:color="auto"/>
              <w:right w:val="nil"/>
            </w:tcBorders>
            <w:shd w:val="clear" w:color="000000" w:fill="FFFFFF"/>
          </w:tcPr>
          <w:p w14:paraId="201C999F" w14:textId="467DDDA1" w:rsidR="00967AAE"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giu-25</w:t>
            </w:r>
          </w:p>
        </w:tc>
        <w:tc>
          <w:tcPr>
            <w:tcW w:w="510" w:type="dxa"/>
            <w:tcBorders>
              <w:top w:val="single" w:sz="4" w:space="0" w:color="auto"/>
              <w:left w:val="nil"/>
              <w:bottom w:val="single" w:sz="4" w:space="0" w:color="auto"/>
              <w:right w:val="nil"/>
            </w:tcBorders>
            <w:shd w:val="clear" w:color="000000" w:fill="FFFFFF"/>
          </w:tcPr>
          <w:p w14:paraId="043E2D7A" w14:textId="1F7F9E15" w:rsidR="00967AAE" w:rsidRPr="00CE5FCA"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lug-25</w:t>
            </w:r>
          </w:p>
        </w:tc>
        <w:tc>
          <w:tcPr>
            <w:tcW w:w="510" w:type="dxa"/>
            <w:tcBorders>
              <w:top w:val="single" w:sz="4" w:space="0" w:color="auto"/>
              <w:left w:val="nil"/>
              <w:bottom w:val="single" w:sz="4" w:space="0" w:color="auto"/>
              <w:right w:val="nil"/>
            </w:tcBorders>
            <w:shd w:val="clear" w:color="000000" w:fill="FFFFFF"/>
          </w:tcPr>
          <w:p w14:paraId="60634416" w14:textId="21B06027" w:rsidR="00967AAE" w:rsidRPr="00CE5FCA"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ago-25</w:t>
            </w:r>
          </w:p>
        </w:tc>
        <w:tc>
          <w:tcPr>
            <w:tcW w:w="510" w:type="dxa"/>
            <w:tcBorders>
              <w:top w:val="single" w:sz="4" w:space="0" w:color="auto"/>
              <w:left w:val="nil"/>
              <w:bottom w:val="single" w:sz="4" w:space="0" w:color="auto"/>
              <w:right w:val="nil"/>
            </w:tcBorders>
            <w:shd w:val="clear" w:color="000000" w:fill="FFFFFF"/>
          </w:tcPr>
          <w:p w14:paraId="5B37E49F" w14:textId="7CA2E1D1" w:rsidR="00967AAE" w:rsidRPr="005A5085"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set-25</w:t>
            </w:r>
          </w:p>
        </w:tc>
        <w:tc>
          <w:tcPr>
            <w:tcW w:w="510" w:type="dxa"/>
            <w:tcBorders>
              <w:top w:val="single" w:sz="4" w:space="0" w:color="auto"/>
              <w:left w:val="nil"/>
              <w:bottom w:val="single" w:sz="4" w:space="0" w:color="auto"/>
              <w:right w:val="nil"/>
            </w:tcBorders>
            <w:shd w:val="clear" w:color="000000" w:fill="FFFFFF"/>
          </w:tcPr>
          <w:p w14:paraId="0A4A7F6E" w14:textId="07858BB1" w:rsidR="00967AAE" w:rsidRPr="005A5085"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ott-25</w:t>
            </w:r>
          </w:p>
        </w:tc>
        <w:tc>
          <w:tcPr>
            <w:tcW w:w="510" w:type="dxa"/>
            <w:tcBorders>
              <w:top w:val="single" w:sz="4" w:space="0" w:color="auto"/>
              <w:left w:val="nil"/>
              <w:bottom w:val="single" w:sz="4" w:space="0" w:color="auto"/>
              <w:right w:val="nil"/>
            </w:tcBorders>
            <w:shd w:val="clear" w:color="000000" w:fill="FFFFFF"/>
          </w:tcPr>
          <w:p w14:paraId="6707665E" w14:textId="61CFC10A" w:rsidR="00967AAE" w:rsidRPr="005A5085" w:rsidRDefault="00967AAE" w:rsidP="00967AAE">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nov-25</w:t>
            </w:r>
          </w:p>
        </w:tc>
      </w:tr>
      <w:tr w:rsidR="00DB7B60" w:rsidRPr="001D642A" w14:paraId="66045A46" w14:textId="77777777" w:rsidTr="00DB7B60">
        <w:trPr>
          <w:trHeight w:val="255"/>
          <w:jc w:val="center"/>
        </w:trPr>
        <w:tc>
          <w:tcPr>
            <w:tcW w:w="3402" w:type="dxa"/>
            <w:vMerge w:val="restart"/>
            <w:tcBorders>
              <w:top w:val="nil"/>
              <w:left w:val="nil"/>
              <w:bottom w:val="single" w:sz="4" w:space="0" w:color="000000"/>
              <w:right w:val="nil"/>
            </w:tcBorders>
            <w:shd w:val="clear" w:color="000000" w:fill="FFFFFF"/>
            <w:vAlign w:val="center"/>
            <w:hideMark/>
          </w:tcPr>
          <w:p w14:paraId="692AFDBA"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Beni alimentari (incluse bevande alcoliche) e tabacchi, di cui:</w:t>
            </w:r>
          </w:p>
        </w:tc>
        <w:tc>
          <w:tcPr>
            <w:tcW w:w="286" w:type="dxa"/>
            <w:tcBorders>
              <w:top w:val="nil"/>
              <w:left w:val="nil"/>
              <w:bottom w:val="single" w:sz="4" w:space="0" w:color="auto"/>
              <w:right w:val="nil"/>
            </w:tcBorders>
            <w:shd w:val="clear" w:color="000000" w:fill="FFFFFF"/>
            <w:noWrap/>
            <w:vAlign w:val="center"/>
            <w:hideMark/>
          </w:tcPr>
          <w:p w14:paraId="3154ADBA"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auto" w:fill="D9D9D9" w:themeFill="background1" w:themeFillShade="D9"/>
            <w:vAlign w:val="center"/>
          </w:tcPr>
          <w:p w14:paraId="1899744A" w14:textId="7CE3F849"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3,2</w:t>
            </w:r>
          </w:p>
        </w:tc>
        <w:tc>
          <w:tcPr>
            <w:tcW w:w="510" w:type="dxa"/>
            <w:tcBorders>
              <w:top w:val="nil"/>
              <w:left w:val="nil"/>
              <w:bottom w:val="single" w:sz="4" w:space="0" w:color="auto"/>
              <w:right w:val="nil"/>
            </w:tcBorders>
            <w:shd w:val="clear" w:color="000000" w:fill="FFFFFF"/>
            <w:vAlign w:val="center"/>
          </w:tcPr>
          <w:p w14:paraId="520F0BCE" w14:textId="62C4B33B"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2,4</w:t>
            </w:r>
          </w:p>
        </w:tc>
        <w:tc>
          <w:tcPr>
            <w:tcW w:w="510" w:type="dxa"/>
            <w:tcBorders>
              <w:top w:val="nil"/>
              <w:left w:val="nil"/>
              <w:bottom w:val="single" w:sz="4" w:space="0" w:color="auto"/>
              <w:right w:val="nil"/>
            </w:tcBorders>
            <w:shd w:val="clear" w:color="auto" w:fill="D9D9D9" w:themeFill="background1" w:themeFillShade="D9"/>
            <w:vAlign w:val="center"/>
          </w:tcPr>
          <w:p w14:paraId="2644BE45" w14:textId="7C68C081"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2,4</w:t>
            </w:r>
          </w:p>
        </w:tc>
        <w:tc>
          <w:tcPr>
            <w:tcW w:w="510" w:type="dxa"/>
            <w:tcBorders>
              <w:top w:val="nil"/>
              <w:left w:val="nil"/>
              <w:bottom w:val="single" w:sz="4" w:space="0" w:color="auto"/>
              <w:right w:val="nil"/>
            </w:tcBorders>
            <w:shd w:val="clear" w:color="000000" w:fill="FFFFFF"/>
            <w:vAlign w:val="center"/>
          </w:tcPr>
          <w:p w14:paraId="36442E24" w14:textId="03997F50"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2,6</w:t>
            </w:r>
          </w:p>
        </w:tc>
        <w:tc>
          <w:tcPr>
            <w:tcW w:w="510" w:type="dxa"/>
            <w:tcBorders>
              <w:top w:val="nil"/>
              <w:left w:val="nil"/>
              <w:bottom w:val="single" w:sz="4" w:space="0" w:color="auto"/>
              <w:right w:val="nil"/>
            </w:tcBorders>
            <w:shd w:val="clear" w:color="auto" w:fill="D9D9D9" w:themeFill="background1" w:themeFillShade="D9"/>
            <w:vAlign w:val="center"/>
          </w:tcPr>
          <w:p w14:paraId="70AAE315" w14:textId="04394A0B"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2,7</w:t>
            </w:r>
          </w:p>
        </w:tc>
        <w:tc>
          <w:tcPr>
            <w:tcW w:w="510" w:type="dxa"/>
            <w:tcBorders>
              <w:top w:val="nil"/>
              <w:left w:val="nil"/>
              <w:bottom w:val="single" w:sz="4" w:space="0" w:color="auto"/>
              <w:right w:val="nil"/>
            </w:tcBorders>
            <w:shd w:val="clear" w:color="000000" w:fill="FFFFFF"/>
            <w:vAlign w:val="center"/>
          </w:tcPr>
          <w:p w14:paraId="66D68BD2" w14:textId="61485839"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3,1</w:t>
            </w:r>
          </w:p>
        </w:tc>
        <w:tc>
          <w:tcPr>
            <w:tcW w:w="510" w:type="dxa"/>
            <w:tcBorders>
              <w:top w:val="nil"/>
              <w:left w:val="nil"/>
              <w:bottom w:val="single" w:sz="4" w:space="0" w:color="auto"/>
              <w:right w:val="nil"/>
            </w:tcBorders>
            <w:shd w:val="clear" w:color="auto" w:fill="D9D9D9" w:themeFill="background1" w:themeFillShade="D9"/>
            <w:vAlign w:val="center"/>
          </w:tcPr>
          <w:p w14:paraId="4FBEE668" w14:textId="16D99B1B"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3,5</w:t>
            </w:r>
          </w:p>
        </w:tc>
        <w:tc>
          <w:tcPr>
            <w:tcW w:w="510" w:type="dxa"/>
            <w:tcBorders>
              <w:top w:val="nil"/>
              <w:left w:val="nil"/>
              <w:bottom w:val="single" w:sz="4" w:space="0" w:color="auto"/>
              <w:right w:val="nil"/>
            </w:tcBorders>
            <w:shd w:val="clear" w:color="000000" w:fill="FFFFFF"/>
            <w:vAlign w:val="center"/>
          </w:tcPr>
          <w:p w14:paraId="699A0BEE" w14:textId="299A3AA6"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3,5</w:t>
            </w:r>
          </w:p>
        </w:tc>
        <w:tc>
          <w:tcPr>
            <w:tcW w:w="510" w:type="dxa"/>
            <w:tcBorders>
              <w:top w:val="nil"/>
              <w:left w:val="nil"/>
              <w:bottom w:val="single" w:sz="4" w:space="0" w:color="auto"/>
              <w:right w:val="nil"/>
            </w:tcBorders>
            <w:shd w:val="clear" w:color="auto" w:fill="D9D9D9" w:themeFill="background1" w:themeFillShade="D9"/>
            <w:vAlign w:val="center"/>
          </w:tcPr>
          <w:p w14:paraId="55C895BB" w14:textId="5E77972C"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4,0</w:t>
            </w:r>
          </w:p>
        </w:tc>
        <w:tc>
          <w:tcPr>
            <w:tcW w:w="510" w:type="dxa"/>
            <w:tcBorders>
              <w:top w:val="nil"/>
              <w:left w:val="nil"/>
              <w:bottom w:val="single" w:sz="4" w:space="0" w:color="auto"/>
              <w:right w:val="nil"/>
            </w:tcBorders>
            <w:shd w:val="clear" w:color="000000" w:fill="FFFFFF"/>
            <w:vAlign w:val="center"/>
          </w:tcPr>
          <w:p w14:paraId="0B2512D5" w14:textId="758DD35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3,9</w:t>
            </w:r>
          </w:p>
        </w:tc>
        <w:tc>
          <w:tcPr>
            <w:tcW w:w="510" w:type="dxa"/>
            <w:tcBorders>
              <w:top w:val="nil"/>
              <w:left w:val="nil"/>
              <w:bottom w:val="single" w:sz="4" w:space="0" w:color="auto"/>
              <w:right w:val="nil"/>
            </w:tcBorders>
            <w:shd w:val="clear" w:color="auto" w:fill="D9D9D9" w:themeFill="background1" w:themeFillShade="D9"/>
            <w:vAlign w:val="center"/>
          </w:tcPr>
          <w:p w14:paraId="28503E70" w14:textId="5D500B01"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3,7</w:t>
            </w:r>
          </w:p>
        </w:tc>
        <w:tc>
          <w:tcPr>
            <w:tcW w:w="510" w:type="dxa"/>
            <w:tcBorders>
              <w:top w:val="nil"/>
              <w:left w:val="nil"/>
              <w:bottom w:val="single" w:sz="4" w:space="0" w:color="auto"/>
              <w:right w:val="nil"/>
            </w:tcBorders>
            <w:shd w:val="clear" w:color="000000" w:fill="FFFFFF"/>
            <w:vAlign w:val="center"/>
          </w:tcPr>
          <w:p w14:paraId="297805FC" w14:textId="6F604D11"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2,6</w:t>
            </w:r>
          </w:p>
        </w:tc>
        <w:tc>
          <w:tcPr>
            <w:tcW w:w="510" w:type="dxa"/>
            <w:tcBorders>
              <w:top w:val="nil"/>
              <w:left w:val="nil"/>
              <w:bottom w:val="single" w:sz="4" w:space="0" w:color="auto"/>
              <w:right w:val="nil"/>
            </w:tcBorders>
            <w:shd w:val="clear" w:color="auto" w:fill="D9D9D9" w:themeFill="background1" w:themeFillShade="D9"/>
            <w:vAlign w:val="center"/>
          </w:tcPr>
          <w:p w14:paraId="7C8A7055" w14:textId="7291EBAE"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2,3</w:t>
            </w:r>
          </w:p>
        </w:tc>
      </w:tr>
      <w:tr w:rsidR="00DB7B60" w:rsidRPr="001D642A" w14:paraId="3A933B94" w14:textId="77777777" w:rsidTr="00DB7B60">
        <w:trPr>
          <w:trHeight w:val="255"/>
          <w:jc w:val="center"/>
        </w:trPr>
        <w:tc>
          <w:tcPr>
            <w:tcW w:w="3402" w:type="dxa"/>
            <w:vMerge/>
            <w:tcBorders>
              <w:top w:val="nil"/>
              <w:left w:val="nil"/>
              <w:bottom w:val="single" w:sz="4" w:space="0" w:color="000000"/>
              <w:right w:val="nil"/>
            </w:tcBorders>
            <w:vAlign w:val="center"/>
            <w:hideMark/>
          </w:tcPr>
          <w:p w14:paraId="500810C3"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14:paraId="6077E0CE"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auto" w:fill="D9D9D9" w:themeFill="background1" w:themeFillShade="D9"/>
            <w:vAlign w:val="center"/>
          </w:tcPr>
          <w:p w14:paraId="71F8221D" w14:textId="3AD9A49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2,8</w:t>
            </w:r>
          </w:p>
        </w:tc>
        <w:tc>
          <w:tcPr>
            <w:tcW w:w="510" w:type="dxa"/>
            <w:tcBorders>
              <w:top w:val="nil"/>
              <w:left w:val="nil"/>
              <w:bottom w:val="single" w:sz="4" w:space="0" w:color="auto"/>
              <w:right w:val="nil"/>
            </w:tcBorders>
            <w:shd w:val="clear" w:color="000000" w:fill="FFFFFF"/>
            <w:vAlign w:val="center"/>
          </w:tcPr>
          <w:p w14:paraId="5741A639" w14:textId="19C3C7C5"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auto" w:fill="D9D9D9" w:themeFill="background1" w:themeFillShade="D9"/>
            <w:vAlign w:val="center"/>
          </w:tcPr>
          <w:p w14:paraId="0C92C3EF" w14:textId="7C71C0AC"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2,3</w:t>
            </w:r>
          </w:p>
        </w:tc>
        <w:tc>
          <w:tcPr>
            <w:tcW w:w="510" w:type="dxa"/>
            <w:tcBorders>
              <w:top w:val="nil"/>
              <w:left w:val="nil"/>
              <w:bottom w:val="single" w:sz="4" w:space="0" w:color="auto"/>
              <w:right w:val="nil"/>
            </w:tcBorders>
            <w:shd w:val="clear" w:color="000000" w:fill="FFFFFF"/>
            <w:vAlign w:val="center"/>
          </w:tcPr>
          <w:p w14:paraId="75735886" w14:textId="28DF093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2,4</w:t>
            </w:r>
          </w:p>
        </w:tc>
        <w:tc>
          <w:tcPr>
            <w:tcW w:w="510" w:type="dxa"/>
            <w:tcBorders>
              <w:top w:val="nil"/>
              <w:left w:val="nil"/>
              <w:bottom w:val="single" w:sz="4" w:space="0" w:color="auto"/>
              <w:right w:val="nil"/>
            </w:tcBorders>
            <w:shd w:val="clear" w:color="auto" w:fill="D9D9D9" w:themeFill="background1" w:themeFillShade="D9"/>
            <w:vAlign w:val="center"/>
          </w:tcPr>
          <w:p w14:paraId="65180F6D" w14:textId="7520520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2,7</w:t>
            </w:r>
          </w:p>
        </w:tc>
        <w:tc>
          <w:tcPr>
            <w:tcW w:w="510" w:type="dxa"/>
            <w:tcBorders>
              <w:top w:val="nil"/>
              <w:left w:val="nil"/>
              <w:bottom w:val="single" w:sz="4" w:space="0" w:color="auto"/>
              <w:right w:val="nil"/>
            </w:tcBorders>
            <w:shd w:val="clear" w:color="000000" w:fill="FFFFFF"/>
            <w:vAlign w:val="center"/>
          </w:tcPr>
          <w:p w14:paraId="6714C773" w14:textId="70FF8082"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3,0</w:t>
            </w:r>
          </w:p>
        </w:tc>
        <w:tc>
          <w:tcPr>
            <w:tcW w:w="510" w:type="dxa"/>
            <w:tcBorders>
              <w:top w:val="nil"/>
              <w:left w:val="nil"/>
              <w:bottom w:val="single" w:sz="4" w:space="0" w:color="auto"/>
              <w:right w:val="nil"/>
            </w:tcBorders>
            <w:shd w:val="clear" w:color="auto" w:fill="D9D9D9" w:themeFill="background1" w:themeFillShade="D9"/>
            <w:vAlign w:val="center"/>
          </w:tcPr>
          <w:p w14:paraId="23347479" w14:textId="1FAC9AB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3,1</w:t>
            </w:r>
          </w:p>
        </w:tc>
        <w:tc>
          <w:tcPr>
            <w:tcW w:w="510" w:type="dxa"/>
            <w:tcBorders>
              <w:top w:val="nil"/>
              <w:left w:val="nil"/>
              <w:bottom w:val="single" w:sz="4" w:space="0" w:color="auto"/>
              <w:right w:val="nil"/>
            </w:tcBorders>
            <w:shd w:val="clear" w:color="000000" w:fill="FFFFFF"/>
            <w:vAlign w:val="center"/>
          </w:tcPr>
          <w:p w14:paraId="2E651CCD" w14:textId="201CCF9A"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3,3</w:t>
            </w:r>
          </w:p>
        </w:tc>
        <w:tc>
          <w:tcPr>
            <w:tcW w:w="510" w:type="dxa"/>
            <w:tcBorders>
              <w:top w:val="nil"/>
              <w:left w:val="nil"/>
              <w:bottom w:val="single" w:sz="4" w:space="0" w:color="auto"/>
              <w:right w:val="nil"/>
            </w:tcBorders>
            <w:shd w:val="clear" w:color="auto" w:fill="D9D9D9" w:themeFill="background1" w:themeFillShade="D9"/>
            <w:vAlign w:val="center"/>
          </w:tcPr>
          <w:p w14:paraId="780EABF3" w14:textId="32BEB6EB"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3,8</w:t>
            </w:r>
          </w:p>
        </w:tc>
        <w:tc>
          <w:tcPr>
            <w:tcW w:w="510" w:type="dxa"/>
            <w:tcBorders>
              <w:top w:val="nil"/>
              <w:left w:val="nil"/>
              <w:bottom w:val="single" w:sz="4" w:space="0" w:color="auto"/>
              <w:right w:val="nil"/>
            </w:tcBorders>
            <w:shd w:val="clear" w:color="000000" w:fill="FFFFFF"/>
            <w:vAlign w:val="center"/>
          </w:tcPr>
          <w:p w14:paraId="65E7946B" w14:textId="0840C96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3,8</w:t>
            </w:r>
          </w:p>
        </w:tc>
        <w:tc>
          <w:tcPr>
            <w:tcW w:w="510" w:type="dxa"/>
            <w:tcBorders>
              <w:top w:val="nil"/>
              <w:left w:val="nil"/>
              <w:bottom w:val="single" w:sz="4" w:space="0" w:color="auto"/>
              <w:right w:val="nil"/>
            </w:tcBorders>
            <w:shd w:val="clear" w:color="auto" w:fill="D9D9D9" w:themeFill="background1" w:themeFillShade="D9"/>
            <w:vAlign w:val="center"/>
          </w:tcPr>
          <w:p w14:paraId="0035B28E" w14:textId="0CF500E5"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3,6</w:t>
            </w:r>
          </w:p>
        </w:tc>
        <w:tc>
          <w:tcPr>
            <w:tcW w:w="510" w:type="dxa"/>
            <w:tcBorders>
              <w:top w:val="nil"/>
              <w:left w:val="nil"/>
              <w:bottom w:val="single" w:sz="4" w:space="0" w:color="auto"/>
              <w:right w:val="nil"/>
            </w:tcBorders>
            <w:shd w:val="clear" w:color="000000" w:fill="FFFFFF"/>
            <w:vAlign w:val="center"/>
          </w:tcPr>
          <w:p w14:paraId="270F915B" w14:textId="014A1BA7"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2,5</w:t>
            </w:r>
          </w:p>
        </w:tc>
        <w:tc>
          <w:tcPr>
            <w:tcW w:w="510" w:type="dxa"/>
            <w:tcBorders>
              <w:top w:val="nil"/>
              <w:left w:val="nil"/>
              <w:bottom w:val="single" w:sz="4" w:space="0" w:color="auto"/>
              <w:right w:val="nil"/>
            </w:tcBorders>
            <w:shd w:val="clear" w:color="auto" w:fill="D9D9D9" w:themeFill="background1" w:themeFillShade="D9"/>
            <w:vAlign w:val="center"/>
          </w:tcPr>
          <w:p w14:paraId="1B482A80" w14:textId="470C16E1"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1,9</w:t>
            </w:r>
          </w:p>
        </w:tc>
      </w:tr>
      <w:tr w:rsidR="00DB7B60" w:rsidRPr="001D642A" w14:paraId="1C41D5E3" w14:textId="77777777" w:rsidTr="00DB7B60">
        <w:trPr>
          <w:trHeight w:val="255"/>
          <w:jc w:val="center"/>
        </w:trPr>
        <w:tc>
          <w:tcPr>
            <w:tcW w:w="3402" w:type="dxa"/>
            <w:vMerge w:val="restart"/>
            <w:tcBorders>
              <w:top w:val="nil"/>
              <w:left w:val="nil"/>
              <w:bottom w:val="nil"/>
              <w:right w:val="nil"/>
            </w:tcBorders>
            <w:shd w:val="clear" w:color="000000" w:fill="FFFFFF"/>
            <w:vAlign w:val="center"/>
            <w:hideMark/>
          </w:tcPr>
          <w:p w14:paraId="3D6176C1"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 xml:space="preserve">    Alimentari lavorati</w:t>
            </w:r>
          </w:p>
        </w:tc>
        <w:tc>
          <w:tcPr>
            <w:tcW w:w="286" w:type="dxa"/>
            <w:tcBorders>
              <w:top w:val="nil"/>
              <w:left w:val="nil"/>
              <w:bottom w:val="single" w:sz="4" w:space="0" w:color="auto"/>
              <w:right w:val="nil"/>
            </w:tcBorders>
            <w:shd w:val="clear" w:color="000000" w:fill="FFFFFF"/>
            <w:noWrap/>
            <w:vAlign w:val="center"/>
            <w:hideMark/>
          </w:tcPr>
          <w:p w14:paraId="5F15A9B8"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auto" w:fill="D9D9D9" w:themeFill="background1" w:themeFillShade="D9"/>
            <w:vAlign w:val="center"/>
          </w:tcPr>
          <w:p w14:paraId="5D1CEF5A" w14:textId="7052F8AC"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2,6</w:t>
            </w:r>
          </w:p>
        </w:tc>
        <w:tc>
          <w:tcPr>
            <w:tcW w:w="510" w:type="dxa"/>
            <w:tcBorders>
              <w:top w:val="nil"/>
              <w:left w:val="nil"/>
              <w:bottom w:val="single" w:sz="4" w:space="0" w:color="auto"/>
              <w:right w:val="nil"/>
            </w:tcBorders>
            <w:shd w:val="clear" w:color="000000" w:fill="FFFFFF"/>
            <w:vAlign w:val="center"/>
          </w:tcPr>
          <w:p w14:paraId="3A174509" w14:textId="30AEEC50"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2,3</w:t>
            </w:r>
          </w:p>
        </w:tc>
        <w:tc>
          <w:tcPr>
            <w:tcW w:w="510" w:type="dxa"/>
            <w:tcBorders>
              <w:top w:val="nil"/>
              <w:left w:val="nil"/>
              <w:bottom w:val="single" w:sz="4" w:space="0" w:color="auto"/>
              <w:right w:val="nil"/>
            </w:tcBorders>
            <w:shd w:val="clear" w:color="auto" w:fill="D9D9D9" w:themeFill="background1" w:themeFillShade="D9"/>
            <w:vAlign w:val="center"/>
          </w:tcPr>
          <w:p w14:paraId="29C02EFB" w14:textId="11DD7880"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2,3</w:t>
            </w:r>
          </w:p>
        </w:tc>
        <w:tc>
          <w:tcPr>
            <w:tcW w:w="510" w:type="dxa"/>
            <w:tcBorders>
              <w:top w:val="nil"/>
              <w:left w:val="nil"/>
              <w:bottom w:val="single" w:sz="4" w:space="0" w:color="auto"/>
              <w:right w:val="nil"/>
            </w:tcBorders>
            <w:shd w:val="clear" w:color="000000" w:fill="FFFFFF"/>
            <w:vAlign w:val="center"/>
          </w:tcPr>
          <w:p w14:paraId="4CD71C50" w14:textId="4576B1A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2,5</w:t>
            </w:r>
          </w:p>
        </w:tc>
        <w:tc>
          <w:tcPr>
            <w:tcW w:w="510" w:type="dxa"/>
            <w:tcBorders>
              <w:top w:val="nil"/>
              <w:left w:val="nil"/>
              <w:bottom w:val="single" w:sz="4" w:space="0" w:color="auto"/>
              <w:right w:val="nil"/>
            </w:tcBorders>
            <w:shd w:val="clear" w:color="auto" w:fill="D9D9D9" w:themeFill="background1" w:themeFillShade="D9"/>
            <w:vAlign w:val="center"/>
          </w:tcPr>
          <w:p w14:paraId="73660DB0" w14:textId="4E8E021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2,3</w:t>
            </w:r>
          </w:p>
        </w:tc>
        <w:tc>
          <w:tcPr>
            <w:tcW w:w="510" w:type="dxa"/>
            <w:tcBorders>
              <w:top w:val="nil"/>
              <w:left w:val="nil"/>
              <w:bottom w:val="single" w:sz="4" w:space="0" w:color="auto"/>
              <w:right w:val="nil"/>
            </w:tcBorders>
            <w:shd w:val="clear" w:color="000000" w:fill="FFFFFF"/>
            <w:vAlign w:val="center"/>
          </w:tcPr>
          <w:p w14:paraId="2D2816F8" w14:textId="609762E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2,4</w:t>
            </w:r>
          </w:p>
        </w:tc>
        <w:tc>
          <w:tcPr>
            <w:tcW w:w="510" w:type="dxa"/>
            <w:tcBorders>
              <w:top w:val="nil"/>
              <w:left w:val="nil"/>
              <w:bottom w:val="single" w:sz="4" w:space="0" w:color="auto"/>
              <w:right w:val="nil"/>
            </w:tcBorders>
            <w:shd w:val="clear" w:color="auto" w:fill="D9D9D9" w:themeFill="background1" w:themeFillShade="D9"/>
            <w:vAlign w:val="center"/>
          </w:tcPr>
          <w:p w14:paraId="7605EFA6" w14:textId="70FA94C0"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3,2</w:t>
            </w:r>
          </w:p>
        </w:tc>
        <w:tc>
          <w:tcPr>
            <w:tcW w:w="510" w:type="dxa"/>
            <w:tcBorders>
              <w:top w:val="nil"/>
              <w:left w:val="nil"/>
              <w:bottom w:val="single" w:sz="4" w:space="0" w:color="auto"/>
              <w:right w:val="nil"/>
            </w:tcBorders>
            <w:shd w:val="clear" w:color="000000" w:fill="FFFFFF"/>
            <w:vAlign w:val="center"/>
          </w:tcPr>
          <w:p w14:paraId="5CC79F0D" w14:textId="49F7C5E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3,1</w:t>
            </w:r>
          </w:p>
        </w:tc>
        <w:tc>
          <w:tcPr>
            <w:tcW w:w="510" w:type="dxa"/>
            <w:tcBorders>
              <w:top w:val="nil"/>
              <w:left w:val="nil"/>
              <w:bottom w:val="single" w:sz="4" w:space="0" w:color="auto"/>
              <w:right w:val="nil"/>
            </w:tcBorders>
            <w:shd w:val="clear" w:color="auto" w:fill="D9D9D9" w:themeFill="background1" w:themeFillShade="D9"/>
            <w:vAlign w:val="center"/>
          </w:tcPr>
          <w:p w14:paraId="712D975A" w14:textId="0ACC076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3,1</w:t>
            </w:r>
          </w:p>
        </w:tc>
        <w:tc>
          <w:tcPr>
            <w:tcW w:w="510" w:type="dxa"/>
            <w:tcBorders>
              <w:top w:val="nil"/>
              <w:left w:val="nil"/>
              <w:bottom w:val="single" w:sz="4" w:space="0" w:color="auto"/>
              <w:right w:val="nil"/>
            </w:tcBorders>
            <w:shd w:val="clear" w:color="000000" w:fill="FFFFFF"/>
            <w:vAlign w:val="center"/>
          </w:tcPr>
          <w:p w14:paraId="7D144B88" w14:textId="7D53055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3,0</w:t>
            </w:r>
          </w:p>
        </w:tc>
        <w:tc>
          <w:tcPr>
            <w:tcW w:w="510" w:type="dxa"/>
            <w:tcBorders>
              <w:top w:val="nil"/>
              <w:left w:val="nil"/>
              <w:bottom w:val="single" w:sz="4" w:space="0" w:color="auto"/>
              <w:right w:val="nil"/>
            </w:tcBorders>
            <w:shd w:val="clear" w:color="auto" w:fill="D9D9D9" w:themeFill="background1" w:themeFillShade="D9"/>
            <w:vAlign w:val="center"/>
          </w:tcPr>
          <w:p w14:paraId="0EA299B8" w14:textId="3D8C20E0"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000000" w:fill="FFFFFF"/>
            <w:vAlign w:val="center"/>
          </w:tcPr>
          <w:p w14:paraId="0EEFDE52" w14:textId="0317AA13"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2,8</w:t>
            </w:r>
          </w:p>
        </w:tc>
        <w:tc>
          <w:tcPr>
            <w:tcW w:w="510" w:type="dxa"/>
            <w:tcBorders>
              <w:top w:val="nil"/>
              <w:left w:val="nil"/>
              <w:bottom w:val="single" w:sz="4" w:space="0" w:color="auto"/>
              <w:right w:val="nil"/>
            </w:tcBorders>
            <w:shd w:val="clear" w:color="auto" w:fill="D9D9D9" w:themeFill="background1" w:themeFillShade="D9"/>
            <w:vAlign w:val="center"/>
          </w:tcPr>
          <w:p w14:paraId="2330A54A" w14:textId="063770F2"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2,7</w:t>
            </w:r>
          </w:p>
        </w:tc>
      </w:tr>
      <w:tr w:rsidR="00DB7B60" w:rsidRPr="001D642A" w14:paraId="32398C85" w14:textId="77777777" w:rsidTr="00DB7B60">
        <w:trPr>
          <w:trHeight w:val="255"/>
          <w:jc w:val="center"/>
        </w:trPr>
        <w:tc>
          <w:tcPr>
            <w:tcW w:w="3402" w:type="dxa"/>
            <w:vMerge/>
            <w:tcBorders>
              <w:top w:val="nil"/>
              <w:left w:val="nil"/>
              <w:bottom w:val="nil"/>
              <w:right w:val="nil"/>
            </w:tcBorders>
            <w:vAlign w:val="center"/>
            <w:hideMark/>
          </w:tcPr>
          <w:p w14:paraId="24B71C50"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14:paraId="1FC60168"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auto" w:fill="D9D9D9" w:themeFill="background1" w:themeFillShade="D9"/>
            <w:vAlign w:val="center"/>
          </w:tcPr>
          <w:p w14:paraId="0A30AC2E" w14:textId="794100B0"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000000" w:fill="FFFFFF"/>
            <w:vAlign w:val="center"/>
          </w:tcPr>
          <w:p w14:paraId="084A196F" w14:textId="7FE5CB33"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auto" w:fill="D9D9D9" w:themeFill="background1" w:themeFillShade="D9"/>
            <w:vAlign w:val="center"/>
          </w:tcPr>
          <w:p w14:paraId="1DBE7E0F" w14:textId="0A8AE06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000000" w:fill="FFFFFF"/>
            <w:vAlign w:val="center"/>
          </w:tcPr>
          <w:p w14:paraId="2FF6CAE9" w14:textId="1252E08B"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auto" w:fill="D9D9D9" w:themeFill="background1" w:themeFillShade="D9"/>
            <w:vAlign w:val="center"/>
          </w:tcPr>
          <w:p w14:paraId="29D30EBC" w14:textId="25854E7B"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000000" w:fill="FFFFFF"/>
            <w:vAlign w:val="center"/>
          </w:tcPr>
          <w:p w14:paraId="20E8FDB8" w14:textId="29B98B85"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2,4</w:t>
            </w:r>
          </w:p>
        </w:tc>
        <w:tc>
          <w:tcPr>
            <w:tcW w:w="510" w:type="dxa"/>
            <w:tcBorders>
              <w:top w:val="nil"/>
              <w:left w:val="nil"/>
              <w:bottom w:val="single" w:sz="4" w:space="0" w:color="auto"/>
              <w:right w:val="nil"/>
            </w:tcBorders>
            <w:shd w:val="clear" w:color="auto" w:fill="D9D9D9" w:themeFill="background1" w:themeFillShade="D9"/>
            <w:vAlign w:val="center"/>
          </w:tcPr>
          <w:p w14:paraId="255A30E5" w14:textId="4643835A"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2,8</w:t>
            </w:r>
          </w:p>
        </w:tc>
        <w:tc>
          <w:tcPr>
            <w:tcW w:w="510" w:type="dxa"/>
            <w:tcBorders>
              <w:top w:val="nil"/>
              <w:left w:val="nil"/>
              <w:bottom w:val="single" w:sz="4" w:space="0" w:color="auto"/>
              <w:right w:val="nil"/>
            </w:tcBorders>
            <w:shd w:val="clear" w:color="000000" w:fill="FFFFFF"/>
            <w:vAlign w:val="center"/>
          </w:tcPr>
          <w:p w14:paraId="10128BC0" w14:textId="1AC8229C"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2,8</w:t>
            </w:r>
          </w:p>
        </w:tc>
        <w:tc>
          <w:tcPr>
            <w:tcW w:w="510" w:type="dxa"/>
            <w:tcBorders>
              <w:top w:val="nil"/>
              <w:left w:val="nil"/>
              <w:bottom w:val="single" w:sz="4" w:space="0" w:color="auto"/>
              <w:right w:val="nil"/>
            </w:tcBorders>
            <w:shd w:val="clear" w:color="auto" w:fill="D9D9D9" w:themeFill="background1" w:themeFillShade="D9"/>
            <w:vAlign w:val="center"/>
          </w:tcPr>
          <w:p w14:paraId="3287EDF6" w14:textId="7AC6BDE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2,8</w:t>
            </w:r>
          </w:p>
        </w:tc>
        <w:tc>
          <w:tcPr>
            <w:tcW w:w="510" w:type="dxa"/>
            <w:tcBorders>
              <w:top w:val="nil"/>
              <w:left w:val="nil"/>
              <w:bottom w:val="single" w:sz="4" w:space="0" w:color="auto"/>
              <w:right w:val="nil"/>
            </w:tcBorders>
            <w:shd w:val="clear" w:color="000000" w:fill="FFFFFF"/>
            <w:vAlign w:val="center"/>
          </w:tcPr>
          <w:p w14:paraId="23C0CC76" w14:textId="5281CDA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2,8</w:t>
            </w:r>
          </w:p>
        </w:tc>
        <w:tc>
          <w:tcPr>
            <w:tcW w:w="510" w:type="dxa"/>
            <w:tcBorders>
              <w:top w:val="nil"/>
              <w:left w:val="nil"/>
              <w:bottom w:val="single" w:sz="4" w:space="0" w:color="auto"/>
              <w:right w:val="nil"/>
            </w:tcBorders>
            <w:shd w:val="clear" w:color="auto" w:fill="D9D9D9" w:themeFill="background1" w:themeFillShade="D9"/>
            <w:vAlign w:val="center"/>
          </w:tcPr>
          <w:p w14:paraId="36709965" w14:textId="51305509"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2,7</w:t>
            </w:r>
          </w:p>
        </w:tc>
        <w:tc>
          <w:tcPr>
            <w:tcW w:w="510" w:type="dxa"/>
            <w:tcBorders>
              <w:top w:val="nil"/>
              <w:left w:val="nil"/>
              <w:bottom w:val="single" w:sz="4" w:space="0" w:color="auto"/>
              <w:right w:val="nil"/>
            </w:tcBorders>
            <w:shd w:val="clear" w:color="000000" w:fill="FFFFFF"/>
            <w:vAlign w:val="center"/>
          </w:tcPr>
          <w:p w14:paraId="18B978F5" w14:textId="66F77FE1"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2,6</w:t>
            </w:r>
          </w:p>
        </w:tc>
        <w:tc>
          <w:tcPr>
            <w:tcW w:w="510" w:type="dxa"/>
            <w:tcBorders>
              <w:top w:val="nil"/>
              <w:left w:val="nil"/>
              <w:bottom w:val="single" w:sz="4" w:space="0" w:color="auto"/>
              <w:right w:val="nil"/>
            </w:tcBorders>
            <w:shd w:val="clear" w:color="auto" w:fill="D9D9D9" w:themeFill="background1" w:themeFillShade="D9"/>
            <w:vAlign w:val="center"/>
          </w:tcPr>
          <w:p w14:paraId="1E620A80" w14:textId="20BACE02"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2,2</w:t>
            </w:r>
          </w:p>
        </w:tc>
      </w:tr>
      <w:tr w:rsidR="00DB7B60" w:rsidRPr="001D642A" w14:paraId="12810E4A" w14:textId="77777777" w:rsidTr="00DB7B60">
        <w:trPr>
          <w:trHeight w:val="127"/>
          <w:jc w:val="center"/>
        </w:trPr>
        <w:tc>
          <w:tcPr>
            <w:tcW w:w="3402" w:type="dxa"/>
            <w:vMerge w:val="restart"/>
            <w:tcBorders>
              <w:top w:val="single" w:sz="4" w:space="0" w:color="auto"/>
              <w:left w:val="nil"/>
              <w:bottom w:val="single" w:sz="4" w:space="0" w:color="000000"/>
              <w:right w:val="nil"/>
            </w:tcBorders>
            <w:shd w:val="clear" w:color="000000" w:fill="FFFFFF"/>
            <w:vAlign w:val="center"/>
            <w:hideMark/>
          </w:tcPr>
          <w:p w14:paraId="64D090BF"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 xml:space="preserve">    Alimentari non lavorati</w:t>
            </w:r>
          </w:p>
        </w:tc>
        <w:tc>
          <w:tcPr>
            <w:tcW w:w="286" w:type="dxa"/>
            <w:tcBorders>
              <w:top w:val="nil"/>
              <w:left w:val="nil"/>
              <w:bottom w:val="single" w:sz="4" w:space="0" w:color="auto"/>
              <w:right w:val="nil"/>
            </w:tcBorders>
            <w:shd w:val="clear" w:color="000000" w:fill="FFFFFF"/>
            <w:noWrap/>
            <w:vAlign w:val="center"/>
            <w:hideMark/>
          </w:tcPr>
          <w:p w14:paraId="304DE5B3"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auto" w:fill="D9D9D9" w:themeFill="background1" w:themeFillShade="D9"/>
            <w:vAlign w:val="center"/>
          </w:tcPr>
          <w:p w14:paraId="3771D699" w14:textId="3B3B4EC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4,8</w:t>
            </w:r>
          </w:p>
        </w:tc>
        <w:tc>
          <w:tcPr>
            <w:tcW w:w="510" w:type="dxa"/>
            <w:tcBorders>
              <w:top w:val="nil"/>
              <w:left w:val="nil"/>
              <w:bottom w:val="single" w:sz="4" w:space="0" w:color="auto"/>
              <w:right w:val="nil"/>
            </w:tcBorders>
            <w:shd w:val="clear" w:color="000000" w:fill="FFFFFF"/>
            <w:vAlign w:val="center"/>
          </w:tcPr>
          <w:p w14:paraId="25428BDE" w14:textId="6F48E504"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auto" w:fill="D9D9D9" w:themeFill="background1" w:themeFillShade="D9"/>
            <w:vAlign w:val="center"/>
          </w:tcPr>
          <w:p w14:paraId="04FC86CA" w14:textId="7BEC10E2"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2,7</w:t>
            </w:r>
          </w:p>
        </w:tc>
        <w:tc>
          <w:tcPr>
            <w:tcW w:w="510" w:type="dxa"/>
            <w:tcBorders>
              <w:top w:val="nil"/>
              <w:left w:val="nil"/>
              <w:bottom w:val="single" w:sz="4" w:space="0" w:color="auto"/>
              <w:right w:val="nil"/>
            </w:tcBorders>
            <w:shd w:val="clear" w:color="000000" w:fill="FFFFFF"/>
            <w:vAlign w:val="center"/>
          </w:tcPr>
          <w:p w14:paraId="66CB9D44" w14:textId="74FC4F7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3,3</w:t>
            </w:r>
          </w:p>
        </w:tc>
        <w:tc>
          <w:tcPr>
            <w:tcW w:w="510" w:type="dxa"/>
            <w:tcBorders>
              <w:top w:val="nil"/>
              <w:left w:val="nil"/>
              <w:bottom w:val="single" w:sz="4" w:space="0" w:color="auto"/>
              <w:right w:val="nil"/>
            </w:tcBorders>
            <w:shd w:val="clear" w:color="auto" w:fill="D9D9D9" w:themeFill="background1" w:themeFillShade="D9"/>
            <w:vAlign w:val="center"/>
          </w:tcPr>
          <w:p w14:paraId="2C5D2826" w14:textId="3DBD64A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3,6</w:t>
            </w:r>
          </w:p>
        </w:tc>
        <w:tc>
          <w:tcPr>
            <w:tcW w:w="510" w:type="dxa"/>
            <w:tcBorders>
              <w:top w:val="nil"/>
              <w:left w:val="nil"/>
              <w:bottom w:val="single" w:sz="4" w:space="0" w:color="auto"/>
              <w:right w:val="nil"/>
            </w:tcBorders>
            <w:shd w:val="clear" w:color="000000" w:fill="FFFFFF"/>
            <w:vAlign w:val="center"/>
          </w:tcPr>
          <w:p w14:paraId="0CDA099B" w14:textId="6DA4A07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4,8</w:t>
            </w:r>
          </w:p>
        </w:tc>
        <w:tc>
          <w:tcPr>
            <w:tcW w:w="510" w:type="dxa"/>
            <w:tcBorders>
              <w:top w:val="nil"/>
              <w:left w:val="nil"/>
              <w:bottom w:val="single" w:sz="4" w:space="0" w:color="auto"/>
              <w:right w:val="nil"/>
            </w:tcBorders>
            <w:shd w:val="clear" w:color="auto" w:fill="D9D9D9" w:themeFill="background1" w:themeFillShade="D9"/>
            <w:vAlign w:val="center"/>
          </w:tcPr>
          <w:p w14:paraId="23AF43F2" w14:textId="05DDFCB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4,3</w:t>
            </w:r>
          </w:p>
        </w:tc>
        <w:tc>
          <w:tcPr>
            <w:tcW w:w="510" w:type="dxa"/>
            <w:tcBorders>
              <w:top w:val="nil"/>
              <w:left w:val="nil"/>
              <w:bottom w:val="single" w:sz="4" w:space="0" w:color="auto"/>
              <w:right w:val="nil"/>
            </w:tcBorders>
            <w:shd w:val="clear" w:color="000000" w:fill="FFFFFF"/>
            <w:vAlign w:val="center"/>
          </w:tcPr>
          <w:p w14:paraId="15CE5D14" w14:textId="5E45908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4,5</w:t>
            </w:r>
          </w:p>
        </w:tc>
        <w:tc>
          <w:tcPr>
            <w:tcW w:w="510" w:type="dxa"/>
            <w:tcBorders>
              <w:top w:val="nil"/>
              <w:left w:val="nil"/>
              <w:bottom w:val="single" w:sz="4" w:space="0" w:color="auto"/>
              <w:right w:val="nil"/>
            </w:tcBorders>
            <w:shd w:val="clear" w:color="auto" w:fill="D9D9D9" w:themeFill="background1" w:themeFillShade="D9"/>
            <w:vAlign w:val="center"/>
          </w:tcPr>
          <w:p w14:paraId="28D58AA7" w14:textId="2288747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5,9</w:t>
            </w:r>
          </w:p>
        </w:tc>
        <w:tc>
          <w:tcPr>
            <w:tcW w:w="510" w:type="dxa"/>
            <w:tcBorders>
              <w:top w:val="nil"/>
              <w:left w:val="nil"/>
              <w:bottom w:val="single" w:sz="4" w:space="0" w:color="auto"/>
              <w:right w:val="nil"/>
            </w:tcBorders>
            <w:shd w:val="clear" w:color="000000" w:fill="FFFFFF"/>
            <w:vAlign w:val="center"/>
          </w:tcPr>
          <w:p w14:paraId="2334FFF6" w14:textId="0D91311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6,4</w:t>
            </w:r>
          </w:p>
        </w:tc>
        <w:tc>
          <w:tcPr>
            <w:tcW w:w="510" w:type="dxa"/>
            <w:tcBorders>
              <w:top w:val="nil"/>
              <w:left w:val="nil"/>
              <w:bottom w:val="single" w:sz="4" w:space="0" w:color="auto"/>
              <w:right w:val="nil"/>
            </w:tcBorders>
            <w:shd w:val="clear" w:color="auto" w:fill="D9D9D9" w:themeFill="background1" w:themeFillShade="D9"/>
            <w:vAlign w:val="center"/>
          </w:tcPr>
          <w:p w14:paraId="434C4B4C" w14:textId="6CBADDEC"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5,5</w:t>
            </w:r>
          </w:p>
        </w:tc>
        <w:tc>
          <w:tcPr>
            <w:tcW w:w="510" w:type="dxa"/>
            <w:tcBorders>
              <w:top w:val="nil"/>
              <w:left w:val="nil"/>
              <w:bottom w:val="single" w:sz="4" w:space="0" w:color="auto"/>
              <w:right w:val="nil"/>
            </w:tcBorders>
            <w:shd w:val="clear" w:color="000000" w:fill="FFFFFF"/>
            <w:vAlign w:val="center"/>
          </w:tcPr>
          <w:p w14:paraId="60F16EA9" w14:textId="5DD35524"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auto" w:fill="D9D9D9" w:themeFill="background1" w:themeFillShade="D9"/>
            <w:vAlign w:val="center"/>
          </w:tcPr>
          <w:p w14:paraId="292F313F" w14:textId="307D41CA"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1,4</w:t>
            </w:r>
          </w:p>
        </w:tc>
      </w:tr>
      <w:tr w:rsidR="00DB7B60" w:rsidRPr="001D642A" w14:paraId="2C588467" w14:textId="77777777" w:rsidTr="00DB7B60">
        <w:trPr>
          <w:trHeight w:val="255"/>
          <w:jc w:val="center"/>
        </w:trPr>
        <w:tc>
          <w:tcPr>
            <w:tcW w:w="3402" w:type="dxa"/>
            <w:vMerge/>
            <w:tcBorders>
              <w:top w:val="single" w:sz="4" w:space="0" w:color="auto"/>
              <w:left w:val="nil"/>
              <w:bottom w:val="single" w:sz="4" w:space="0" w:color="000000"/>
              <w:right w:val="nil"/>
            </w:tcBorders>
            <w:vAlign w:val="center"/>
            <w:hideMark/>
          </w:tcPr>
          <w:p w14:paraId="7C0DDC89"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14:paraId="3AD261B1"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auto" w:fill="D9D9D9" w:themeFill="background1" w:themeFillShade="D9"/>
            <w:vAlign w:val="center"/>
          </w:tcPr>
          <w:p w14:paraId="33FA88C3" w14:textId="43E3D2D3"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4,4</w:t>
            </w:r>
          </w:p>
        </w:tc>
        <w:tc>
          <w:tcPr>
            <w:tcW w:w="510" w:type="dxa"/>
            <w:tcBorders>
              <w:top w:val="nil"/>
              <w:left w:val="nil"/>
              <w:bottom w:val="single" w:sz="4" w:space="0" w:color="auto"/>
              <w:right w:val="nil"/>
            </w:tcBorders>
            <w:shd w:val="clear" w:color="000000" w:fill="FFFFFF"/>
            <w:vAlign w:val="center"/>
          </w:tcPr>
          <w:p w14:paraId="2D5D62EE" w14:textId="423D8ABB"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2,6</w:t>
            </w:r>
          </w:p>
        </w:tc>
        <w:tc>
          <w:tcPr>
            <w:tcW w:w="510" w:type="dxa"/>
            <w:tcBorders>
              <w:top w:val="nil"/>
              <w:left w:val="nil"/>
              <w:bottom w:val="single" w:sz="4" w:space="0" w:color="auto"/>
              <w:right w:val="nil"/>
            </w:tcBorders>
            <w:shd w:val="clear" w:color="auto" w:fill="D9D9D9" w:themeFill="background1" w:themeFillShade="D9"/>
            <w:vAlign w:val="center"/>
          </w:tcPr>
          <w:p w14:paraId="72A8FFE0" w14:textId="6FC70C51"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2,6</w:t>
            </w:r>
          </w:p>
        </w:tc>
        <w:tc>
          <w:tcPr>
            <w:tcW w:w="510" w:type="dxa"/>
            <w:tcBorders>
              <w:top w:val="nil"/>
              <w:left w:val="nil"/>
              <w:bottom w:val="single" w:sz="4" w:space="0" w:color="auto"/>
              <w:right w:val="nil"/>
            </w:tcBorders>
            <w:shd w:val="clear" w:color="000000" w:fill="FFFFFF"/>
            <w:vAlign w:val="center"/>
          </w:tcPr>
          <w:p w14:paraId="586D3626" w14:textId="57EB08B0"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3,1</w:t>
            </w:r>
          </w:p>
        </w:tc>
        <w:tc>
          <w:tcPr>
            <w:tcW w:w="510" w:type="dxa"/>
            <w:tcBorders>
              <w:top w:val="nil"/>
              <w:left w:val="nil"/>
              <w:bottom w:val="single" w:sz="4" w:space="0" w:color="auto"/>
              <w:right w:val="nil"/>
            </w:tcBorders>
            <w:shd w:val="clear" w:color="auto" w:fill="D9D9D9" w:themeFill="background1" w:themeFillShade="D9"/>
            <w:vAlign w:val="center"/>
          </w:tcPr>
          <w:p w14:paraId="70C340B8" w14:textId="50853320"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3,6</w:t>
            </w:r>
          </w:p>
        </w:tc>
        <w:tc>
          <w:tcPr>
            <w:tcW w:w="510" w:type="dxa"/>
            <w:tcBorders>
              <w:top w:val="nil"/>
              <w:left w:val="nil"/>
              <w:bottom w:val="single" w:sz="4" w:space="0" w:color="auto"/>
              <w:right w:val="nil"/>
            </w:tcBorders>
            <w:shd w:val="clear" w:color="000000" w:fill="FFFFFF"/>
            <w:vAlign w:val="center"/>
          </w:tcPr>
          <w:p w14:paraId="0D96C8C9" w14:textId="2E1BC20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4,7</w:t>
            </w:r>
          </w:p>
        </w:tc>
        <w:tc>
          <w:tcPr>
            <w:tcW w:w="510" w:type="dxa"/>
            <w:tcBorders>
              <w:top w:val="nil"/>
              <w:left w:val="nil"/>
              <w:bottom w:val="single" w:sz="4" w:space="0" w:color="auto"/>
              <w:right w:val="nil"/>
            </w:tcBorders>
            <w:shd w:val="clear" w:color="auto" w:fill="D9D9D9" w:themeFill="background1" w:themeFillShade="D9"/>
            <w:vAlign w:val="center"/>
          </w:tcPr>
          <w:p w14:paraId="6CA176E5" w14:textId="15DAA56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3,9</w:t>
            </w:r>
          </w:p>
        </w:tc>
        <w:tc>
          <w:tcPr>
            <w:tcW w:w="510" w:type="dxa"/>
            <w:tcBorders>
              <w:top w:val="nil"/>
              <w:left w:val="nil"/>
              <w:bottom w:val="single" w:sz="4" w:space="0" w:color="auto"/>
              <w:right w:val="nil"/>
            </w:tcBorders>
            <w:shd w:val="clear" w:color="000000" w:fill="FFFFFF"/>
            <w:vAlign w:val="center"/>
          </w:tcPr>
          <w:p w14:paraId="095B3205" w14:textId="7B05A526"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4,5</w:t>
            </w:r>
          </w:p>
        </w:tc>
        <w:tc>
          <w:tcPr>
            <w:tcW w:w="510" w:type="dxa"/>
            <w:tcBorders>
              <w:top w:val="nil"/>
              <w:left w:val="nil"/>
              <w:bottom w:val="single" w:sz="4" w:space="0" w:color="auto"/>
              <w:right w:val="nil"/>
            </w:tcBorders>
            <w:shd w:val="clear" w:color="auto" w:fill="D9D9D9" w:themeFill="background1" w:themeFillShade="D9"/>
            <w:vAlign w:val="center"/>
          </w:tcPr>
          <w:p w14:paraId="0A9AA2FE" w14:textId="10E5CCC2"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5,9</w:t>
            </w:r>
          </w:p>
        </w:tc>
        <w:tc>
          <w:tcPr>
            <w:tcW w:w="510" w:type="dxa"/>
            <w:tcBorders>
              <w:top w:val="nil"/>
              <w:left w:val="nil"/>
              <w:bottom w:val="single" w:sz="4" w:space="0" w:color="auto"/>
              <w:right w:val="nil"/>
            </w:tcBorders>
            <w:shd w:val="clear" w:color="000000" w:fill="FFFFFF"/>
            <w:vAlign w:val="center"/>
          </w:tcPr>
          <w:p w14:paraId="696B8E16" w14:textId="4B99CB5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6,4</w:t>
            </w:r>
          </w:p>
        </w:tc>
        <w:tc>
          <w:tcPr>
            <w:tcW w:w="510" w:type="dxa"/>
            <w:tcBorders>
              <w:top w:val="nil"/>
              <w:left w:val="nil"/>
              <w:bottom w:val="single" w:sz="4" w:space="0" w:color="auto"/>
              <w:right w:val="nil"/>
            </w:tcBorders>
            <w:shd w:val="clear" w:color="auto" w:fill="D9D9D9" w:themeFill="background1" w:themeFillShade="D9"/>
            <w:vAlign w:val="center"/>
          </w:tcPr>
          <w:p w14:paraId="5E36DB73" w14:textId="26B72283"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5,5</w:t>
            </w:r>
          </w:p>
        </w:tc>
        <w:tc>
          <w:tcPr>
            <w:tcW w:w="510" w:type="dxa"/>
            <w:tcBorders>
              <w:top w:val="nil"/>
              <w:left w:val="nil"/>
              <w:bottom w:val="single" w:sz="4" w:space="0" w:color="auto"/>
              <w:right w:val="nil"/>
            </w:tcBorders>
            <w:shd w:val="clear" w:color="000000" w:fill="FFFFFF"/>
            <w:vAlign w:val="center"/>
          </w:tcPr>
          <w:p w14:paraId="798DB579" w14:textId="3B4A0599"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auto" w:fill="D9D9D9" w:themeFill="background1" w:themeFillShade="D9"/>
            <w:vAlign w:val="center"/>
          </w:tcPr>
          <w:p w14:paraId="4C77D5F9" w14:textId="69B493A1"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1,2</w:t>
            </w:r>
          </w:p>
        </w:tc>
      </w:tr>
      <w:tr w:rsidR="00DB7B60" w:rsidRPr="001D642A" w14:paraId="4996FF0A" w14:textId="77777777" w:rsidTr="00DB7B60">
        <w:trPr>
          <w:trHeight w:val="255"/>
          <w:jc w:val="center"/>
        </w:trPr>
        <w:tc>
          <w:tcPr>
            <w:tcW w:w="3402" w:type="dxa"/>
            <w:vMerge w:val="restart"/>
            <w:tcBorders>
              <w:top w:val="nil"/>
              <w:left w:val="nil"/>
              <w:bottom w:val="single" w:sz="4" w:space="0" w:color="000000"/>
              <w:right w:val="nil"/>
            </w:tcBorders>
            <w:shd w:val="clear" w:color="000000" w:fill="FFFFFF"/>
            <w:vAlign w:val="center"/>
            <w:hideMark/>
          </w:tcPr>
          <w:p w14:paraId="5ADC402E"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Energia</w:t>
            </w:r>
          </w:p>
        </w:tc>
        <w:tc>
          <w:tcPr>
            <w:tcW w:w="286" w:type="dxa"/>
            <w:tcBorders>
              <w:top w:val="nil"/>
              <w:left w:val="nil"/>
              <w:bottom w:val="single" w:sz="4" w:space="0" w:color="auto"/>
              <w:right w:val="nil"/>
            </w:tcBorders>
            <w:shd w:val="clear" w:color="000000" w:fill="FFFFFF"/>
            <w:noWrap/>
            <w:vAlign w:val="center"/>
            <w:hideMark/>
          </w:tcPr>
          <w:p w14:paraId="4E96F99B"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auto" w:fill="D9D9D9" w:themeFill="background1" w:themeFillShade="D9"/>
            <w:vAlign w:val="center"/>
          </w:tcPr>
          <w:p w14:paraId="10F2816F" w14:textId="32673093"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-5,4</w:t>
            </w:r>
          </w:p>
        </w:tc>
        <w:tc>
          <w:tcPr>
            <w:tcW w:w="510" w:type="dxa"/>
            <w:tcBorders>
              <w:top w:val="nil"/>
              <w:left w:val="nil"/>
              <w:bottom w:val="single" w:sz="4" w:space="0" w:color="auto"/>
              <w:right w:val="nil"/>
            </w:tcBorders>
            <w:shd w:val="clear" w:color="000000" w:fill="FFFFFF"/>
            <w:vAlign w:val="center"/>
          </w:tcPr>
          <w:p w14:paraId="425C35CC" w14:textId="3394409B"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auto" w:fill="D9D9D9" w:themeFill="background1" w:themeFillShade="D9"/>
            <w:vAlign w:val="center"/>
          </w:tcPr>
          <w:p w14:paraId="6688AEF8" w14:textId="01878D1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-0,7</w:t>
            </w:r>
          </w:p>
        </w:tc>
        <w:tc>
          <w:tcPr>
            <w:tcW w:w="510" w:type="dxa"/>
            <w:tcBorders>
              <w:top w:val="nil"/>
              <w:left w:val="nil"/>
              <w:bottom w:val="single" w:sz="4" w:space="0" w:color="auto"/>
              <w:right w:val="nil"/>
            </w:tcBorders>
            <w:shd w:val="clear" w:color="000000" w:fill="FFFFFF"/>
            <w:vAlign w:val="center"/>
          </w:tcPr>
          <w:p w14:paraId="24AD5476" w14:textId="72FA6556"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0,6</w:t>
            </w:r>
          </w:p>
        </w:tc>
        <w:tc>
          <w:tcPr>
            <w:tcW w:w="510" w:type="dxa"/>
            <w:tcBorders>
              <w:top w:val="nil"/>
              <w:left w:val="nil"/>
              <w:bottom w:val="single" w:sz="4" w:space="0" w:color="auto"/>
              <w:right w:val="nil"/>
            </w:tcBorders>
            <w:shd w:val="clear" w:color="auto" w:fill="D9D9D9" w:themeFill="background1" w:themeFillShade="D9"/>
            <w:vAlign w:val="center"/>
          </w:tcPr>
          <w:p w14:paraId="288DE9B7" w14:textId="475682B3"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3,3</w:t>
            </w:r>
          </w:p>
        </w:tc>
        <w:tc>
          <w:tcPr>
            <w:tcW w:w="510" w:type="dxa"/>
            <w:tcBorders>
              <w:top w:val="nil"/>
              <w:left w:val="nil"/>
              <w:bottom w:val="single" w:sz="4" w:space="0" w:color="auto"/>
              <w:right w:val="nil"/>
            </w:tcBorders>
            <w:shd w:val="clear" w:color="000000" w:fill="FFFFFF"/>
            <w:vAlign w:val="center"/>
          </w:tcPr>
          <w:p w14:paraId="674BE9D2" w14:textId="396A96D1"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-0,2</w:t>
            </w:r>
          </w:p>
        </w:tc>
        <w:tc>
          <w:tcPr>
            <w:tcW w:w="510" w:type="dxa"/>
            <w:tcBorders>
              <w:top w:val="nil"/>
              <w:left w:val="nil"/>
              <w:bottom w:val="single" w:sz="4" w:space="0" w:color="auto"/>
              <w:right w:val="nil"/>
            </w:tcBorders>
            <w:shd w:val="clear" w:color="auto" w:fill="D9D9D9" w:themeFill="background1" w:themeFillShade="D9"/>
            <w:vAlign w:val="center"/>
          </w:tcPr>
          <w:p w14:paraId="6655FD0C" w14:textId="344860F1"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000000" w:fill="FFFFFF"/>
            <w:vAlign w:val="center"/>
          </w:tcPr>
          <w:p w14:paraId="0BD99472" w14:textId="5AE158E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-2,5</w:t>
            </w:r>
          </w:p>
        </w:tc>
        <w:tc>
          <w:tcPr>
            <w:tcW w:w="510" w:type="dxa"/>
            <w:tcBorders>
              <w:top w:val="nil"/>
              <w:left w:val="nil"/>
              <w:bottom w:val="single" w:sz="4" w:space="0" w:color="auto"/>
              <w:right w:val="nil"/>
            </w:tcBorders>
            <w:shd w:val="clear" w:color="auto" w:fill="D9D9D9" w:themeFill="background1" w:themeFillShade="D9"/>
            <w:vAlign w:val="center"/>
          </w:tcPr>
          <w:p w14:paraId="3520A026" w14:textId="6EE0079C"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-4,0</w:t>
            </w:r>
          </w:p>
        </w:tc>
        <w:tc>
          <w:tcPr>
            <w:tcW w:w="510" w:type="dxa"/>
            <w:tcBorders>
              <w:top w:val="nil"/>
              <w:left w:val="nil"/>
              <w:bottom w:val="single" w:sz="4" w:space="0" w:color="auto"/>
              <w:right w:val="nil"/>
            </w:tcBorders>
            <w:shd w:val="clear" w:color="000000" w:fill="FFFFFF"/>
            <w:vAlign w:val="center"/>
          </w:tcPr>
          <w:p w14:paraId="3FAC9743" w14:textId="0945A71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-4,4</w:t>
            </w:r>
          </w:p>
        </w:tc>
        <w:tc>
          <w:tcPr>
            <w:tcW w:w="510" w:type="dxa"/>
            <w:tcBorders>
              <w:top w:val="nil"/>
              <w:left w:val="nil"/>
              <w:bottom w:val="single" w:sz="4" w:space="0" w:color="auto"/>
              <w:right w:val="nil"/>
            </w:tcBorders>
            <w:shd w:val="clear" w:color="auto" w:fill="D9D9D9" w:themeFill="background1" w:themeFillShade="D9"/>
            <w:vAlign w:val="center"/>
          </w:tcPr>
          <w:p w14:paraId="5B33CDCA" w14:textId="29489F12"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-3,8</w:t>
            </w:r>
          </w:p>
        </w:tc>
        <w:tc>
          <w:tcPr>
            <w:tcW w:w="510" w:type="dxa"/>
            <w:tcBorders>
              <w:top w:val="nil"/>
              <w:left w:val="nil"/>
              <w:bottom w:val="single" w:sz="4" w:space="0" w:color="auto"/>
              <w:right w:val="nil"/>
            </w:tcBorders>
            <w:shd w:val="clear" w:color="000000" w:fill="FFFFFF"/>
            <w:vAlign w:val="center"/>
          </w:tcPr>
          <w:p w14:paraId="6D6AA029" w14:textId="626AA207"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-4,6</w:t>
            </w:r>
          </w:p>
        </w:tc>
        <w:tc>
          <w:tcPr>
            <w:tcW w:w="510" w:type="dxa"/>
            <w:tcBorders>
              <w:top w:val="nil"/>
              <w:left w:val="nil"/>
              <w:bottom w:val="single" w:sz="4" w:space="0" w:color="auto"/>
              <w:right w:val="nil"/>
            </w:tcBorders>
            <w:shd w:val="clear" w:color="auto" w:fill="D9D9D9" w:themeFill="background1" w:themeFillShade="D9"/>
            <w:vAlign w:val="center"/>
          </w:tcPr>
          <w:p w14:paraId="2E8F46AC" w14:textId="72DE2F12"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-4,2</w:t>
            </w:r>
          </w:p>
        </w:tc>
      </w:tr>
      <w:tr w:rsidR="00DB7B60" w:rsidRPr="001D642A" w14:paraId="7FEDCC55" w14:textId="77777777" w:rsidTr="00DB7B60">
        <w:trPr>
          <w:trHeight w:val="255"/>
          <w:jc w:val="center"/>
        </w:trPr>
        <w:tc>
          <w:tcPr>
            <w:tcW w:w="3402" w:type="dxa"/>
            <w:vMerge/>
            <w:tcBorders>
              <w:top w:val="nil"/>
              <w:left w:val="nil"/>
              <w:bottom w:val="single" w:sz="4" w:space="0" w:color="000000"/>
              <w:right w:val="nil"/>
            </w:tcBorders>
            <w:vAlign w:val="center"/>
            <w:hideMark/>
          </w:tcPr>
          <w:p w14:paraId="40C2F235"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14:paraId="11D2B15A"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auto" w:fill="D9D9D9" w:themeFill="background1" w:themeFillShade="D9"/>
            <w:vAlign w:val="center"/>
          </w:tcPr>
          <w:p w14:paraId="5AEA71DB" w14:textId="5E3A4EC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-5,4</w:t>
            </w:r>
          </w:p>
        </w:tc>
        <w:tc>
          <w:tcPr>
            <w:tcW w:w="510" w:type="dxa"/>
            <w:tcBorders>
              <w:top w:val="nil"/>
              <w:left w:val="nil"/>
              <w:bottom w:val="single" w:sz="4" w:space="0" w:color="auto"/>
              <w:right w:val="nil"/>
            </w:tcBorders>
            <w:shd w:val="clear" w:color="000000" w:fill="FFFFFF"/>
            <w:vAlign w:val="center"/>
          </w:tcPr>
          <w:p w14:paraId="6F1EC62F" w14:textId="0C125A83"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-2,7</w:t>
            </w:r>
          </w:p>
        </w:tc>
        <w:tc>
          <w:tcPr>
            <w:tcW w:w="510" w:type="dxa"/>
            <w:tcBorders>
              <w:top w:val="nil"/>
              <w:left w:val="nil"/>
              <w:bottom w:val="single" w:sz="4" w:space="0" w:color="auto"/>
              <w:right w:val="nil"/>
            </w:tcBorders>
            <w:shd w:val="clear" w:color="auto" w:fill="D9D9D9" w:themeFill="background1" w:themeFillShade="D9"/>
            <w:vAlign w:val="center"/>
          </w:tcPr>
          <w:p w14:paraId="0AA5DAEF" w14:textId="7232473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-0,7</w:t>
            </w:r>
          </w:p>
        </w:tc>
        <w:tc>
          <w:tcPr>
            <w:tcW w:w="510" w:type="dxa"/>
            <w:tcBorders>
              <w:top w:val="nil"/>
              <w:left w:val="nil"/>
              <w:bottom w:val="single" w:sz="4" w:space="0" w:color="auto"/>
              <w:right w:val="nil"/>
            </w:tcBorders>
            <w:shd w:val="clear" w:color="000000" w:fill="FFFFFF"/>
            <w:vAlign w:val="center"/>
          </w:tcPr>
          <w:p w14:paraId="17CCBEFF" w14:textId="5FFA1BBA"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0,6</w:t>
            </w:r>
          </w:p>
        </w:tc>
        <w:tc>
          <w:tcPr>
            <w:tcW w:w="510" w:type="dxa"/>
            <w:tcBorders>
              <w:top w:val="nil"/>
              <w:left w:val="nil"/>
              <w:bottom w:val="single" w:sz="4" w:space="0" w:color="auto"/>
              <w:right w:val="nil"/>
            </w:tcBorders>
            <w:shd w:val="clear" w:color="auto" w:fill="D9D9D9" w:themeFill="background1" w:themeFillShade="D9"/>
            <w:vAlign w:val="center"/>
          </w:tcPr>
          <w:p w14:paraId="24C7EAA5" w14:textId="2A5E594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2,7</w:t>
            </w:r>
          </w:p>
        </w:tc>
        <w:tc>
          <w:tcPr>
            <w:tcW w:w="510" w:type="dxa"/>
            <w:tcBorders>
              <w:top w:val="nil"/>
              <w:left w:val="nil"/>
              <w:bottom w:val="single" w:sz="4" w:space="0" w:color="auto"/>
              <w:right w:val="nil"/>
            </w:tcBorders>
            <w:shd w:val="clear" w:color="000000" w:fill="FFFFFF"/>
            <w:vAlign w:val="center"/>
          </w:tcPr>
          <w:p w14:paraId="248183A6" w14:textId="6F5E782C"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-0,7</w:t>
            </w:r>
          </w:p>
        </w:tc>
        <w:tc>
          <w:tcPr>
            <w:tcW w:w="510" w:type="dxa"/>
            <w:tcBorders>
              <w:top w:val="nil"/>
              <w:left w:val="nil"/>
              <w:bottom w:val="single" w:sz="4" w:space="0" w:color="auto"/>
              <w:right w:val="nil"/>
            </w:tcBorders>
            <w:shd w:val="clear" w:color="auto" w:fill="D9D9D9" w:themeFill="background1" w:themeFillShade="D9"/>
            <w:vAlign w:val="center"/>
          </w:tcPr>
          <w:p w14:paraId="17A44AA1" w14:textId="122A574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000000" w:fill="FFFFFF"/>
            <w:vAlign w:val="center"/>
          </w:tcPr>
          <w:p w14:paraId="14CFB55E" w14:textId="5CC63B42"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auto" w:fill="D9D9D9" w:themeFill="background1" w:themeFillShade="D9"/>
            <w:vAlign w:val="center"/>
          </w:tcPr>
          <w:p w14:paraId="7F6D976F" w14:textId="082625C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-3,5</w:t>
            </w:r>
          </w:p>
        </w:tc>
        <w:tc>
          <w:tcPr>
            <w:tcW w:w="510" w:type="dxa"/>
            <w:tcBorders>
              <w:top w:val="nil"/>
              <w:left w:val="nil"/>
              <w:bottom w:val="single" w:sz="4" w:space="0" w:color="auto"/>
              <w:right w:val="nil"/>
            </w:tcBorders>
            <w:shd w:val="clear" w:color="000000" w:fill="FFFFFF"/>
            <w:vAlign w:val="center"/>
          </w:tcPr>
          <w:p w14:paraId="2A5777AF" w14:textId="227159F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-4,8</w:t>
            </w:r>
          </w:p>
        </w:tc>
        <w:tc>
          <w:tcPr>
            <w:tcW w:w="510" w:type="dxa"/>
            <w:tcBorders>
              <w:top w:val="nil"/>
              <w:left w:val="nil"/>
              <w:bottom w:val="single" w:sz="4" w:space="0" w:color="auto"/>
              <w:right w:val="nil"/>
            </w:tcBorders>
            <w:shd w:val="clear" w:color="auto" w:fill="D9D9D9" w:themeFill="background1" w:themeFillShade="D9"/>
            <w:vAlign w:val="center"/>
          </w:tcPr>
          <w:p w14:paraId="78973FE0" w14:textId="6CFC62FB"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-3,8</w:t>
            </w:r>
          </w:p>
        </w:tc>
        <w:tc>
          <w:tcPr>
            <w:tcW w:w="510" w:type="dxa"/>
            <w:tcBorders>
              <w:top w:val="nil"/>
              <w:left w:val="nil"/>
              <w:bottom w:val="single" w:sz="4" w:space="0" w:color="auto"/>
              <w:right w:val="nil"/>
            </w:tcBorders>
            <w:shd w:val="clear" w:color="000000" w:fill="FFFFFF"/>
            <w:vAlign w:val="center"/>
          </w:tcPr>
          <w:p w14:paraId="5D7A6344" w14:textId="0369AD10"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-4,4</w:t>
            </w:r>
          </w:p>
        </w:tc>
        <w:tc>
          <w:tcPr>
            <w:tcW w:w="510" w:type="dxa"/>
            <w:tcBorders>
              <w:top w:val="nil"/>
              <w:left w:val="nil"/>
              <w:bottom w:val="single" w:sz="4" w:space="0" w:color="auto"/>
              <w:right w:val="nil"/>
            </w:tcBorders>
            <w:shd w:val="clear" w:color="auto" w:fill="D9D9D9" w:themeFill="background1" w:themeFillShade="D9"/>
            <w:vAlign w:val="center"/>
          </w:tcPr>
          <w:p w14:paraId="3B3F2150" w14:textId="0C3E54EB"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-4,2</w:t>
            </w:r>
          </w:p>
        </w:tc>
      </w:tr>
      <w:tr w:rsidR="00DB7B60" w:rsidRPr="001D642A" w14:paraId="5936C68C" w14:textId="77777777" w:rsidTr="00DB7B60">
        <w:trPr>
          <w:trHeight w:val="255"/>
          <w:jc w:val="center"/>
        </w:trPr>
        <w:tc>
          <w:tcPr>
            <w:tcW w:w="3402" w:type="dxa"/>
            <w:vMerge w:val="restart"/>
            <w:tcBorders>
              <w:top w:val="nil"/>
              <w:left w:val="nil"/>
              <w:bottom w:val="single" w:sz="4" w:space="0" w:color="000000"/>
              <w:right w:val="nil"/>
            </w:tcBorders>
            <w:shd w:val="clear" w:color="000000" w:fill="FFFFFF"/>
            <w:vAlign w:val="center"/>
            <w:hideMark/>
          </w:tcPr>
          <w:p w14:paraId="60C4C3A6"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Beni industriali non energetici</w:t>
            </w:r>
          </w:p>
        </w:tc>
        <w:tc>
          <w:tcPr>
            <w:tcW w:w="286" w:type="dxa"/>
            <w:tcBorders>
              <w:top w:val="nil"/>
              <w:left w:val="nil"/>
              <w:bottom w:val="single" w:sz="4" w:space="0" w:color="auto"/>
              <w:right w:val="nil"/>
            </w:tcBorders>
            <w:shd w:val="clear" w:color="000000" w:fill="FFFFFF"/>
            <w:noWrap/>
            <w:vAlign w:val="center"/>
            <w:hideMark/>
          </w:tcPr>
          <w:p w14:paraId="7792B15C"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auto" w:fill="D9D9D9" w:themeFill="background1" w:themeFillShade="D9"/>
            <w:vAlign w:val="center"/>
          </w:tcPr>
          <w:p w14:paraId="51AB1281" w14:textId="71A00233"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0,5</w:t>
            </w:r>
          </w:p>
        </w:tc>
        <w:tc>
          <w:tcPr>
            <w:tcW w:w="510" w:type="dxa"/>
            <w:tcBorders>
              <w:top w:val="nil"/>
              <w:left w:val="nil"/>
              <w:bottom w:val="single" w:sz="4" w:space="0" w:color="auto"/>
              <w:right w:val="nil"/>
            </w:tcBorders>
            <w:shd w:val="clear" w:color="000000" w:fill="FFFFFF"/>
            <w:vAlign w:val="center"/>
          </w:tcPr>
          <w:p w14:paraId="2AF1B0E9" w14:textId="5807DE82"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0,0</w:t>
            </w:r>
          </w:p>
        </w:tc>
        <w:tc>
          <w:tcPr>
            <w:tcW w:w="510" w:type="dxa"/>
            <w:tcBorders>
              <w:top w:val="nil"/>
              <w:left w:val="nil"/>
              <w:bottom w:val="single" w:sz="4" w:space="0" w:color="auto"/>
              <w:right w:val="nil"/>
            </w:tcBorders>
            <w:shd w:val="clear" w:color="auto" w:fill="D9D9D9" w:themeFill="background1" w:themeFillShade="D9"/>
            <w:vAlign w:val="center"/>
          </w:tcPr>
          <w:p w14:paraId="151CB084" w14:textId="55C0FBD5"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0,1</w:t>
            </w:r>
          </w:p>
        </w:tc>
        <w:tc>
          <w:tcPr>
            <w:tcW w:w="510" w:type="dxa"/>
            <w:tcBorders>
              <w:top w:val="nil"/>
              <w:left w:val="nil"/>
              <w:bottom w:val="single" w:sz="4" w:space="0" w:color="auto"/>
              <w:right w:val="nil"/>
            </w:tcBorders>
            <w:shd w:val="clear" w:color="000000" w:fill="FFFFFF"/>
            <w:vAlign w:val="center"/>
          </w:tcPr>
          <w:p w14:paraId="08AC7194" w14:textId="340027C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-0,1</w:t>
            </w:r>
          </w:p>
        </w:tc>
        <w:tc>
          <w:tcPr>
            <w:tcW w:w="510" w:type="dxa"/>
            <w:tcBorders>
              <w:top w:val="nil"/>
              <w:left w:val="nil"/>
              <w:bottom w:val="single" w:sz="4" w:space="0" w:color="auto"/>
              <w:right w:val="nil"/>
            </w:tcBorders>
            <w:shd w:val="clear" w:color="auto" w:fill="D9D9D9" w:themeFill="background1" w:themeFillShade="D9"/>
            <w:vAlign w:val="center"/>
          </w:tcPr>
          <w:p w14:paraId="5A8DE207" w14:textId="5DDAED4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0,5</w:t>
            </w:r>
          </w:p>
        </w:tc>
        <w:tc>
          <w:tcPr>
            <w:tcW w:w="510" w:type="dxa"/>
            <w:tcBorders>
              <w:top w:val="nil"/>
              <w:left w:val="nil"/>
              <w:bottom w:val="single" w:sz="4" w:space="0" w:color="auto"/>
              <w:right w:val="nil"/>
            </w:tcBorders>
            <w:shd w:val="clear" w:color="000000" w:fill="FFFFFF"/>
            <w:vAlign w:val="center"/>
          </w:tcPr>
          <w:p w14:paraId="10250747" w14:textId="1DCF06A9"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0,4</w:t>
            </w:r>
          </w:p>
        </w:tc>
        <w:tc>
          <w:tcPr>
            <w:tcW w:w="510" w:type="dxa"/>
            <w:tcBorders>
              <w:top w:val="nil"/>
              <w:left w:val="nil"/>
              <w:bottom w:val="single" w:sz="4" w:space="0" w:color="auto"/>
              <w:right w:val="nil"/>
            </w:tcBorders>
            <w:shd w:val="clear" w:color="auto" w:fill="D9D9D9" w:themeFill="background1" w:themeFillShade="D9"/>
            <w:vAlign w:val="center"/>
          </w:tcPr>
          <w:p w14:paraId="7794F55F" w14:textId="5640BC2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0,5</w:t>
            </w:r>
          </w:p>
        </w:tc>
        <w:tc>
          <w:tcPr>
            <w:tcW w:w="510" w:type="dxa"/>
            <w:tcBorders>
              <w:top w:val="nil"/>
              <w:left w:val="nil"/>
              <w:bottom w:val="single" w:sz="4" w:space="0" w:color="auto"/>
              <w:right w:val="nil"/>
            </w:tcBorders>
            <w:shd w:val="clear" w:color="000000" w:fill="FFFFFF"/>
            <w:vAlign w:val="center"/>
          </w:tcPr>
          <w:p w14:paraId="289641C3" w14:textId="05F3730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0,5</w:t>
            </w:r>
          </w:p>
        </w:tc>
        <w:tc>
          <w:tcPr>
            <w:tcW w:w="510" w:type="dxa"/>
            <w:tcBorders>
              <w:top w:val="nil"/>
              <w:left w:val="nil"/>
              <w:bottom w:val="single" w:sz="4" w:space="0" w:color="auto"/>
              <w:right w:val="nil"/>
            </w:tcBorders>
            <w:shd w:val="clear" w:color="auto" w:fill="D9D9D9" w:themeFill="background1" w:themeFillShade="D9"/>
            <w:vAlign w:val="center"/>
          </w:tcPr>
          <w:p w14:paraId="2765A03F" w14:textId="5940D12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0,5</w:t>
            </w:r>
          </w:p>
        </w:tc>
        <w:tc>
          <w:tcPr>
            <w:tcW w:w="510" w:type="dxa"/>
            <w:tcBorders>
              <w:top w:val="nil"/>
              <w:left w:val="nil"/>
              <w:bottom w:val="single" w:sz="4" w:space="0" w:color="auto"/>
              <w:right w:val="nil"/>
            </w:tcBorders>
            <w:shd w:val="clear" w:color="000000" w:fill="FFFFFF"/>
            <w:vAlign w:val="center"/>
          </w:tcPr>
          <w:p w14:paraId="00C15287" w14:textId="3C14F902"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0,2</w:t>
            </w:r>
          </w:p>
        </w:tc>
        <w:tc>
          <w:tcPr>
            <w:tcW w:w="510" w:type="dxa"/>
            <w:tcBorders>
              <w:top w:val="nil"/>
              <w:left w:val="nil"/>
              <w:bottom w:val="single" w:sz="4" w:space="0" w:color="auto"/>
              <w:right w:val="nil"/>
            </w:tcBorders>
            <w:shd w:val="clear" w:color="auto" w:fill="D9D9D9" w:themeFill="background1" w:themeFillShade="D9"/>
            <w:vAlign w:val="center"/>
          </w:tcPr>
          <w:p w14:paraId="1387BD04" w14:textId="51418233"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0,7</w:t>
            </w:r>
          </w:p>
        </w:tc>
        <w:tc>
          <w:tcPr>
            <w:tcW w:w="510" w:type="dxa"/>
            <w:tcBorders>
              <w:top w:val="nil"/>
              <w:left w:val="nil"/>
              <w:bottom w:val="single" w:sz="4" w:space="0" w:color="auto"/>
              <w:right w:val="nil"/>
            </w:tcBorders>
            <w:shd w:val="clear" w:color="000000" w:fill="FFFFFF"/>
            <w:vAlign w:val="center"/>
          </w:tcPr>
          <w:p w14:paraId="596B103B" w14:textId="2794F2B0"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0,4</w:t>
            </w:r>
          </w:p>
        </w:tc>
        <w:tc>
          <w:tcPr>
            <w:tcW w:w="510" w:type="dxa"/>
            <w:tcBorders>
              <w:top w:val="nil"/>
              <w:left w:val="nil"/>
              <w:bottom w:val="single" w:sz="4" w:space="0" w:color="auto"/>
              <w:right w:val="nil"/>
            </w:tcBorders>
            <w:shd w:val="clear" w:color="auto" w:fill="D9D9D9" w:themeFill="background1" w:themeFillShade="D9"/>
            <w:vAlign w:val="center"/>
          </w:tcPr>
          <w:p w14:paraId="7B5A7B3D" w14:textId="64E670C5"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0,6</w:t>
            </w:r>
          </w:p>
        </w:tc>
      </w:tr>
      <w:tr w:rsidR="00DB7B60" w:rsidRPr="001D642A" w14:paraId="2EF04E42" w14:textId="77777777" w:rsidTr="00DB7B60">
        <w:trPr>
          <w:trHeight w:val="255"/>
          <w:jc w:val="center"/>
        </w:trPr>
        <w:tc>
          <w:tcPr>
            <w:tcW w:w="3402" w:type="dxa"/>
            <w:vMerge/>
            <w:tcBorders>
              <w:top w:val="nil"/>
              <w:left w:val="nil"/>
              <w:bottom w:val="single" w:sz="4" w:space="0" w:color="000000"/>
              <w:right w:val="nil"/>
            </w:tcBorders>
            <w:vAlign w:val="center"/>
            <w:hideMark/>
          </w:tcPr>
          <w:p w14:paraId="256BDE93"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14:paraId="36466E97"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auto" w:fill="D9D9D9" w:themeFill="background1" w:themeFillShade="D9"/>
            <w:vAlign w:val="center"/>
          </w:tcPr>
          <w:p w14:paraId="470D71BE" w14:textId="60999C33"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0,4</w:t>
            </w:r>
          </w:p>
        </w:tc>
        <w:tc>
          <w:tcPr>
            <w:tcW w:w="510" w:type="dxa"/>
            <w:tcBorders>
              <w:top w:val="nil"/>
              <w:left w:val="nil"/>
              <w:bottom w:val="single" w:sz="4" w:space="0" w:color="auto"/>
              <w:right w:val="nil"/>
            </w:tcBorders>
            <w:shd w:val="clear" w:color="000000" w:fill="FFFFFF"/>
            <w:vAlign w:val="center"/>
          </w:tcPr>
          <w:p w14:paraId="69D16C86" w14:textId="2474E261"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0,1</w:t>
            </w:r>
          </w:p>
        </w:tc>
        <w:tc>
          <w:tcPr>
            <w:tcW w:w="510" w:type="dxa"/>
            <w:tcBorders>
              <w:top w:val="nil"/>
              <w:left w:val="nil"/>
              <w:bottom w:val="single" w:sz="4" w:space="0" w:color="auto"/>
              <w:right w:val="nil"/>
            </w:tcBorders>
            <w:shd w:val="clear" w:color="auto" w:fill="D9D9D9" w:themeFill="background1" w:themeFillShade="D9"/>
            <w:vAlign w:val="center"/>
          </w:tcPr>
          <w:p w14:paraId="223D3D1A" w14:textId="08DF1AEC"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0,1</w:t>
            </w:r>
          </w:p>
        </w:tc>
        <w:tc>
          <w:tcPr>
            <w:tcW w:w="510" w:type="dxa"/>
            <w:tcBorders>
              <w:top w:val="nil"/>
              <w:left w:val="nil"/>
              <w:bottom w:val="single" w:sz="4" w:space="0" w:color="auto"/>
              <w:right w:val="nil"/>
            </w:tcBorders>
            <w:shd w:val="clear" w:color="000000" w:fill="FFFFFF"/>
            <w:vAlign w:val="center"/>
          </w:tcPr>
          <w:p w14:paraId="225DE1EB" w14:textId="2FAB349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-0,1</w:t>
            </w:r>
          </w:p>
        </w:tc>
        <w:tc>
          <w:tcPr>
            <w:tcW w:w="510" w:type="dxa"/>
            <w:tcBorders>
              <w:top w:val="nil"/>
              <w:left w:val="nil"/>
              <w:bottom w:val="single" w:sz="4" w:space="0" w:color="auto"/>
              <w:right w:val="nil"/>
            </w:tcBorders>
            <w:shd w:val="clear" w:color="auto" w:fill="D9D9D9" w:themeFill="background1" w:themeFillShade="D9"/>
            <w:vAlign w:val="center"/>
          </w:tcPr>
          <w:p w14:paraId="06B0B530" w14:textId="5EE1ABB1"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0,5</w:t>
            </w:r>
          </w:p>
        </w:tc>
        <w:tc>
          <w:tcPr>
            <w:tcW w:w="510" w:type="dxa"/>
            <w:tcBorders>
              <w:top w:val="nil"/>
              <w:left w:val="nil"/>
              <w:bottom w:val="single" w:sz="4" w:space="0" w:color="auto"/>
              <w:right w:val="nil"/>
            </w:tcBorders>
            <w:shd w:val="clear" w:color="000000" w:fill="FFFFFF"/>
            <w:vAlign w:val="center"/>
          </w:tcPr>
          <w:p w14:paraId="4423AA7C" w14:textId="7FB25DE3"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0,3</w:t>
            </w:r>
          </w:p>
        </w:tc>
        <w:tc>
          <w:tcPr>
            <w:tcW w:w="510" w:type="dxa"/>
            <w:tcBorders>
              <w:top w:val="nil"/>
              <w:left w:val="nil"/>
              <w:bottom w:val="single" w:sz="4" w:space="0" w:color="auto"/>
              <w:right w:val="nil"/>
            </w:tcBorders>
            <w:shd w:val="clear" w:color="auto" w:fill="D9D9D9" w:themeFill="background1" w:themeFillShade="D9"/>
            <w:vAlign w:val="center"/>
          </w:tcPr>
          <w:p w14:paraId="27502BCB" w14:textId="4739D0E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0,4</w:t>
            </w:r>
          </w:p>
        </w:tc>
        <w:tc>
          <w:tcPr>
            <w:tcW w:w="510" w:type="dxa"/>
            <w:tcBorders>
              <w:top w:val="nil"/>
              <w:left w:val="nil"/>
              <w:bottom w:val="single" w:sz="4" w:space="0" w:color="auto"/>
              <w:right w:val="nil"/>
            </w:tcBorders>
            <w:shd w:val="clear" w:color="000000" w:fill="FFFFFF"/>
            <w:vAlign w:val="center"/>
          </w:tcPr>
          <w:p w14:paraId="49ACCEEE" w14:textId="3F5D061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0,5</w:t>
            </w:r>
          </w:p>
        </w:tc>
        <w:tc>
          <w:tcPr>
            <w:tcW w:w="510" w:type="dxa"/>
            <w:tcBorders>
              <w:top w:val="nil"/>
              <w:left w:val="nil"/>
              <w:bottom w:val="single" w:sz="4" w:space="0" w:color="auto"/>
              <w:right w:val="nil"/>
            </w:tcBorders>
            <w:shd w:val="clear" w:color="auto" w:fill="D9D9D9" w:themeFill="background1" w:themeFillShade="D9"/>
            <w:vAlign w:val="center"/>
          </w:tcPr>
          <w:p w14:paraId="058B658B" w14:textId="4002416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0,4</w:t>
            </w:r>
          </w:p>
        </w:tc>
        <w:tc>
          <w:tcPr>
            <w:tcW w:w="510" w:type="dxa"/>
            <w:tcBorders>
              <w:top w:val="nil"/>
              <w:left w:val="nil"/>
              <w:bottom w:val="single" w:sz="4" w:space="0" w:color="auto"/>
              <w:right w:val="nil"/>
            </w:tcBorders>
            <w:shd w:val="clear" w:color="000000" w:fill="FFFFFF"/>
            <w:vAlign w:val="center"/>
          </w:tcPr>
          <w:p w14:paraId="4FC33A3F" w14:textId="01E0FCD9"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0,1</w:t>
            </w:r>
          </w:p>
        </w:tc>
        <w:tc>
          <w:tcPr>
            <w:tcW w:w="510" w:type="dxa"/>
            <w:tcBorders>
              <w:top w:val="nil"/>
              <w:left w:val="nil"/>
              <w:bottom w:val="single" w:sz="4" w:space="0" w:color="auto"/>
              <w:right w:val="nil"/>
            </w:tcBorders>
            <w:shd w:val="clear" w:color="auto" w:fill="D9D9D9" w:themeFill="background1" w:themeFillShade="D9"/>
            <w:vAlign w:val="center"/>
          </w:tcPr>
          <w:p w14:paraId="0F9E57EF" w14:textId="4779A888"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0,7</w:t>
            </w:r>
          </w:p>
        </w:tc>
        <w:tc>
          <w:tcPr>
            <w:tcW w:w="510" w:type="dxa"/>
            <w:tcBorders>
              <w:top w:val="nil"/>
              <w:left w:val="nil"/>
              <w:bottom w:val="single" w:sz="4" w:space="0" w:color="auto"/>
              <w:right w:val="nil"/>
            </w:tcBorders>
            <w:shd w:val="clear" w:color="000000" w:fill="FFFFFF"/>
            <w:vAlign w:val="center"/>
          </w:tcPr>
          <w:p w14:paraId="48A02585" w14:textId="2AA8CE62"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0,4</w:t>
            </w:r>
          </w:p>
        </w:tc>
        <w:tc>
          <w:tcPr>
            <w:tcW w:w="510" w:type="dxa"/>
            <w:tcBorders>
              <w:top w:val="nil"/>
              <w:left w:val="nil"/>
              <w:bottom w:val="single" w:sz="4" w:space="0" w:color="auto"/>
              <w:right w:val="nil"/>
            </w:tcBorders>
            <w:shd w:val="clear" w:color="auto" w:fill="D9D9D9" w:themeFill="background1" w:themeFillShade="D9"/>
            <w:vAlign w:val="center"/>
          </w:tcPr>
          <w:p w14:paraId="42CC33E9" w14:textId="30499726"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0,5</w:t>
            </w:r>
          </w:p>
        </w:tc>
      </w:tr>
      <w:tr w:rsidR="00DB7B60" w:rsidRPr="001D642A" w14:paraId="09AC2AA1" w14:textId="77777777" w:rsidTr="00DB7B60">
        <w:trPr>
          <w:trHeight w:val="255"/>
          <w:jc w:val="center"/>
        </w:trPr>
        <w:tc>
          <w:tcPr>
            <w:tcW w:w="3402" w:type="dxa"/>
            <w:vMerge w:val="restart"/>
            <w:tcBorders>
              <w:top w:val="nil"/>
              <w:left w:val="nil"/>
              <w:bottom w:val="single" w:sz="4" w:space="0" w:color="000000"/>
              <w:right w:val="nil"/>
            </w:tcBorders>
            <w:shd w:val="clear" w:color="000000" w:fill="FFFFFF"/>
            <w:vAlign w:val="center"/>
            <w:hideMark/>
          </w:tcPr>
          <w:p w14:paraId="53F700EF"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Servizi</w:t>
            </w:r>
          </w:p>
        </w:tc>
        <w:tc>
          <w:tcPr>
            <w:tcW w:w="286" w:type="dxa"/>
            <w:tcBorders>
              <w:top w:val="nil"/>
              <w:left w:val="nil"/>
              <w:bottom w:val="single" w:sz="4" w:space="0" w:color="auto"/>
              <w:right w:val="nil"/>
            </w:tcBorders>
            <w:shd w:val="clear" w:color="000000" w:fill="FFFFFF"/>
            <w:noWrap/>
            <w:vAlign w:val="center"/>
            <w:hideMark/>
          </w:tcPr>
          <w:p w14:paraId="45EBAB30"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auto" w:fill="D9D9D9" w:themeFill="background1" w:themeFillShade="D9"/>
            <w:vAlign w:val="center"/>
          </w:tcPr>
          <w:p w14:paraId="7D132C85" w14:textId="56F5532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3,2</w:t>
            </w:r>
          </w:p>
        </w:tc>
        <w:tc>
          <w:tcPr>
            <w:tcW w:w="510" w:type="dxa"/>
            <w:tcBorders>
              <w:top w:val="nil"/>
              <w:left w:val="nil"/>
              <w:bottom w:val="single" w:sz="4" w:space="0" w:color="auto"/>
              <w:right w:val="nil"/>
            </w:tcBorders>
            <w:shd w:val="clear" w:color="000000" w:fill="FFFFFF"/>
            <w:vAlign w:val="center"/>
          </w:tcPr>
          <w:p w14:paraId="639FF395" w14:textId="39856665"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auto" w:fill="D9D9D9" w:themeFill="background1" w:themeFillShade="D9"/>
            <w:vAlign w:val="center"/>
          </w:tcPr>
          <w:p w14:paraId="0A509258" w14:textId="57D961F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2,8</w:t>
            </w:r>
          </w:p>
        </w:tc>
        <w:tc>
          <w:tcPr>
            <w:tcW w:w="510" w:type="dxa"/>
            <w:tcBorders>
              <w:top w:val="nil"/>
              <w:left w:val="nil"/>
              <w:bottom w:val="single" w:sz="4" w:space="0" w:color="auto"/>
              <w:right w:val="nil"/>
            </w:tcBorders>
            <w:shd w:val="clear" w:color="000000" w:fill="FFFFFF"/>
            <w:vAlign w:val="center"/>
          </w:tcPr>
          <w:p w14:paraId="500AED12" w14:textId="289CF9E6"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2,6</w:t>
            </w:r>
          </w:p>
        </w:tc>
        <w:tc>
          <w:tcPr>
            <w:tcW w:w="510" w:type="dxa"/>
            <w:tcBorders>
              <w:top w:val="nil"/>
              <w:left w:val="nil"/>
              <w:bottom w:val="single" w:sz="4" w:space="0" w:color="auto"/>
              <w:right w:val="nil"/>
            </w:tcBorders>
            <w:shd w:val="clear" w:color="auto" w:fill="D9D9D9" w:themeFill="background1" w:themeFillShade="D9"/>
            <w:vAlign w:val="center"/>
          </w:tcPr>
          <w:p w14:paraId="4E35A0BB" w14:textId="0C72E461"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2,7</w:t>
            </w:r>
          </w:p>
        </w:tc>
        <w:tc>
          <w:tcPr>
            <w:tcW w:w="510" w:type="dxa"/>
            <w:tcBorders>
              <w:top w:val="nil"/>
              <w:left w:val="nil"/>
              <w:bottom w:val="single" w:sz="4" w:space="0" w:color="auto"/>
              <w:right w:val="nil"/>
            </w:tcBorders>
            <w:shd w:val="clear" w:color="000000" w:fill="FFFFFF"/>
            <w:vAlign w:val="center"/>
          </w:tcPr>
          <w:p w14:paraId="7A6413ED" w14:textId="34DF9E3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3,4</w:t>
            </w:r>
          </w:p>
        </w:tc>
        <w:tc>
          <w:tcPr>
            <w:tcW w:w="510" w:type="dxa"/>
            <w:tcBorders>
              <w:top w:val="nil"/>
              <w:left w:val="nil"/>
              <w:bottom w:val="single" w:sz="4" w:space="0" w:color="auto"/>
              <w:right w:val="nil"/>
            </w:tcBorders>
            <w:shd w:val="clear" w:color="auto" w:fill="D9D9D9" w:themeFill="background1" w:themeFillShade="D9"/>
            <w:vAlign w:val="center"/>
          </w:tcPr>
          <w:p w14:paraId="6C5D5DCF" w14:textId="3D2C101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000000" w:fill="FFFFFF"/>
            <w:vAlign w:val="center"/>
          </w:tcPr>
          <w:p w14:paraId="54E4D1FF" w14:textId="7F260EEA"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auto" w:fill="D9D9D9" w:themeFill="background1" w:themeFillShade="D9"/>
            <w:vAlign w:val="center"/>
          </w:tcPr>
          <w:p w14:paraId="695910F4" w14:textId="7D03177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000000" w:fill="FFFFFF"/>
            <w:vAlign w:val="center"/>
          </w:tcPr>
          <w:p w14:paraId="18EC615F" w14:textId="1FE6F4A1"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3,0</w:t>
            </w:r>
          </w:p>
        </w:tc>
        <w:tc>
          <w:tcPr>
            <w:tcW w:w="510" w:type="dxa"/>
            <w:tcBorders>
              <w:top w:val="nil"/>
              <w:left w:val="nil"/>
              <w:bottom w:val="single" w:sz="4" w:space="0" w:color="auto"/>
              <w:right w:val="nil"/>
            </w:tcBorders>
            <w:shd w:val="clear" w:color="auto" w:fill="D9D9D9" w:themeFill="background1" w:themeFillShade="D9"/>
            <w:vAlign w:val="center"/>
          </w:tcPr>
          <w:p w14:paraId="3F602F3C" w14:textId="08EB1594"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3,0</w:t>
            </w:r>
          </w:p>
        </w:tc>
        <w:tc>
          <w:tcPr>
            <w:tcW w:w="510" w:type="dxa"/>
            <w:tcBorders>
              <w:top w:val="nil"/>
              <w:left w:val="nil"/>
              <w:bottom w:val="single" w:sz="4" w:space="0" w:color="auto"/>
              <w:right w:val="nil"/>
            </w:tcBorders>
            <w:shd w:val="clear" w:color="000000" w:fill="FFFFFF"/>
            <w:vAlign w:val="center"/>
          </w:tcPr>
          <w:p w14:paraId="6800F3B3" w14:textId="5FE5C30E"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auto" w:fill="D9D9D9" w:themeFill="background1" w:themeFillShade="D9"/>
            <w:vAlign w:val="center"/>
          </w:tcPr>
          <w:p w14:paraId="0792113E" w14:textId="16D82FDC"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2,5</w:t>
            </w:r>
          </w:p>
        </w:tc>
      </w:tr>
      <w:tr w:rsidR="00DB7B60" w:rsidRPr="001D642A" w14:paraId="6D235724" w14:textId="77777777" w:rsidTr="00DB7B60">
        <w:trPr>
          <w:trHeight w:val="255"/>
          <w:jc w:val="center"/>
        </w:trPr>
        <w:tc>
          <w:tcPr>
            <w:tcW w:w="3402" w:type="dxa"/>
            <w:vMerge/>
            <w:tcBorders>
              <w:top w:val="nil"/>
              <w:left w:val="nil"/>
              <w:bottom w:val="single" w:sz="4" w:space="0" w:color="000000"/>
              <w:right w:val="nil"/>
            </w:tcBorders>
            <w:vAlign w:val="center"/>
            <w:hideMark/>
          </w:tcPr>
          <w:p w14:paraId="2CEC1152"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14:paraId="77613E6B"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auto" w:fill="D9D9D9" w:themeFill="background1" w:themeFillShade="D9"/>
            <w:vAlign w:val="center"/>
          </w:tcPr>
          <w:p w14:paraId="68A48196" w14:textId="116B94D3"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3,2</w:t>
            </w:r>
          </w:p>
        </w:tc>
        <w:tc>
          <w:tcPr>
            <w:tcW w:w="510" w:type="dxa"/>
            <w:tcBorders>
              <w:top w:val="nil"/>
              <w:left w:val="nil"/>
              <w:bottom w:val="single" w:sz="4" w:space="0" w:color="auto"/>
              <w:right w:val="nil"/>
            </w:tcBorders>
            <w:shd w:val="clear" w:color="000000" w:fill="FFFFFF"/>
            <w:vAlign w:val="center"/>
          </w:tcPr>
          <w:p w14:paraId="0A0C34EE" w14:textId="1457BE8F"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auto" w:fill="D9D9D9" w:themeFill="background1" w:themeFillShade="D9"/>
            <w:vAlign w:val="center"/>
          </w:tcPr>
          <w:p w14:paraId="11575559" w14:textId="0BEEF71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000000" w:fill="FFFFFF"/>
            <w:vAlign w:val="center"/>
          </w:tcPr>
          <w:p w14:paraId="5E71E45D" w14:textId="0E79F350"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2,6</w:t>
            </w:r>
          </w:p>
        </w:tc>
        <w:tc>
          <w:tcPr>
            <w:tcW w:w="510" w:type="dxa"/>
            <w:tcBorders>
              <w:top w:val="nil"/>
              <w:left w:val="nil"/>
              <w:bottom w:val="single" w:sz="4" w:space="0" w:color="auto"/>
              <w:right w:val="nil"/>
            </w:tcBorders>
            <w:shd w:val="clear" w:color="auto" w:fill="D9D9D9" w:themeFill="background1" w:themeFillShade="D9"/>
            <w:vAlign w:val="center"/>
          </w:tcPr>
          <w:p w14:paraId="5252A3FE" w14:textId="526B634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2,8</w:t>
            </w:r>
          </w:p>
        </w:tc>
        <w:tc>
          <w:tcPr>
            <w:tcW w:w="510" w:type="dxa"/>
            <w:tcBorders>
              <w:top w:val="nil"/>
              <w:left w:val="nil"/>
              <w:bottom w:val="single" w:sz="4" w:space="0" w:color="auto"/>
              <w:right w:val="nil"/>
            </w:tcBorders>
            <w:shd w:val="clear" w:color="000000" w:fill="FFFFFF"/>
            <w:vAlign w:val="center"/>
          </w:tcPr>
          <w:p w14:paraId="476A29CE" w14:textId="3BE7E633"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3,4</w:t>
            </w:r>
          </w:p>
        </w:tc>
        <w:tc>
          <w:tcPr>
            <w:tcW w:w="510" w:type="dxa"/>
            <w:tcBorders>
              <w:top w:val="nil"/>
              <w:left w:val="nil"/>
              <w:bottom w:val="single" w:sz="4" w:space="0" w:color="auto"/>
              <w:right w:val="nil"/>
            </w:tcBorders>
            <w:shd w:val="clear" w:color="auto" w:fill="D9D9D9" w:themeFill="background1" w:themeFillShade="D9"/>
            <w:vAlign w:val="center"/>
          </w:tcPr>
          <w:p w14:paraId="4ED29834" w14:textId="53BAC87A"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000000" w:fill="FFFFFF"/>
            <w:vAlign w:val="center"/>
          </w:tcPr>
          <w:p w14:paraId="0025F0F7" w14:textId="6EE8A222"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3,0</w:t>
            </w:r>
          </w:p>
        </w:tc>
        <w:tc>
          <w:tcPr>
            <w:tcW w:w="510" w:type="dxa"/>
            <w:tcBorders>
              <w:top w:val="nil"/>
              <w:left w:val="nil"/>
              <w:bottom w:val="single" w:sz="4" w:space="0" w:color="auto"/>
              <w:right w:val="nil"/>
            </w:tcBorders>
            <w:shd w:val="clear" w:color="auto" w:fill="D9D9D9" w:themeFill="background1" w:themeFillShade="D9"/>
            <w:vAlign w:val="center"/>
          </w:tcPr>
          <w:p w14:paraId="4A99E0B0" w14:textId="522A077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3,0</w:t>
            </w:r>
          </w:p>
        </w:tc>
        <w:tc>
          <w:tcPr>
            <w:tcW w:w="510" w:type="dxa"/>
            <w:tcBorders>
              <w:top w:val="nil"/>
              <w:left w:val="nil"/>
              <w:bottom w:val="single" w:sz="4" w:space="0" w:color="auto"/>
              <w:right w:val="nil"/>
            </w:tcBorders>
            <w:shd w:val="clear" w:color="000000" w:fill="FFFFFF"/>
            <w:vAlign w:val="center"/>
          </w:tcPr>
          <w:p w14:paraId="0C4D992F" w14:textId="4F9A2BA5"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3,0</w:t>
            </w:r>
          </w:p>
        </w:tc>
        <w:tc>
          <w:tcPr>
            <w:tcW w:w="510" w:type="dxa"/>
            <w:tcBorders>
              <w:top w:val="nil"/>
              <w:left w:val="nil"/>
              <w:bottom w:val="single" w:sz="4" w:space="0" w:color="auto"/>
              <w:right w:val="nil"/>
            </w:tcBorders>
            <w:shd w:val="clear" w:color="auto" w:fill="D9D9D9" w:themeFill="background1" w:themeFillShade="D9"/>
            <w:vAlign w:val="center"/>
          </w:tcPr>
          <w:p w14:paraId="17FA4863" w14:textId="75259507"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3,0</w:t>
            </w:r>
          </w:p>
        </w:tc>
        <w:tc>
          <w:tcPr>
            <w:tcW w:w="510" w:type="dxa"/>
            <w:tcBorders>
              <w:top w:val="nil"/>
              <w:left w:val="nil"/>
              <w:bottom w:val="single" w:sz="4" w:space="0" w:color="auto"/>
              <w:right w:val="nil"/>
            </w:tcBorders>
            <w:shd w:val="clear" w:color="000000" w:fill="FFFFFF"/>
            <w:vAlign w:val="center"/>
          </w:tcPr>
          <w:p w14:paraId="77B7CD29" w14:textId="69834AA6"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2,9</w:t>
            </w:r>
          </w:p>
        </w:tc>
        <w:tc>
          <w:tcPr>
            <w:tcW w:w="510" w:type="dxa"/>
            <w:tcBorders>
              <w:top w:val="nil"/>
              <w:left w:val="nil"/>
              <w:bottom w:val="single" w:sz="4" w:space="0" w:color="auto"/>
              <w:right w:val="nil"/>
            </w:tcBorders>
            <w:shd w:val="clear" w:color="auto" w:fill="D9D9D9" w:themeFill="background1" w:themeFillShade="D9"/>
            <w:vAlign w:val="center"/>
          </w:tcPr>
          <w:p w14:paraId="61469DDF" w14:textId="603141F2"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2,6</w:t>
            </w:r>
          </w:p>
        </w:tc>
      </w:tr>
      <w:tr w:rsidR="00DB7B60" w:rsidRPr="00313984" w14:paraId="05940809" w14:textId="77777777" w:rsidTr="00DB7B60">
        <w:trPr>
          <w:trHeight w:val="255"/>
          <w:jc w:val="center"/>
        </w:trPr>
        <w:tc>
          <w:tcPr>
            <w:tcW w:w="3402" w:type="dxa"/>
            <w:vMerge w:val="restart"/>
            <w:tcBorders>
              <w:top w:val="nil"/>
              <w:left w:val="nil"/>
              <w:bottom w:val="single" w:sz="4" w:space="0" w:color="000000"/>
              <w:right w:val="nil"/>
            </w:tcBorders>
            <w:shd w:val="clear" w:color="000000" w:fill="FF0000"/>
            <w:vAlign w:val="center"/>
            <w:hideMark/>
          </w:tcPr>
          <w:p w14:paraId="7FD2E5D4" w14:textId="77777777" w:rsidR="00DB7B60" w:rsidRPr="001D642A" w:rsidRDefault="00DB7B60" w:rsidP="00DB7B60">
            <w:pPr>
              <w:widowControl/>
              <w:overflowPunct/>
              <w:autoSpaceDE/>
              <w:autoSpaceDN/>
              <w:adjustRightInd/>
              <w:spacing w:before="0" w:after="0"/>
              <w:rPr>
                <w:rFonts w:ascii="Arial Narrow" w:hAnsi="Arial Narrow"/>
                <w:b/>
                <w:bCs/>
                <w:color w:val="FFFFFF"/>
                <w:kern w:val="0"/>
                <w:sz w:val="18"/>
                <w:szCs w:val="18"/>
              </w:rPr>
            </w:pPr>
            <w:r w:rsidRPr="001D642A">
              <w:rPr>
                <w:rFonts w:ascii="Arial Narrow" w:hAnsi="Arial Narrow"/>
                <w:b/>
                <w:bCs/>
                <w:color w:val="FFFFFF"/>
                <w:kern w:val="0"/>
                <w:sz w:val="18"/>
                <w:szCs w:val="18"/>
              </w:rPr>
              <w:t>Indice generale</w:t>
            </w:r>
          </w:p>
        </w:tc>
        <w:tc>
          <w:tcPr>
            <w:tcW w:w="286" w:type="dxa"/>
            <w:tcBorders>
              <w:top w:val="nil"/>
              <w:left w:val="nil"/>
              <w:bottom w:val="single" w:sz="4" w:space="0" w:color="auto"/>
              <w:right w:val="nil"/>
            </w:tcBorders>
            <w:shd w:val="clear" w:color="auto" w:fill="FF0000"/>
            <w:noWrap/>
            <w:vAlign w:val="center"/>
            <w:hideMark/>
          </w:tcPr>
          <w:p w14:paraId="58C7E9A1" w14:textId="77777777" w:rsidR="00DB7B60" w:rsidRPr="00E96568" w:rsidRDefault="00DB7B60" w:rsidP="00DB7B60">
            <w:pPr>
              <w:widowControl/>
              <w:overflowPunct/>
              <w:autoSpaceDE/>
              <w:autoSpaceDN/>
              <w:adjustRightInd/>
              <w:spacing w:before="0" w:after="0"/>
              <w:jc w:val="center"/>
              <w:rPr>
                <w:rFonts w:ascii="Arial Narrow" w:hAnsi="Arial Narrow"/>
                <w:b/>
                <w:bCs/>
                <w:color w:val="FFFFFF" w:themeColor="background1"/>
                <w:kern w:val="0"/>
                <w:sz w:val="17"/>
                <w:szCs w:val="17"/>
              </w:rPr>
            </w:pPr>
            <w:r w:rsidRPr="00E96568">
              <w:rPr>
                <w:rFonts w:ascii="Arial Narrow" w:hAnsi="Arial Narrow"/>
                <w:b/>
                <w:bCs/>
                <w:color w:val="FFFFFF" w:themeColor="background1"/>
                <w:kern w:val="0"/>
                <w:sz w:val="17"/>
                <w:szCs w:val="17"/>
              </w:rPr>
              <w:t>P</w:t>
            </w:r>
          </w:p>
        </w:tc>
        <w:tc>
          <w:tcPr>
            <w:tcW w:w="510" w:type="dxa"/>
            <w:tcBorders>
              <w:top w:val="nil"/>
              <w:left w:val="nil"/>
              <w:bottom w:val="single" w:sz="4" w:space="0" w:color="auto"/>
              <w:right w:val="nil"/>
            </w:tcBorders>
            <w:shd w:val="clear" w:color="auto" w:fill="FF0000"/>
            <w:vAlign w:val="center"/>
          </w:tcPr>
          <w:p w14:paraId="085AA9D2" w14:textId="108C816A" w:rsidR="00DB7B60" w:rsidRPr="00E96568" w:rsidRDefault="00DB7B60" w:rsidP="00DB7B60">
            <w:pPr>
              <w:spacing w:before="0" w:after="0"/>
              <w:jc w:val="right"/>
              <w:rPr>
                <w:rFonts w:ascii="Arial Narrow" w:hAnsi="Arial Narrow" w:cs="Calibri"/>
                <w:b/>
                <w:color w:val="FFFFFF" w:themeColor="background1"/>
                <w:sz w:val="18"/>
                <w:szCs w:val="18"/>
              </w:rPr>
            </w:pPr>
            <w:r w:rsidRPr="00E96568">
              <w:rPr>
                <w:rFonts w:ascii="Arial Narrow" w:hAnsi="Arial Narrow" w:cs="Calibri"/>
                <w:b/>
                <w:color w:val="FFFFFF" w:themeColor="background1"/>
                <w:sz w:val="18"/>
                <w:szCs w:val="18"/>
              </w:rPr>
              <w:t>1,6</w:t>
            </w:r>
          </w:p>
        </w:tc>
        <w:tc>
          <w:tcPr>
            <w:tcW w:w="510" w:type="dxa"/>
            <w:tcBorders>
              <w:top w:val="nil"/>
              <w:left w:val="nil"/>
              <w:bottom w:val="single" w:sz="4" w:space="0" w:color="auto"/>
              <w:right w:val="nil"/>
            </w:tcBorders>
            <w:shd w:val="clear" w:color="auto" w:fill="FF0000"/>
            <w:vAlign w:val="center"/>
          </w:tcPr>
          <w:p w14:paraId="19319916" w14:textId="2B523E72" w:rsidR="00DB7B60" w:rsidRPr="00E96568" w:rsidRDefault="00DB7B60" w:rsidP="00DB7B60">
            <w:pPr>
              <w:spacing w:before="0" w:after="0"/>
              <w:jc w:val="right"/>
              <w:rPr>
                <w:rFonts w:ascii="Arial Narrow" w:hAnsi="Arial Narrow" w:cs="Calibri"/>
                <w:b/>
                <w:color w:val="FFFFFF" w:themeColor="background1"/>
                <w:sz w:val="18"/>
                <w:szCs w:val="18"/>
              </w:rPr>
            </w:pPr>
            <w:r w:rsidRPr="00E96568">
              <w:rPr>
                <w:rFonts w:ascii="Arial Narrow" w:hAnsi="Arial Narrow" w:cs="Calibri"/>
                <w:b/>
                <w:color w:val="FFFFFF" w:themeColor="background1"/>
                <w:sz w:val="18"/>
                <w:szCs w:val="18"/>
              </w:rPr>
              <w:t>1,4</w:t>
            </w:r>
          </w:p>
        </w:tc>
        <w:tc>
          <w:tcPr>
            <w:tcW w:w="510" w:type="dxa"/>
            <w:tcBorders>
              <w:top w:val="nil"/>
              <w:left w:val="nil"/>
              <w:bottom w:val="single" w:sz="4" w:space="0" w:color="auto"/>
              <w:right w:val="nil"/>
            </w:tcBorders>
            <w:shd w:val="clear" w:color="auto" w:fill="FF0000"/>
            <w:vAlign w:val="center"/>
          </w:tcPr>
          <w:p w14:paraId="1ECA9286" w14:textId="60033BBD" w:rsidR="00DB7B60" w:rsidRPr="00E96568" w:rsidRDefault="00DB7B60" w:rsidP="00DB7B60">
            <w:pPr>
              <w:spacing w:before="0" w:after="0"/>
              <w:jc w:val="right"/>
              <w:rPr>
                <w:rFonts w:ascii="Arial Narrow" w:hAnsi="Arial Narrow" w:cs="Calibri"/>
                <w:b/>
                <w:color w:val="FFFFFF" w:themeColor="background1"/>
                <w:sz w:val="18"/>
                <w:szCs w:val="18"/>
              </w:rPr>
            </w:pPr>
            <w:r w:rsidRPr="00E96568">
              <w:rPr>
                <w:rFonts w:ascii="Arial Narrow" w:hAnsi="Arial Narrow" w:cs="Calibri"/>
                <w:b/>
                <w:color w:val="FFFFFF" w:themeColor="background1"/>
                <w:sz w:val="18"/>
                <w:szCs w:val="18"/>
              </w:rPr>
              <w:t>1,7</w:t>
            </w:r>
          </w:p>
        </w:tc>
        <w:tc>
          <w:tcPr>
            <w:tcW w:w="510" w:type="dxa"/>
            <w:tcBorders>
              <w:top w:val="nil"/>
              <w:left w:val="nil"/>
              <w:bottom w:val="single" w:sz="4" w:space="0" w:color="auto"/>
              <w:right w:val="nil"/>
            </w:tcBorders>
            <w:shd w:val="clear" w:color="auto" w:fill="FF0000"/>
            <w:vAlign w:val="center"/>
          </w:tcPr>
          <w:p w14:paraId="5C63D4A0" w14:textId="602E09BD"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1,7</w:t>
            </w:r>
          </w:p>
        </w:tc>
        <w:tc>
          <w:tcPr>
            <w:tcW w:w="510" w:type="dxa"/>
            <w:tcBorders>
              <w:top w:val="nil"/>
              <w:left w:val="nil"/>
              <w:bottom w:val="single" w:sz="4" w:space="0" w:color="auto"/>
              <w:right w:val="nil"/>
            </w:tcBorders>
            <w:shd w:val="clear" w:color="auto" w:fill="FF0000"/>
            <w:vAlign w:val="center"/>
          </w:tcPr>
          <w:p w14:paraId="7CE0F5EF" w14:textId="50246D9E"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2,1</w:t>
            </w:r>
          </w:p>
        </w:tc>
        <w:tc>
          <w:tcPr>
            <w:tcW w:w="510" w:type="dxa"/>
            <w:tcBorders>
              <w:top w:val="nil"/>
              <w:left w:val="nil"/>
              <w:bottom w:val="single" w:sz="4" w:space="0" w:color="auto"/>
              <w:right w:val="nil"/>
            </w:tcBorders>
            <w:shd w:val="clear" w:color="auto" w:fill="FF0000"/>
            <w:vAlign w:val="center"/>
          </w:tcPr>
          <w:p w14:paraId="5D47BCAC" w14:textId="062FE494"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2,1</w:t>
            </w:r>
          </w:p>
        </w:tc>
        <w:tc>
          <w:tcPr>
            <w:tcW w:w="510" w:type="dxa"/>
            <w:tcBorders>
              <w:top w:val="nil"/>
              <w:left w:val="nil"/>
              <w:bottom w:val="single" w:sz="4" w:space="0" w:color="auto"/>
              <w:right w:val="nil"/>
            </w:tcBorders>
            <w:shd w:val="clear" w:color="auto" w:fill="FF0000"/>
            <w:vAlign w:val="center"/>
          </w:tcPr>
          <w:p w14:paraId="241DED39" w14:textId="786ECDAC"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1,9</w:t>
            </w:r>
          </w:p>
        </w:tc>
        <w:tc>
          <w:tcPr>
            <w:tcW w:w="510" w:type="dxa"/>
            <w:tcBorders>
              <w:top w:val="nil"/>
              <w:left w:val="nil"/>
              <w:bottom w:val="single" w:sz="4" w:space="0" w:color="auto"/>
              <w:right w:val="nil"/>
            </w:tcBorders>
            <w:shd w:val="clear" w:color="auto" w:fill="FF0000"/>
            <w:vAlign w:val="center"/>
          </w:tcPr>
          <w:p w14:paraId="2B227C46" w14:textId="098E8DF7"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1,7</w:t>
            </w:r>
          </w:p>
        </w:tc>
        <w:tc>
          <w:tcPr>
            <w:tcW w:w="510" w:type="dxa"/>
            <w:tcBorders>
              <w:top w:val="nil"/>
              <w:left w:val="nil"/>
              <w:bottom w:val="single" w:sz="4" w:space="0" w:color="auto"/>
              <w:right w:val="nil"/>
            </w:tcBorders>
            <w:shd w:val="clear" w:color="auto" w:fill="FF0000"/>
            <w:vAlign w:val="center"/>
          </w:tcPr>
          <w:p w14:paraId="650657BA" w14:textId="4CEFAE79"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1,7</w:t>
            </w:r>
          </w:p>
        </w:tc>
        <w:tc>
          <w:tcPr>
            <w:tcW w:w="510" w:type="dxa"/>
            <w:tcBorders>
              <w:top w:val="nil"/>
              <w:left w:val="nil"/>
              <w:bottom w:val="single" w:sz="4" w:space="0" w:color="auto"/>
              <w:right w:val="nil"/>
            </w:tcBorders>
            <w:shd w:val="clear" w:color="auto" w:fill="FF0000"/>
            <w:vAlign w:val="center"/>
          </w:tcPr>
          <w:p w14:paraId="3F6073A8" w14:textId="3B939972"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1,7</w:t>
            </w:r>
          </w:p>
        </w:tc>
        <w:tc>
          <w:tcPr>
            <w:tcW w:w="510" w:type="dxa"/>
            <w:tcBorders>
              <w:top w:val="nil"/>
              <w:left w:val="nil"/>
              <w:bottom w:val="single" w:sz="4" w:space="0" w:color="auto"/>
              <w:right w:val="nil"/>
            </w:tcBorders>
            <w:shd w:val="clear" w:color="auto" w:fill="FF0000"/>
            <w:vAlign w:val="center"/>
          </w:tcPr>
          <w:p w14:paraId="7241BBE2" w14:textId="4D599700"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1,8</w:t>
            </w:r>
          </w:p>
        </w:tc>
        <w:tc>
          <w:tcPr>
            <w:tcW w:w="510" w:type="dxa"/>
            <w:tcBorders>
              <w:top w:val="nil"/>
              <w:left w:val="nil"/>
              <w:bottom w:val="single" w:sz="4" w:space="0" w:color="auto"/>
              <w:right w:val="nil"/>
            </w:tcBorders>
            <w:shd w:val="clear" w:color="auto" w:fill="FF0000"/>
            <w:vAlign w:val="center"/>
          </w:tcPr>
          <w:p w14:paraId="5ED1D4B8" w14:textId="5EA15C22"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1,3</w:t>
            </w:r>
          </w:p>
        </w:tc>
        <w:tc>
          <w:tcPr>
            <w:tcW w:w="510" w:type="dxa"/>
            <w:tcBorders>
              <w:top w:val="nil"/>
              <w:left w:val="nil"/>
              <w:bottom w:val="single" w:sz="4" w:space="0" w:color="auto"/>
              <w:right w:val="nil"/>
            </w:tcBorders>
            <w:shd w:val="clear" w:color="auto" w:fill="FF0000"/>
            <w:vAlign w:val="center"/>
          </w:tcPr>
          <w:p w14:paraId="32DA8E5B" w14:textId="2B6533DA" w:rsidR="00DB7B60" w:rsidRPr="00DB7B60" w:rsidRDefault="00DB7B60" w:rsidP="00DB7B60">
            <w:pPr>
              <w:spacing w:before="0" w:after="0"/>
              <w:jc w:val="right"/>
              <w:rPr>
                <w:rFonts w:ascii="Arial Narrow" w:hAnsi="Arial Narrow" w:cs="Calibri"/>
                <w:b/>
                <w:bCs/>
                <w:color w:val="FFFFFF" w:themeColor="background1"/>
                <w:sz w:val="18"/>
                <w:szCs w:val="18"/>
              </w:rPr>
            </w:pPr>
            <w:r w:rsidRPr="00DB7B60">
              <w:rPr>
                <w:rFonts w:ascii="Arial Narrow" w:hAnsi="Arial Narrow" w:cs="Calibri"/>
                <w:b/>
                <w:bCs/>
                <w:color w:val="FFFFFF" w:themeColor="background1"/>
                <w:sz w:val="18"/>
                <w:szCs w:val="18"/>
              </w:rPr>
              <w:t>1,1</w:t>
            </w:r>
          </w:p>
        </w:tc>
      </w:tr>
      <w:tr w:rsidR="00DB7B60" w:rsidRPr="00313984" w14:paraId="59B75AC7" w14:textId="77777777" w:rsidTr="00DB7B60">
        <w:trPr>
          <w:trHeight w:val="255"/>
          <w:jc w:val="center"/>
        </w:trPr>
        <w:tc>
          <w:tcPr>
            <w:tcW w:w="3402" w:type="dxa"/>
            <w:vMerge/>
            <w:tcBorders>
              <w:top w:val="nil"/>
              <w:left w:val="nil"/>
              <w:bottom w:val="single" w:sz="4" w:space="0" w:color="000000"/>
              <w:right w:val="nil"/>
            </w:tcBorders>
            <w:vAlign w:val="center"/>
            <w:hideMark/>
          </w:tcPr>
          <w:p w14:paraId="1B0505FB" w14:textId="77777777" w:rsidR="00DB7B60" w:rsidRPr="001D642A" w:rsidRDefault="00DB7B60" w:rsidP="00DB7B60">
            <w:pPr>
              <w:widowControl/>
              <w:overflowPunct/>
              <w:autoSpaceDE/>
              <w:autoSpaceDN/>
              <w:adjustRightInd/>
              <w:spacing w:before="0" w:after="0"/>
              <w:rPr>
                <w:rFonts w:ascii="Arial Narrow" w:hAnsi="Arial Narrow"/>
                <w:b/>
                <w:bCs/>
                <w:color w:val="FFFFFF"/>
                <w:kern w:val="0"/>
                <w:sz w:val="18"/>
                <w:szCs w:val="18"/>
              </w:rPr>
            </w:pPr>
          </w:p>
        </w:tc>
        <w:tc>
          <w:tcPr>
            <w:tcW w:w="286" w:type="dxa"/>
            <w:tcBorders>
              <w:top w:val="nil"/>
              <w:left w:val="nil"/>
              <w:bottom w:val="single" w:sz="4" w:space="0" w:color="auto"/>
              <w:right w:val="nil"/>
            </w:tcBorders>
            <w:shd w:val="clear" w:color="auto" w:fill="FF0000"/>
            <w:noWrap/>
            <w:vAlign w:val="center"/>
            <w:hideMark/>
          </w:tcPr>
          <w:p w14:paraId="2AC33751" w14:textId="77777777" w:rsidR="00DB7B60" w:rsidRPr="00E96568" w:rsidRDefault="00DB7B60" w:rsidP="00DB7B60">
            <w:pPr>
              <w:widowControl/>
              <w:overflowPunct/>
              <w:autoSpaceDE/>
              <w:autoSpaceDN/>
              <w:adjustRightInd/>
              <w:spacing w:before="0" w:after="0"/>
              <w:jc w:val="center"/>
              <w:rPr>
                <w:rFonts w:ascii="Arial Narrow" w:hAnsi="Arial Narrow"/>
                <w:b/>
                <w:bCs/>
                <w:color w:val="FFFFFF" w:themeColor="background1"/>
                <w:kern w:val="0"/>
                <w:sz w:val="17"/>
                <w:szCs w:val="17"/>
              </w:rPr>
            </w:pPr>
            <w:r w:rsidRPr="00E96568">
              <w:rPr>
                <w:rFonts w:ascii="Arial Narrow" w:hAnsi="Arial Narrow"/>
                <w:b/>
                <w:bCs/>
                <w:color w:val="FFFFFF" w:themeColor="background1"/>
                <w:kern w:val="0"/>
                <w:sz w:val="17"/>
                <w:szCs w:val="17"/>
              </w:rPr>
              <w:t>D</w:t>
            </w:r>
          </w:p>
        </w:tc>
        <w:tc>
          <w:tcPr>
            <w:tcW w:w="510" w:type="dxa"/>
            <w:tcBorders>
              <w:top w:val="nil"/>
              <w:left w:val="nil"/>
              <w:bottom w:val="single" w:sz="4" w:space="0" w:color="auto"/>
              <w:right w:val="nil"/>
            </w:tcBorders>
            <w:shd w:val="clear" w:color="auto" w:fill="FF0000"/>
            <w:vAlign w:val="center"/>
          </w:tcPr>
          <w:p w14:paraId="1E2DDCB2" w14:textId="2BA100C2" w:rsidR="00DB7B60" w:rsidRPr="00E96568" w:rsidRDefault="00DB7B60" w:rsidP="00DB7B60">
            <w:pPr>
              <w:spacing w:before="0" w:after="0"/>
              <w:jc w:val="right"/>
              <w:rPr>
                <w:rFonts w:ascii="Arial Narrow" w:hAnsi="Arial Narrow" w:cs="Calibri"/>
                <w:b/>
                <w:color w:val="FFFFFF" w:themeColor="background1"/>
                <w:sz w:val="18"/>
                <w:szCs w:val="18"/>
              </w:rPr>
            </w:pPr>
            <w:r w:rsidRPr="00E96568">
              <w:rPr>
                <w:rFonts w:ascii="Arial Narrow" w:hAnsi="Arial Narrow" w:cs="Calibri"/>
                <w:b/>
                <w:color w:val="FFFFFF" w:themeColor="background1"/>
                <w:sz w:val="18"/>
                <w:szCs w:val="18"/>
              </w:rPr>
              <w:t>1,5</w:t>
            </w:r>
          </w:p>
        </w:tc>
        <w:tc>
          <w:tcPr>
            <w:tcW w:w="510" w:type="dxa"/>
            <w:tcBorders>
              <w:top w:val="nil"/>
              <w:left w:val="nil"/>
              <w:bottom w:val="single" w:sz="4" w:space="0" w:color="auto"/>
              <w:right w:val="nil"/>
            </w:tcBorders>
            <w:shd w:val="clear" w:color="auto" w:fill="FF0000"/>
            <w:vAlign w:val="center"/>
          </w:tcPr>
          <w:p w14:paraId="607849F7" w14:textId="4E914A72" w:rsidR="00DB7B60" w:rsidRPr="00E96568" w:rsidRDefault="00DB7B60" w:rsidP="00DB7B60">
            <w:pPr>
              <w:spacing w:before="0" w:after="0"/>
              <w:jc w:val="right"/>
              <w:rPr>
                <w:rFonts w:ascii="Arial Narrow" w:hAnsi="Arial Narrow" w:cs="Calibri"/>
                <w:b/>
                <w:color w:val="FFFFFF" w:themeColor="background1"/>
                <w:sz w:val="18"/>
                <w:szCs w:val="18"/>
              </w:rPr>
            </w:pPr>
            <w:r w:rsidRPr="00E96568">
              <w:rPr>
                <w:rFonts w:ascii="Arial Narrow" w:hAnsi="Arial Narrow" w:cs="Calibri"/>
                <w:b/>
                <w:color w:val="FFFFFF" w:themeColor="background1"/>
                <w:sz w:val="18"/>
                <w:szCs w:val="18"/>
              </w:rPr>
              <w:t>1,4</w:t>
            </w:r>
          </w:p>
        </w:tc>
        <w:tc>
          <w:tcPr>
            <w:tcW w:w="510" w:type="dxa"/>
            <w:tcBorders>
              <w:top w:val="nil"/>
              <w:left w:val="nil"/>
              <w:bottom w:val="single" w:sz="4" w:space="0" w:color="auto"/>
              <w:right w:val="nil"/>
            </w:tcBorders>
            <w:shd w:val="clear" w:color="auto" w:fill="FF0000"/>
            <w:vAlign w:val="center"/>
          </w:tcPr>
          <w:p w14:paraId="01BA7681" w14:textId="1064B971" w:rsidR="00DB7B60" w:rsidRPr="00E96568" w:rsidRDefault="00DB7B60" w:rsidP="00DB7B60">
            <w:pPr>
              <w:spacing w:before="0" w:after="0"/>
              <w:jc w:val="right"/>
              <w:rPr>
                <w:rFonts w:ascii="Arial Narrow" w:hAnsi="Arial Narrow" w:cs="Calibri"/>
                <w:b/>
                <w:color w:val="FFFFFF" w:themeColor="background1"/>
                <w:sz w:val="18"/>
                <w:szCs w:val="18"/>
              </w:rPr>
            </w:pPr>
            <w:r w:rsidRPr="00E96568">
              <w:rPr>
                <w:rFonts w:ascii="Arial Narrow" w:hAnsi="Arial Narrow" w:cs="Calibri"/>
                <w:b/>
                <w:color w:val="FFFFFF" w:themeColor="background1"/>
                <w:sz w:val="18"/>
                <w:szCs w:val="18"/>
              </w:rPr>
              <w:t>1,7</w:t>
            </w:r>
          </w:p>
        </w:tc>
        <w:tc>
          <w:tcPr>
            <w:tcW w:w="510" w:type="dxa"/>
            <w:tcBorders>
              <w:top w:val="nil"/>
              <w:left w:val="nil"/>
              <w:bottom w:val="single" w:sz="4" w:space="0" w:color="auto"/>
              <w:right w:val="nil"/>
            </w:tcBorders>
            <w:shd w:val="clear" w:color="auto" w:fill="FF0000"/>
            <w:vAlign w:val="center"/>
          </w:tcPr>
          <w:p w14:paraId="6960EA4F" w14:textId="2132FE55"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1,7</w:t>
            </w:r>
          </w:p>
        </w:tc>
        <w:tc>
          <w:tcPr>
            <w:tcW w:w="510" w:type="dxa"/>
            <w:tcBorders>
              <w:top w:val="nil"/>
              <w:left w:val="nil"/>
              <w:bottom w:val="single" w:sz="4" w:space="0" w:color="auto"/>
              <w:right w:val="nil"/>
            </w:tcBorders>
            <w:shd w:val="clear" w:color="auto" w:fill="FF0000"/>
            <w:vAlign w:val="center"/>
          </w:tcPr>
          <w:p w14:paraId="4609C26D" w14:textId="760E411F"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2,1</w:t>
            </w:r>
          </w:p>
        </w:tc>
        <w:tc>
          <w:tcPr>
            <w:tcW w:w="510" w:type="dxa"/>
            <w:tcBorders>
              <w:top w:val="nil"/>
              <w:left w:val="nil"/>
              <w:bottom w:val="single" w:sz="4" w:space="0" w:color="auto"/>
              <w:right w:val="nil"/>
            </w:tcBorders>
            <w:shd w:val="clear" w:color="auto" w:fill="FF0000"/>
            <w:vAlign w:val="center"/>
          </w:tcPr>
          <w:p w14:paraId="7F74A563" w14:textId="45533FA1"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2,0</w:t>
            </w:r>
          </w:p>
        </w:tc>
        <w:tc>
          <w:tcPr>
            <w:tcW w:w="510" w:type="dxa"/>
            <w:tcBorders>
              <w:top w:val="nil"/>
              <w:left w:val="nil"/>
              <w:bottom w:val="single" w:sz="4" w:space="0" w:color="auto"/>
              <w:right w:val="nil"/>
            </w:tcBorders>
            <w:shd w:val="clear" w:color="auto" w:fill="FF0000"/>
            <w:vAlign w:val="center"/>
          </w:tcPr>
          <w:p w14:paraId="38F9C658" w14:textId="5A7DC5EF"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1,7</w:t>
            </w:r>
          </w:p>
        </w:tc>
        <w:tc>
          <w:tcPr>
            <w:tcW w:w="510" w:type="dxa"/>
            <w:tcBorders>
              <w:top w:val="nil"/>
              <w:left w:val="nil"/>
              <w:bottom w:val="single" w:sz="4" w:space="0" w:color="auto"/>
              <w:right w:val="nil"/>
            </w:tcBorders>
            <w:shd w:val="clear" w:color="auto" w:fill="FF0000"/>
            <w:vAlign w:val="center"/>
          </w:tcPr>
          <w:p w14:paraId="613AEFB7" w14:textId="1AF26FE2"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1,8</w:t>
            </w:r>
          </w:p>
        </w:tc>
        <w:tc>
          <w:tcPr>
            <w:tcW w:w="510" w:type="dxa"/>
            <w:tcBorders>
              <w:top w:val="nil"/>
              <w:left w:val="nil"/>
              <w:bottom w:val="single" w:sz="4" w:space="0" w:color="auto"/>
              <w:right w:val="nil"/>
            </w:tcBorders>
            <w:shd w:val="clear" w:color="auto" w:fill="FF0000"/>
            <w:vAlign w:val="center"/>
          </w:tcPr>
          <w:p w14:paraId="2D0B1FD7" w14:textId="5D9748A1"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1,7</w:t>
            </w:r>
          </w:p>
        </w:tc>
        <w:tc>
          <w:tcPr>
            <w:tcW w:w="510" w:type="dxa"/>
            <w:tcBorders>
              <w:top w:val="nil"/>
              <w:left w:val="nil"/>
              <w:bottom w:val="single" w:sz="4" w:space="0" w:color="auto"/>
              <w:right w:val="nil"/>
            </w:tcBorders>
            <w:shd w:val="clear" w:color="auto" w:fill="FF0000"/>
            <w:vAlign w:val="center"/>
          </w:tcPr>
          <w:p w14:paraId="1ED14536" w14:textId="5B0F059B"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1,6</w:t>
            </w:r>
          </w:p>
        </w:tc>
        <w:tc>
          <w:tcPr>
            <w:tcW w:w="510" w:type="dxa"/>
            <w:tcBorders>
              <w:top w:val="nil"/>
              <w:left w:val="nil"/>
              <w:bottom w:val="single" w:sz="4" w:space="0" w:color="auto"/>
              <w:right w:val="nil"/>
            </w:tcBorders>
            <w:shd w:val="clear" w:color="auto" w:fill="FF0000"/>
            <w:vAlign w:val="center"/>
          </w:tcPr>
          <w:p w14:paraId="5D58F4BE" w14:textId="240EC40E"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1,8</w:t>
            </w:r>
          </w:p>
        </w:tc>
        <w:tc>
          <w:tcPr>
            <w:tcW w:w="510" w:type="dxa"/>
            <w:tcBorders>
              <w:top w:val="nil"/>
              <w:left w:val="nil"/>
              <w:bottom w:val="single" w:sz="4" w:space="0" w:color="auto"/>
              <w:right w:val="nil"/>
            </w:tcBorders>
            <w:shd w:val="clear" w:color="auto" w:fill="FF0000"/>
            <w:vAlign w:val="center"/>
          </w:tcPr>
          <w:p w14:paraId="38B20BD8" w14:textId="16132F19" w:rsidR="00DB7B60" w:rsidRPr="00E96568" w:rsidRDefault="00DB7B60" w:rsidP="00DB7B60">
            <w:pPr>
              <w:spacing w:before="0" w:after="0"/>
              <w:jc w:val="right"/>
              <w:rPr>
                <w:rFonts w:ascii="Arial Narrow" w:hAnsi="Arial Narrow" w:cs="Calibri"/>
                <w:b/>
                <w:color w:val="FFFFFF" w:themeColor="background1"/>
                <w:sz w:val="18"/>
                <w:szCs w:val="18"/>
              </w:rPr>
            </w:pPr>
            <w:r>
              <w:rPr>
                <w:rFonts w:ascii="Arial Narrow" w:hAnsi="Arial Narrow" w:cs="Calibri"/>
                <w:b/>
                <w:color w:val="FFFFFF" w:themeColor="background1"/>
                <w:sz w:val="18"/>
                <w:szCs w:val="18"/>
              </w:rPr>
              <w:t>1,3</w:t>
            </w:r>
          </w:p>
        </w:tc>
        <w:tc>
          <w:tcPr>
            <w:tcW w:w="510" w:type="dxa"/>
            <w:tcBorders>
              <w:top w:val="nil"/>
              <w:left w:val="nil"/>
              <w:bottom w:val="single" w:sz="4" w:space="0" w:color="auto"/>
              <w:right w:val="nil"/>
            </w:tcBorders>
            <w:shd w:val="clear" w:color="auto" w:fill="FF0000"/>
            <w:vAlign w:val="center"/>
          </w:tcPr>
          <w:p w14:paraId="217D29BF" w14:textId="1135552C" w:rsidR="00DB7B60" w:rsidRPr="00DB7B60" w:rsidRDefault="00DB7B60" w:rsidP="00DB7B60">
            <w:pPr>
              <w:spacing w:before="0" w:after="0"/>
              <w:jc w:val="right"/>
              <w:rPr>
                <w:rFonts w:ascii="Arial Narrow" w:hAnsi="Arial Narrow" w:cs="Calibri"/>
                <w:b/>
                <w:bCs/>
                <w:color w:val="FFFFFF" w:themeColor="background1"/>
                <w:sz w:val="18"/>
                <w:szCs w:val="18"/>
              </w:rPr>
            </w:pPr>
            <w:r w:rsidRPr="00DB7B60">
              <w:rPr>
                <w:rFonts w:ascii="Arial Narrow" w:hAnsi="Arial Narrow" w:cs="Calibri"/>
                <w:b/>
                <w:bCs/>
                <w:color w:val="FFFFFF" w:themeColor="background1"/>
                <w:sz w:val="18"/>
                <w:szCs w:val="18"/>
              </w:rPr>
              <w:t>1,1</w:t>
            </w:r>
          </w:p>
        </w:tc>
      </w:tr>
      <w:tr w:rsidR="00DB7B60" w:rsidRPr="001D642A" w14:paraId="5674C59C" w14:textId="77777777" w:rsidTr="00DB7B60">
        <w:trPr>
          <w:trHeight w:val="255"/>
          <w:jc w:val="center"/>
        </w:trPr>
        <w:tc>
          <w:tcPr>
            <w:tcW w:w="3402" w:type="dxa"/>
            <w:vMerge w:val="restart"/>
            <w:tcBorders>
              <w:top w:val="nil"/>
              <w:left w:val="nil"/>
              <w:bottom w:val="single" w:sz="4" w:space="0" w:color="000000"/>
              <w:right w:val="nil"/>
            </w:tcBorders>
            <w:shd w:val="clear" w:color="000000" w:fill="FFFFFF"/>
            <w:vAlign w:val="center"/>
            <w:hideMark/>
          </w:tcPr>
          <w:p w14:paraId="6A226EB0"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Indice generale al netto dell’energia e degli alimentari freschi (Componente di fondo)</w:t>
            </w:r>
          </w:p>
        </w:tc>
        <w:tc>
          <w:tcPr>
            <w:tcW w:w="286" w:type="dxa"/>
            <w:tcBorders>
              <w:top w:val="nil"/>
              <w:left w:val="nil"/>
              <w:bottom w:val="single" w:sz="4" w:space="0" w:color="auto"/>
              <w:right w:val="nil"/>
            </w:tcBorders>
            <w:shd w:val="clear" w:color="000000" w:fill="FFFFFF"/>
            <w:noWrap/>
            <w:vAlign w:val="center"/>
            <w:hideMark/>
          </w:tcPr>
          <w:p w14:paraId="45FD5371"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auto" w:fill="D9D9D9" w:themeFill="background1" w:themeFillShade="D9"/>
            <w:vAlign w:val="center"/>
          </w:tcPr>
          <w:p w14:paraId="2276F968" w14:textId="70A5324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000000" w:fill="FFFFFF"/>
            <w:vAlign w:val="center"/>
          </w:tcPr>
          <w:p w14:paraId="494ADF13" w14:textId="49915CB4"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auto" w:fill="D9D9D9" w:themeFill="background1" w:themeFillShade="D9"/>
            <w:vAlign w:val="center"/>
          </w:tcPr>
          <w:p w14:paraId="585CC301" w14:textId="1959F2B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000000" w:fill="FFFFFF"/>
            <w:vAlign w:val="center"/>
          </w:tcPr>
          <w:p w14:paraId="79B1D4CD" w14:textId="3C179569"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auto" w:fill="D9D9D9" w:themeFill="background1" w:themeFillShade="D9"/>
            <w:vAlign w:val="center"/>
          </w:tcPr>
          <w:p w14:paraId="363DBBB4" w14:textId="77067E65"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000000" w:fill="FFFFFF"/>
            <w:vAlign w:val="center"/>
          </w:tcPr>
          <w:p w14:paraId="7956AC59" w14:textId="60D1FF1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auto" w:fill="D9D9D9" w:themeFill="background1" w:themeFillShade="D9"/>
            <w:vAlign w:val="center"/>
          </w:tcPr>
          <w:p w14:paraId="0D1EC8DF" w14:textId="4C803A55"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000000" w:fill="FFFFFF"/>
            <w:vAlign w:val="center"/>
          </w:tcPr>
          <w:p w14:paraId="710CD446" w14:textId="4103AED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auto" w:fill="D9D9D9" w:themeFill="background1" w:themeFillShade="D9"/>
            <w:vAlign w:val="center"/>
          </w:tcPr>
          <w:p w14:paraId="1438634A" w14:textId="45BCA38B"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000000" w:fill="FFFFFF"/>
            <w:vAlign w:val="center"/>
          </w:tcPr>
          <w:p w14:paraId="5245CA0D" w14:textId="1A409309"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auto" w:fill="D9D9D9" w:themeFill="background1" w:themeFillShade="D9"/>
            <w:vAlign w:val="center"/>
          </w:tcPr>
          <w:p w14:paraId="5A652917" w14:textId="7D06A3E1"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000000" w:fill="FFFFFF"/>
            <w:vAlign w:val="center"/>
          </w:tcPr>
          <w:p w14:paraId="75E6456C" w14:textId="1933960A"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auto" w:fill="D9D9D9" w:themeFill="background1" w:themeFillShade="D9"/>
            <w:vAlign w:val="center"/>
          </w:tcPr>
          <w:p w14:paraId="1E0239EC" w14:textId="1AC40979"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1,9</w:t>
            </w:r>
          </w:p>
        </w:tc>
      </w:tr>
      <w:tr w:rsidR="00DB7B60" w:rsidRPr="001D642A" w14:paraId="2F28A1FD" w14:textId="77777777" w:rsidTr="00DB7B60">
        <w:trPr>
          <w:trHeight w:val="255"/>
          <w:jc w:val="center"/>
        </w:trPr>
        <w:tc>
          <w:tcPr>
            <w:tcW w:w="3402" w:type="dxa"/>
            <w:vMerge/>
            <w:tcBorders>
              <w:top w:val="nil"/>
              <w:left w:val="nil"/>
              <w:bottom w:val="single" w:sz="4" w:space="0" w:color="000000"/>
              <w:right w:val="nil"/>
            </w:tcBorders>
            <w:vAlign w:val="center"/>
            <w:hideMark/>
          </w:tcPr>
          <w:p w14:paraId="58CDD853"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14:paraId="6BF0BC25"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auto" w:fill="D9D9D9" w:themeFill="background1" w:themeFillShade="D9"/>
            <w:vAlign w:val="center"/>
          </w:tcPr>
          <w:p w14:paraId="0D6EC909" w14:textId="56E1A720"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000000" w:fill="FFFFFF"/>
            <w:vAlign w:val="center"/>
          </w:tcPr>
          <w:p w14:paraId="6E231FD4" w14:textId="7ACF909E"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auto" w:fill="D9D9D9" w:themeFill="background1" w:themeFillShade="D9"/>
            <w:vAlign w:val="center"/>
          </w:tcPr>
          <w:p w14:paraId="548905BF" w14:textId="04868206"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000000" w:fill="FFFFFF"/>
            <w:vAlign w:val="center"/>
          </w:tcPr>
          <w:p w14:paraId="27AE426F" w14:textId="4B549D5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auto" w:fill="D9D9D9" w:themeFill="background1" w:themeFillShade="D9"/>
            <w:vAlign w:val="center"/>
          </w:tcPr>
          <w:p w14:paraId="63377231" w14:textId="378548C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000000" w:fill="FFFFFF"/>
            <w:vAlign w:val="center"/>
          </w:tcPr>
          <w:p w14:paraId="6124A1C8" w14:textId="01A373A9"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auto" w:fill="D9D9D9" w:themeFill="background1" w:themeFillShade="D9"/>
            <w:vAlign w:val="center"/>
          </w:tcPr>
          <w:p w14:paraId="555F69A5" w14:textId="608BC542"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000000" w:fill="FFFFFF"/>
            <w:vAlign w:val="center"/>
          </w:tcPr>
          <w:p w14:paraId="4864BFAC" w14:textId="4F65CEA9"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auto" w:fill="D9D9D9" w:themeFill="background1" w:themeFillShade="D9"/>
            <w:vAlign w:val="center"/>
          </w:tcPr>
          <w:p w14:paraId="5C1A166E" w14:textId="5689D0B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000000" w:fill="FFFFFF"/>
            <w:vAlign w:val="center"/>
          </w:tcPr>
          <w:p w14:paraId="6FDB57D8" w14:textId="7BCACDD5"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auto" w:fill="D9D9D9" w:themeFill="background1" w:themeFillShade="D9"/>
            <w:vAlign w:val="center"/>
          </w:tcPr>
          <w:p w14:paraId="4CC5EA29" w14:textId="0520F98D"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000000" w:fill="FFFFFF"/>
            <w:vAlign w:val="center"/>
          </w:tcPr>
          <w:p w14:paraId="5FB507ED" w14:textId="1F7D2267"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auto" w:fill="D9D9D9" w:themeFill="background1" w:themeFillShade="D9"/>
            <w:vAlign w:val="center"/>
          </w:tcPr>
          <w:p w14:paraId="3EFDF18E" w14:textId="02B1F5A2"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1,8</w:t>
            </w:r>
          </w:p>
        </w:tc>
      </w:tr>
      <w:tr w:rsidR="00DB7B60" w:rsidRPr="001D642A" w14:paraId="07C8F0A7" w14:textId="77777777" w:rsidTr="00DB7B60">
        <w:trPr>
          <w:trHeight w:val="255"/>
          <w:jc w:val="center"/>
        </w:trPr>
        <w:tc>
          <w:tcPr>
            <w:tcW w:w="3402" w:type="dxa"/>
            <w:vMerge w:val="restart"/>
            <w:tcBorders>
              <w:top w:val="nil"/>
              <w:left w:val="nil"/>
              <w:bottom w:val="single" w:sz="4" w:space="0" w:color="000000"/>
              <w:right w:val="nil"/>
            </w:tcBorders>
            <w:shd w:val="clear" w:color="000000" w:fill="FFFFFF"/>
            <w:vAlign w:val="center"/>
            <w:hideMark/>
          </w:tcPr>
          <w:p w14:paraId="44DB32BD" w14:textId="77777777" w:rsidR="00DB7B60" w:rsidRPr="001D642A" w:rsidRDefault="00DB7B60" w:rsidP="00DB7B60">
            <w:pPr>
              <w:widowControl/>
              <w:overflowPunct/>
              <w:autoSpaceDE/>
              <w:autoSpaceDN/>
              <w:adjustRightInd/>
              <w:spacing w:before="0" w:after="0"/>
              <w:ind w:right="-70"/>
              <w:rPr>
                <w:rFonts w:ascii="Arial Narrow" w:hAnsi="Arial Narrow"/>
                <w:color w:val="000000"/>
                <w:kern w:val="0"/>
                <w:sz w:val="18"/>
                <w:szCs w:val="18"/>
              </w:rPr>
            </w:pPr>
            <w:r w:rsidRPr="001D642A">
              <w:rPr>
                <w:rFonts w:ascii="Arial Narrow" w:hAnsi="Arial Narrow"/>
                <w:color w:val="000000"/>
                <w:kern w:val="0"/>
                <w:sz w:val="18"/>
                <w:szCs w:val="18"/>
              </w:rPr>
              <w:t>Indice generale al netto di energia, alimentari (incluse bevande alcoliche) e tabacchi</w:t>
            </w:r>
          </w:p>
        </w:tc>
        <w:tc>
          <w:tcPr>
            <w:tcW w:w="286" w:type="dxa"/>
            <w:tcBorders>
              <w:top w:val="nil"/>
              <w:left w:val="nil"/>
              <w:bottom w:val="single" w:sz="4" w:space="0" w:color="auto"/>
              <w:right w:val="nil"/>
            </w:tcBorders>
            <w:shd w:val="clear" w:color="000000" w:fill="FFFFFF"/>
            <w:noWrap/>
            <w:vAlign w:val="center"/>
            <w:hideMark/>
          </w:tcPr>
          <w:p w14:paraId="28364F9C"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auto" w:fill="D9D9D9" w:themeFill="background1" w:themeFillShade="D9"/>
            <w:vAlign w:val="center"/>
          </w:tcPr>
          <w:p w14:paraId="4698CA12" w14:textId="1DB5AD5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000000" w:fill="FFFFFF"/>
            <w:vAlign w:val="center"/>
          </w:tcPr>
          <w:p w14:paraId="6E8CE96E" w14:textId="7BC7B896"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auto" w:fill="D9D9D9" w:themeFill="background1" w:themeFillShade="D9"/>
            <w:vAlign w:val="center"/>
          </w:tcPr>
          <w:p w14:paraId="2EE41972" w14:textId="24FC71E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000000" w:fill="FFFFFF"/>
            <w:vAlign w:val="center"/>
          </w:tcPr>
          <w:p w14:paraId="7FB1073F" w14:textId="634EDE0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1,5</w:t>
            </w:r>
          </w:p>
        </w:tc>
        <w:tc>
          <w:tcPr>
            <w:tcW w:w="510" w:type="dxa"/>
            <w:tcBorders>
              <w:top w:val="nil"/>
              <w:left w:val="nil"/>
              <w:bottom w:val="single" w:sz="4" w:space="0" w:color="auto"/>
              <w:right w:val="nil"/>
            </w:tcBorders>
            <w:shd w:val="clear" w:color="auto" w:fill="D9D9D9" w:themeFill="background1" w:themeFillShade="D9"/>
            <w:vAlign w:val="center"/>
          </w:tcPr>
          <w:p w14:paraId="456FFE1D" w14:textId="7E64D65C"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000000" w:fill="FFFFFF"/>
            <w:vAlign w:val="center"/>
          </w:tcPr>
          <w:p w14:paraId="74746CAF" w14:textId="4442151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auto" w:fill="D9D9D9" w:themeFill="background1" w:themeFillShade="D9"/>
            <w:vAlign w:val="center"/>
          </w:tcPr>
          <w:p w14:paraId="317A60B9" w14:textId="589F9622"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000000" w:fill="FFFFFF"/>
            <w:vAlign w:val="center"/>
          </w:tcPr>
          <w:p w14:paraId="3EDD6975" w14:textId="6B2E1DD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auto" w:fill="D9D9D9" w:themeFill="background1" w:themeFillShade="D9"/>
            <w:vAlign w:val="center"/>
          </w:tcPr>
          <w:p w14:paraId="4F237596" w14:textId="2CA10DBD"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000000" w:fill="FFFFFF"/>
            <w:vAlign w:val="center"/>
          </w:tcPr>
          <w:p w14:paraId="1E62CB4B" w14:textId="394A5571"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auto" w:fill="D9D9D9" w:themeFill="background1" w:themeFillShade="D9"/>
            <w:vAlign w:val="center"/>
          </w:tcPr>
          <w:p w14:paraId="4F1DC0E1" w14:textId="251F6069"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000000" w:fill="FFFFFF"/>
            <w:vAlign w:val="center"/>
          </w:tcPr>
          <w:p w14:paraId="437D6043" w14:textId="2046AC77"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auto" w:fill="D9D9D9" w:themeFill="background1" w:themeFillShade="D9"/>
            <w:vAlign w:val="center"/>
          </w:tcPr>
          <w:p w14:paraId="3BE2D317" w14:textId="3E2AA39B"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1,7</w:t>
            </w:r>
          </w:p>
        </w:tc>
      </w:tr>
      <w:tr w:rsidR="00DB7B60" w:rsidRPr="001D642A" w14:paraId="5B87F42D" w14:textId="77777777" w:rsidTr="00DB7B60">
        <w:trPr>
          <w:trHeight w:val="255"/>
          <w:jc w:val="center"/>
        </w:trPr>
        <w:tc>
          <w:tcPr>
            <w:tcW w:w="3402" w:type="dxa"/>
            <w:vMerge/>
            <w:tcBorders>
              <w:top w:val="nil"/>
              <w:left w:val="nil"/>
              <w:bottom w:val="single" w:sz="4" w:space="0" w:color="000000"/>
              <w:right w:val="nil"/>
            </w:tcBorders>
            <w:vAlign w:val="center"/>
            <w:hideMark/>
          </w:tcPr>
          <w:p w14:paraId="42C4DB3C"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14:paraId="151B58DA"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auto" w:fill="D9D9D9" w:themeFill="background1" w:themeFillShade="D9"/>
            <w:vAlign w:val="center"/>
          </w:tcPr>
          <w:p w14:paraId="552C64AF" w14:textId="589486A5"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000000" w:fill="FFFFFF"/>
            <w:vAlign w:val="center"/>
          </w:tcPr>
          <w:p w14:paraId="231F5DF9" w14:textId="3B9B4B65"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auto" w:fill="D9D9D9" w:themeFill="background1" w:themeFillShade="D9"/>
            <w:vAlign w:val="center"/>
          </w:tcPr>
          <w:p w14:paraId="0564EF7B" w14:textId="02C4704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000000" w:fill="FFFFFF"/>
            <w:vAlign w:val="center"/>
          </w:tcPr>
          <w:p w14:paraId="0C43E2E1" w14:textId="59462EF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1,5</w:t>
            </w:r>
          </w:p>
        </w:tc>
        <w:tc>
          <w:tcPr>
            <w:tcW w:w="510" w:type="dxa"/>
            <w:tcBorders>
              <w:top w:val="nil"/>
              <w:left w:val="nil"/>
              <w:bottom w:val="single" w:sz="4" w:space="0" w:color="auto"/>
              <w:right w:val="nil"/>
            </w:tcBorders>
            <w:shd w:val="clear" w:color="auto" w:fill="D9D9D9" w:themeFill="background1" w:themeFillShade="D9"/>
            <w:vAlign w:val="center"/>
          </w:tcPr>
          <w:p w14:paraId="23639720" w14:textId="0DC4AA81"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000000" w:fill="FFFFFF"/>
            <w:vAlign w:val="center"/>
          </w:tcPr>
          <w:p w14:paraId="3EA961BE" w14:textId="0CE6C825"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auto" w:fill="D9D9D9" w:themeFill="background1" w:themeFillShade="D9"/>
            <w:vAlign w:val="center"/>
          </w:tcPr>
          <w:p w14:paraId="03179BEE" w14:textId="60F0D64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000000" w:fill="FFFFFF"/>
            <w:vAlign w:val="center"/>
          </w:tcPr>
          <w:p w14:paraId="3BC5AE23" w14:textId="750C3767"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auto" w:fill="D9D9D9" w:themeFill="background1" w:themeFillShade="D9"/>
            <w:vAlign w:val="center"/>
          </w:tcPr>
          <w:p w14:paraId="29B642CB" w14:textId="219DE214"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000000" w:fill="FFFFFF"/>
            <w:vAlign w:val="center"/>
          </w:tcPr>
          <w:p w14:paraId="502D3A90" w14:textId="5AE4FAFB"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auto" w:fill="D9D9D9" w:themeFill="background1" w:themeFillShade="D9"/>
            <w:vAlign w:val="center"/>
          </w:tcPr>
          <w:p w14:paraId="722C97D3" w14:textId="6E4F8FD8"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000000" w:fill="FFFFFF"/>
            <w:vAlign w:val="center"/>
          </w:tcPr>
          <w:p w14:paraId="33C980F9" w14:textId="3E5B5F5B"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auto" w:fill="D9D9D9" w:themeFill="background1" w:themeFillShade="D9"/>
            <w:vAlign w:val="center"/>
          </w:tcPr>
          <w:p w14:paraId="5465AC18" w14:textId="3863F273"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1,7</w:t>
            </w:r>
          </w:p>
        </w:tc>
      </w:tr>
      <w:tr w:rsidR="00DB7B60" w:rsidRPr="001D642A" w14:paraId="6072C8FA" w14:textId="77777777" w:rsidTr="00DB7B60">
        <w:trPr>
          <w:trHeight w:val="255"/>
          <w:jc w:val="center"/>
        </w:trPr>
        <w:tc>
          <w:tcPr>
            <w:tcW w:w="3402" w:type="dxa"/>
            <w:vMerge w:val="restart"/>
            <w:tcBorders>
              <w:top w:val="nil"/>
              <w:left w:val="nil"/>
              <w:bottom w:val="single" w:sz="4" w:space="0" w:color="000000"/>
              <w:right w:val="nil"/>
            </w:tcBorders>
            <w:shd w:val="clear" w:color="000000" w:fill="FFFFFF"/>
            <w:vAlign w:val="center"/>
            <w:hideMark/>
          </w:tcPr>
          <w:p w14:paraId="09AF4BED"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Indice generale esclusi energetici</w:t>
            </w:r>
          </w:p>
        </w:tc>
        <w:tc>
          <w:tcPr>
            <w:tcW w:w="286" w:type="dxa"/>
            <w:tcBorders>
              <w:top w:val="nil"/>
              <w:left w:val="nil"/>
              <w:bottom w:val="single" w:sz="4" w:space="0" w:color="auto"/>
              <w:right w:val="nil"/>
            </w:tcBorders>
            <w:shd w:val="clear" w:color="000000" w:fill="FFFFFF"/>
            <w:noWrap/>
            <w:vAlign w:val="center"/>
            <w:hideMark/>
          </w:tcPr>
          <w:p w14:paraId="250073F4"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auto" w:fill="D9D9D9" w:themeFill="background1" w:themeFillShade="D9"/>
            <w:vAlign w:val="center"/>
          </w:tcPr>
          <w:p w14:paraId="1D6D1B9A" w14:textId="2D5934C3"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2,3</w:t>
            </w:r>
          </w:p>
        </w:tc>
        <w:tc>
          <w:tcPr>
            <w:tcW w:w="510" w:type="dxa"/>
            <w:tcBorders>
              <w:top w:val="nil"/>
              <w:left w:val="nil"/>
              <w:bottom w:val="single" w:sz="4" w:space="0" w:color="auto"/>
              <w:right w:val="nil"/>
            </w:tcBorders>
            <w:shd w:val="clear" w:color="000000" w:fill="FFFFFF"/>
            <w:vAlign w:val="center"/>
          </w:tcPr>
          <w:p w14:paraId="7DC8B31D" w14:textId="7AFC3DB5"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auto" w:fill="D9D9D9" w:themeFill="background1" w:themeFillShade="D9"/>
            <w:vAlign w:val="center"/>
          </w:tcPr>
          <w:p w14:paraId="178C6D61" w14:textId="37AD852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000000" w:fill="FFFFFF"/>
            <w:vAlign w:val="center"/>
          </w:tcPr>
          <w:p w14:paraId="014CCFE0" w14:textId="7381FA3C"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1,8</w:t>
            </w:r>
          </w:p>
        </w:tc>
        <w:tc>
          <w:tcPr>
            <w:tcW w:w="510" w:type="dxa"/>
            <w:tcBorders>
              <w:top w:val="nil"/>
              <w:left w:val="nil"/>
              <w:bottom w:val="single" w:sz="4" w:space="0" w:color="auto"/>
              <w:right w:val="nil"/>
            </w:tcBorders>
            <w:shd w:val="clear" w:color="auto" w:fill="D9D9D9" w:themeFill="background1" w:themeFillShade="D9"/>
            <w:vAlign w:val="center"/>
          </w:tcPr>
          <w:p w14:paraId="7ACF693D" w14:textId="6334F81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000000" w:fill="FFFFFF"/>
            <w:vAlign w:val="center"/>
          </w:tcPr>
          <w:p w14:paraId="02053117" w14:textId="12A69E98"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2,4</w:t>
            </w:r>
          </w:p>
        </w:tc>
        <w:tc>
          <w:tcPr>
            <w:tcW w:w="510" w:type="dxa"/>
            <w:tcBorders>
              <w:top w:val="nil"/>
              <w:left w:val="nil"/>
              <w:bottom w:val="single" w:sz="4" w:space="0" w:color="auto"/>
              <w:right w:val="nil"/>
            </w:tcBorders>
            <w:shd w:val="clear" w:color="auto" w:fill="D9D9D9" w:themeFill="background1" w:themeFillShade="D9"/>
            <w:vAlign w:val="center"/>
          </w:tcPr>
          <w:p w14:paraId="1C38FBFA" w14:textId="4348E4BB"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2,3</w:t>
            </w:r>
          </w:p>
        </w:tc>
        <w:tc>
          <w:tcPr>
            <w:tcW w:w="510" w:type="dxa"/>
            <w:tcBorders>
              <w:top w:val="nil"/>
              <w:left w:val="nil"/>
              <w:bottom w:val="single" w:sz="4" w:space="0" w:color="auto"/>
              <w:right w:val="nil"/>
            </w:tcBorders>
            <w:shd w:val="clear" w:color="000000" w:fill="FFFFFF"/>
            <w:vAlign w:val="center"/>
          </w:tcPr>
          <w:p w14:paraId="51275746" w14:textId="48006362"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2,3</w:t>
            </w:r>
          </w:p>
        </w:tc>
        <w:tc>
          <w:tcPr>
            <w:tcW w:w="510" w:type="dxa"/>
            <w:tcBorders>
              <w:top w:val="nil"/>
              <w:left w:val="nil"/>
              <w:bottom w:val="single" w:sz="4" w:space="0" w:color="auto"/>
              <w:right w:val="nil"/>
            </w:tcBorders>
            <w:shd w:val="clear" w:color="auto" w:fill="D9D9D9" w:themeFill="background1" w:themeFillShade="D9"/>
            <w:vAlign w:val="center"/>
          </w:tcPr>
          <w:p w14:paraId="6D4C04C6" w14:textId="3649DE36"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2,5</w:t>
            </w:r>
          </w:p>
        </w:tc>
        <w:tc>
          <w:tcPr>
            <w:tcW w:w="510" w:type="dxa"/>
            <w:tcBorders>
              <w:top w:val="nil"/>
              <w:left w:val="nil"/>
              <w:bottom w:val="single" w:sz="4" w:space="0" w:color="auto"/>
              <w:right w:val="nil"/>
            </w:tcBorders>
            <w:shd w:val="clear" w:color="000000" w:fill="FFFFFF"/>
            <w:vAlign w:val="center"/>
          </w:tcPr>
          <w:p w14:paraId="186012CC" w14:textId="55689793"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2,5</w:t>
            </w:r>
          </w:p>
        </w:tc>
        <w:tc>
          <w:tcPr>
            <w:tcW w:w="510" w:type="dxa"/>
            <w:tcBorders>
              <w:top w:val="nil"/>
              <w:left w:val="nil"/>
              <w:bottom w:val="single" w:sz="4" w:space="0" w:color="auto"/>
              <w:right w:val="nil"/>
            </w:tcBorders>
            <w:shd w:val="clear" w:color="auto" w:fill="D9D9D9" w:themeFill="background1" w:themeFillShade="D9"/>
            <w:vAlign w:val="center"/>
          </w:tcPr>
          <w:p w14:paraId="38BDE11E" w14:textId="16FD42F4"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2,4</w:t>
            </w:r>
          </w:p>
        </w:tc>
        <w:tc>
          <w:tcPr>
            <w:tcW w:w="510" w:type="dxa"/>
            <w:tcBorders>
              <w:top w:val="nil"/>
              <w:left w:val="nil"/>
              <w:bottom w:val="single" w:sz="4" w:space="0" w:color="auto"/>
              <w:right w:val="nil"/>
            </w:tcBorders>
            <w:shd w:val="clear" w:color="000000" w:fill="FFFFFF"/>
            <w:vAlign w:val="center"/>
          </w:tcPr>
          <w:p w14:paraId="677220E6" w14:textId="10EC9336"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auto" w:fill="D9D9D9" w:themeFill="background1" w:themeFillShade="D9"/>
            <w:vAlign w:val="center"/>
          </w:tcPr>
          <w:p w14:paraId="20651211" w14:textId="0A9DDEB6"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1,9</w:t>
            </w:r>
          </w:p>
        </w:tc>
      </w:tr>
      <w:tr w:rsidR="00DB7B60" w:rsidRPr="001D642A" w14:paraId="0D8B74E2" w14:textId="77777777" w:rsidTr="00DB7B60">
        <w:trPr>
          <w:trHeight w:val="255"/>
          <w:jc w:val="center"/>
        </w:trPr>
        <w:tc>
          <w:tcPr>
            <w:tcW w:w="3402" w:type="dxa"/>
            <w:vMerge/>
            <w:tcBorders>
              <w:top w:val="nil"/>
              <w:left w:val="nil"/>
              <w:bottom w:val="single" w:sz="4" w:space="0" w:color="000000"/>
              <w:right w:val="nil"/>
            </w:tcBorders>
            <w:vAlign w:val="center"/>
            <w:hideMark/>
          </w:tcPr>
          <w:p w14:paraId="2E94FE81" w14:textId="77777777" w:rsidR="00DB7B60" w:rsidRPr="001D642A" w:rsidRDefault="00DB7B60" w:rsidP="00DB7B60">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14:paraId="24F472FB" w14:textId="77777777" w:rsidR="00DB7B60" w:rsidRPr="001D642A" w:rsidRDefault="00DB7B60" w:rsidP="00DB7B60">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auto" w:fill="D9D9D9" w:themeFill="background1" w:themeFillShade="D9"/>
            <w:vAlign w:val="center"/>
          </w:tcPr>
          <w:p w14:paraId="50EBD209" w14:textId="28260776"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000000" w:fill="FFFFFF"/>
            <w:vAlign w:val="center"/>
          </w:tcPr>
          <w:p w14:paraId="01E58EB9" w14:textId="4B204A58" w:rsidR="00DB7B60" w:rsidRDefault="00DB7B60" w:rsidP="00DB7B60">
            <w:pPr>
              <w:spacing w:before="0" w:after="0"/>
              <w:jc w:val="right"/>
              <w:rPr>
                <w:rFonts w:ascii="Arial Narrow" w:hAnsi="Arial Narrow" w:cs="Calibri"/>
                <w:color w:val="000000"/>
                <w:sz w:val="18"/>
                <w:szCs w:val="18"/>
              </w:rPr>
            </w:pPr>
            <w:r w:rsidRPr="005A5085">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auto" w:fill="D9D9D9" w:themeFill="background1" w:themeFillShade="D9"/>
            <w:vAlign w:val="center"/>
          </w:tcPr>
          <w:p w14:paraId="5EA0EE73" w14:textId="5C8E17D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1,9</w:t>
            </w:r>
          </w:p>
        </w:tc>
        <w:tc>
          <w:tcPr>
            <w:tcW w:w="510" w:type="dxa"/>
            <w:tcBorders>
              <w:top w:val="nil"/>
              <w:left w:val="nil"/>
              <w:bottom w:val="single" w:sz="4" w:space="0" w:color="auto"/>
              <w:right w:val="nil"/>
            </w:tcBorders>
            <w:shd w:val="clear" w:color="000000" w:fill="FFFFFF"/>
            <w:vAlign w:val="center"/>
          </w:tcPr>
          <w:p w14:paraId="5EE8A82A" w14:textId="0F413DB0"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1,7</w:t>
            </w:r>
          </w:p>
        </w:tc>
        <w:tc>
          <w:tcPr>
            <w:tcW w:w="510" w:type="dxa"/>
            <w:tcBorders>
              <w:top w:val="nil"/>
              <w:left w:val="nil"/>
              <w:bottom w:val="single" w:sz="4" w:space="0" w:color="auto"/>
              <w:right w:val="nil"/>
            </w:tcBorders>
            <w:shd w:val="clear" w:color="auto" w:fill="D9D9D9" w:themeFill="background1" w:themeFillShade="D9"/>
            <w:vAlign w:val="center"/>
          </w:tcPr>
          <w:p w14:paraId="1E8843CD" w14:textId="6E50E9E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510" w:type="dxa"/>
            <w:tcBorders>
              <w:top w:val="nil"/>
              <w:left w:val="nil"/>
              <w:bottom w:val="single" w:sz="4" w:space="0" w:color="auto"/>
              <w:right w:val="nil"/>
            </w:tcBorders>
            <w:shd w:val="clear" w:color="000000" w:fill="FFFFFF"/>
            <w:vAlign w:val="center"/>
          </w:tcPr>
          <w:p w14:paraId="6C9DE291" w14:textId="688D1C9E"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2,4</w:t>
            </w:r>
          </w:p>
        </w:tc>
        <w:tc>
          <w:tcPr>
            <w:tcW w:w="510" w:type="dxa"/>
            <w:tcBorders>
              <w:top w:val="nil"/>
              <w:left w:val="nil"/>
              <w:bottom w:val="single" w:sz="4" w:space="0" w:color="auto"/>
              <w:right w:val="nil"/>
            </w:tcBorders>
            <w:shd w:val="clear" w:color="auto" w:fill="D9D9D9" w:themeFill="background1" w:themeFillShade="D9"/>
            <w:vAlign w:val="center"/>
          </w:tcPr>
          <w:p w14:paraId="0009BF61" w14:textId="11C118F0"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c>
          <w:tcPr>
            <w:tcW w:w="510" w:type="dxa"/>
            <w:tcBorders>
              <w:top w:val="nil"/>
              <w:left w:val="nil"/>
              <w:bottom w:val="single" w:sz="4" w:space="0" w:color="auto"/>
              <w:right w:val="nil"/>
            </w:tcBorders>
            <w:shd w:val="clear" w:color="000000" w:fill="FFFFFF"/>
            <w:vAlign w:val="center"/>
          </w:tcPr>
          <w:p w14:paraId="10FF9288" w14:textId="1FCADE3F"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2,3</w:t>
            </w:r>
          </w:p>
        </w:tc>
        <w:tc>
          <w:tcPr>
            <w:tcW w:w="510" w:type="dxa"/>
            <w:tcBorders>
              <w:top w:val="nil"/>
              <w:left w:val="nil"/>
              <w:bottom w:val="single" w:sz="4" w:space="0" w:color="auto"/>
              <w:right w:val="nil"/>
            </w:tcBorders>
            <w:shd w:val="clear" w:color="auto" w:fill="D9D9D9" w:themeFill="background1" w:themeFillShade="D9"/>
            <w:vAlign w:val="center"/>
          </w:tcPr>
          <w:p w14:paraId="37A517EA" w14:textId="1C32E65C"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2,4</w:t>
            </w:r>
          </w:p>
        </w:tc>
        <w:tc>
          <w:tcPr>
            <w:tcW w:w="510" w:type="dxa"/>
            <w:tcBorders>
              <w:top w:val="nil"/>
              <w:left w:val="nil"/>
              <w:bottom w:val="single" w:sz="4" w:space="0" w:color="auto"/>
              <w:right w:val="nil"/>
            </w:tcBorders>
            <w:shd w:val="clear" w:color="000000" w:fill="FFFFFF"/>
            <w:vAlign w:val="center"/>
          </w:tcPr>
          <w:p w14:paraId="53934F75" w14:textId="38AF550A" w:rsidR="00DB7B60"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2,5</w:t>
            </w:r>
          </w:p>
        </w:tc>
        <w:tc>
          <w:tcPr>
            <w:tcW w:w="510" w:type="dxa"/>
            <w:tcBorders>
              <w:top w:val="nil"/>
              <w:left w:val="nil"/>
              <w:bottom w:val="single" w:sz="4" w:space="0" w:color="auto"/>
              <w:right w:val="nil"/>
            </w:tcBorders>
            <w:shd w:val="clear" w:color="auto" w:fill="D9D9D9" w:themeFill="background1" w:themeFillShade="D9"/>
            <w:vAlign w:val="center"/>
          </w:tcPr>
          <w:p w14:paraId="555C0EE6" w14:textId="6ED6670D"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2,4</w:t>
            </w:r>
          </w:p>
        </w:tc>
        <w:tc>
          <w:tcPr>
            <w:tcW w:w="510" w:type="dxa"/>
            <w:tcBorders>
              <w:top w:val="nil"/>
              <w:left w:val="nil"/>
              <w:bottom w:val="single" w:sz="4" w:space="0" w:color="auto"/>
              <w:right w:val="nil"/>
            </w:tcBorders>
            <w:shd w:val="clear" w:color="000000" w:fill="FFFFFF"/>
            <w:vAlign w:val="center"/>
          </w:tcPr>
          <w:p w14:paraId="47B46DC3" w14:textId="4C2675E2" w:rsidR="00DB7B60" w:rsidRPr="005A5085" w:rsidRDefault="00DB7B60" w:rsidP="00DB7B60">
            <w:pPr>
              <w:spacing w:before="0" w:after="0"/>
              <w:jc w:val="right"/>
              <w:rPr>
                <w:rFonts w:ascii="Arial Narrow" w:hAnsi="Arial Narrow" w:cs="Calibri"/>
                <w:color w:val="000000"/>
                <w:sz w:val="18"/>
                <w:szCs w:val="18"/>
              </w:rPr>
            </w:pPr>
            <w:r>
              <w:rPr>
                <w:rFonts w:ascii="Arial Narrow" w:hAnsi="Arial Narrow" w:cs="Calibri"/>
                <w:color w:val="000000"/>
                <w:sz w:val="18"/>
                <w:szCs w:val="18"/>
              </w:rPr>
              <w:t>2,1</w:t>
            </w:r>
          </w:p>
        </w:tc>
        <w:tc>
          <w:tcPr>
            <w:tcW w:w="510" w:type="dxa"/>
            <w:tcBorders>
              <w:top w:val="nil"/>
              <w:left w:val="nil"/>
              <w:bottom w:val="single" w:sz="4" w:space="0" w:color="auto"/>
              <w:right w:val="nil"/>
            </w:tcBorders>
            <w:shd w:val="clear" w:color="auto" w:fill="D9D9D9" w:themeFill="background1" w:themeFillShade="D9"/>
            <w:vAlign w:val="center"/>
          </w:tcPr>
          <w:p w14:paraId="6FE3B45E" w14:textId="6D97CEF5" w:rsidR="00DB7B60" w:rsidRPr="005A5085" w:rsidRDefault="00DB7B60" w:rsidP="00DB7B60">
            <w:pPr>
              <w:spacing w:before="0" w:after="0"/>
              <w:jc w:val="right"/>
              <w:rPr>
                <w:rFonts w:ascii="Arial Narrow" w:hAnsi="Arial Narrow" w:cs="Calibri"/>
                <w:color w:val="000000"/>
                <w:sz w:val="18"/>
                <w:szCs w:val="18"/>
              </w:rPr>
            </w:pPr>
            <w:r w:rsidRPr="00DB7B60">
              <w:rPr>
                <w:rFonts w:ascii="Arial Narrow" w:hAnsi="Arial Narrow" w:cs="Calibri"/>
                <w:color w:val="000000"/>
                <w:sz w:val="18"/>
                <w:szCs w:val="18"/>
              </w:rPr>
              <w:t>1,8</w:t>
            </w:r>
          </w:p>
        </w:tc>
      </w:tr>
    </w:tbl>
    <w:p w14:paraId="3A0FC9F5" w14:textId="77777777" w:rsidR="00545284" w:rsidRDefault="00545284" w:rsidP="00545284">
      <w:pPr>
        <w:widowControl/>
        <w:overflowPunct/>
        <w:spacing w:before="0" w:after="120"/>
        <w:jc w:val="both"/>
        <w:rPr>
          <w:rFonts w:ascii="Arial" w:hAnsi="Arial" w:cs="Arial"/>
        </w:rPr>
      </w:pPr>
    </w:p>
    <w:p w14:paraId="0AC39D44" w14:textId="6B3322DF" w:rsidR="00545284" w:rsidRDefault="00545284" w:rsidP="00545284">
      <w:pPr>
        <w:widowControl/>
        <w:overflowPunct/>
        <w:spacing w:before="0" w:after="120"/>
        <w:jc w:val="both"/>
        <w:rPr>
          <w:rFonts w:ascii="Arial" w:hAnsi="Arial" w:cs="Arial"/>
        </w:rPr>
      </w:pPr>
      <w:r w:rsidRPr="001D642A">
        <w:rPr>
          <w:rFonts w:ascii="Arial" w:hAnsi="Arial" w:cs="Arial"/>
        </w:rPr>
        <w:t xml:space="preserve">La più elevata frequenza delle revisioni è osservata negli aggregati dei </w:t>
      </w:r>
      <w:r w:rsidRPr="00887D66">
        <w:rPr>
          <w:rFonts w:ascii="Arial" w:hAnsi="Arial" w:cs="Arial"/>
        </w:rPr>
        <w:t>Beni alimentari (incluse bevande alcoliche) e tabacchi</w:t>
      </w:r>
      <w:r>
        <w:rPr>
          <w:rFonts w:ascii="Arial" w:hAnsi="Arial" w:cs="Arial"/>
        </w:rPr>
        <w:t xml:space="preserve"> </w:t>
      </w:r>
      <w:r w:rsidRPr="001D642A">
        <w:rPr>
          <w:rFonts w:ascii="Arial" w:hAnsi="Arial" w:cs="Arial"/>
        </w:rPr>
        <w:t>(</w:t>
      </w:r>
      <w:r>
        <w:rPr>
          <w:rFonts w:ascii="Arial" w:hAnsi="Arial" w:cs="Arial"/>
        </w:rPr>
        <w:t>1</w:t>
      </w:r>
      <w:r w:rsidR="0050046D">
        <w:rPr>
          <w:rFonts w:ascii="Arial" w:hAnsi="Arial" w:cs="Arial"/>
        </w:rPr>
        <w:t>2</w:t>
      </w:r>
      <w:r w:rsidRPr="001D642A">
        <w:rPr>
          <w:rFonts w:ascii="Arial" w:hAnsi="Arial" w:cs="Arial"/>
        </w:rPr>
        <w:t xml:space="preserve"> mesi sui 13 in esame, imputabile in larga parte all’utilizzo, per la stima preliminare, degli scanner data, riferiti ai prezzi dei prodotti </w:t>
      </w:r>
      <w:proofErr w:type="spellStart"/>
      <w:r w:rsidRPr="001D642A">
        <w:rPr>
          <w:rFonts w:ascii="Arial" w:hAnsi="Arial" w:cs="Arial"/>
        </w:rPr>
        <w:t>grocery</w:t>
      </w:r>
      <w:proofErr w:type="spellEnd"/>
      <w:r w:rsidRPr="001D642A">
        <w:rPr>
          <w:rFonts w:ascii="Arial" w:hAnsi="Arial" w:cs="Arial"/>
        </w:rPr>
        <w:t xml:space="preserve"> provenienti dalla GDO, di una/due settimane rispetto alle tre incluse nell’indice definitivo)</w:t>
      </w:r>
      <w:r>
        <w:rPr>
          <w:rFonts w:ascii="Arial" w:hAnsi="Arial" w:cs="Arial"/>
        </w:rPr>
        <w:t xml:space="preserve">, </w:t>
      </w:r>
      <w:r w:rsidRPr="001D642A">
        <w:rPr>
          <w:rFonts w:ascii="Arial" w:hAnsi="Arial" w:cs="Arial"/>
        </w:rPr>
        <w:t xml:space="preserve">dei Beni industriali </w:t>
      </w:r>
      <w:r>
        <w:rPr>
          <w:rFonts w:ascii="Arial" w:hAnsi="Arial" w:cs="Arial"/>
        </w:rPr>
        <w:t>non energetici (</w:t>
      </w:r>
      <w:r w:rsidR="00401310">
        <w:rPr>
          <w:rFonts w:ascii="Arial" w:hAnsi="Arial" w:cs="Arial"/>
        </w:rPr>
        <w:t>7</w:t>
      </w:r>
      <w:r w:rsidRPr="001D642A">
        <w:rPr>
          <w:rFonts w:ascii="Arial" w:hAnsi="Arial" w:cs="Arial"/>
        </w:rPr>
        <w:t xml:space="preserve"> mesi su 13, da ascrivere principalmente alla dinamica dei saldi dell’Abbigliamento e calzature e alla disponibilità per la stima preliminare, con riferimento ad alcune categorie di Beni durevoli,</w:t>
      </w:r>
      <w:r w:rsidRPr="001D642A">
        <w:t xml:space="preserve"> </w:t>
      </w:r>
      <w:r w:rsidRPr="001D642A">
        <w:rPr>
          <w:rFonts w:ascii="Arial" w:hAnsi="Arial" w:cs="Arial"/>
        </w:rPr>
        <w:t>dei dati riferiti a una/due settimane rispetto alle tre incluse nell’indice definitivo)</w:t>
      </w:r>
      <w:r>
        <w:rPr>
          <w:rFonts w:ascii="Arial" w:hAnsi="Arial" w:cs="Arial"/>
        </w:rPr>
        <w:t xml:space="preserve"> e di Energia (</w:t>
      </w:r>
      <w:r w:rsidR="00B22D72">
        <w:rPr>
          <w:rFonts w:ascii="Arial" w:hAnsi="Arial" w:cs="Arial"/>
        </w:rPr>
        <w:t>8</w:t>
      </w:r>
      <w:r>
        <w:rPr>
          <w:rFonts w:ascii="Arial" w:hAnsi="Arial" w:cs="Arial"/>
        </w:rPr>
        <w:t xml:space="preserve"> mesi su 13)</w:t>
      </w:r>
      <w:r w:rsidRPr="001D642A">
        <w:rPr>
          <w:rFonts w:ascii="Arial" w:hAnsi="Arial" w:cs="Arial"/>
        </w:rPr>
        <w:t xml:space="preserve">; </w:t>
      </w:r>
      <w:r w:rsidRPr="001D642A">
        <w:rPr>
          <w:rFonts w:ascii="Arial" w:hAnsi="Arial" w:cs="Arial"/>
        </w:rPr>
        <w:lastRenderedPageBreak/>
        <w:t>l’incompletezza delle informazioni utilizzate per il calcolo ha un impatto maggiore sulle stime provvisorie di questi aggregati speciali che, di conseguenza, risultano essere meno accurate</w:t>
      </w:r>
      <w:r>
        <w:rPr>
          <w:rFonts w:ascii="Arial" w:hAnsi="Arial" w:cs="Arial"/>
        </w:rPr>
        <w:t>.</w:t>
      </w:r>
    </w:p>
    <w:p w14:paraId="0D74E457" w14:textId="778FFB67" w:rsidR="00545284" w:rsidRDefault="00545284" w:rsidP="00545284">
      <w:pPr>
        <w:widowControl/>
        <w:overflowPunct/>
        <w:spacing w:before="0" w:after="120"/>
        <w:jc w:val="both"/>
        <w:rPr>
          <w:rFonts w:ascii="Arial" w:hAnsi="Arial" w:cs="Arial"/>
        </w:rPr>
      </w:pPr>
      <w:r w:rsidRPr="001D642A">
        <w:rPr>
          <w:rFonts w:ascii="Arial" w:hAnsi="Arial" w:cs="Arial"/>
        </w:rPr>
        <w:t xml:space="preserve">La revisione media assoluta (RMA) fornisce una misura dell’ampiezza delle revisioni effettuate nell’arco di un determinato periodo. Nello specifico, la RMA è calcolata come media aritmetica semplice delle differenze, considerate in valore assoluto, tra le variazioni tendenziali delle stime provvisorie e quelle delle stime definitive, con riferimento agli ultimi tredici mesi. Nella Figura 1 sono riportati i valori della RMA per l’indice generale e i principali aggregati speciali IPCA nel periodo </w:t>
      </w:r>
      <w:r w:rsidR="00967AAE">
        <w:rPr>
          <w:rFonts w:ascii="Arial" w:hAnsi="Arial" w:cs="Arial"/>
        </w:rPr>
        <w:t>novembre</w:t>
      </w:r>
      <w:r w:rsidRPr="00BF2D38">
        <w:rPr>
          <w:rFonts w:ascii="Arial" w:hAnsi="Arial" w:cs="Arial"/>
        </w:rPr>
        <w:t xml:space="preserve"> </w:t>
      </w:r>
      <w:r w:rsidRPr="001D642A">
        <w:rPr>
          <w:rFonts w:ascii="Arial" w:hAnsi="Arial" w:cs="Arial"/>
        </w:rPr>
        <w:t>202</w:t>
      </w:r>
      <w:r>
        <w:rPr>
          <w:rFonts w:ascii="Arial" w:hAnsi="Arial" w:cs="Arial"/>
        </w:rPr>
        <w:t>4</w:t>
      </w:r>
      <w:r w:rsidRPr="001D642A">
        <w:rPr>
          <w:rFonts w:ascii="Arial" w:hAnsi="Arial" w:cs="Arial"/>
        </w:rPr>
        <w:t xml:space="preserve"> – </w:t>
      </w:r>
      <w:r w:rsidR="00967AAE">
        <w:rPr>
          <w:rFonts w:ascii="Arial" w:hAnsi="Arial" w:cs="Arial"/>
        </w:rPr>
        <w:t>novembre</w:t>
      </w:r>
      <w:r w:rsidRPr="00BF2D38">
        <w:rPr>
          <w:rFonts w:ascii="Arial" w:hAnsi="Arial" w:cs="Arial"/>
        </w:rPr>
        <w:t xml:space="preserve"> </w:t>
      </w:r>
      <w:r>
        <w:rPr>
          <w:rFonts w:ascii="Arial" w:hAnsi="Arial" w:cs="Arial"/>
        </w:rPr>
        <w:t>2025.</w:t>
      </w:r>
    </w:p>
    <w:p w14:paraId="58689EA4" w14:textId="79A8EAF3" w:rsidR="00545284" w:rsidRPr="001D642A" w:rsidRDefault="00545284" w:rsidP="00545284">
      <w:pPr>
        <w:widowControl/>
        <w:overflowPunct/>
        <w:spacing w:before="0" w:after="120"/>
        <w:jc w:val="both"/>
        <w:rPr>
          <w:rFonts w:ascii="Arial" w:hAnsi="Arial" w:cs="Arial"/>
        </w:rPr>
      </w:pPr>
      <w:r w:rsidRPr="001D642A">
        <w:rPr>
          <w:rFonts w:ascii="Arial" w:hAnsi="Arial" w:cs="Arial"/>
        </w:rPr>
        <w:t xml:space="preserve">Le RMA più ampie nell’arco di tempo considerato hanno riguardato i tassi di variazione tendenziale dei prezzi degli Alimentari lavorati </w:t>
      </w:r>
      <w:r w:rsidR="000C52CB">
        <w:rPr>
          <w:rFonts w:ascii="Arial" w:hAnsi="Arial" w:cs="Arial"/>
        </w:rPr>
        <w:t>(0,262</w:t>
      </w:r>
      <w:r w:rsidR="00562E86">
        <w:rPr>
          <w:rFonts w:ascii="Arial" w:hAnsi="Arial" w:cs="Arial"/>
        </w:rPr>
        <w:t xml:space="preserve"> punti percentuali) </w:t>
      </w:r>
      <w:r w:rsidR="00B22D72">
        <w:rPr>
          <w:rFonts w:ascii="Arial" w:hAnsi="Arial" w:cs="Arial"/>
        </w:rPr>
        <w:t>e dell’Energia</w:t>
      </w:r>
      <w:r w:rsidR="00B22D72" w:rsidRPr="001D642A">
        <w:rPr>
          <w:rFonts w:ascii="Arial" w:hAnsi="Arial" w:cs="Arial"/>
        </w:rPr>
        <w:t xml:space="preserve"> </w:t>
      </w:r>
      <w:r w:rsidRPr="001D642A">
        <w:rPr>
          <w:rFonts w:ascii="Arial" w:hAnsi="Arial" w:cs="Arial"/>
        </w:rPr>
        <w:t>(0,</w:t>
      </w:r>
      <w:r w:rsidR="00B22D72">
        <w:rPr>
          <w:rFonts w:ascii="Arial" w:hAnsi="Arial" w:cs="Arial"/>
        </w:rPr>
        <w:t>223</w:t>
      </w:r>
      <w:r w:rsidRPr="001D642A">
        <w:rPr>
          <w:rFonts w:ascii="Arial" w:hAnsi="Arial" w:cs="Arial"/>
        </w:rPr>
        <w:t>)</w:t>
      </w:r>
      <w:r w:rsidR="00B22D72">
        <w:rPr>
          <w:rFonts w:ascii="Arial" w:hAnsi="Arial" w:cs="Arial"/>
        </w:rPr>
        <w:t xml:space="preserve"> e</w:t>
      </w:r>
      <w:r>
        <w:rPr>
          <w:rFonts w:ascii="Arial" w:hAnsi="Arial" w:cs="Arial"/>
        </w:rPr>
        <w:t xml:space="preserve"> degli Alimentari non lavorati (0,1</w:t>
      </w:r>
      <w:r w:rsidR="00562E86">
        <w:rPr>
          <w:rFonts w:ascii="Arial" w:hAnsi="Arial" w:cs="Arial"/>
        </w:rPr>
        <w:t>38</w:t>
      </w:r>
      <w:r>
        <w:rPr>
          <w:rFonts w:ascii="Arial" w:hAnsi="Arial" w:cs="Arial"/>
        </w:rPr>
        <w:t xml:space="preserve">); a seguire, le RMA dei </w:t>
      </w:r>
      <w:r w:rsidRPr="001D642A">
        <w:rPr>
          <w:rFonts w:ascii="Arial" w:hAnsi="Arial" w:cs="Arial"/>
        </w:rPr>
        <w:t>Beni industriali non energetici</w:t>
      </w:r>
      <w:r>
        <w:rPr>
          <w:rFonts w:ascii="Arial" w:hAnsi="Arial" w:cs="Arial"/>
        </w:rPr>
        <w:t xml:space="preserve"> (0,0</w:t>
      </w:r>
      <w:r w:rsidR="00401310">
        <w:rPr>
          <w:rFonts w:ascii="Arial" w:hAnsi="Arial" w:cs="Arial"/>
        </w:rPr>
        <w:t>54</w:t>
      </w:r>
      <w:r>
        <w:rPr>
          <w:rFonts w:ascii="Arial" w:hAnsi="Arial" w:cs="Arial"/>
        </w:rPr>
        <w:t xml:space="preserve">) e </w:t>
      </w:r>
      <w:r w:rsidRPr="001D642A">
        <w:rPr>
          <w:rFonts w:ascii="Arial" w:hAnsi="Arial" w:cs="Arial"/>
        </w:rPr>
        <w:t xml:space="preserve">dei </w:t>
      </w:r>
      <w:r>
        <w:rPr>
          <w:rFonts w:ascii="Arial" w:hAnsi="Arial" w:cs="Arial"/>
        </w:rPr>
        <w:t>Servizi (0,03</w:t>
      </w:r>
      <w:r w:rsidR="00562E86">
        <w:rPr>
          <w:rFonts w:ascii="Arial" w:hAnsi="Arial" w:cs="Arial"/>
        </w:rPr>
        <w:t>8</w:t>
      </w:r>
      <w:r>
        <w:rPr>
          <w:rFonts w:ascii="Arial" w:hAnsi="Arial" w:cs="Arial"/>
        </w:rPr>
        <w:t>)</w:t>
      </w:r>
      <w:r w:rsidRPr="001D642A">
        <w:rPr>
          <w:rFonts w:ascii="Arial" w:hAnsi="Arial" w:cs="Arial"/>
        </w:rPr>
        <w:t>.</w:t>
      </w:r>
    </w:p>
    <w:p w14:paraId="409AECE5" w14:textId="77777777" w:rsidR="00545284" w:rsidRPr="001D642A" w:rsidRDefault="00545284" w:rsidP="00545284">
      <w:pPr>
        <w:widowControl/>
        <w:overflowPunct/>
        <w:spacing w:before="0" w:after="120"/>
        <w:jc w:val="both"/>
        <w:rPr>
          <w:rFonts w:ascii="Arial" w:hAnsi="Arial" w:cs="Arial"/>
          <w:kern w:val="0"/>
        </w:rPr>
      </w:pPr>
      <w:r w:rsidRPr="001D642A">
        <w:rPr>
          <w:rFonts w:ascii="Arial" w:hAnsi="Arial" w:cs="Arial"/>
          <w:kern w:val="0"/>
        </w:rPr>
        <w:t xml:space="preserve">Per ulteriori informazioni relative alle revisioni degli indicatori congiunturali, consultare la </w:t>
      </w:r>
      <w:hyperlink r:id="rId37" w:history="1">
        <w:r w:rsidRPr="001D642A">
          <w:rPr>
            <w:rStyle w:val="Collegamentoipertestuale"/>
            <w:rFonts w:ascii="Arial" w:hAnsi="Arial" w:cs="Arial"/>
            <w:kern w:val="0"/>
          </w:rPr>
          <w:t>sezione dedicata</w:t>
        </w:r>
      </w:hyperlink>
      <w:r w:rsidRPr="001D642A">
        <w:rPr>
          <w:rFonts w:ascii="Arial" w:hAnsi="Arial" w:cs="Arial"/>
          <w:kern w:val="0"/>
        </w:rPr>
        <w:t>.</w:t>
      </w:r>
    </w:p>
    <w:p w14:paraId="127ED593" w14:textId="77777777" w:rsidR="00545284" w:rsidRPr="001D642A" w:rsidRDefault="00545284" w:rsidP="00545284">
      <w:pPr>
        <w:spacing w:before="0" w:after="120"/>
        <w:jc w:val="both"/>
        <w:rPr>
          <w:rFonts w:ascii="Arial" w:hAnsi="Arial" w:cs="Arial"/>
        </w:rPr>
      </w:pPr>
    </w:p>
    <w:p w14:paraId="26D42DB6" w14:textId="4CF598CB" w:rsidR="00545284" w:rsidRPr="00E95D57" w:rsidRDefault="00545284" w:rsidP="00545284">
      <w:pPr>
        <w:pStyle w:val="001TitoGra"/>
        <w:rPr>
          <w:b w:val="0"/>
          <w:sz w:val="20"/>
          <w:szCs w:val="20"/>
        </w:rPr>
      </w:pPr>
      <w:r w:rsidRPr="001D642A">
        <w:rPr>
          <w:rStyle w:val="001TitoGraRed"/>
        </w:rPr>
        <w:t>FIGURA 1.</w:t>
      </w:r>
      <w:r w:rsidRPr="001D642A">
        <w:t xml:space="preserve"> REVISIONE MEDIA ASSOLUTA DELLE STIME PRELIMINARI DEI TASSI TENDENZIALI DEGLI INDICI IPCA</w:t>
      </w:r>
      <w:r w:rsidRPr="00C8504B">
        <w:rPr>
          <w:b w:val="0"/>
        </w:rPr>
        <w:br/>
      </w:r>
      <w:r w:rsidR="00967AAE">
        <w:rPr>
          <w:b w:val="0"/>
          <w:sz w:val="20"/>
          <w:szCs w:val="20"/>
        </w:rPr>
        <w:t>Novembre</w:t>
      </w:r>
      <w:r>
        <w:rPr>
          <w:b w:val="0"/>
          <w:sz w:val="20"/>
          <w:szCs w:val="20"/>
        </w:rPr>
        <w:t xml:space="preserve"> 2024</w:t>
      </w:r>
      <w:r w:rsidRPr="001D642A">
        <w:rPr>
          <w:b w:val="0"/>
          <w:sz w:val="20"/>
          <w:szCs w:val="20"/>
        </w:rPr>
        <w:t xml:space="preserve"> – </w:t>
      </w:r>
      <w:r w:rsidR="00967AAE">
        <w:rPr>
          <w:b w:val="0"/>
          <w:sz w:val="20"/>
          <w:szCs w:val="20"/>
        </w:rPr>
        <w:t>novembre</w:t>
      </w:r>
      <w:r>
        <w:rPr>
          <w:b w:val="0"/>
          <w:sz w:val="20"/>
          <w:szCs w:val="20"/>
        </w:rPr>
        <w:t xml:space="preserve"> 2025</w:t>
      </w:r>
      <w:r w:rsidRPr="00E95D57">
        <w:rPr>
          <w:b w:val="0"/>
          <w:sz w:val="20"/>
          <w:szCs w:val="20"/>
        </w:rPr>
        <w:t>, punti percentuali</w:t>
      </w:r>
    </w:p>
    <w:p w14:paraId="34EA79A2" w14:textId="77AD1E81" w:rsidR="00545284" w:rsidRDefault="0050046D" w:rsidP="00545284">
      <w:pPr>
        <w:spacing w:before="0" w:after="120"/>
        <w:jc w:val="both"/>
        <w:rPr>
          <w:rFonts w:ascii="Arial" w:hAnsi="Arial" w:cs="Arial"/>
          <w:b/>
          <w:sz w:val="22"/>
          <w:szCs w:val="22"/>
        </w:rPr>
      </w:pPr>
      <w:r>
        <w:rPr>
          <w:rFonts w:ascii="Arial" w:hAnsi="Arial" w:cs="Arial"/>
          <w:b/>
          <w:noProof/>
          <w:sz w:val="22"/>
          <w:szCs w:val="22"/>
        </w:rPr>
        <w:drawing>
          <wp:inline distT="0" distB="0" distL="0" distR="0" wp14:anchorId="6C4C9488" wp14:editId="68289370">
            <wp:extent cx="6706235" cy="2042160"/>
            <wp:effectExtent l="0" t="0" r="0" b="0"/>
            <wp:docPr id="17576396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6235" cy="2042160"/>
                    </a:xfrm>
                    <a:prstGeom prst="rect">
                      <a:avLst/>
                    </a:prstGeom>
                    <a:noFill/>
                  </pic:spPr>
                </pic:pic>
              </a:graphicData>
            </a:graphic>
          </wp:inline>
        </w:drawing>
      </w:r>
    </w:p>
    <w:p w14:paraId="2248FF84" w14:textId="77777777" w:rsidR="00545284" w:rsidRDefault="00545284" w:rsidP="00545284">
      <w:pPr>
        <w:spacing w:before="0" w:after="120"/>
        <w:jc w:val="both"/>
        <w:rPr>
          <w:rFonts w:ascii="Arial" w:hAnsi="Arial" w:cs="Arial"/>
          <w:b/>
          <w:sz w:val="22"/>
          <w:szCs w:val="22"/>
        </w:rPr>
      </w:pPr>
    </w:p>
    <w:p w14:paraId="5B260CA4" w14:textId="77777777" w:rsidR="00ED00B1" w:rsidRPr="00495C7D" w:rsidRDefault="00ED00B1" w:rsidP="00ED00B1">
      <w:pPr>
        <w:spacing w:before="0" w:after="120"/>
        <w:jc w:val="both"/>
        <w:rPr>
          <w:rFonts w:ascii="Arial" w:hAnsi="Arial" w:cs="Arial"/>
          <w:b/>
          <w:sz w:val="22"/>
          <w:szCs w:val="22"/>
        </w:rPr>
      </w:pPr>
      <w:r w:rsidRPr="00495C7D">
        <w:rPr>
          <w:rFonts w:ascii="Arial" w:hAnsi="Arial" w:cs="Arial"/>
          <w:b/>
          <w:sz w:val="22"/>
          <w:szCs w:val="22"/>
        </w:rPr>
        <w:t xml:space="preserve">Calcolo delle variazioni degli indici </w:t>
      </w:r>
    </w:p>
    <w:p w14:paraId="5DBFD33B" w14:textId="77777777" w:rsidR="00ED00B1" w:rsidRPr="00495C7D" w:rsidRDefault="00ED00B1" w:rsidP="00ED00B1">
      <w:pPr>
        <w:pStyle w:val="Default"/>
        <w:spacing w:after="120"/>
        <w:jc w:val="both"/>
        <w:rPr>
          <w:rFonts w:ascii="Arial" w:hAnsi="Arial" w:cs="Arial"/>
          <w:sz w:val="20"/>
          <w:szCs w:val="20"/>
        </w:rPr>
      </w:pPr>
      <w:r w:rsidRPr="00495C7D">
        <w:rPr>
          <w:rFonts w:ascii="Arial" w:hAnsi="Arial" w:cs="Arial"/>
          <w:sz w:val="20"/>
          <w:szCs w:val="20"/>
        </w:rPr>
        <w:t>Il calcolo delle variazioni congiunturali e tendenziali degli indici dei prezzi al consumo si effettua, sulle serie pubblicate, secondo le regole seguenti:</w:t>
      </w:r>
    </w:p>
    <w:p w14:paraId="23176E9A" w14:textId="77777777" w:rsidR="00ED00B1" w:rsidRPr="00495C7D" w:rsidRDefault="00ED00B1" w:rsidP="00ED00B1">
      <w:pPr>
        <w:pStyle w:val="Default"/>
        <w:numPr>
          <w:ilvl w:val="0"/>
          <w:numId w:val="43"/>
        </w:numPr>
        <w:spacing w:after="120"/>
        <w:jc w:val="both"/>
        <w:rPr>
          <w:rFonts w:ascii="Arial" w:hAnsi="Arial" w:cs="Arial"/>
          <w:sz w:val="20"/>
          <w:szCs w:val="20"/>
        </w:rPr>
      </w:pPr>
      <w:r w:rsidRPr="00495C7D">
        <w:rPr>
          <w:rFonts w:ascii="Arial" w:hAnsi="Arial" w:cs="Arial"/>
          <w:sz w:val="20"/>
          <w:szCs w:val="20"/>
        </w:rPr>
        <w:t xml:space="preserve">la variazione percentuale tra indici mensili, espressi nella stessa base di riferimento, è pari al rapporto degli indici messi a confronto, per 100, meno 100. Il risultato finale è arrotondato a 1 decimale (per esempio per calcolare la variazione percentuale dell’indice generale NIC tra febbraio e marzo 2022, l’indice di marzo 2022 (base 2015=100) è pari a 110,4, quello di febbraio è 109,3, quindi il calcolo è 110,4/109,3*100-100=+1,0%); </w:t>
      </w:r>
    </w:p>
    <w:p w14:paraId="54FAE090" w14:textId="77777777" w:rsidR="00ED00B1" w:rsidRDefault="00ED00B1" w:rsidP="00ED00B1">
      <w:pPr>
        <w:pStyle w:val="Default"/>
        <w:numPr>
          <w:ilvl w:val="0"/>
          <w:numId w:val="43"/>
        </w:numPr>
        <w:ind w:left="714" w:hanging="357"/>
        <w:jc w:val="both"/>
        <w:rPr>
          <w:rFonts w:ascii="Arial" w:hAnsi="Arial" w:cs="Arial"/>
          <w:sz w:val="20"/>
          <w:szCs w:val="20"/>
        </w:rPr>
      </w:pPr>
      <w:r w:rsidRPr="00495C7D">
        <w:rPr>
          <w:rFonts w:ascii="Arial" w:hAnsi="Arial" w:cs="Arial"/>
          <w:sz w:val="20"/>
          <w:szCs w:val="20"/>
        </w:rPr>
        <w:t>la variazione percentuale tra indici medi annui, espressi nella medesima base di riferimento è pari al rapporto degli indici degli anni posti a confronto, per 100, meno 100; il risultato finale è arrotondato a 1 decimale (per esempio per calcolare la variazione percentuale dell’indice generale NIC tra gli anni 2022 e 2020, l’indice medio annuo del 2022, con base 2015=100, è 113,2, quello del 2020, con base 2015=100, è 102,7, quindi il calcolo è 113,2/102,7*100-100=+10,2%). Fa eccezione l’indice armonizzato (IPCA), per il quale la variazione percentuale media annua viene calcolata a partire dagli indici mensili; per esempio, per calcolare la variazione percentuale dell’indice generale IPCA tra gli anni 2022 e 2020, il calcolo è</w:t>
      </w:r>
    </w:p>
    <w:p w14:paraId="3785CD41" w14:textId="77777777" w:rsidR="00ED00B1" w:rsidRPr="00495C7D" w:rsidRDefault="00ED00B1" w:rsidP="00ED00B1">
      <w:pPr>
        <w:pStyle w:val="Default"/>
        <w:spacing w:after="120"/>
        <w:ind w:left="720"/>
        <w:jc w:val="both"/>
        <w:rPr>
          <w:rFonts w:ascii="Arial" w:hAnsi="Arial" w:cs="Arial"/>
          <w:sz w:val="20"/>
          <w:szCs w:val="20"/>
        </w:rPr>
      </w:pPr>
      <w:r w:rsidRPr="00495C7D">
        <w:rPr>
          <w:rFonts w:ascii="Arial" w:hAnsi="Arial" w:cs="Arial"/>
          <w:sz w:val="20"/>
          <w:szCs w:val="20"/>
        </w:rPr>
        <w:t>(107,8+108,7+111,3+111,7+112,7+114,1+112,8+113,8+115,6+120,0+120,8+121,1)/(101,9+ 101,4+103,6+104,1+103,8+103,8+103,1+101,8+102,7+103,3+103,3+103,5)*100-100=+10,8%</w:t>
      </w:r>
    </w:p>
    <w:p w14:paraId="23200165" w14:textId="77777777" w:rsidR="00ED00B1" w:rsidRPr="00495C7D" w:rsidRDefault="00ED00B1" w:rsidP="00ED00B1">
      <w:pPr>
        <w:pStyle w:val="Default"/>
        <w:numPr>
          <w:ilvl w:val="0"/>
          <w:numId w:val="43"/>
        </w:numPr>
        <w:spacing w:after="120"/>
        <w:jc w:val="both"/>
        <w:rPr>
          <w:rFonts w:ascii="Arial" w:hAnsi="Arial" w:cs="Arial"/>
          <w:sz w:val="20"/>
          <w:szCs w:val="20"/>
        </w:rPr>
      </w:pPr>
      <w:r w:rsidRPr="00495C7D">
        <w:rPr>
          <w:rFonts w:ascii="Arial" w:hAnsi="Arial" w:cs="Arial"/>
          <w:sz w:val="20"/>
          <w:szCs w:val="20"/>
        </w:rPr>
        <w:t xml:space="preserve">la variazione percentuale tra indici mensili o medi annui NIC (o alternativamente FOI), con diversa base di riferimento (per intervalli di tempo all’interno dei quali si registra uno o più cambiamenti di base) è pari al rapporto degli indici messi a confronto, moltiplicato per i coefficienti di raccordo tra basi contigue (tanti quanti sono i cambiamenti di base nell’intervallo considerato), per 100, meno 100. Il risultato finale è arrotondato a 1 decimale; per esempio, per calcolare variazione percentuale dell’indice generale NIC tra gli anni 2022 e 2008, l’indice medio annuo del 2022, con base 2015=100, è 113,2, quello del 2008, in base 1995=100, è 136,0; il coefficiente di raccordo da base 1995 a base 2010 è pari a </w:t>
      </w:r>
      <w:r w:rsidRPr="005C0EF3">
        <w:rPr>
          <w:rFonts w:ascii="Arial" w:hAnsi="Arial" w:cs="Arial"/>
          <w:sz w:val="20"/>
          <w:szCs w:val="20"/>
        </w:rPr>
        <w:t>1,398;</w:t>
      </w:r>
      <w:r w:rsidRPr="00495C7D">
        <w:rPr>
          <w:rFonts w:ascii="Arial" w:hAnsi="Arial" w:cs="Arial"/>
          <w:sz w:val="20"/>
          <w:szCs w:val="20"/>
        </w:rPr>
        <w:t xml:space="preserve"> quello da base 2010 a base 2015 è pari a </w:t>
      </w:r>
      <w:r w:rsidRPr="005C0EF3">
        <w:rPr>
          <w:rFonts w:ascii="Arial" w:hAnsi="Arial" w:cs="Arial"/>
          <w:color w:val="auto"/>
          <w:sz w:val="20"/>
          <w:szCs w:val="20"/>
        </w:rPr>
        <w:t>1,075</w:t>
      </w:r>
      <w:r w:rsidRPr="00495C7D">
        <w:rPr>
          <w:rFonts w:ascii="Arial" w:hAnsi="Arial" w:cs="Arial"/>
          <w:sz w:val="20"/>
          <w:szCs w:val="20"/>
        </w:rPr>
        <w:t>; il calcolo quindi è 113,2/136,0*</w:t>
      </w:r>
      <w:r w:rsidRPr="005C0EF3">
        <w:rPr>
          <w:rFonts w:ascii="Arial" w:hAnsi="Arial" w:cs="Arial"/>
          <w:color w:val="auto"/>
          <w:sz w:val="20"/>
          <w:szCs w:val="20"/>
        </w:rPr>
        <w:t>1,398*1,075</w:t>
      </w:r>
      <w:r w:rsidRPr="00495C7D">
        <w:rPr>
          <w:rFonts w:ascii="Arial" w:hAnsi="Arial" w:cs="Arial"/>
          <w:sz w:val="20"/>
          <w:szCs w:val="20"/>
        </w:rPr>
        <w:t xml:space="preserve">*100-100= +22,4%. </w:t>
      </w:r>
    </w:p>
    <w:p w14:paraId="1DE23DCF" w14:textId="77777777" w:rsidR="00ED00B1" w:rsidRDefault="00ED00B1" w:rsidP="00ED00B1">
      <w:pPr>
        <w:pStyle w:val="Default"/>
        <w:spacing w:after="120"/>
        <w:jc w:val="both"/>
        <w:rPr>
          <w:rFonts w:ascii="Arial" w:hAnsi="Arial" w:cs="Arial"/>
          <w:sz w:val="18"/>
          <w:szCs w:val="20"/>
        </w:rPr>
      </w:pPr>
    </w:p>
    <w:p w14:paraId="7B59351B" w14:textId="77777777" w:rsidR="00026C02" w:rsidRDefault="00026C02" w:rsidP="00ED00B1">
      <w:pPr>
        <w:spacing w:before="0" w:after="120"/>
        <w:jc w:val="both"/>
        <w:rPr>
          <w:rFonts w:ascii="Arial" w:hAnsi="Arial" w:cs="Arial"/>
          <w:b/>
          <w:sz w:val="22"/>
          <w:szCs w:val="22"/>
        </w:rPr>
      </w:pPr>
    </w:p>
    <w:p w14:paraId="2857503C" w14:textId="77777777" w:rsidR="00ED00B1" w:rsidRPr="00833545" w:rsidRDefault="00ED00B1" w:rsidP="00ED00B1">
      <w:pPr>
        <w:spacing w:before="0" w:after="120"/>
        <w:jc w:val="both"/>
        <w:rPr>
          <w:rFonts w:ascii="Arial" w:hAnsi="Arial" w:cs="Arial"/>
          <w:b/>
          <w:sz w:val="22"/>
          <w:szCs w:val="22"/>
        </w:rPr>
      </w:pPr>
      <w:r w:rsidRPr="00833545">
        <w:rPr>
          <w:rFonts w:ascii="Arial" w:hAnsi="Arial" w:cs="Arial"/>
          <w:b/>
          <w:sz w:val="22"/>
          <w:szCs w:val="22"/>
        </w:rPr>
        <w:t>La diffusione: tempestività e banche dati</w:t>
      </w:r>
    </w:p>
    <w:p w14:paraId="38ADD85A" w14:textId="77777777" w:rsidR="00ED00B1" w:rsidRPr="002875F7" w:rsidRDefault="00ED00B1" w:rsidP="00ED00B1">
      <w:pPr>
        <w:spacing w:before="0" w:after="120"/>
        <w:jc w:val="both"/>
        <w:rPr>
          <w:rFonts w:ascii="Arial" w:hAnsi="Arial" w:cs="Arial"/>
          <w:color w:val="000000"/>
          <w:kern w:val="0"/>
        </w:rPr>
      </w:pPr>
      <w:r w:rsidRPr="002875F7">
        <w:rPr>
          <w:rFonts w:ascii="Arial" w:hAnsi="Arial" w:cs="Arial"/>
          <w:color w:val="000000"/>
          <w:kern w:val="0"/>
        </w:rPr>
        <w:t>La diffusione degli indici dei prezzi al consumo da parte dell’Istat avviene in due momenti temporali successivi secondo una diversa modalità di rilascio dei dati: stima provvisoria e stima definitiva.</w:t>
      </w:r>
    </w:p>
    <w:p w14:paraId="0051C446" w14:textId="77777777" w:rsidR="00ED00B1" w:rsidRDefault="00ED00B1" w:rsidP="00ED00B1">
      <w:pPr>
        <w:spacing w:before="0" w:after="120"/>
        <w:jc w:val="both"/>
        <w:rPr>
          <w:rFonts w:ascii="Arial" w:hAnsi="Arial" w:cs="Arial"/>
          <w:color w:val="000000"/>
          <w:kern w:val="0"/>
        </w:rPr>
      </w:pPr>
      <w:r w:rsidRPr="002875F7">
        <w:rPr>
          <w:rFonts w:ascii="Arial" w:hAnsi="Arial" w:cs="Arial"/>
          <w:color w:val="000000"/>
          <w:kern w:val="0"/>
        </w:rPr>
        <w:t xml:space="preserve">La diffusione della stima provvisoria degli indici NIC (generale, per divisione di spesa, per tipologia di prodotto e per frequenza d’acquisto) e dell’indice IPCA (generale, per divisione di spesa e per aggregati speciali) avviene alla fine del mese di riferimento, mentre la diffusione dei dati definitivi dei tre indici NIC, IPCA e FOI avviene non oltre la metà del mese successivo a quello di riferimento. I tempi di pubblicazione sono stabiliti da un calendario </w:t>
      </w:r>
      <w:hyperlink r:id="rId39" w:history="1">
        <w:r w:rsidRPr="002875F7">
          <w:rPr>
            <w:rStyle w:val="Collegamentoipertestuale"/>
            <w:rFonts w:ascii="Arial" w:hAnsi="Arial" w:cs="Arial"/>
            <w:kern w:val="0"/>
          </w:rPr>
          <w:t>https://www.istat.it/it/informazioni-e-servizi/per-i-giornalisti/appuntamenti/calendario-diffusioni-ed-eventi</w:t>
        </w:r>
      </w:hyperlink>
      <w:r w:rsidRPr="002875F7">
        <w:rPr>
          <w:rFonts w:ascii="Arial" w:hAnsi="Arial" w:cs="Arial"/>
          <w:color w:val="000000"/>
          <w:kern w:val="0"/>
        </w:rPr>
        <w:t xml:space="preserve"> concordato con Eurostat, nel mese di dicembre di ogni anno, per l’anno successivo e secondo gli standard di diffusione (SDDS – Special Data </w:t>
      </w:r>
      <w:proofErr w:type="spellStart"/>
      <w:r w:rsidRPr="002875F7">
        <w:rPr>
          <w:rFonts w:ascii="Arial" w:hAnsi="Arial" w:cs="Arial"/>
          <w:color w:val="000000"/>
          <w:kern w:val="0"/>
        </w:rPr>
        <w:t>Dissemination</w:t>
      </w:r>
      <w:proofErr w:type="spellEnd"/>
      <w:r w:rsidRPr="002875F7">
        <w:rPr>
          <w:rFonts w:ascii="Arial" w:hAnsi="Arial" w:cs="Arial"/>
          <w:color w:val="000000"/>
          <w:kern w:val="0"/>
        </w:rPr>
        <w:t xml:space="preserve"> Standard) definiti dal Fondo Monetario Internazionale.</w:t>
      </w:r>
    </w:p>
    <w:p w14:paraId="5BE36128" w14:textId="77777777" w:rsidR="00ED00B1" w:rsidRPr="002875F7" w:rsidRDefault="00ED00B1" w:rsidP="00ED00B1">
      <w:pPr>
        <w:spacing w:before="0" w:after="120"/>
        <w:jc w:val="both"/>
        <w:rPr>
          <w:rFonts w:ascii="Arial" w:hAnsi="Arial" w:cs="Arial"/>
          <w:color w:val="000000"/>
          <w:kern w:val="0"/>
        </w:rPr>
      </w:pPr>
      <w:r w:rsidRPr="002875F7">
        <w:rPr>
          <w:rFonts w:ascii="Arial" w:hAnsi="Arial" w:cs="Arial"/>
          <w:color w:val="000000"/>
          <w:kern w:val="0"/>
        </w:rPr>
        <w:t>Con la pubblicazione dei dati di gennaio 2019,</w:t>
      </w:r>
      <w:r w:rsidRPr="002875F7">
        <w:t xml:space="preserve"> </w:t>
      </w:r>
      <w:r w:rsidRPr="002875F7">
        <w:rPr>
          <w:rFonts w:ascii="Arial" w:hAnsi="Arial" w:cs="Arial"/>
          <w:color w:val="000000"/>
          <w:kern w:val="0"/>
        </w:rPr>
        <w:t xml:space="preserve">la diffusione diretta degli indici comunali dei prezzi al consumo è effettuata dai comuni autorizzati in concomitanza con l’uscita degli indici definitivi da parte dell’Istat. </w:t>
      </w:r>
    </w:p>
    <w:p w14:paraId="3D13306C" w14:textId="77777777" w:rsidR="00ED00B1" w:rsidRPr="002875F7" w:rsidRDefault="00ED00B1" w:rsidP="00ED00B1">
      <w:pPr>
        <w:spacing w:before="0" w:after="120"/>
        <w:jc w:val="both"/>
        <w:rPr>
          <w:rFonts w:ascii="Arial" w:hAnsi="Arial" w:cs="Arial"/>
          <w:color w:val="000000"/>
          <w:kern w:val="0"/>
        </w:rPr>
      </w:pPr>
      <w:r w:rsidRPr="002875F7">
        <w:rPr>
          <w:rFonts w:ascii="Arial" w:hAnsi="Arial" w:cs="Arial"/>
          <w:color w:val="000000"/>
          <w:kern w:val="0"/>
        </w:rPr>
        <w:t xml:space="preserve">Gli indici, sia per la stima preliminare sia per quella definitiva, sono diffusi attraverso il comunicato stampa “Prezzi al consumo” disponibile sul sito web dell’Istituto all’indirizzo </w:t>
      </w:r>
      <w:hyperlink r:id="rId40" w:history="1">
        <w:r w:rsidRPr="002875F7">
          <w:rPr>
            <w:rStyle w:val="Collegamentoipertestuale"/>
            <w:rFonts w:ascii="Arial" w:hAnsi="Arial" w:cs="Arial"/>
            <w:kern w:val="0"/>
          </w:rPr>
          <w:t>https://www.istat.it/it/archivio/prezzi+al+consumo</w:t>
        </w:r>
      </w:hyperlink>
      <w:r w:rsidRPr="002875F7">
        <w:rPr>
          <w:rFonts w:ascii="Arial" w:hAnsi="Arial" w:cs="Arial"/>
          <w:color w:val="000000"/>
          <w:kern w:val="0"/>
        </w:rPr>
        <w:t>.</w:t>
      </w:r>
    </w:p>
    <w:p w14:paraId="24356EE3" w14:textId="77777777" w:rsidR="00ED00B1" w:rsidRPr="002875F7" w:rsidRDefault="00ED00B1" w:rsidP="00ED00B1">
      <w:pPr>
        <w:spacing w:before="0" w:after="120"/>
        <w:jc w:val="both"/>
        <w:rPr>
          <w:rFonts w:ascii="Arial" w:hAnsi="Arial" w:cs="Arial"/>
          <w:color w:val="000000"/>
          <w:kern w:val="0"/>
        </w:rPr>
      </w:pPr>
      <w:r w:rsidRPr="002875F7">
        <w:rPr>
          <w:rFonts w:ascii="Arial" w:hAnsi="Arial" w:cs="Arial"/>
          <w:color w:val="000000"/>
          <w:kern w:val="0"/>
        </w:rPr>
        <w:t xml:space="preserve">Le serie degli indici aggiornate sono pubblicate, in concomitanza con la diffusione del comunicato stampa, sul data </w:t>
      </w:r>
      <w:proofErr w:type="spellStart"/>
      <w:r w:rsidRPr="002875F7">
        <w:rPr>
          <w:rFonts w:ascii="Arial" w:hAnsi="Arial" w:cs="Arial"/>
          <w:color w:val="000000"/>
          <w:kern w:val="0"/>
        </w:rPr>
        <w:t>warehouse</w:t>
      </w:r>
      <w:proofErr w:type="spellEnd"/>
      <w:r w:rsidRPr="002875F7">
        <w:rPr>
          <w:rFonts w:ascii="Arial" w:hAnsi="Arial" w:cs="Arial"/>
          <w:color w:val="000000"/>
          <w:kern w:val="0"/>
        </w:rPr>
        <w:t xml:space="preserve"> </w:t>
      </w:r>
      <w:proofErr w:type="spellStart"/>
      <w:r>
        <w:rPr>
          <w:rFonts w:ascii="Arial" w:hAnsi="Arial" w:cs="Arial"/>
          <w:color w:val="000000"/>
          <w:kern w:val="0"/>
        </w:rPr>
        <w:t>IstatData</w:t>
      </w:r>
      <w:proofErr w:type="spellEnd"/>
      <w:r w:rsidRPr="002875F7">
        <w:rPr>
          <w:rFonts w:ascii="Arial" w:hAnsi="Arial" w:cs="Arial"/>
          <w:color w:val="000000"/>
          <w:kern w:val="0"/>
        </w:rPr>
        <w:t xml:space="preserve"> (</w:t>
      </w:r>
      <w:hyperlink r:id="rId41" w:history="1">
        <w:r w:rsidRPr="00E544C9">
          <w:rPr>
            <w:rStyle w:val="Collegamentoipertestuale"/>
            <w:rFonts w:ascii="Arial" w:hAnsi="Arial" w:cs="Arial"/>
            <w:kern w:val="0"/>
          </w:rPr>
          <w:t>https://esploradati.istat.it/</w:t>
        </w:r>
      </w:hyperlink>
      <w:r w:rsidRPr="002875F7">
        <w:rPr>
          <w:rFonts w:ascii="Arial" w:hAnsi="Arial" w:cs="Arial"/>
          <w:color w:val="000000"/>
          <w:kern w:val="0"/>
        </w:rPr>
        <w:t>) all’interno del tema Prezzi - Prezzi al consumo. Unitamente agli indici mensili sono diffuse le variazioni percentuali congiunturali e tendenziali, gli indici medi annui, le variazioni medie annue e i pesi calcolati annualmente. Gli indici ai diversi livelli di aggregazione e per i diversi livelli territoriali di riferimento che hanno avuto una quota di imputazioni superiore al 50% (in termini di prezzi mancanti e/o di peso) sono individuabili con il flag “i” (dato imputato).</w:t>
      </w:r>
    </w:p>
    <w:p w14:paraId="30EBB12A" w14:textId="77777777" w:rsidR="00ED00B1" w:rsidRPr="002875F7" w:rsidRDefault="00ED00B1" w:rsidP="00ED00B1">
      <w:pPr>
        <w:spacing w:before="0" w:after="120"/>
        <w:jc w:val="both"/>
        <w:rPr>
          <w:rFonts w:ascii="Arial" w:hAnsi="Arial" w:cs="Arial"/>
        </w:rPr>
      </w:pPr>
      <w:r w:rsidRPr="002875F7">
        <w:rPr>
          <w:rFonts w:ascii="Arial" w:hAnsi="Arial" w:cs="Arial"/>
        </w:rPr>
        <w:t xml:space="preserve">Informazioni sugli indici dei prezzi al consumo sono disponibili sulla banca dati </w:t>
      </w:r>
      <w:hyperlink r:id="rId42" w:history="1">
        <w:proofErr w:type="spellStart"/>
        <w:r w:rsidRPr="002875F7">
          <w:rPr>
            <w:rStyle w:val="Collegamentoipertestuale"/>
            <w:rFonts w:ascii="Arial" w:hAnsi="Arial" w:cs="Arial"/>
          </w:rPr>
          <w:t>Congiuntura.Stat</w:t>
        </w:r>
        <w:proofErr w:type="spellEnd"/>
      </w:hyperlink>
      <w:r w:rsidRPr="002875F7">
        <w:rPr>
          <w:rFonts w:ascii="Arial" w:hAnsi="Arial" w:cs="Arial"/>
        </w:rPr>
        <w:t>, che raccoglie e sistematizza le statistiche congiunturali prodotte dall’Istat e si propone quale strumento di approfondimento per policy maker, operatori sociali, studiosi e cittadini.</w:t>
      </w:r>
    </w:p>
    <w:p w14:paraId="5CF862A9" w14:textId="77777777" w:rsidR="00ED00B1" w:rsidRDefault="00ED00B1" w:rsidP="00ED00B1">
      <w:pPr>
        <w:spacing w:before="0" w:after="120"/>
        <w:jc w:val="both"/>
        <w:rPr>
          <w:rFonts w:ascii="Arial" w:hAnsi="Arial" w:cs="Arial"/>
          <w:color w:val="000000"/>
          <w:kern w:val="0"/>
        </w:rPr>
      </w:pPr>
      <w:r w:rsidRPr="002875F7">
        <w:rPr>
          <w:rFonts w:ascii="Arial" w:hAnsi="Arial" w:cs="Arial"/>
          <w:color w:val="000000"/>
          <w:kern w:val="0"/>
        </w:rPr>
        <w:t xml:space="preserve">Informazioni sulle serie storiche di tutti e tre gli indici, a partire dal 1861 e fino al 2015, sono disponibili sul sito dell’Istat all’indirizzo </w:t>
      </w:r>
      <w:hyperlink r:id="rId43" w:history="1">
        <w:r w:rsidRPr="002875F7">
          <w:rPr>
            <w:rStyle w:val="Collegamentoipertestuale"/>
            <w:rFonts w:ascii="Arial" w:hAnsi="Arial" w:cs="Arial"/>
            <w:kern w:val="0"/>
          </w:rPr>
          <w:t>http://seriestoriche.istat.it/</w:t>
        </w:r>
      </w:hyperlink>
      <w:r w:rsidRPr="002875F7">
        <w:rPr>
          <w:rFonts w:ascii="Arial" w:hAnsi="Arial" w:cs="Arial"/>
          <w:color w:val="000000"/>
          <w:kern w:val="0"/>
        </w:rPr>
        <w:t>.</w:t>
      </w:r>
    </w:p>
    <w:p w14:paraId="3FEDD565" w14:textId="77777777" w:rsidR="00ED00B1" w:rsidRPr="002875F7" w:rsidRDefault="00ED00B1" w:rsidP="00ED00B1">
      <w:pPr>
        <w:spacing w:before="0" w:after="120"/>
        <w:jc w:val="both"/>
        <w:rPr>
          <w:rFonts w:ascii="Arial" w:hAnsi="Arial" w:cs="Arial"/>
          <w:color w:val="000000"/>
          <w:kern w:val="0"/>
        </w:rPr>
      </w:pPr>
      <w:r w:rsidRPr="002875F7">
        <w:rPr>
          <w:rFonts w:ascii="Arial" w:hAnsi="Arial" w:cs="Arial"/>
          <w:color w:val="000000"/>
          <w:kern w:val="0"/>
        </w:rPr>
        <w:t>Dati riepilogativi e approfondimenti sui prezzi al consumo e sul paniere dei beni e servizi sono, inoltre, contenuti in alcuni prodotti editoriali diffusi dall’Istat a cadenza annuale, quali l’</w:t>
      </w:r>
      <w:r w:rsidRPr="002875F7">
        <w:rPr>
          <w:rFonts w:ascii="Arial" w:hAnsi="Arial" w:cs="Arial"/>
          <w:i/>
          <w:color w:val="000000"/>
          <w:kern w:val="0"/>
        </w:rPr>
        <w:t>Annuario statistico</w:t>
      </w:r>
      <w:r w:rsidRPr="002875F7">
        <w:rPr>
          <w:rFonts w:ascii="Arial" w:hAnsi="Arial" w:cs="Arial"/>
          <w:color w:val="000000"/>
          <w:kern w:val="0"/>
        </w:rPr>
        <w:t xml:space="preserve">, il </w:t>
      </w:r>
      <w:r w:rsidRPr="002875F7">
        <w:rPr>
          <w:rFonts w:ascii="Arial" w:hAnsi="Arial" w:cs="Arial"/>
          <w:i/>
          <w:color w:val="000000"/>
          <w:kern w:val="0"/>
        </w:rPr>
        <w:t>Rapporto annuale</w:t>
      </w:r>
      <w:r w:rsidRPr="002875F7">
        <w:rPr>
          <w:rFonts w:ascii="Arial" w:hAnsi="Arial" w:cs="Arial"/>
          <w:color w:val="000000"/>
          <w:kern w:val="0"/>
        </w:rPr>
        <w:t xml:space="preserve"> e la pubblicazione </w:t>
      </w:r>
      <w:r w:rsidRPr="002875F7">
        <w:rPr>
          <w:rFonts w:ascii="Arial" w:hAnsi="Arial" w:cs="Arial"/>
          <w:i/>
          <w:color w:val="000000"/>
          <w:kern w:val="0"/>
        </w:rPr>
        <w:t>Noi Italia</w:t>
      </w:r>
      <w:r w:rsidRPr="002875F7">
        <w:rPr>
          <w:rFonts w:ascii="Arial" w:hAnsi="Arial" w:cs="Arial"/>
          <w:color w:val="000000"/>
          <w:kern w:val="0"/>
        </w:rPr>
        <w:t>.</w:t>
      </w:r>
    </w:p>
    <w:p w14:paraId="22206207" w14:textId="77777777" w:rsidR="00ED00B1" w:rsidRPr="002875F7" w:rsidRDefault="00ED00B1" w:rsidP="00ED00B1">
      <w:pPr>
        <w:spacing w:before="0" w:after="120"/>
        <w:jc w:val="both"/>
        <w:rPr>
          <w:rFonts w:ascii="Arial" w:hAnsi="Arial" w:cs="Arial"/>
          <w:color w:val="000000"/>
          <w:kern w:val="0"/>
        </w:rPr>
      </w:pPr>
      <w:r w:rsidRPr="002875F7">
        <w:rPr>
          <w:rFonts w:ascii="Arial" w:hAnsi="Arial" w:cs="Arial"/>
          <w:color w:val="000000"/>
          <w:kern w:val="0"/>
        </w:rPr>
        <w:t xml:space="preserve">In adempimento al Regolamento europeo </w:t>
      </w:r>
      <w:r w:rsidRPr="002875F7">
        <w:rPr>
          <w:rFonts w:ascii="Arial" w:hAnsi="Arial" w:cs="Arial"/>
          <w:kern w:val="0"/>
        </w:rPr>
        <w:t>n. 792/2016,</w:t>
      </w:r>
      <w:r w:rsidRPr="002875F7">
        <w:rPr>
          <w:rFonts w:ascii="Arial" w:hAnsi="Arial" w:cs="Arial"/>
          <w:color w:val="000000"/>
          <w:kern w:val="0"/>
        </w:rPr>
        <w:t xml:space="preserve"> i dati dell’indagine sui prezzi al consumo sono trasmessi due volte al mese ad Eurostat. I principali indicatori, archiviati nel database di Eurostat, sono consultabili all’indirizzo </w:t>
      </w:r>
      <w:hyperlink r:id="rId44" w:history="1">
        <w:r w:rsidRPr="002875F7">
          <w:rPr>
            <w:rStyle w:val="Collegamentoipertestuale"/>
            <w:rFonts w:ascii="Arial" w:hAnsi="Arial" w:cs="Arial"/>
            <w:kern w:val="0"/>
          </w:rPr>
          <w:t>http://ec.europa.eu/eurostat/data/database</w:t>
        </w:r>
      </w:hyperlink>
      <w:r w:rsidRPr="002875F7">
        <w:rPr>
          <w:rFonts w:ascii="Arial" w:hAnsi="Arial" w:cs="Arial"/>
          <w:color w:val="000000"/>
          <w:kern w:val="0"/>
        </w:rPr>
        <w:t xml:space="preserve"> (Tema “</w:t>
      </w:r>
      <w:r w:rsidRPr="002875F7">
        <w:rPr>
          <w:rFonts w:ascii="Arial" w:hAnsi="Arial" w:cs="Arial"/>
          <w:i/>
          <w:iCs/>
          <w:color w:val="000000"/>
          <w:kern w:val="0"/>
        </w:rPr>
        <w:t xml:space="preserve">Economy and </w:t>
      </w:r>
      <w:proofErr w:type="spellStart"/>
      <w:r w:rsidRPr="002875F7">
        <w:rPr>
          <w:rFonts w:ascii="Arial" w:hAnsi="Arial" w:cs="Arial"/>
          <w:i/>
          <w:iCs/>
          <w:color w:val="000000"/>
          <w:kern w:val="0"/>
        </w:rPr>
        <w:t>finance</w:t>
      </w:r>
      <w:proofErr w:type="spellEnd"/>
      <w:r w:rsidRPr="002875F7">
        <w:rPr>
          <w:rFonts w:ascii="Arial" w:hAnsi="Arial" w:cs="Arial"/>
          <w:color w:val="000000"/>
          <w:kern w:val="0"/>
        </w:rPr>
        <w:t>”, argomento “</w:t>
      </w:r>
      <w:r w:rsidRPr="002875F7">
        <w:rPr>
          <w:rFonts w:ascii="Arial" w:hAnsi="Arial" w:cs="Arial"/>
          <w:i/>
          <w:iCs/>
          <w:color w:val="000000"/>
          <w:kern w:val="0"/>
        </w:rPr>
        <w:t>Prices</w:t>
      </w:r>
      <w:r w:rsidRPr="002875F7">
        <w:rPr>
          <w:rFonts w:ascii="Arial" w:hAnsi="Arial" w:cs="Arial"/>
          <w:color w:val="000000"/>
          <w:kern w:val="0"/>
        </w:rPr>
        <w:t>”).</w:t>
      </w:r>
    </w:p>
    <w:p w14:paraId="4F5D7451" w14:textId="77777777" w:rsidR="00ED00B1" w:rsidRDefault="00ED00B1" w:rsidP="00ED00B1">
      <w:pPr>
        <w:widowControl/>
        <w:overflowPunct/>
        <w:spacing w:before="0" w:after="0"/>
        <w:jc w:val="both"/>
        <w:rPr>
          <w:rFonts w:ascii="Arial" w:hAnsi="Arial" w:cs="Arial"/>
          <w:color w:val="000000"/>
          <w:kern w:val="0"/>
        </w:rPr>
      </w:pPr>
    </w:p>
    <w:p w14:paraId="4F443618" w14:textId="77777777" w:rsidR="00ED00B1" w:rsidRDefault="00ED00B1" w:rsidP="00ED00B1">
      <w:pPr>
        <w:spacing w:before="0" w:after="120"/>
        <w:jc w:val="both"/>
        <w:rPr>
          <w:rFonts w:ascii="Arial" w:hAnsi="Arial" w:cs="Arial"/>
          <w:sz w:val="18"/>
          <w:szCs w:val="22"/>
        </w:rPr>
      </w:pPr>
    </w:p>
    <w:p w14:paraId="06DC1B6D" w14:textId="77777777" w:rsidR="00ED00B1" w:rsidRDefault="00ED00B1" w:rsidP="00ED00B1">
      <w:pPr>
        <w:spacing w:before="0" w:after="120"/>
        <w:jc w:val="both"/>
        <w:rPr>
          <w:rFonts w:ascii="Arial" w:hAnsi="Arial" w:cs="Arial"/>
          <w:sz w:val="18"/>
          <w:szCs w:val="22"/>
        </w:rPr>
      </w:pPr>
    </w:p>
    <w:p w14:paraId="4514DCDE" w14:textId="77777777" w:rsidR="00ED00B1" w:rsidRPr="001E6318" w:rsidRDefault="00ED00B1" w:rsidP="00ED00B1">
      <w:pPr>
        <w:widowControl/>
        <w:overflowPunct/>
        <w:spacing w:before="0" w:after="0"/>
        <w:jc w:val="both"/>
        <w:rPr>
          <w:rFonts w:ascii="Arial"/>
          <w:color w:val="CD232E"/>
          <w:spacing w:val="-1"/>
          <w:sz w:val="36"/>
        </w:rPr>
      </w:pPr>
      <w:r w:rsidRPr="001E6318">
        <w:rPr>
          <w:rFonts w:ascii="Arial"/>
          <w:color w:val="CD232E"/>
          <w:spacing w:val="-1"/>
          <w:sz w:val="36"/>
        </w:rPr>
        <w:t>Per chiarimenti</w:t>
      </w:r>
      <w:r w:rsidRPr="001E6318">
        <w:rPr>
          <w:rFonts w:ascii="Arial"/>
          <w:color w:val="CD232E"/>
          <w:spacing w:val="1"/>
          <w:sz w:val="36"/>
        </w:rPr>
        <w:t xml:space="preserve"> </w:t>
      </w:r>
      <w:r w:rsidRPr="001E6318">
        <w:rPr>
          <w:rFonts w:ascii="Arial"/>
          <w:color w:val="CD232E"/>
          <w:spacing w:val="-1"/>
          <w:sz w:val="36"/>
        </w:rPr>
        <w:t>tecnici</w:t>
      </w:r>
      <w:r w:rsidRPr="001E6318">
        <w:rPr>
          <w:rFonts w:ascii="Arial"/>
          <w:color w:val="CD232E"/>
          <w:spacing w:val="-2"/>
          <w:sz w:val="36"/>
        </w:rPr>
        <w:t xml:space="preserve"> </w:t>
      </w:r>
      <w:r w:rsidRPr="001E6318">
        <w:rPr>
          <w:rFonts w:ascii="Arial"/>
          <w:color w:val="CD232E"/>
          <w:sz w:val="36"/>
        </w:rPr>
        <w:t>e</w:t>
      </w:r>
      <w:r w:rsidRPr="001E6318">
        <w:rPr>
          <w:rFonts w:ascii="Arial"/>
          <w:color w:val="CD232E"/>
          <w:spacing w:val="-1"/>
          <w:sz w:val="36"/>
        </w:rPr>
        <w:t xml:space="preserve"> metodologici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ED00B1" w:rsidRPr="001E6318" w14:paraId="4BBEFF0B" w14:textId="77777777" w:rsidTr="00ED00B1">
        <w:tc>
          <w:tcPr>
            <w:tcW w:w="5097" w:type="dxa"/>
          </w:tcPr>
          <w:p w14:paraId="4C6A1A4C" w14:textId="77777777" w:rsidR="00ED00B1" w:rsidRPr="001E6318" w:rsidRDefault="00ED00B1" w:rsidP="00ED00B1">
            <w:pPr>
              <w:pStyle w:val="Titolo3"/>
              <w:spacing w:before="72"/>
              <w:rPr>
                <w:rFonts w:ascii="Arial" w:eastAsia="Arial" w:hAnsi="Arial" w:cs="Arial"/>
                <w:b w:val="0"/>
                <w:bCs w:val="0"/>
              </w:rPr>
            </w:pPr>
            <w:r>
              <w:rPr>
                <w:rFonts w:ascii="Arial"/>
                <w:color w:val="CD232E"/>
                <w:spacing w:val="-1"/>
              </w:rPr>
              <w:t>Manuela Morricone</w:t>
            </w:r>
          </w:p>
          <w:p w14:paraId="1D7FB3CC" w14:textId="77777777" w:rsidR="00ED00B1" w:rsidRPr="001E6318" w:rsidRDefault="00ED00B1" w:rsidP="00ED00B1">
            <w:pPr>
              <w:spacing w:before="122"/>
              <w:rPr>
                <w:rFonts w:ascii="Arial" w:eastAsia="Arial" w:hAnsi="Arial" w:cs="Arial"/>
                <w:sz w:val="24"/>
                <w:szCs w:val="24"/>
              </w:rPr>
            </w:pPr>
            <w:r w:rsidRPr="001E6318">
              <w:rPr>
                <w:rFonts w:ascii="Arial"/>
                <w:sz w:val="24"/>
              </w:rPr>
              <w:t>tel.</w:t>
            </w:r>
            <w:r w:rsidRPr="001E6318">
              <w:rPr>
                <w:rFonts w:ascii="Arial"/>
                <w:spacing w:val="-1"/>
                <w:sz w:val="24"/>
              </w:rPr>
              <w:t xml:space="preserve"> +39</w:t>
            </w:r>
            <w:r w:rsidRPr="001E6318">
              <w:rPr>
                <w:rFonts w:ascii="Arial"/>
                <w:spacing w:val="-3"/>
                <w:sz w:val="24"/>
              </w:rPr>
              <w:t xml:space="preserve"> </w:t>
            </w:r>
            <w:r w:rsidRPr="001E6318">
              <w:rPr>
                <w:rFonts w:ascii="Arial"/>
                <w:sz w:val="24"/>
              </w:rPr>
              <w:t>06</w:t>
            </w:r>
            <w:r w:rsidRPr="001E6318">
              <w:rPr>
                <w:rFonts w:ascii="Arial"/>
                <w:spacing w:val="-3"/>
                <w:sz w:val="24"/>
              </w:rPr>
              <w:t xml:space="preserve"> </w:t>
            </w:r>
            <w:r>
              <w:rPr>
                <w:rFonts w:ascii="Arial"/>
                <w:spacing w:val="-1"/>
                <w:sz w:val="24"/>
              </w:rPr>
              <w:t>4673 2181</w:t>
            </w:r>
          </w:p>
          <w:p w14:paraId="472158F3" w14:textId="77777777" w:rsidR="00ED00B1" w:rsidRPr="001E6318" w:rsidRDefault="00ED00B1" w:rsidP="00ED00B1">
            <w:pPr>
              <w:widowControl/>
              <w:overflowPunct/>
              <w:spacing w:before="0" w:after="0"/>
              <w:jc w:val="both"/>
              <w:rPr>
                <w:rFonts w:ascii="Arial"/>
                <w:color w:val="0000FF"/>
                <w:spacing w:val="-1"/>
                <w:sz w:val="24"/>
                <w:u w:val="single" w:color="0000FF"/>
              </w:rPr>
            </w:pPr>
            <w:hyperlink r:id="rId45" w:history="1">
              <w:r w:rsidRPr="002815BE">
                <w:rPr>
                  <w:rStyle w:val="Collegamentoipertestuale"/>
                  <w:rFonts w:ascii="Arial"/>
                  <w:spacing w:val="-1"/>
                  <w:sz w:val="24"/>
                  <w:u w:color="0000FF"/>
                </w:rPr>
                <w:t>manuela.morricone@istat.it</w:t>
              </w:r>
            </w:hyperlink>
          </w:p>
        </w:tc>
        <w:tc>
          <w:tcPr>
            <w:tcW w:w="5098" w:type="dxa"/>
          </w:tcPr>
          <w:p w14:paraId="655E32D3" w14:textId="77777777" w:rsidR="00ED00B1" w:rsidRPr="001E6318" w:rsidRDefault="00ED00B1" w:rsidP="00ED00B1">
            <w:pPr>
              <w:spacing w:before="72"/>
              <w:ind w:left="112"/>
              <w:rPr>
                <w:rFonts w:ascii="Arial" w:eastAsia="Arial" w:hAnsi="Arial" w:cs="Arial"/>
              </w:rPr>
            </w:pPr>
            <w:r w:rsidRPr="001E6318">
              <w:rPr>
                <w:rFonts w:ascii="Arial"/>
                <w:b/>
                <w:color w:val="CD232E"/>
                <w:spacing w:val="-1"/>
              </w:rPr>
              <w:t>Alessandro Brunetti</w:t>
            </w:r>
          </w:p>
          <w:p w14:paraId="69D0AC9B" w14:textId="77777777" w:rsidR="00ED00B1" w:rsidRPr="001E6318" w:rsidRDefault="00ED00B1" w:rsidP="00ED00B1">
            <w:pPr>
              <w:spacing w:before="122"/>
              <w:ind w:left="112"/>
              <w:rPr>
                <w:rFonts w:ascii="Arial" w:eastAsia="Arial" w:hAnsi="Arial" w:cs="Arial"/>
                <w:sz w:val="24"/>
                <w:szCs w:val="24"/>
              </w:rPr>
            </w:pPr>
            <w:r w:rsidRPr="001E6318">
              <w:rPr>
                <w:rFonts w:ascii="Arial"/>
                <w:sz w:val="24"/>
              </w:rPr>
              <w:t>tel.</w:t>
            </w:r>
            <w:r w:rsidRPr="001E6318">
              <w:rPr>
                <w:rFonts w:ascii="Arial"/>
                <w:spacing w:val="-2"/>
                <w:sz w:val="24"/>
              </w:rPr>
              <w:t xml:space="preserve"> </w:t>
            </w:r>
            <w:r w:rsidRPr="001E6318">
              <w:rPr>
                <w:rFonts w:ascii="Arial"/>
                <w:spacing w:val="-1"/>
                <w:sz w:val="24"/>
              </w:rPr>
              <w:t>+39</w:t>
            </w:r>
            <w:r w:rsidRPr="001E6318">
              <w:rPr>
                <w:rFonts w:ascii="Arial"/>
                <w:spacing w:val="-3"/>
                <w:sz w:val="24"/>
              </w:rPr>
              <w:t xml:space="preserve"> </w:t>
            </w:r>
            <w:r w:rsidRPr="001E6318">
              <w:rPr>
                <w:rFonts w:ascii="Arial"/>
                <w:sz w:val="24"/>
              </w:rPr>
              <w:t>06</w:t>
            </w:r>
            <w:r w:rsidRPr="001E6318">
              <w:rPr>
                <w:rFonts w:ascii="Arial"/>
                <w:spacing w:val="-3"/>
                <w:sz w:val="24"/>
              </w:rPr>
              <w:t xml:space="preserve"> </w:t>
            </w:r>
            <w:r w:rsidRPr="001E6318">
              <w:rPr>
                <w:rFonts w:ascii="Arial"/>
                <w:spacing w:val="-1"/>
                <w:sz w:val="24"/>
              </w:rPr>
              <w:t>4673 2545</w:t>
            </w:r>
          </w:p>
          <w:p w14:paraId="057A9BFD" w14:textId="77777777" w:rsidR="00ED00B1" w:rsidRPr="001E6318" w:rsidRDefault="00ED00B1" w:rsidP="00ED00B1">
            <w:pPr>
              <w:spacing w:before="98"/>
              <w:ind w:left="112"/>
              <w:rPr>
                <w:rFonts w:ascii="Arial"/>
                <w:color w:val="0000FF"/>
                <w:spacing w:val="-1"/>
                <w:sz w:val="24"/>
                <w:u w:val="single" w:color="0000FF"/>
              </w:rPr>
            </w:pPr>
            <w:hyperlink r:id="rId46" w:history="1">
              <w:r w:rsidRPr="001E6318">
                <w:rPr>
                  <w:rStyle w:val="Collegamentoipertestuale"/>
                  <w:rFonts w:ascii="Arial"/>
                  <w:spacing w:val="-1"/>
                  <w:sz w:val="24"/>
                  <w:u w:color="0000FF"/>
                </w:rPr>
                <w:t>alessandro.brunetti@istat.it</w:t>
              </w:r>
            </w:hyperlink>
          </w:p>
        </w:tc>
      </w:tr>
    </w:tbl>
    <w:p w14:paraId="794B236E" w14:textId="77777777" w:rsidR="00ED00B1" w:rsidRPr="001E6318" w:rsidRDefault="00ED00B1" w:rsidP="00ED00B1">
      <w:pPr>
        <w:spacing w:before="0" w:after="120"/>
        <w:jc w:val="both"/>
        <w:rPr>
          <w:rFonts w:ascii="Arial" w:hAnsi="Arial" w:cs="Arial"/>
          <w:color w:val="000000"/>
          <w:kern w:val="0"/>
        </w:rPr>
      </w:pPr>
    </w:p>
    <w:p w14:paraId="529B3C61" w14:textId="77777777" w:rsidR="00ED00B1" w:rsidRPr="001E6318" w:rsidRDefault="00ED00B1" w:rsidP="00ED00B1">
      <w:pPr>
        <w:spacing w:before="0" w:after="120"/>
        <w:jc w:val="both"/>
        <w:rPr>
          <w:rFonts w:ascii="Arial" w:hAnsi="Arial" w:cs="Arial"/>
          <w:color w:val="000000"/>
          <w:kern w:val="0"/>
        </w:rPr>
      </w:pPr>
    </w:p>
    <w:p w14:paraId="2868342D" w14:textId="77777777" w:rsidR="00ED00B1" w:rsidRDefault="00ED00B1" w:rsidP="00ED00B1">
      <w:pPr>
        <w:widowControl/>
        <w:overflowPunct/>
        <w:spacing w:before="0" w:after="0"/>
        <w:jc w:val="both"/>
        <w:rPr>
          <w:rFonts w:ascii="Arial" w:hAnsi="Arial" w:cs="Arial"/>
          <w:color w:val="000000"/>
          <w:kern w:val="0"/>
        </w:rPr>
      </w:pPr>
    </w:p>
    <w:p w14:paraId="40A65B25" w14:textId="175D4C11" w:rsidR="00B51FC3" w:rsidRPr="001E6318" w:rsidRDefault="00B51FC3" w:rsidP="00ED00B1">
      <w:pPr>
        <w:spacing w:before="0" w:after="120"/>
        <w:jc w:val="both"/>
        <w:rPr>
          <w:rFonts w:ascii="Arial" w:hAnsi="Arial" w:cs="Arial"/>
          <w:color w:val="000000"/>
          <w:kern w:val="0"/>
        </w:rPr>
      </w:pPr>
    </w:p>
    <w:sectPr w:rsidR="00B51FC3" w:rsidRPr="001E6318" w:rsidSect="00ED00B1">
      <w:headerReference w:type="default" r:id="rId47"/>
      <w:type w:val="continuous"/>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82BB1" w14:textId="77777777" w:rsidR="00216EEC" w:rsidRDefault="00216EEC">
      <w:r>
        <w:separator/>
      </w:r>
    </w:p>
  </w:endnote>
  <w:endnote w:type="continuationSeparator" w:id="0">
    <w:p w14:paraId="6CEF9E8D" w14:textId="77777777" w:rsidR="00216EEC" w:rsidRDefault="00216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50000000002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DAEC" w14:textId="4372227E" w:rsidR="00BC7D08" w:rsidRDefault="00BC7D08" w:rsidP="009F455F">
    <w:pPr>
      <w:pStyle w:val="Pidipagina"/>
      <w:ind w:left="1560"/>
    </w:pPr>
    <w:r>
      <w:rPr>
        <w:rFonts w:ascii="Calibri" w:hAnsi="Calibri"/>
        <w:noProof/>
        <w:color w:val="E42618"/>
        <w:sz w:val="28"/>
        <w:szCs w:val="28"/>
      </w:rPr>
      <w:drawing>
        <wp:anchor distT="0" distB="0" distL="114300" distR="114300" simplePos="0" relativeHeight="251655168" behindDoc="0" locked="0" layoutInCell="1" allowOverlap="1" wp14:anchorId="74C496A7" wp14:editId="34D4767C">
          <wp:simplePos x="0" y="0"/>
          <wp:positionH relativeFrom="column">
            <wp:posOffset>13335</wp:posOffset>
          </wp:positionH>
          <wp:positionV relativeFrom="paragraph">
            <wp:posOffset>-107950</wp:posOffset>
          </wp:positionV>
          <wp:extent cx="943610" cy="390525"/>
          <wp:effectExtent l="0" t="0" r="8890" b="9525"/>
          <wp:wrapNone/>
          <wp:docPr id="25"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anchor>
      </w:drawing>
    </w:r>
    <w:r w:rsidRPr="00A96D51">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8431AE">
      <w:rPr>
        <w:rFonts w:ascii="Arial" w:hAnsi="Arial" w:cs="Arial"/>
        <w:b/>
        <w:noProof/>
        <w:color w:val="808080"/>
        <w:sz w:val="24"/>
        <w:szCs w:val="24"/>
      </w:rPr>
      <w:t>11</w:t>
    </w:r>
    <w:r w:rsidRPr="006B6BAF">
      <w:rPr>
        <w:rFonts w:ascii="Arial" w:hAnsi="Arial" w:cs="Arial"/>
        <w:b/>
        <w:color w:val="80808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DEA3F" w14:textId="379B7706" w:rsidR="00BC7D08" w:rsidRDefault="00BC7D08" w:rsidP="00CB0759">
    <w:pPr>
      <w:pStyle w:val="Pidipagina"/>
      <w:ind w:left="1560"/>
    </w:pPr>
    <w:r>
      <w:rPr>
        <w:rFonts w:ascii="Calibri" w:hAnsi="Calibri"/>
        <w:noProof/>
        <w:color w:val="E42618"/>
        <w:sz w:val="28"/>
        <w:szCs w:val="28"/>
      </w:rPr>
      <w:drawing>
        <wp:anchor distT="0" distB="0" distL="114300" distR="114300" simplePos="0" relativeHeight="251659264" behindDoc="0" locked="0" layoutInCell="1" allowOverlap="1" wp14:anchorId="55D24997" wp14:editId="7F5DF7D3">
          <wp:simplePos x="0" y="0"/>
          <wp:positionH relativeFrom="column">
            <wp:posOffset>13335</wp:posOffset>
          </wp:positionH>
          <wp:positionV relativeFrom="paragraph">
            <wp:posOffset>-107950</wp:posOffset>
          </wp:positionV>
          <wp:extent cx="943610" cy="390525"/>
          <wp:effectExtent l="0" t="0" r="8890" b="9525"/>
          <wp:wrapNone/>
          <wp:docPr id="27"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anchor>
      </w:drawing>
    </w:r>
    <w:r w:rsidRPr="000F43D3">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8431AE">
      <w:rPr>
        <w:rFonts w:ascii="Arial" w:hAnsi="Arial" w:cs="Arial"/>
        <w:b/>
        <w:noProof/>
        <w:color w:val="808080"/>
        <w:sz w:val="24"/>
        <w:szCs w:val="24"/>
      </w:rPr>
      <w:t>2</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3EB18" w14:textId="77777777" w:rsidR="00216EEC" w:rsidRDefault="00216EEC">
      <w:r>
        <w:separator/>
      </w:r>
    </w:p>
  </w:footnote>
  <w:footnote w:type="continuationSeparator" w:id="0">
    <w:p w14:paraId="2B8D69AA" w14:textId="77777777" w:rsidR="00216EEC" w:rsidRDefault="00216EEC">
      <w:r>
        <w:continuationSeparator/>
      </w:r>
    </w:p>
  </w:footnote>
  <w:footnote w:id="1">
    <w:p w14:paraId="1986C39B" w14:textId="77777777" w:rsidR="00BC7D08" w:rsidRDefault="00BC7D08" w:rsidP="00ED00B1">
      <w:pPr>
        <w:pStyle w:val="Testonotaapidipagina"/>
        <w:spacing w:before="0" w:after="0"/>
      </w:pPr>
      <w:r>
        <w:rPr>
          <w:rStyle w:val="Rimandonotaapidipagina"/>
        </w:rPr>
        <w:footnoteRef/>
      </w:r>
      <w:r>
        <w:rPr>
          <w:rFonts w:ascii="Arial" w:hAnsi="Arial" w:cs="Arial"/>
          <w:sz w:val="16"/>
          <w:szCs w:val="16"/>
        </w:rPr>
        <w:t xml:space="preserve"> Il</w:t>
      </w:r>
      <w:r w:rsidRPr="009115BA">
        <w:t xml:space="preserve"> </w:t>
      </w:r>
      <w:r w:rsidRPr="009115BA">
        <w:rPr>
          <w:rFonts w:ascii="Arial" w:hAnsi="Arial" w:cs="Arial"/>
          <w:sz w:val="16"/>
          <w:szCs w:val="16"/>
        </w:rPr>
        <w:t xml:space="preserve">comune non capoluogo </w:t>
      </w:r>
      <w:r>
        <w:rPr>
          <w:rFonts w:ascii="Arial" w:hAnsi="Arial" w:cs="Arial"/>
          <w:sz w:val="16"/>
          <w:szCs w:val="16"/>
        </w:rPr>
        <w:t xml:space="preserve">di provincia </w:t>
      </w:r>
      <w:r w:rsidRPr="009115BA">
        <w:rPr>
          <w:rFonts w:ascii="Arial" w:hAnsi="Arial" w:cs="Arial"/>
          <w:sz w:val="16"/>
          <w:szCs w:val="16"/>
        </w:rPr>
        <w:t>con più di 30mila abitanti</w:t>
      </w:r>
      <w:r>
        <w:rPr>
          <w:rFonts w:ascii="Arial" w:hAnsi="Arial" w:cs="Arial"/>
          <w:sz w:val="16"/>
          <w:szCs w:val="16"/>
        </w:rPr>
        <w:t xml:space="preserve"> che partecipa all’indagine (dal 2020) è il comune di Olbia.</w:t>
      </w:r>
    </w:p>
  </w:footnote>
  <w:footnote w:id="2">
    <w:p w14:paraId="620AE394" w14:textId="77777777" w:rsidR="00BC7D08" w:rsidRPr="00C66331" w:rsidRDefault="00BC7D08" w:rsidP="00ED00B1">
      <w:pPr>
        <w:pStyle w:val="Testonotaapidipagina"/>
        <w:spacing w:before="0" w:after="0"/>
        <w:rPr>
          <w:rFonts w:ascii="Arial" w:hAnsi="Arial" w:cs="Arial"/>
          <w:sz w:val="16"/>
          <w:szCs w:val="16"/>
        </w:rPr>
      </w:pPr>
      <w:r w:rsidRPr="00C66331">
        <w:rPr>
          <w:rStyle w:val="Rimandonotaapidipagina"/>
        </w:rPr>
        <w:footnoteRef/>
      </w:r>
      <w:r w:rsidRPr="00C66331">
        <w:rPr>
          <w:rStyle w:val="Rimandonotaapidipagina"/>
        </w:rPr>
        <w:t xml:space="preserve"> </w:t>
      </w:r>
      <w:r w:rsidRPr="00C66331">
        <w:rPr>
          <w:rFonts w:ascii="Arial" w:hAnsi="Arial" w:cs="Arial"/>
          <w:sz w:val="16"/>
          <w:szCs w:val="16"/>
        </w:rPr>
        <w:t>Si tratta dei comuni di Asti, Chieti, Foggia, Frosinone, L’Aquila, Matera, Prato, Ragusa, Verbania e Vibo Valentia.</w:t>
      </w:r>
    </w:p>
  </w:footnote>
  <w:footnote w:id="3">
    <w:p w14:paraId="56C98F8A" w14:textId="77777777" w:rsidR="00BC7D08" w:rsidRDefault="00BC7D08" w:rsidP="00ED00B1">
      <w:pPr>
        <w:pStyle w:val="Testonotaapidipagina"/>
        <w:spacing w:before="0" w:after="0"/>
        <w:rPr>
          <w:rFonts w:ascii="Arial" w:hAnsi="Arial" w:cs="Arial"/>
          <w:sz w:val="16"/>
          <w:szCs w:val="16"/>
        </w:rPr>
      </w:pPr>
      <w:r>
        <w:rPr>
          <w:rStyle w:val="Rimandonotaapidipagina"/>
        </w:rPr>
        <w:footnoteRef/>
      </w:r>
      <w:r>
        <w:t xml:space="preserve"> </w:t>
      </w:r>
      <w:r w:rsidRPr="008A6A18">
        <w:rPr>
          <w:rFonts w:ascii="Arial" w:hAnsi="Arial" w:cs="Arial"/>
          <w:sz w:val="16"/>
          <w:szCs w:val="16"/>
        </w:rPr>
        <w:t>A partire da gennaio 2022 la rilevazione dei canoni di affitto per le abitazioni di privati è condotta centralmente dall’Istat tramite l’utilizzo di dati di fonte amministrativa e in particolare della base dati locazioni immobiliari dell’Osservatorio del mercato immobiliare dell’Agenzia delle entrate</w:t>
      </w:r>
      <w:r>
        <w:rPr>
          <w:rFonts w:ascii="Arial" w:hAnsi="Arial" w:cs="Arial"/>
          <w:sz w:val="16"/>
          <w:szCs w:val="16"/>
        </w:rPr>
        <w:t>.</w:t>
      </w:r>
    </w:p>
    <w:p w14:paraId="0D9474C2" w14:textId="77777777" w:rsidR="00BC7D08" w:rsidRPr="008A6A18" w:rsidRDefault="00BC7D08" w:rsidP="00ED00B1">
      <w:pPr>
        <w:pStyle w:val="Testonotaapidipagina"/>
        <w:spacing w:before="0" w:after="0"/>
        <w:rPr>
          <w:rFonts w:ascii="Arial" w:hAnsi="Arial" w:cs="Arial"/>
          <w:sz w:val="16"/>
          <w:szCs w:val="16"/>
        </w:rPr>
      </w:pPr>
    </w:p>
  </w:footnote>
  <w:footnote w:id="4">
    <w:p w14:paraId="134FDEDE" w14:textId="77777777" w:rsidR="00BC7D08" w:rsidRPr="00B91B6E" w:rsidRDefault="00BC7D08" w:rsidP="00ED00B1">
      <w:pPr>
        <w:pStyle w:val="Testonotaapidipagina"/>
        <w:jc w:val="both"/>
        <w:rPr>
          <w:rFonts w:ascii="Arial" w:hAnsi="Arial" w:cs="Arial"/>
          <w:sz w:val="16"/>
          <w:szCs w:val="16"/>
        </w:rPr>
      </w:pPr>
      <w:r>
        <w:rPr>
          <w:rStyle w:val="Rimandonotaapidipagina"/>
        </w:rPr>
        <w:footnoteRef/>
      </w:r>
      <w:r>
        <w:t xml:space="preserve"> </w:t>
      </w:r>
      <w:r w:rsidRPr="00B91B6E">
        <w:rPr>
          <w:rFonts w:ascii="Arial" w:hAnsi="Arial" w:cs="Arial"/>
          <w:sz w:val="16"/>
          <w:szCs w:val="16"/>
        </w:rPr>
        <w:t xml:space="preserve">A partire dal 23 settembre 2024 le serie storiche dei conti nazionali, sono state oggetto di una revisione generale finalizzata a </w:t>
      </w:r>
      <w:r>
        <w:rPr>
          <w:rFonts w:ascii="Arial" w:hAnsi="Arial" w:cs="Arial"/>
          <w:sz w:val="16"/>
          <w:szCs w:val="16"/>
        </w:rPr>
        <w:t>m</w:t>
      </w:r>
      <w:r w:rsidRPr="00614603">
        <w:rPr>
          <w:rFonts w:ascii="Arial" w:hAnsi="Arial" w:cs="Arial"/>
          <w:sz w:val="16"/>
          <w:szCs w:val="16"/>
        </w:rPr>
        <w:t>igliorare l’accuratezza e la comparabilità dei principali indicatori macroeconomici</w:t>
      </w:r>
      <w:r>
        <w:rPr>
          <w:rFonts w:ascii="Arial" w:hAnsi="Arial" w:cs="Arial"/>
          <w:sz w:val="16"/>
          <w:szCs w:val="16"/>
        </w:rPr>
        <w:t xml:space="preserve">. Tale </w:t>
      </w:r>
      <w:r w:rsidRPr="00B91B6E">
        <w:rPr>
          <w:rFonts w:ascii="Arial" w:hAnsi="Arial" w:cs="Arial"/>
          <w:sz w:val="16"/>
          <w:szCs w:val="16"/>
        </w:rPr>
        <w:t>revisione è avvenuta in coordinamento con Eurostat</w:t>
      </w:r>
      <w:r>
        <w:rPr>
          <w:rFonts w:ascii="Arial" w:hAnsi="Arial" w:cs="Arial"/>
          <w:sz w:val="16"/>
          <w:szCs w:val="16"/>
        </w:rPr>
        <w:t xml:space="preserve"> (</w:t>
      </w:r>
      <w:r w:rsidRPr="00614603">
        <w:rPr>
          <w:rFonts w:ascii="Arial" w:hAnsi="Arial" w:cs="Arial"/>
          <w:sz w:val="16"/>
          <w:szCs w:val="16"/>
        </w:rPr>
        <w:t>https://www.istat.it/wp-content/uploads/2024/08/Revisione-generale-CN-2024-Nota-informativa-Finale.pdf</w:t>
      </w:r>
      <w:r>
        <w:rPr>
          <w:rFonts w:ascii="Arial" w:hAnsi="Arial" w:cs="Arial"/>
          <w:sz w:val="16"/>
          <w:szCs w:val="16"/>
        </w:rPr>
        <w:t xml:space="preserve">). </w:t>
      </w:r>
    </w:p>
  </w:footnote>
  <w:footnote w:id="5">
    <w:p w14:paraId="7A259A73" w14:textId="77777777" w:rsidR="00BC7D08" w:rsidRDefault="00BC7D08" w:rsidP="00ED00B1">
      <w:pPr>
        <w:pStyle w:val="Testonotaapidipagina"/>
        <w:spacing w:before="0" w:after="0"/>
        <w:jc w:val="both"/>
        <w:rPr>
          <w:rFonts w:ascii="Arial" w:hAnsi="Arial" w:cs="Arial"/>
          <w:sz w:val="16"/>
          <w:szCs w:val="16"/>
        </w:rPr>
      </w:pPr>
      <w:r>
        <w:rPr>
          <w:rStyle w:val="Rimandonotaapidipagina"/>
          <w:rFonts w:ascii="Arial" w:hAnsi="Arial" w:cs="Arial"/>
          <w:sz w:val="16"/>
          <w:szCs w:val="16"/>
        </w:rPr>
        <w:footnoteRef/>
      </w:r>
      <w:r>
        <w:rPr>
          <w:rFonts w:ascii="Arial" w:hAnsi="Arial" w:cs="Arial"/>
          <w:sz w:val="16"/>
          <w:szCs w:val="16"/>
        </w:rPr>
        <w:t xml:space="preserve"> Gli indici riferiti agli Aggregati di prodotto, nei quali si articolano ulteriormente i Segmenti di consumo, sono forniti su richiesta per specifiche finalità di studio e analisi.</w:t>
      </w:r>
    </w:p>
  </w:footnote>
  <w:footnote w:id="6">
    <w:p w14:paraId="0FA329A3" w14:textId="77777777" w:rsidR="00BC7D08" w:rsidRDefault="00BC7D08" w:rsidP="00ED00B1">
      <w:pPr>
        <w:pStyle w:val="Testonotaapidipagina"/>
        <w:tabs>
          <w:tab w:val="left" w:pos="10206"/>
        </w:tabs>
        <w:spacing w:before="0" w:after="0"/>
        <w:jc w:val="both"/>
        <w:rPr>
          <w:rFonts w:ascii="Arial" w:hAnsi="Arial" w:cs="Arial"/>
          <w:sz w:val="16"/>
          <w:szCs w:val="16"/>
        </w:rPr>
      </w:pPr>
      <w:r>
        <w:rPr>
          <w:rStyle w:val="Rimandonotaapidipagina"/>
          <w:rFonts w:ascii="Arial" w:hAnsi="Arial" w:cs="Arial"/>
          <w:sz w:val="16"/>
          <w:szCs w:val="16"/>
        </w:rPr>
        <w:footnoteRef/>
      </w:r>
      <w:r>
        <w:rPr>
          <w:rFonts w:ascii="Arial" w:hAnsi="Arial" w:cs="Arial"/>
          <w:sz w:val="16"/>
          <w:szCs w:val="16"/>
        </w:rPr>
        <w:t xml:space="preserve"> La pubblicazione degli indici IPCA-AS è stata avviata a partire dai dati di febbraio 2013. La descrizione delle categorie merceologiche che definiscono i diversi aggregati speciali è disponibile sul sito web di Eurostat al seguente indirizzo: </w:t>
      </w:r>
    </w:p>
    <w:p w14:paraId="01810F6F" w14:textId="77777777" w:rsidR="00BC7D08" w:rsidRPr="002C7A4F" w:rsidRDefault="00BC7D08" w:rsidP="00ED00B1">
      <w:pPr>
        <w:pStyle w:val="Testonotaapidipagina"/>
        <w:tabs>
          <w:tab w:val="left" w:pos="10206"/>
        </w:tabs>
        <w:spacing w:before="0" w:after="0"/>
        <w:jc w:val="both"/>
        <w:rPr>
          <w:rFonts w:ascii="Arial" w:hAnsi="Arial" w:cs="Arial"/>
          <w:sz w:val="14"/>
          <w:szCs w:val="14"/>
        </w:rPr>
      </w:pPr>
      <w:hyperlink r:id="rId1" w:history="1">
        <w:r w:rsidRPr="00F11253">
          <w:rPr>
            <w:rStyle w:val="Collegamentoipertestuale"/>
            <w:rFonts w:ascii="Arial" w:hAnsi="Arial" w:cs="Arial"/>
            <w:sz w:val="14"/>
            <w:szCs w:val="14"/>
          </w:rPr>
          <w:t>http://ec.europa.eu/eurostat/ramon/nomenclatures/index.cfm?TargetUrl=LST_NOM_DTL&amp;StrNom=HICP_2000&amp;StrLanguageCode=EN&amp;IntPcKey=&amp;StrLayoutCode</w:t>
        </w:r>
      </w:hyperlink>
      <w:r w:rsidRPr="002C7A4F">
        <w:rPr>
          <w:rFonts w:ascii="Arial" w:hAnsi="Arial" w:cs="Arial"/>
          <w:sz w:val="14"/>
          <w:szCs w:val="14"/>
        </w:rPr>
        <w:t xml:space="preserve"> </w:t>
      </w:r>
    </w:p>
    <w:p w14:paraId="4F39D829" w14:textId="77777777" w:rsidR="00BC7D08" w:rsidRDefault="00BC7D08" w:rsidP="00ED00B1">
      <w:pPr>
        <w:pStyle w:val="Testonotaapidipagina"/>
        <w:tabs>
          <w:tab w:val="left" w:pos="10206"/>
        </w:tabs>
        <w:spacing w:before="0" w:after="0"/>
        <w:jc w:val="both"/>
        <w:rPr>
          <w:rFonts w:ascii="Arial" w:hAnsi="Arial" w:cs="Arial"/>
          <w:sz w:val="16"/>
          <w:szCs w:val="16"/>
        </w:rPr>
      </w:pPr>
      <w:r>
        <w:rPr>
          <w:rFonts w:ascii="Arial" w:hAnsi="Arial" w:cs="Arial"/>
          <w:sz w:val="16"/>
          <w:szCs w:val="16"/>
        </w:rPr>
        <w:t xml:space="preserve">Per la metodologia utilizzata per la sintesi degli indici, si consulti il Compendio dell’IPCA disponibile in formato pdf all’indirizzo: </w:t>
      </w:r>
    </w:p>
    <w:p w14:paraId="792677A1" w14:textId="77777777" w:rsidR="00BC7D08" w:rsidRPr="00904629" w:rsidRDefault="00BC7D08" w:rsidP="00ED00B1">
      <w:pPr>
        <w:pStyle w:val="Testonotaapidipagina"/>
        <w:tabs>
          <w:tab w:val="left" w:pos="10206"/>
        </w:tabs>
        <w:spacing w:before="0" w:after="0"/>
        <w:jc w:val="both"/>
        <w:rPr>
          <w:rFonts w:ascii="Arial" w:hAnsi="Arial" w:cs="Arial"/>
          <w:sz w:val="16"/>
          <w:szCs w:val="16"/>
        </w:rPr>
      </w:pPr>
      <w:hyperlink r:id="rId2" w:history="1">
        <w:r w:rsidRPr="00904629">
          <w:rPr>
            <w:rStyle w:val="Collegamentoipertestuale"/>
            <w:rFonts w:ascii="Arial" w:hAnsi="Arial" w:cs="Arial"/>
            <w:sz w:val="16"/>
            <w:szCs w:val="16"/>
          </w:rPr>
          <w:t>http://ec.europa.eu/eurostat/documents/3859598/5926625/KS-RA-13-017-EN.PDF/59eb2c1c-da1f-472c-b191-3d0c76521f9b?version=1.0</w:t>
        </w:r>
      </w:hyperlink>
      <w:r w:rsidRPr="00904629">
        <w:rPr>
          <w:rFonts w:ascii="Arial" w:hAnsi="Arial" w:cs="Arial"/>
          <w:sz w:val="16"/>
          <w:szCs w:val="16"/>
        </w:rPr>
        <w:t xml:space="preserve">. </w:t>
      </w:r>
    </w:p>
    <w:p w14:paraId="53C865E1" w14:textId="77777777" w:rsidR="00BC7D08" w:rsidRDefault="00BC7D08" w:rsidP="00ED00B1">
      <w:pPr>
        <w:pStyle w:val="Testonotaapidipagina"/>
        <w:tabs>
          <w:tab w:val="left" w:pos="10206"/>
        </w:tabs>
        <w:spacing w:before="0" w:after="60"/>
        <w:jc w:val="both"/>
        <w:rPr>
          <w:rFonts w:ascii="Arial" w:hAnsi="Arial" w:cs="Arial"/>
          <w:sz w:val="16"/>
          <w:szCs w:val="16"/>
        </w:rPr>
      </w:pPr>
      <w:r>
        <w:rPr>
          <w:rFonts w:ascii="Arial" w:hAnsi="Arial" w:cs="Arial"/>
          <w:sz w:val="16"/>
          <w:szCs w:val="16"/>
        </w:rPr>
        <w:t xml:space="preserve">Le serie a partire da gennaio 2001 sono disponibili su </w:t>
      </w:r>
      <w:hyperlink r:id="rId3" w:history="1">
        <w:r>
          <w:rPr>
            <w:rStyle w:val="Collegamentoipertestuale"/>
            <w:rFonts w:ascii="Arial" w:hAnsi="Arial" w:cs="Arial"/>
            <w:sz w:val="16"/>
            <w:szCs w:val="16"/>
          </w:rPr>
          <w:t>IstatData</w:t>
        </w:r>
      </w:hyperlink>
      <w:r w:rsidRPr="00904629">
        <w:rPr>
          <w:rFonts w:ascii="Arial" w:hAnsi="Arial" w:cs="Arial"/>
          <w:sz w:val="16"/>
          <w:szCs w:val="16"/>
        </w:rPr>
        <w:t>,</w:t>
      </w:r>
      <w:r>
        <w:rPr>
          <w:rFonts w:ascii="Arial" w:hAnsi="Arial" w:cs="Arial"/>
          <w:sz w:val="16"/>
          <w:szCs w:val="16"/>
        </w:rPr>
        <w:t xml:space="preserve"> il data warehouse delle statistiche prodotte dall’Istituto, sotto il tema “Prezzi” e “Prezzi al consumo”. </w:t>
      </w:r>
    </w:p>
  </w:footnote>
  <w:footnote w:id="7">
    <w:p w14:paraId="49F95575" w14:textId="77777777" w:rsidR="00BC7D08" w:rsidRPr="004D0B88" w:rsidRDefault="00BC7D08" w:rsidP="00ED00B1">
      <w:pPr>
        <w:pStyle w:val="Testonotaapidipagina"/>
        <w:jc w:val="both"/>
        <w:rPr>
          <w:rFonts w:ascii="Arial" w:hAnsi="Arial" w:cs="Arial"/>
          <w:sz w:val="16"/>
          <w:szCs w:val="16"/>
        </w:rPr>
      </w:pPr>
      <w:r w:rsidRPr="00C80FB4">
        <w:rPr>
          <w:rStyle w:val="Rimandonotaapidipagina"/>
          <w:rFonts w:ascii="Arial" w:hAnsi="Arial" w:cs="Arial"/>
          <w:sz w:val="16"/>
          <w:szCs w:val="16"/>
        </w:rPr>
        <w:footnoteRef/>
      </w:r>
      <w:r w:rsidRPr="00C80FB4">
        <w:rPr>
          <w:rFonts w:ascii="Arial" w:hAnsi="Arial" w:cs="Arial"/>
          <w:sz w:val="16"/>
          <w:szCs w:val="16"/>
        </w:rPr>
        <w:t xml:space="preserve"> </w:t>
      </w:r>
      <w:r w:rsidRPr="00472A7F">
        <w:rPr>
          <w:rFonts w:ascii="Arial" w:hAnsi="Arial" w:cs="Arial"/>
          <w:sz w:val="16"/>
          <w:szCs w:val="16"/>
        </w:rPr>
        <w:t>Durante il periodo dell’emergenza sanitaria legata alla diffusione del Covid-19, l’insieme delle procedure per l’imputazione delle mancate rilevazioni è stato aggiornato, in cooperazione con gli altri Istituti nazionali di statistica dei paesi dell’Unione europea e sotto il coordinamento dell’Eurostat, per tenere conto delle criticità emerse relativamente alla raccolta dei dati nella fase di pandemia.</w:t>
      </w:r>
    </w:p>
  </w:footnote>
  <w:footnote w:id="8">
    <w:p w14:paraId="7D5058D8" w14:textId="77777777" w:rsidR="00BC7D08" w:rsidRPr="004D0B88" w:rsidRDefault="00BC7D08" w:rsidP="00ED00B1">
      <w:pPr>
        <w:pStyle w:val="Default"/>
        <w:spacing w:after="120"/>
        <w:jc w:val="both"/>
      </w:pPr>
      <w:r w:rsidRPr="004D0B88">
        <w:rPr>
          <w:rStyle w:val="Rimandonotaapidipagina"/>
          <w:rFonts w:ascii="Arial" w:hAnsi="Arial" w:cs="Arial"/>
          <w:sz w:val="16"/>
          <w:szCs w:val="16"/>
        </w:rPr>
        <w:footnoteRef/>
      </w:r>
      <w:r w:rsidRPr="004D0B88">
        <w:rPr>
          <w:rFonts w:ascii="Arial" w:hAnsi="Arial" w:cs="Arial"/>
          <w:sz w:val="16"/>
          <w:szCs w:val="16"/>
        </w:rPr>
        <w:t xml:space="preserve"> Il criterio della </w:t>
      </w:r>
      <w:r w:rsidRPr="00472A7F">
        <w:rPr>
          <w:rFonts w:ascii="Arial" w:hAnsi="Arial" w:cs="Arial"/>
          <w:sz w:val="16"/>
          <w:szCs w:val="16"/>
        </w:rPr>
        <w:t>minimizzazione del numero di prezzi imputati implica che, nella selezione dei prodotti che compongono il paniere, si deve tenere conto della loro effettiva disponibilità all’acquisto da parte delle famiglie.</w:t>
      </w:r>
      <w:r w:rsidRPr="004D0B88">
        <w:t xml:space="preserve"> </w:t>
      </w:r>
    </w:p>
  </w:footnote>
  <w:footnote w:id="9">
    <w:p w14:paraId="0E6D5387" w14:textId="77777777" w:rsidR="00BC7D08" w:rsidRPr="00C0657B" w:rsidRDefault="00BC7D08" w:rsidP="00ED00B1">
      <w:pPr>
        <w:pStyle w:val="Testonotaapidipagina"/>
        <w:rPr>
          <w:rFonts w:ascii="Arial" w:hAnsi="Arial" w:cs="Arial"/>
          <w:sz w:val="16"/>
          <w:szCs w:val="16"/>
        </w:rPr>
      </w:pPr>
      <w:r w:rsidRPr="004D0B88">
        <w:rPr>
          <w:rStyle w:val="Rimandonotaapidipagina"/>
          <w:rFonts w:ascii="Arial" w:hAnsi="Arial" w:cs="Arial"/>
          <w:sz w:val="16"/>
          <w:szCs w:val="16"/>
        </w:rPr>
        <w:footnoteRef/>
      </w:r>
      <w:r w:rsidRPr="004D0B88">
        <w:rPr>
          <w:rFonts w:ascii="Arial" w:hAnsi="Arial" w:cs="Arial"/>
          <w:sz w:val="16"/>
          <w:szCs w:val="16"/>
        </w:rPr>
        <w:t xml:space="preserve"> </w:t>
      </w:r>
      <w:r w:rsidRPr="00472A7F">
        <w:rPr>
          <w:rFonts w:ascii="Arial" w:hAnsi="Arial" w:cs="Arial"/>
          <w:sz w:val="16"/>
          <w:szCs w:val="16"/>
        </w:rPr>
        <w:t>La stessa procedura si applica al caso di stima dei prezzi outlier.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333F8" w14:textId="77777777" w:rsidR="00BC7D08" w:rsidRDefault="00BC7D08" w:rsidP="00235BD6">
    <w:pPr>
      <w:pStyle w:val="Intestazione"/>
    </w:pPr>
    <w:r w:rsidRPr="001D330A">
      <w:rPr>
        <w:noProof/>
      </w:rPr>
      <mc:AlternateContent>
        <mc:Choice Requires="wps">
          <w:drawing>
            <wp:anchor distT="0" distB="0" distL="114300" distR="114300" simplePos="0" relativeHeight="251673600" behindDoc="0" locked="0" layoutInCell="1" allowOverlap="1" wp14:anchorId="48A7F36A" wp14:editId="6E31F4F5">
              <wp:simplePos x="0" y="0"/>
              <wp:positionH relativeFrom="margin">
                <wp:posOffset>5363210</wp:posOffset>
              </wp:positionH>
              <wp:positionV relativeFrom="paragraph">
                <wp:posOffset>110930</wp:posOffset>
              </wp:positionV>
              <wp:extent cx="1114425" cy="962025"/>
              <wp:effectExtent l="0" t="0" r="9525" b="9525"/>
              <wp:wrapNone/>
              <wp:docPr id="36" name="Casella di testo 36"/>
              <wp:cNvGraphicFramePr/>
              <a:graphic xmlns:a="http://schemas.openxmlformats.org/drawingml/2006/main">
                <a:graphicData uri="http://schemas.microsoft.com/office/word/2010/wordprocessingShape">
                  <wps:wsp>
                    <wps:cNvSpPr txBox="1"/>
                    <wps:spPr>
                      <a:xfrm>
                        <a:off x="0" y="0"/>
                        <a:ext cx="1114425" cy="962025"/>
                      </a:xfrm>
                      <a:prstGeom prst="rect">
                        <a:avLst/>
                      </a:prstGeom>
                      <a:solidFill>
                        <a:schemeClr val="lt1"/>
                      </a:solidFill>
                      <a:ln w="6350">
                        <a:noFill/>
                      </a:ln>
                    </wps:spPr>
                    <wps:txbx>
                      <w:txbxContent>
                        <w:p w14:paraId="51741662" w14:textId="77777777" w:rsidR="00BC7D08" w:rsidRDefault="00BC7D08" w:rsidP="00E54181">
                          <w:pPr>
                            <w:spacing w:before="0" w:after="120" w:line="180" w:lineRule="exact"/>
                            <w:rPr>
                              <w:rFonts w:ascii="Arial Narrow" w:hAnsi="Arial Narrow"/>
                              <w:sz w:val="18"/>
                              <w:szCs w:val="18"/>
                            </w:rPr>
                          </w:pPr>
                          <w:hyperlink r:id="rId1" w:history="1">
                            <w:r w:rsidRPr="0059658A">
                              <w:rPr>
                                <w:rStyle w:val="Collegamentoipertestuale"/>
                                <w:rFonts w:ascii="Arial Narrow" w:hAnsi="Arial Narrow"/>
                                <w:sz w:val="18"/>
                                <w:szCs w:val="18"/>
                              </w:rPr>
                              <w:t>http://www.istat.it</w:t>
                            </w:r>
                          </w:hyperlink>
                        </w:p>
                        <w:p w14:paraId="6D8B8E55" w14:textId="77777777" w:rsidR="00BC7D08" w:rsidRDefault="00BC7D08" w:rsidP="00E54181">
                          <w:pPr>
                            <w:spacing w:before="0" w:after="0"/>
                            <w:rPr>
                              <w:rFonts w:ascii="Arial Narrow" w:hAnsi="Arial Narrow"/>
                              <w:b/>
                              <w:bCs/>
                              <w:sz w:val="18"/>
                              <w:szCs w:val="18"/>
                            </w:rPr>
                          </w:pPr>
                          <w:hyperlink r:id="rId2" w:history="1">
                            <w:r w:rsidRPr="006C6DF9">
                              <w:rPr>
                                <w:rStyle w:val="Collegamentoipertestuale"/>
                                <w:rFonts w:ascii="Arial Narrow" w:hAnsi="Arial Narrow"/>
                                <w:b/>
                                <w:bCs/>
                                <w:sz w:val="18"/>
                                <w:szCs w:val="18"/>
                              </w:rPr>
                              <w:t>Contact Centre</w:t>
                            </w:r>
                          </w:hyperlink>
                        </w:p>
                        <w:p w14:paraId="1DE03FD4" w14:textId="77777777" w:rsidR="00BC7D08" w:rsidRPr="00235BD6" w:rsidRDefault="00BC7D08" w:rsidP="00E54181">
                          <w:pPr>
                            <w:spacing w:before="0" w:after="0"/>
                            <w:rPr>
                              <w:rFonts w:ascii="Arial Narrow" w:hAnsi="Arial Narrow"/>
                              <w:sz w:val="18"/>
                              <w:szCs w:val="18"/>
                            </w:rPr>
                          </w:pPr>
                        </w:p>
                        <w:p w14:paraId="3EFD5FB0" w14:textId="77777777" w:rsidR="00BC7D08" w:rsidRPr="004E2649" w:rsidRDefault="00BC7D08" w:rsidP="00E54181">
                          <w:pPr>
                            <w:spacing w:before="0" w:after="0"/>
                            <w:rPr>
                              <w:rFonts w:ascii="Arial Narrow" w:hAnsi="Arial Narrow"/>
                              <w:b/>
                              <w:bCs/>
                              <w:sz w:val="18"/>
                              <w:szCs w:val="18"/>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4E2649">
                            <w:rPr>
                              <w:rFonts w:ascii="Arial Narrow" w:hAnsi="Arial Narrow"/>
                              <w:sz w:val="18"/>
                              <w:szCs w:val="18"/>
                            </w:rPr>
                            <w:t>+39 06 4673.2243/4</w:t>
                          </w:r>
                        </w:p>
                        <w:p w14:paraId="194CBB35" w14:textId="77777777" w:rsidR="00BC7D08" w:rsidRPr="004E2649" w:rsidRDefault="00BC7D08" w:rsidP="00E54181">
                          <w:pPr>
                            <w:spacing w:before="0" w:after="0"/>
                            <w:rPr>
                              <w:rFonts w:ascii="Arial Narrow" w:hAnsi="Arial Narrow"/>
                              <w:b/>
                              <w:bCs/>
                              <w:color w:val="7F7F7F"/>
                              <w:sz w:val="18"/>
                              <w:szCs w:val="18"/>
                            </w:rPr>
                          </w:pPr>
                          <w:hyperlink r:id="rId3" w:history="1">
                            <w:r w:rsidRPr="004E2649">
                              <w:rPr>
                                <w:rStyle w:val="Collegamentoipertestuale"/>
                                <w:rFonts w:ascii="Arial Narrow" w:hAnsi="Arial Narrow"/>
                                <w:b/>
                                <w:bCs/>
                                <w:sz w:val="18"/>
                                <w:szCs w:val="18"/>
                              </w:rPr>
                              <w:t>ufficiostampa@istat.it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7F36A" id="_x0000_t202" coordsize="21600,21600" o:spt="202" path="m,l,21600r21600,l21600,xe">
              <v:stroke joinstyle="miter"/>
              <v:path gradientshapeok="t" o:connecttype="rect"/>
            </v:shapetype>
            <v:shape id="Casella di testo 36" o:spid="_x0000_s1026" type="#_x0000_t202" style="position:absolute;margin-left:422.3pt;margin-top:8.75pt;width:87.75pt;height:7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" fillcolor="white [3201]" stroked="f" strokeweight=".5pt">
              <v:textbox inset="0,0,0,0">
                <w:txbxContent>
                  <w:p w14:paraId="51741662" w14:textId="77777777" w:rsidR="00BC7D08" w:rsidRDefault="00BC7D08" w:rsidP="00E54181">
                    <w:pPr>
                      <w:spacing w:before="0" w:after="120" w:line="180" w:lineRule="exact"/>
                      <w:rPr>
                        <w:rFonts w:ascii="Arial Narrow" w:hAnsi="Arial Narrow"/>
                        <w:sz w:val="18"/>
                        <w:szCs w:val="18"/>
                      </w:rPr>
                    </w:pPr>
                    <w:hyperlink r:id="rId4" w:history="1">
                      <w:r w:rsidRPr="0059658A">
                        <w:rPr>
                          <w:rStyle w:val="Collegamentoipertestuale"/>
                          <w:rFonts w:ascii="Arial Narrow" w:hAnsi="Arial Narrow"/>
                          <w:sz w:val="18"/>
                          <w:szCs w:val="18"/>
                        </w:rPr>
                        <w:t>http://www.istat.it</w:t>
                      </w:r>
                    </w:hyperlink>
                  </w:p>
                  <w:p w14:paraId="6D8B8E55" w14:textId="77777777" w:rsidR="00BC7D08" w:rsidRDefault="00BC7D08" w:rsidP="00E54181">
                    <w:pPr>
                      <w:spacing w:before="0" w:after="0"/>
                      <w:rPr>
                        <w:rFonts w:ascii="Arial Narrow" w:hAnsi="Arial Narrow"/>
                        <w:b/>
                        <w:bCs/>
                        <w:sz w:val="18"/>
                        <w:szCs w:val="18"/>
                      </w:rPr>
                    </w:pPr>
                    <w:hyperlink r:id="rId5" w:history="1">
                      <w:r w:rsidRPr="006C6DF9">
                        <w:rPr>
                          <w:rStyle w:val="Collegamentoipertestuale"/>
                          <w:rFonts w:ascii="Arial Narrow" w:hAnsi="Arial Narrow"/>
                          <w:b/>
                          <w:bCs/>
                          <w:sz w:val="18"/>
                          <w:szCs w:val="18"/>
                        </w:rPr>
                        <w:t>Contact Centre</w:t>
                      </w:r>
                    </w:hyperlink>
                  </w:p>
                  <w:p w14:paraId="1DE03FD4" w14:textId="77777777" w:rsidR="00BC7D08" w:rsidRPr="00235BD6" w:rsidRDefault="00BC7D08" w:rsidP="00E54181">
                    <w:pPr>
                      <w:spacing w:before="0" w:after="0"/>
                      <w:rPr>
                        <w:rFonts w:ascii="Arial Narrow" w:hAnsi="Arial Narrow"/>
                        <w:sz w:val="18"/>
                        <w:szCs w:val="18"/>
                      </w:rPr>
                    </w:pPr>
                  </w:p>
                  <w:p w14:paraId="3EFD5FB0" w14:textId="77777777" w:rsidR="00BC7D08" w:rsidRPr="004E2649" w:rsidRDefault="00BC7D08" w:rsidP="00E54181">
                    <w:pPr>
                      <w:spacing w:before="0" w:after="0"/>
                      <w:rPr>
                        <w:rFonts w:ascii="Arial Narrow" w:hAnsi="Arial Narrow"/>
                        <w:b/>
                        <w:bCs/>
                        <w:sz w:val="18"/>
                        <w:szCs w:val="18"/>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4E2649">
                      <w:rPr>
                        <w:rFonts w:ascii="Arial Narrow" w:hAnsi="Arial Narrow"/>
                        <w:sz w:val="18"/>
                        <w:szCs w:val="18"/>
                      </w:rPr>
                      <w:t>+39 06 4673.2243/4</w:t>
                    </w:r>
                  </w:p>
                  <w:p w14:paraId="194CBB35" w14:textId="77777777" w:rsidR="00BC7D08" w:rsidRPr="004E2649" w:rsidRDefault="00BC7D08" w:rsidP="00E54181">
                    <w:pPr>
                      <w:spacing w:before="0" w:after="0"/>
                      <w:rPr>
                        <w:rFonts w:ascii="Arial Narrow" w:hAnsi="Arial Narrow"/>
                        <w:b/>
                        <w:bCs/>
                        <w:color w:val="7F7F7F"/>
                        <w:sz w:val="18"/>
                        <w:szCs w:val="18"/>
                      </w:rPr>
                    </w:pPr>
                    <w:hyperlink r:id="rId6" w:history="1">
                      <w:r w:rsidRPr="004E2649">
                        <w:rPr>
                          <w:rStyle w:val="Collegamentoipertestuale"/>
                          <w:rFonts w:ascii="Arial Narrow" w:hAnsi="Arial Narrow"/>
                          <w:b/>
                          <w:bCs/>
                          <w:sz w:val="18"/>
                          <w:szCs w:val="18"/>
                        </w:rPr>
                        <w:t>ufficiostampa@istat.it</w:t>
                      </w:r>
                    </w:hyperlink>
                  </w:p>
                </w:txbxContent>
              </v:textbox>
              <w10:wrap anchorx="margin"/>
            </v:shape>
          </w:pict>
        </mc:Fallback>
      </mc:AlternateContent>
    </w:r>
    <w:r w:rsidRPr="00171C5C">
      <w:rPr>
        <w:rFonts w:ascii="Arial" w:hAnsi="Arial" w:cs="Arial"/>
        <w:noProof/>
        <w:color w:val="5F5F5F"/>
        <w:sz w:val="28"/>
        <w:szCs w:val="28"/>
      </w:rPr>
      <mc:AlternateContent>
        <mc:Choice Requires="wps">
          <w:drawing>
            <wp:anchor distT="0" distB="0" distL="114300" distR="114300" simplePos="0" relativeHeight="251665408" behindDoc="0" locked="0" layoutInCell="1" allowOverlap="1" wp14:anchorId="0D8F57D6" wp14:editId="4F2977E5">
              <wp:simplePos x="0" y="0"/>
              <wp:positionH relativeFrom="column">
                <wp:posOffset>3841090</wp:posOffset>
              </wp:positionH>
              <wp:positionV relativeFrom="paragraph">
                <wp:posOffset>117602</wp:posOffset>
              </wp:positionV>
              <wp:extent cx="1321435" cy="325755"/>
              <wp:effectExtent l="0" t="0" r="0" b="508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325755"/>
                      </a:xfrm>
                      <a:prstGeom prst="rect">
                        <a:avLst/>
                      </a:prstGeom>
                      <a:solidFill>
                        <a:srgbClr val="FFFFFF"/>
                      </a:solidFill>
                      <a:ln w="9525">
                        <a:solidFill>
                          <a:srgbClr val="FFFFFF"/>
                        </a:solidFill>
                        <a:miter lim="800000"/>
                        <a:headEnd/>
                        <a:tailEnd/>
                      </a:ln>
                    </wps:spPr>
                    <wps:txbx>
                      <w:txbxContent>
                        <w:p w14:paraId="0A26006B" w14:textId="5E38128D" w:rsidR="00BC7D08" w:rsidRPr="00BC2B33" w:rsidRDefault="00BC7D08" w:rsidP="00235BD6">
                          <w:pPr>
                            <w:jc w:val="right"/>
                            <w:rPr>
                              <w:color w:val="7F7F7F" w:themeColor="text1" w:themeTint="80"/>
                              <w:kern w:val="0"/>
                            </w:rPr>
                          </w:pPr>
                          <w:r>
                            <w:rPr>
                              <w:rFonts w:ascii="Arial Narrow" w:hAnsi="Arial Narrow"/>
                              <w:b/>
                              <w:color w:val="7F7F7F" w:themeColor="text1" w:themeTint="80"/>
                              <w:sz w:val="26"/>
                              <w:szCs w:val="26"/>
                            </w:rPr>
                            <w:t>1</w:t>
                          </w:r>
                          <w:r w:rsidR="00642DB1">
                            <w:rPr>
                              <w:rFonts w:ascii="Arial Narrow" w:hAnsi="Arial Narrow"/>
                              <w:b/>
                              <w:color w:val="7F7F7F" w:themeColor="text1" w:themeTint="80"/>
                              <w:sz w:val="26"/>
                              <w:szCs w:val="26"/>
                            </w:rPr>
                            <w:t>6</w:t>
                          </w:r>
                          <w:r>
                            <w:rPr>
                              <w:rFonts w:ascii="Arial Narrow" w:hAnsi="Arial Narrow"/>
                              <w:b/>
                              <w:color w:val="7F7F7F" w:themeColor="text1" w:themeTint="80"/>
                              <w:sz w:val="26"/>
                              <w:szCs w:val="26"/>
                            </w:rPr>
                            <w:t xml:space="preserve"> </w:t>
                          </w:r>
                          <w:r w:rsidR="00642DB1">
                            <w:rPr>
                              <w:rFonts w:ascii="Arial Narrow" w:hAnsi="Arial Narrow"/>
                              <w:b/>
                              <w:color w:val="7F7F7F" w:themeColor="text1" w:themeTint="80"/>
                              <w:sz w:val="26"/>
                              <w:szCs w:val="26"/>
                            </w:rPr>
                            <w:t>dic</w:t>
                          </w:r>
                          <w:r>
                            <w:rPr>
                              <w:rFonts w:ascii="Arial Narrow" w:hAnsi="Arial Narrow"/>
                              <w:b/>
                              <w:color w:val="7F7F7F" w:themeColor="text1" w:themeTint="80"/>
                              <w:sz w:val="26"/>
                              <w:szCs w:val="26"/>
                            </w:rPr>
                            <w:t>embre 2025</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8F57D6" id="Casella di testo 2" o:spid="_x0000_s1027" type="#_x0000_t202" style="position:absolute;margin-left:302.45pt;margin-top:9.25pt;width:104.05pt;height:25.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" strokecolor="white">
              <v:path arrowok="t"/>
              <v:textbox style="mso-fit-shape-to-text:t" inset="0,0,0,0">
                <w:txbxContent>
                  <w:p w14:paraId="0A26006B" w14:textId="5E38128D" w:rsidR="00BC7D08" w:rsidRPr="00BC2B33" w:rsidRDefault="00BC7D08" w:rsidP="00235BD6">
                    <w:pPr>
                      <w:jc w:val="right"/>
                      <w:rPr>
                        <w:color w:val="7F7F7F" w:themeColor="text1" w:themeTint="80"/>
                        <w:kern w:val="0"/>
                      </w:rPr>
                    </w:pPr>
                    <w:r>
                      <w:rPr>
                        <w:rFonts w:ascii="Arial Narrow" w:hAnsi="Arial Narrow"/>
                        <w:b/>
                        <w:color w:val="7F7F7F" w:themeColor="text1" w:themeTint="80"/>
                        <w:sz w:val="26"/>
                        <w:szCs w:val="26"/>
                      </w:rPr>
                      <w:t>1</w:t>
                    </w:r>
                    <w:r w:rsidR="00642DB1">
                      <w:rPr>
                        <w:rFonts w:ascii="Arial Narrow" w:hAnsi="Arial Narrow"/>
                        <w:b/>
                        <w:color w:val="7F7F7F" w:themeColor="text1" w:themeTint="80"/>
                        <w:sz w:val="26"/>
                        <w:szCs w:val="26"/>
                      </w:rPr>
                      <w:t>6</w:t>
                    </w:r>
                    <w:r>
                      <w:rPr>
                        <w:rFonts w:ascii="Arial Narrow" w:hAnsi="Arial Narrow"/>
                        <w:b/>
                        <w:color w:val="7F7F7F" w:themeColor="text1" w:themeTint="80"/>
                        <w:sz w:val="26"/>
                        <w:szCs w:val="26"/>
                      </w:rPr>
                      <w:t xml:space="preserve"> </w:t>
                    </w:r>
                    <w:r w:rsidR="00642DB1">
                      <w:rPr>
                        <w:rFonts w:ascii="Arial Narrow" w:hAnsi="Arial Narrow"/>
                        <w:b/>
                        <w:color w:val="7F7F7F" w:themeColor="text1" w:themeTint="80"/>
                        <w:sz w:val="26"/>
                        <w:szCs w:val="26"/>
                      </w:rPr>
                      <w:t>dic</w:t>
                    </w:r>
                    <w:r>
                      <w:rPr>
                        <w:rFonts w:ascii="Arial Narrow" w:hAnsi="Arial Narrow"/>
                        <w:b/>
                        <w:color w:val="7F7F7F" w:themeColor="text1" w:themeTint="80"/>
                        <w:sz w:val="26"/>
                        <w:szCs w:val="26"/>
                      </w:rPr>
                      <w:t>embre 2025</w:t>
                    </w:r>
                  </w:p>
                </w:txbxContent>
              </v:textbox>
            </v:shape>
          </w:pict>
        </mc:Fallback>
      </mc:AlternateContent>
    </w:r>
    <w:r w:rsidRPr="00340648">
      <w:rPr>
        <w:noProof/>
      </w:rPr>
      <w:drawing>
        <wp:anchor distT="0" distB="0" distL="114300" distR="114300" simplePos="0" relativeHeight="251662336" behindDoc="0" locked="0" layoutInCell="1" allowOverlap="1" wp14:anchorId="04E96D27" wp14:editId="0A0D264C">
          <wp:simplePos x="0" y="0"/>
          <wp:positionH relativeFrom="column">
            <wp:posOffset>15569</wp:posOffset>
          </wp:positionH>
          <wp:positionV relativeFrom="paragraph">
            <wp:posOffset>-138532</wp:posOffset>
          </wp:positionV>
          <wp:extent cx="5332781" cy="1137834"/>
          <wp:effectExtent l="0" t="0" r="1270" b="5715"/>
          <wp:wrapNone/>
          <wp:docPr id="12"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pic:cNvPicPr>
                </pic:nvPicPr>
                <pic:blipFill rotWithShape="1">
                  <a:blip r:embed="rId7">
                    <a:extLst>
                      <a:ext uri="{28A0092B-C50C-407E-A947-70E740481C1C}">
                        <a14:useLocalDpi xmlns:a14="http://schemas.microsoft.com/office/drawing/2010/main" val="0"/>
                      </a:ext>
                    </a:extLst>
                  </a:blip>
                  <a:srcRect l="4" t="-12706" r="16052" b="7286"/>
                  <a:stretch/>
                </pic:blipFill>
                <pic:spPr bwMode="auto">
                  <a:xfrm>
                    <a:off x="0" y="0"/>
                    <a:ext cx="5333658" cy="1138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770E">
      <w:rPr>
        <w:noProof/>
      </w:rPr>
      <mc:AlternateContent>
        <mc:Choice Requires="wps">
          <w:drawing>
            <wp:anchor distT="0" distB="0" distL="114300" distR="114300" simplePos="0" relativeHeight="251664384" behindDoc="0" locked="0" layoutInCell="1" allowOverlap="1" wp14:anchorId="3582DCC5" wp14:editId="785C3D04">
              <wp:simplePos x="0" y="0"/>
              <wp:positionH relativeFrom="column">
                <wp:posOffset>0</wp:posOffset>
              </wp:positionH>
              <wp:positionV relativeFrom="paragraph">
                <wp:posOffset>1082014</wp:posOffset>
              </wp:positionV>
              <wp:extent cx="6414770" cy="0"/>
              <wp:effectExtent l="0" t="0" r="11430" b="12700"/>
              <wp:wrapNone/>
              <wp:docPr id="21" name="Connettore 1 37"/>
              <wp:cNvGraphicFramePr/>
              <a:graphic xmlns:a="http://schemas.openxmlformats.org/drawingml/2006/main">
                <a:graphicData uri="http://schemas.microsoft.com/office/word/2010/wordprocessingShape">
                  <wps:wsp>
                    <wps:cNvCnPr/>
                    <wps:spPr>
                      <a:xfrm>
                        <a:off x="0" y="0"/>
                        <a:ext cx="64147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20B3B9" id="Connettore 1 3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" strokecolor="#7f7f7f [1612]"/>
          </w:pict>
        </mc:Fallback>
      </mc:AlternateContent>
    </w:r>
  </w:p>
  <w:p w14:paraId="35AD7F05" w14:textId="77777777" w:rsidR="00BC7D08" w:rsidRDefault="00BC7D08" w:rsidP="00FC6D8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E50E8" w14:textId="77777777" w:rsidR="00BC7D08" w:rsidRDefault="00BC7D08">
    <w:pPr>
      <w:pStyle w:val="Intestazione"/>
    </w:pPr>
    <w:r>
      <w:rPr>
        <w:noProof/>
      </w:rPr>
      <mc:AlternateContent>
        <mc:Choice Requires="wps">
          <w:drawing>
            <wp:anchor distT="0" distB="0" distL="114300" distR="114300" simplePos="0" relativeHeight="251654656" behindDoc="0" locked="0" layoutInCell="1" allowOverlap="1" wp14:anchorId="059DBF4A" wp14:editId="0FC01EAD">
              <wp:simplePos x="0" y="0"/>
              <wp:positionH relativeFrom="column">
                <wp:posOffset>531495</wp:posOffset>
              </wp:positionH>
              <wp:positionV relativeFrom="paragraph">
                <wp:posOffset>69850</wp:posOffset>
              </wp:positionV>
              <wp:extent cx="1078230" cy="263525"/>
              <wp:effectExtent l="12700" t="13970" r="13970" b="825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411CD36A" w14:textId="77777777" w:rsidR="00BC7D08" w:rsidRDefault="00BC7D08"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14:paraId="09E7605A" w14:textId="77777777" w:rsidR="00BC7D08" w:rsidRPr="00C423DB" w:rsidRDefault="00BC7D08"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9DBF4A" id="_x0000_t202" coordsize="21600,21600" o:spt="202" path="m,l,21600r21600,l21600,xe">
              <v:stroke joinstyle="miter"/>
              <v:path gradientshapeok="t" o:connecttype="rect"/>
            </v:shapetype>
            <v:shape id="_x0000_s1028" type="#_x0000_t202" style="position:absolute;margin-left:41.85pt;margin-top:5.5pt;width:84.9pt;height:20.7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" strokecolor="white">
              <v:textbox style="mso-fit-shape-to-text:t" inset="0,0,0,0">
                <w:txbxContent>
                  <w:p w14:paraId="411CD36A" w14:textId="77777777" w:rsidR="00BC7D08" w:rsidRDefault="00BC7D08"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14:paraId="09E7605A" w14:textId="77777777" w:rsidR="00BC7D08" w:rsidRPr="00C423DB" w:rsidRDefault="00BC7D08"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r>
      <w:rPr>
        <w:noProof/>
      </w:rPr>
      <w:drawing>
        <wp:inline distT="0" distB="0" distL="0" distR="0" wp14:anchorId="58658D71" wp14:editId="4AF0038A">
          <wp:extent cx="6480175" cy="588645"/>
          <wp:effectExtent l="0" t="0" r="0" b="1905"/>
          <wp:docPr id="4" name="Immagine 4"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32139" w14:textId="77777777" w:rsidR="00BC7D08" w:rsidRPr="009E5F03" w:rsidRDefault="00BC7D08" w:rsidP="009E5F03">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7BEA" w14:textId="77777777" w:rsidR="00BC7D08" w:rsidRPr="00CC0BEA" w:rsidRDefault="00BC7D08" w:rsidP="00CC0BEA">
    <w:pPr>
      <w:pStyle w:val="Intestazione"/>
    </w:pPr>
    <w:r>
      <w:rPr>
        <w:noProof/>
      </w:rPr>
      <w:drawing>
        <wp:inline distT="0" distB="0" distL="0" distR="0" wp14:anchorId="52F94EEA" wp14:editId="41554B30">
          <wp:extent cx="6480175" cy="596265"/>
          <wp:effectExtent l="0" t="0" r="0" b="0"/>
          <wp:docPr id="22" name="Immagine 22"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96265"/>
                  </a:xfrm>
                  <a:prstGeom prst="rect">
                    <a:avLst/>
                  </a:prstGeom>
                  <a:noFill/>
                  <a:ln>
                    <a:noFill/>
                  </a:ln>
                </pic:spPr>
              </pic:pic>
            </a:graphicData>
          </a:graphic>
        </wp:inline>
      </w:drawing>
    </w:r>
    <w:r>
      <w:rPr>
        <w:noProof/>
      </w:rPr>
      <mc:AlternateContent>
        <mc:Choice Requires="wps">
          <w:drawing>
            <wp:anchor distT="0" distB="0" distL="114300" distR="114300" simplePos="0" relativeHeight="251671552" behindDoc="0" locked="0" layoutInCell="1" allowOverlap="1" wp14:anchorId="003244A9" wp14:editId="2380C12B">
              <wp:simplePos x="0" y="0"/>
              <wp:positionH relativeFrom="column">
                <wp:posOffset>520700</wp:posOffset>
              </wp:positionH>
              <wp:positionV relativeFrom="paragraph">
                <wp:posOffset>71120</wp:posOffset>
              </wp:positionV>
              <wp:extent cx="1078230" cy="263525"/>
              <wp:effectExtent l="0" t="0" r="26670" b="22860"/>
              <wp:wrapNone/>
              <wp:docPr id="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1240B721" w14:textId="77777777" w:rsidR="00BC7D08" w:rsidRDefault="00BC7D0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14:paraId="57BE2C3A" w14:textId="77777777" w:rsidR="00BC7D08" w:rsidRPr="00C423DB" w:rsidRDefault="00BC7D0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03244A9" id="_x0000_t202" coordsize="21600,21600" o:spt="202" path="m,l,21600r21600,l21600,xe">
              <v:stroke joinstyle="miter"/>
              <v:path gradientshapeok="t" o:connecttype="rect"/>
            </v:shapetype>
            <v:shape id="_x0000_s1029" type="#_x0000_t202" style="position:absolute;margin-left:41pt;margin-top:5.6pt;width:84.9pt;height:20.7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" strokecolor="white">
              <v:textbox style="mso-fit-shape-to-text:t" inset="0,0,0,0">
                <w:txbxContent>
                  <w:p w14:paraId="1240B721" w14:textId="77777777" w:rsidR="00BC7D08" w:rsidRDefault="00BC7D0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14:paraId="57BE2C3A" w14:textId="77777777" w:rsidR="00BC7D08" w:rsidRPr="00C423DB" w:rsidRDefault="00BC7D0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00667" w14:textId="77777777" w:rsidR="00BC7D08" w:rsidRPr="00CC0BEA" w:rsidRDefault="00BC7D08" w:rsidP="00CC0BEA">
    <w:pPr>
      <w:pStyle w:val="Intestazione"/>
    </w:pPr>
    <w:r>
      <w:rPr>
        <w:noProof/>
      </w:rPr>
      <mc:AlternateContent>
        <mc:Choice Requires="wps">
          <w:drawing>
            <wp:anchor distT="0" distB="0" distL="114300" distR="114300" simplePos="0" relativeHeight="251667456" behindDoc="0" locked="0" layoutInCell="1" allowOverlap="1" wp14:anchorId="1D7F43D3" wp14:editId="3659B62B">
              <wp:simplePos x="0" y="0"/>
              <wp:positionH relativeFrom="column">
                <wp:posOffset>520700</wp:posOffset>
              </wp:positionH>
              <wp:positionV relativeFrom="paragraph">
                <wp:posOffset>71120</wp:posOffset>
              </wp:positionV>
              <wp:extent cx="1078230" cy="263525"/>
              <wp:effectExtent l="0" t="0" r="26670" b="2286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450BD624" w14:textId="77777777" w:rsidR="00BC7D08" w:rsidRDefault="00BC7D0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14:paraId="722305C2" w14:textId="77777777" w:rsidR="00BC7D08" w:rsidRPr="00C423DB" w:rsidRDefault="00BC7D0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D7F43D3" id="_x0000_t202" coordsize="21600,21600" o:spt="202" path="m,l,21600r21600,l21600,xe">
              <v:stroke joinstyle="miter"/>
              <v:path gradientshapeok="t" o:connecttype="rect"/>
            </v:shapetype>
            <v:shape id="_x0000_s1030" type="#_x0000_t202" style="position:absolute;margin-left:41pt;margin-top:5.6pt;width:84.9pt;height:20.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" strokecolor="white">
              <v:textbox style="mso-fit-shape-to-text:t" inset="0,0,0,0">
                <w:txbxContent>
                  <w:p w14:paraId="450BD624" w14:textId="77777777" w:rsidR="00BC7D08" w:rsidRDefault="00BC7D0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14:paraId="722305C2" w14:textId="77777777" w:rsidR="00BC7D08" w:rsidRPr="00C423DB" w:rsidRDefault="00BC7D0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r>
      <w:rPr>
        <w:noProof/>
      </w:rPr>
      <w:drawing>
        <wp:inline distT="0" distB="0" distL="0" distR="0" wp14:anchorId="2AAE5229" wp14:editId="7C92ADC2">
          <wp:extent cx="6480175" cy="580390"/>
          <wp:effectExtent l="0" t="0" r="0" b="0"/>
          <wp:docPr id="8" name="Immagine 8"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03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9AA9" w14:textId="77777777" w:rsidR="00BC7D08" w:rsidRPr="009E5F03" w:rsidRDefault="00BC7D08" w:rsidP="009E5F03">
    <w:pPr>
      <w:pStyle w:val="Intestazione"/>
    </w:pPr>
    <w:r>
      <w:rPr>
        <w:noProof/>
      </w:rPr>
      <w:drawing>
        <wp:inline distT="0" distB="0" distL="0" distR="0" wp14:anchorId="2220D487" wp14:editId="60860BFE">
          <wp:extent cx="6480175" cy="580390"/>
          <wp:effectExtent l="0" t="0" r="0" b="0"/>
          <wp:docPr id="13" name="Immagine 13"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0390"/>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1" allowOverlap="1" wp14:anchorId="1186FE05" wp14:editId="02CBCB21">
              <wp:simplePos x="0" y="0"/>
              <wp:positionH relativeFrom="column">
                <wp:posOffset>536575</wp:posOffset>
              </wp:positionH>
              <wp:positionV relativeFrom="paragraph">
                <wp:posOffset>41910</wp:posOffset>
              </wp:positionV>
              <wp:extent cx="1078230" cy="263525"/>
              <wp:effectExtent l="0" t="0" r="26670" b="2286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66D06F7B" w14:textId="77777777" w:rsidR="00BC7D08" w:rsidRDefault="00BC7D08" w:rsidP="00C423DB">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14:paraId="6551BC1D" w14:textId="77777777" w:rsidR="00BC7D08" w:rsidRPr="00C423DB" w:rsidRDefault="00BC7D08"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86FE05" id="_x0000_t202" coordsize="21600,21600" o:spt="202" path="m,l,21600r21600,l21600,xe">
              <v:stroke joinstyle="miter"/>
              <v:path gradientshapeok="t" o:connecttype="rect"/>
            </v:shapetype>
            <v:shape id="_x0000_s1031" type="#_x0000_t202" style="position:absolute;margin-left:42.25pt;margin-top:3.3pt;width:84.9pt;height:20.7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" strokecolor="white">
              <v:textbox style="mso-fit-shape-to-text:t" inset="0,0,0,0">
                <w:txbxContent>
                  <w:p w14:paraId="66D06F7B" w14:textId="77777777" w:rsidR="00BC7D08" w:rsidRDefault="00BC7D08" w:rsidP="00C423DB">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14:paraId="6551BC1D" w14:textId="77777777" w:rsidR="00BC7D08" w:rsidRPr="00C423DB" w:rsidRDefault="00BC7D08"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8625D" w14:textId="77777777" w:rsidR="00BC7D08" w:rsidRPr="009E5F03" w:rsidRDefault="00BC7D08" w:rsidP="009E5F03">
    <w:pPr>
      <w:pStyle w:val="Intestazione"/>
    </w:pPr>
    <w:r>
      <w:rPr>
        <w:noProof/>
      </w:rPr>
      <w:drawing>
        <wp:inline distT="0" distB="0" distL="0" distR="0" wp14:anchorId="5F3C6523" wp14:editId="2B00D9BE">
          <wp:extent cx="6477000" cy="590550"/>
          <wp:effectExtent l="0" t="0" r="0" b="0"/>
          <wp:docPr id="32" name="Immagine 32" descr="iconeComunicati-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Comunicati-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r>
      <w:rPr>
        <w:noProof/>
      </w:rPr>
      <mc:AlternateContent>
        <mc:Choice Requires="wps">
          <w:drawing>
            <wp:anchor distT="0" distB="0" distL="114300" distR="114300" simplePos="0" relativeHeight="251675648" behindDoc="0" locked="0" layoutInCell="1" allowOverlap="1" wp14:anchorId="5AAE1953" wp14:editId="640E740B">
              <wp:simplePos x="0" y="0"/>
              <wp:positionH relativeFrom="column">
                <wp:posOffset>536575</wp:posOffset>
              </wp:positionH>
              <wp:positionV relativeFrom="paragraph">
                <wp:posOffset>41910</wp:posOffset>
              </wp:positionV>
              <wp:extent cx="1078230" cy="263525"/>
              <wp:effectExtent l="0" t="0" r="26670" b="22860"/>
              <wp:wrapNone/>
              <wp:docPr id="11"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2B598586" w14:textId="77777777" w:rsidR="00BC7D08" w:rsidRDefault="00BC7D08" w:rsidP="00ED00B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14:paraId="24643D6C" w14:textId="77777777" w:rsidR="00BC7D08" w:rsidRPr="00C423DB" w:rsidRDefault="00BC7D08"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AE1953" id="_x0000_t202" coordsize="21600,21600" o:spt="202" path="m,l,21600r21600,l21600,xe">
              <v:stroke joinstyle="miter"/>
              <v:path gradientshapeok="t" o:connecttype="rect"/>
            </v:shapetype>
            <v:shape id="Casella di testo 11" o:spid="_x0000_s1032" type="#_x0000_t202" style="position:absolute;margin-left:42.25pt;margin-top:3.3pt;width:84.9pt;height:20.7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" strokecolor="white">
              <v:textbox style="mso-fit-shape-to-text:t" inset="0,0,0,0">
                <w:txbxContent>
                  <w:p w14:paraId="2B598586" w14:textId="77777777" w:rsidR="00BC7D08" w:rsidRDefault="00BC7D08" w:rsidP="00ED00B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14:paraId="24643D6C" w14:textId="77777777" w:rsidR="00BC7D08" w:rsidRPr="00C423DB" w:rsidRDefault="00BC7D08"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pt;height:7.2pt" o:bullet="t">
        <v:imagedata r:id="rId1" o:title=""/>
      </v:shape>
    </w:pict>
  </w:numPicBullet>
  <w:numPicBullet w:numPicBulletId="1">
    <w:pict>
      <v:shape id="_x0000_i1041" type="#_x0000_t75" style="width:8.45pt;height:8.45pt" o:bullet="t">
        <v:imagedata r:id="rId2" o:title=""/>
      </v:shape>
    </w:pict>
  </w:numPicBullet>
  <w:abstractNum w:abstractNumId="0" w15:restartNumberingAfterBreak="0">
    <w:nsid w:val="FFFFFF1D"/>
    <w:multiLevelType w:val="multilevel"/>
    <w:tmpl w:val="F1A4D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56C3596"/>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59315D3"/>
    <w:multiLevelType w:val="hybridMultilevel"/>
    <w:tmpl w:val="EF400274"/>
    <w:lvl w:ilvl="0" w:tplc="8CAC103E">
      <w:start w:val="1"/>
      <w:numFmt w:val="bullet"/>
      <w:lvlText w:val=""/>
      <w:lvlPicBulletId w:val="0"/>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EB06D5"/>
    <w:multiLevelType w:val="hybridMultilevel"/>
    <w:tmpl w:val="FB56AB9A"/>
    <w:lvl w:ilvl="0" w:tplc="B2FE55E2">
      <w:start w:val="1"/>
      <w:numFmt w:val="bullet"/>
      <w:lvlText w:val=""/>
      <w:lvlPicBulletId w:val="0"/>
      <w:lvlJc w:val="left"/>
      <w:pPr>
        <w:tabs>
          <w:tab w:val="num" w:pos="720"/>
        </w:tabs>
        <w:ind w:left="720" w:hanging="360"/>
      </w:pPr>
      <w:rPr>
        <w:rFonts w:ascii="Symbol" w:hAnsi="Symbol" w:hint="default"/>
      </w:rPr>
    </w:lvl>
    <w:lvl w:ilvl="1" w:tplc="92C4D3EE" w:tentative="1">
      <w:start w:val="1"/>
      <w:numFmt w:val="bullet"/>
      <w:lvlText w:val=""/>
      <w:lvlJc w:val="left"/>
      <w:pPr>
        <w:tabs>
          <w:tab w:val="num" w:pos="1440"/>
        </w:tabs>
        <w:ind w:left="1440" w:hanging="360"/>
      </w:pPr>
      <w:rPr>
        <w:rFonts w:ascii="Symbol" w:hAnsi="Symbol" w:hint="default"/>
      </w:rPr>
    </w:lvl>
    <w:lvl w:ilvl="2" w:tplc="D30C083A" w:tentative="1">
      <w:start w:val="1"/>
      <w:numFmt w:val="bullet"/>
      <w:lvlText w:val=""/>
      <w:lvlJc w:val="left"/>
      <w:pPr>
        <w:tabs>
          <w:tab w:val="num" w:pos="2160"/>
        </w:tabs>
        <w:ind w:left="2160" w:hanging="360"/>
      </w:pPr>
      <w:rPr>
        <w:rFonts w:ascii="Symbol" w:hAnsi="Symbol" w:hint="default"/>
      </w:rPr>
    </w:lvl>
    <w:lvl w:ilvl="3" w:tplc="02223036" w:tentative="1">
      <w:start w:val="1"/>
      <w:numFmt w:val="bullet"/>
      <w:lvlText w:val=""/>
      <w:lvlJc w:val="left"/>
      <w:pPr>
        <w:tabs>
          <w:tab w:val="num" w:pos="2880"/>
        </w:tabs>
        <w:ind w:left="2880" w:hanging="360"/>
      </w:pPr>
      <w:rPr>
        <w:rFonts w:ascii="Symbol" w:hAnsi="Symbol" w:hint="default"/>
      </w:rPr>
    </w:lvl>
    <w:lvl w:ilvl="4" w:tplc="E7FC4076" w:tentative="1">
      <w:start w:val="1"/>
      <w:numFmt w:val="bullet"/>
      <w:lvlText w:val=""/>
      <w:lvlJc w:val="left"/>
      <w:pPr>
        <w:tabs>
          <w:tab w:val="num" w:pos="3600"/>
        </w:tabs>
        <w:ind w:left="3600" w:hanging="360"/>
      </w:pPr>
      <w:rPr>
        <w:rFonts w:ascii="Symbol" w:hAnsi="Symbol" w:hint="default"/>
      </w:rPr>
    </w:lvl>
    <w:lvl w:ilvl="5" w:tplc="819EFF5A" w:tentative="1">
      <w:start w:val="1"/>
      <w:numFmt w:val="bullet"/>
      <w:lvlText w:val=""/>
      <w:lvlJc w:val="left"/>
      <w:pPr>
        <w:tabs>
          <w:tab w:val="num" w:pos="4320"/>
        </w:tabs>
        <w:ind w:left="4320" w:hanging="360"/>
      </w:pPr>
      <w:rPr>
        <w:rFonts w:ascii="Symbol" w:hAnsi="Symbol" w:hint="default"/>
      </w:rPr>
    </w:lvl>
    <w:lvl w:ilvl="6" w:tplc="ABC074C0" w:tentative="1">
      <w:start w:val="1"/>
      <w:numFmt w:val="bullet"/>
      <w:lvlText w:val=""/>
      <w:lvlJc w:val="left"/>
      <w:pPr>
        <w:tabs>
          <w:tab w:val="num" w:pos="5040"/>
        </w:tabs>
        <w:ind w:left="5040" w:hanging="360"/>
      </w:pPr>
      <w:rPr>
        <w:rFonts w:ascii="Symbol" w:hAnsi="Symbol" w:hint="default"/>
      </w:rPr>
    </w:lvl>
    <w:lvl w:ilvl="7" w:tplc="8E583D36" w:tentative="1">
      <w:start w:val="1"/>
      <w:numFmt w:val="bullet"/>
      <w:lvlText w:val=""/>
      <w:lvlJc w:val="left"/>
      <w:pPr>
        <w:tabs>
          <w:tab w:val="num" w:pos="5760"/>
        </w:tabs>
        <w:ind w:left="5760" w:hanging="360"/>
      </w:pPr>
      <w:rPr>
        <w:rFonts w:ascii="Symbol" w:hAnsi="Symbol" w:hint="default"/>
      </w:rPr>
    </w:lvl>
    <w:lvl w:ilvl="8" w:tplc="B1D602D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8BF3BFF"/>
    <w:multiLevelType w:val="hybridMultilevel"/>
    <w:tmpl w:val="FDD2E72E"/>
    <w:lvl w:ilvl="0" w:tplc="5F0E29A6">
      <w:start w:val="1"/>
      <w:numFmt w:val="bullet"/>
      <w:lvlText w:val=""/>
      <w:lvlPicBulletId w:val="0"/>
      <w:lvlJc w:val="left"/>
      <w:pPr>
        <w:ind w:left="2534" w:hanging="360"/>
      </w:pPr>
      <w:rPr>
        <w:rFonts w:ascii="Symbol" w:hAnsi="Symbol" w:hint="default"/>
        <w:color w:val="E426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7" w15:restartNumberingAfterBreak="0">
    <w:nsid w:val="09B04BFB"/>
    <w:multiLevelType w:val="hybridMultilevel"/>
    <w:tmpl w:val="C52A7568"/>
    <w:lvl w:ilvl="0" w:tplc="82C8BDA8">
      <w:start w:val="1"/>
      <w:numFmt w:val="bullet"/>
      <w:lvlText w:val=""/>
      <w:lvlJc w:val="left"/>
      <w:pPr>
        <w:ind w:left="360" w:hanging="360"/>
      </w:pPr>
      <w:rPr>
        <w:rFonts w:ascii="Wingdings" w:hAnsi="Wingdings" w:hint="default"/>
        <w:color w:val="E42618"/>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A272349"/>
    <w:multiLevelType w:val="hybridMultilevel"/>
    <w:tmpl w:val="B596EB7A"/>
    <w:lvl w:ilvl="0" w:tplc="04100019">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9" w15:restartNumberingAfterBreak="0">
    <w:nsid w:val="0AB86367"/>
    <w:multiLevelType w:val="hybridMultilevel"/>
    <w:tmpl w:val="4FFCC8FE"/>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0"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172E02"/>
    <w:multiLevelType w:val="hybridMultilevel"/>
    <w:tmpl w:val="98E2AEF0"/>
    <w:lvl w:ilvl="0" w:tplc="A8762A92">
      <w:start w:val="1"/>
      <w:numFmt w:val="bullet"/>
      <w:lvlText w:val=""/>
      <w:lvlPicBulletId w:val="1"/>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2474EB0"/>
    <w:multiLevelType w:val="hybridMultilevel"/>
    <w:tmpl w:val="D556ECE8"/>
    <w:lvl w:ilvl="0" w:tplc="0410000D">
      <w:start w:val="1"/>
      <w:numFmt w:val="bullet"/>
      <w:lvlText w:val=""/>
      <w:lvlJc w:val="left"/>
      <w:pPr>
        <w:tabs>
          <w:tab w:val="num" w:pos="2156"/>
        </w:tabs>
        <w:ind w:left="2156" w:hanging="284"/>
      </w:pPr>
      <w:rPr>
        <w:rFonts w:ascii="Wingdings" w:hAnsi="Wingdings" w:hint="default"/>
        <w:b/>
        <w:i w:val="0"/>
        <w:color w:val="808080"/>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13" w15:restartNumberingAfterBreak="0">
    <w:nsid w:val="15B33207"/>
    <w:multiLevelType w:val="hybridMultilevel"/>
    <w:tmpl w:val="0D7A8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EC23CD"/>
    <w:multiLevelType w:val="hybridMultilevel"/>
    <w:tmpl w:val="515230EE"/>
    <w:lvl w:ilvl="0" w:tplc="A8762A92">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6" w15:restartNumberingAfterBreak="0">
    <w:nsid w:val="27400167"/>
    <w:multiLevelType w:val="hybridMultilevel"/>
    <w:tmpl w:val="71D0AC6A"/>
    <w:lvl w:ilvl="0" w:tplc="48A08B96">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29FC5E71"/>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A8D1546"/>
    <w:multiLevelType w:val="hybridMultilevel"/>
    <w:tmpl w:val="8D50C4BA"/>
    <w:lvl w:ilvl="0" w:tplc="BEB84E40">
      <w:start w:val="1"/>
      <w:numFmt w:val="bullet"/>
      <w:lvlText w:val=""/>
      <w:lvlPicBulletId w:val="0"/>
      <w:lvlJc w:val="left"/>
      <w:pPr>
        <w:tabs>
          <w:tab w:val="num" w:pos="720"/>
        </w:tabs>
        <w:ind w:left="720" w:hanging="360"/>
      </w:pPr>
      <w:rPr>
        <w:rFonts w:ascii="Symbol" w:hAnsi="Symbol" w:hint="default"/>
      </w:rPr>
    </w:lvl>
    <w:lvl w:ilvl="1" w:tplc="842E4F52" w:tentative="1">
      <w:start w:val="1"/>
      <w:numFmt w:val="bullet"/>
      <w:lvlText w:val=""/>
      <w:lvlJc w:val="left"/>
      <w:pPr>
        <w:tabs>
          <w:tab w:val="num" w:pos="1440"/>
        </w:tabs>
        <w:ind w:left="1440" w:hanging="360"/>
      </w:pPr>
      <w:rPr>
        <w:rFonts w:ascii="Symbol" w:hAnsi="Symbol" w:hint="default"/>
      </w:rPr>
    </w:lvl>
    <w:lvl w:ilvl="2" w:tplc="96ACCD0A" w:tentative="1">
      <w:start w:val="1"/>
      <w:numFmt w:val="bullet"/>
      <w:lvlText w:val=""/>
      <w:lvlJc w:val="left"/>
      <w:pPr>
        <w:tabs>
          <w:tab w:val="num" w:pos="2160"/>
        </w:tabs>
        <w:ind w:left="2160" w:hanging="360"/>
      </w:pPr>
      <w:rPr>
        <w:rFonts w:ascii="Symbol" w:hAnsi="Symbol" w:hint="default"/>
      </w:rPr>
    </w:lvl>
    <w:lvl w:ilvl="3" w:tplc="8C622964" w:tentative="1">
      <w:start w:val="1"/>
      <w:numFmt w:val="bullet"/>
      <w:lvlText w:val=""/>
      <w:lvlJc w:val="left"/>
      <w:pPr>
        <w:tabs>
          <w:tab w:val="num" w:pos="2880"/>
        </w:tabs>
        <w:ind w:left="2880" w:hanging="360"/>
      </w:pPr>
      <w:rPr>
        <w:rFonts w:ascii="Symbol" w:hAnsi="Symbol" w:hint="default"/>
      </w:rPr>
    </w:lvl>
    <w:lvl w:ilvl="4" w:tplc="3614E794" w:tentative="1">
      <w:start w:val="1"/>
      <w:numFmt w:val="bullet"/>
      <w:lvlText w:val=""/>
      <w:lvlJc w:val="left"/>
      <w:pPr>
        <w:tabs>
          <w:tab w:val="num" w:pos="3600"/>
        </w:tabs>
        <w:ind w:left="3600" w:hanging="360"/>
      </w:pPr>
      <w:rPr>
        <w:rFonts w:ascii="Symbol" w:hAnsi="Symbol" w:hint="default"/>
      </w:rPr>
    </w:lvl>
    <w:lvl w:ilvl="5" w:tplc="BE5EC1D8" w:tentative="1">
      <w:start w:val="1"/>
      <w:numFmt w:val="bullet"/>
      <w:lvlText w:val=""/>
      <w:lvlJc w:val="left"/>
      <w:pPr>
        <w:tabs>
          <w:tab w:val="num" w:pos="4320"/>
        </w:tabs>
        <w:ind w:left="4320" w:hanging="360"/>
      </w:pPr>
      <w:rPr>
        <w:rFonts w:ascii="Symbol" w:hAnsi="Symbol" w:hint="default"/>
      </w:rPr>
    </w:lvl>
    <w:lvl w:ilvl="6" w:tplc="F0A6AC2E" w:tentative="1">
      <w:start w:val="1"/>
      <w:numFmt w:val="bullet"/>
      <w:lvlText w:val=""/>
      <w:lvlJc w:val="left"/>
      <w:pPr>
        <w:tabs>
          <w:tab w:val="num" w:pos="5040"/>
        </w:tabs>
        <w:ind w:left="5040" w:hanging="360"/>
      </w:pPr>
      <w:rPr>
        <w:rFonts w:ascii="Symbol" w:hAnsi="Symbol" w:hint="default"/>
      </w:rPr>
    </w:lvl>
    <w:lvl w:ilvl="7" w:tplc="0AD273DE" w:tentative="1">
      <w:start w:val="1"/>
      <w:numFmt w:val="bullet"/>
      <w:lvlText w:val=""/>
      <w:lvlJc w:val="left"/>
      <w:pPr>
        <w:tabs>
          <w:tab w:val="num" w:pos="5760"/>
        </w:tabs>
        <w:ind w:left="5760" w:hanging="360"/>
      </w:pPr>
      <w:rPr>
        <w:rFonts w:ascii="Symbol" w:hAnsi="Symbol" w:hint="default"/>
      </w:rPr>
    </w:lvl>
    <w:lvl w:ilvl="8" w:tplc="8F40203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E9263E3"/>
    <w:multiLevelType w:val="hybridMultilevel"/>
    <w:tmpl w:val="B4363020"/>
    <w:lvl w:ilvl="0" w:tplc="86A00B8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1361525"/>
    <w:multiLevelType w:val="hybridMultilevel"/>
    <w:tmpl w:val="C6F64AD6"/>
    <w:lvl w:ilvl="0" w:tplc="723CD9BA">
      <w:start w:val="1"/>
      <w:numFmt w:val="bullet"/>
      <w:lvlText w:val=""/>
      <w:lvlPicBulletId w:val="0"/>
      <w:lvlJc w:val="left"/>
      <w:pPr>
        <w:tabs>
          <w:tab w:val="num" w:pos="2156"/>
        </w:tabs>
        <w:ind w:left="2156" w:hanging="284"/>
      </w:pPr>
      <w:rPr>
        <w:rFonts w:ascii="Symbol" w:hAnsi="Symbol"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1" w15:restartNumberingAfterBreak="0">
    <w:nsid w:val="313F7E03"/>
    <w:multiLevelType w:val="hybridMultilevel"/>
    <w:tmpl w:val="EF88D464"/>
    <w:lvl w:ilvl="0" w:tplc="DC6831E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34CC2B15"/>
    <w:multiLevelType w:val="hybridMultilevel"/>
    <w:tmpl w:val="968862AE"/>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4" w15:restartNumberingAfterBreak="0">
    <w:nsid w:val="3B126581"/>
    <w:multiLevelType w:val="hybridMultilevel"/>
    <w:tmpl w:val="3EDCEA5C"/>
    <w:lvl w:ilvl="0" w:tplc="723CD9BA">
      <w:start w:val="1"/>
      <w:numFmt w:val="bullet"/>
      <w:lvlText w:val=""/>
      <w:lvlPicBulletId w:val="0"/>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F8F0948"/>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0037B4E"/>
    <w:multiLevelType w:val="hybridMultilevel"/>
    <w:tmpl w:val="2EE8FC76"/>
    <w:lvl w:ilvl="0" w:tplc="53A204B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02B69B0"/>
    <w:multiLevelType w:val="hybridMultilevel"/>
    <w:tmpl w:val="62583230"/>
    <w:lvl w:ilvl="0" w:tplc="980A3E20">
      <w:start w:val="1"/>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8" w15:restartNumberingAfterBreak="0">
    <w:nsid w:val="43DB5AF6"/>
    <w:multiLevelType w:val="hybridMultilevel"/>
    <w:tmpl w:val="1F1CF902"/>
    <w:lvl w:ilvl="0" w:tplc="812022A2">
      <w:start w:val="1"/>
      <w:numFmt w:val="lowerLetter"/>
      <w:lvlText w:val="(%1)"/>
      <w:lvlJc w:val="left"/>
      <w:pPr>
        <w:ind w:left="990" w:hanging="63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B7641BD"/>
    <w:multiLevelType w:val="hybridMultilevel"/>
    <w:tmpl w:val="6ADE222C"/>
    <w:lvl w:ilvl="0" w:tplc="723CD9BA">
      <w:start w:val="1"/>
      <w:numFmt w:val="bullet"/>
      <w:lvlText w:val=""/>
      <w:lvlPicBulletId w:val="0"/>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0" w15:restartNumberingAfterBreak="0">
    <w:nsid w:val="4C7E4CE7"/>
    <w:multiLevelType w:val="hybridMultilevel"/>
    <w:tmpl w:val="24682D9E"/>
    <w:lvl w:ilvl="0" w:tplc="7FE041A6">
      <w:start w:val="1"/>
      <w:numFmt w:val="bullet"/>
      <w:lvlText w:val=""/>
      <w:lvlJc w:val="left"/>
      <w:pPr>
        <w:tabs>
          <w:tab w:val="num" w:pos="2156"/>
        </w:tabs>
        <w:ind w:left="2156" w:hanging="284"/>
      </w:pPr>
      <w:rPr>
        <w:rFonts w:ascii="Wingdings" w:hAnsi="Wingdings"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31" w15:restartNumberingAfterBreak="0">
    <w:nsid w:val="53AC3738"/>
    <w:multiLevelType w:val="hybridMultilevel"/>
    <w:tmpl w:val="7F00C2E6"/>
    <w:lvl w:ilvl="0" w:tplc="3C14336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D208CF"/>
    <w:multiLevelType w:val="hybridMultilevel"/>
    <w:tmpl w:val="3364CF3C"/>
    <w:lvl w:ilvl="0" w:tplc="DFE4B1A6">
      <w:start w:val="1"/>
      <w:numFmt w:val="bullet"/>
      <w:lvlText w:val=""/>
      <w:lvlPicBulletId w:val="0"/>
      <w:lvlJc w:val="left"/>
      <w:pPr>
        <w:tabs>
          <w:tab w:val="num" w:pos="720"/>
        </w:tabs>
        <w:ind w:left="720" w:hanging="360"/>
      </w:pPr>
      <w:rPr>
        <w:rFonts w:ascii="Symbol" w:hAnsi="Symbol" w:hint="default"/>
      </w:rPr>
    </w:lvl>
    <w:lvl w:ilvl="1" w:tplc="A6883440" w:tentative="1">
      <w:start w:val="1"/>
      <w:numFmt w:val="bullet"/>
      <w:lvlText w:val=""/>
      <w:lvlJc w:val="left"/>
      <w:pPr>
        <w:tabs>
          <w:tab w:val="num" w:pos="1440"/>
        </w:tabs>
        <w:ind w:left="1440" w:hanging="360"/>
      </w:pPr>
      <w:rPr>
        <w:rFonts w:ascii="Symbol" w:hAnsi="Symbol" w:hint="default"/>
      </w:rPr>
    </w:lvl>
    <w:lvl w:ilvl="2" w:tplc="CB68053C" w:tentative="1">
      <w:start w:val="1"/>
      <w:numFmt w:val="bullet"/>
      <w:lvlText w:val=""/>
      <w:lvlJc w:val="left"/>
      <w:pPr>
        <w:tabs>
          <w:tab w:val="num" w:pos="2160"/>
        </w:tabs>
        <w:ind w:left="2160" w:hanging="360"/>
      </w:pPr>
      <w:rPr>
        <w:rFonts w:ascii="Symbol" w:hAnsi="Symbol" w:hint="default"/>
      </w:rPr>
    </w:lvl>
    <w:lvl w:ilvl="3" w:tplc="3800A33E" w:tentative="1">
      <w:start w:val="1"/>
      <w:numFmt w:val="bullet"/>
      <w:lvlText w:val=""/>
      <w:lvlJc w:val="left"/>
      <w:pPr>
        <w:tabs>
          <w:tab w:val="num" w:pos="2880"/>
        </w:tabs>
        <w:ind w:left="2880" w:hanging="360"/>
      </w:pPr>
      <w:rPr>
        <w:rFonts w:ascii="Symbol" w:hAnsi="Symbol" w:hint="default"/>
      </w:rPr>
    </w:lvl>
    <w:lvl w:ilvl="4" w:tplc="0FFEE34C" w:tentative="1">
      <w:start w:val="1"/>
      <w:numFmt w:val="bullet"/>
      <w:lvlText w:val=""/>
      <w:lvlJc w:val="left"/>
      <w:pPr>
        <w:tabs>
          <w:tab w:val="num" w:pos="3600"/>
        </w:tabs>
        <w:ind w:left="3600" w:hanging="360"/>
      </w:pPr>
      <w:rPr>
        <w:rFonts w:ascii="Symbol" w:hAnsi="Symbol" w:hint="default"/>
      </w:rPr>
    </w:lvl>
    <w:lvl w:ilvl="5" w:tplc="6228356A" w:tentative="1">
      <w:start w:val="1"/>
      <w:numFmt w:val="bullet"/>
      <w:lvlText w:val=""/>
      <w:lvlJc w:val="left"/>
      <w:pPr>
        <w:tabs>
          <w:tab w:val="num" w:pos="4320"/>
        </w:tabs>
        <w:ind w:left="4320" w:hanging="360"/>
      </w:pPr>
      <w:rPr>
        <w:rFonts w:ascii="Symbol" w:hAnsi="Symbol" w:hint="default"/>
      </w:rPr>
    </w:lvl>
    <w:lvl w:ilvl="6" w:tplc="8D5A4C08" w:tentative="1">
      <w:start w:val="1"/>
      <w:numFmt w:val="bullet"/>
      <w:lvlText w:val=""/>
      <w:lvlJc w:val="left"/>
      <w:pPr>
        <w:tabs>
          <w:tab w:val="num" w:pos="5040"/>
        </w:tabs>
        <w:ind w:left="5040" w:hanging="360"/>
      </w:pPr>
      <w:rPr>
        <w:rFonts w:ascii="Symbol" w:hAnsi="Symbol" w:hint="default"/>
      </w:rPr>
    </w:lvl>
    <w:lvl w:ilvl="7" w:tplc="42D69AF4" w:tentative="1">
      <w:start w:val="1"/>
      <w:numFmt w:val="bullet"/>
      <w:lvlText w:val=""/>
      <w:lvlJc w:val="left"/>
      <w:pPr>
        <w:tabs>
          <w:tab w:val="num" w:pos="5760"/>
        </w:tabs>
        <w:ind w:left="5760" w:hanging="360"/>
      </w:pPr>
      <w:rPr>
        <w:rFonts w:ascii="Symbol" w:hAnsi="Symbol" w:hint="default"/>
      </w:rPr>
    </w:lvl>
    <w:lvl w:ilvl="8" w:tplc="2876B1C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C660AF1"/>
    <w:multiLevelType w:val="hybridMultilevel"/>
    <w:tmpl w:val="F8FEE642"/>
    <w:lvl w:ilvl="0" w:tplc="04100017">
      <w:start w:val="1"/>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4" w15:restartNumberingAfterBreak="0">
    <w:nsid w:val="5F61623A"/>
    <w:multiLevelType w:val="hybridMultilevel"/>
    <w:tmpl w:val="7F00C2E6"/>
    <w:lvl w:ilvl="0" w:tplc="3C14336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5F6A2BB5"/>
    <w:multiLevelType w:val="hybridMultilevel"/>
    <w:tmpl w:val="02FA6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6A10E50"/>
    <w:multiLevelType w:val="hybridMultilevel"/>
    <w:tmpl w:val="F8DE1BF8"/>
    <w:lvl w:ilvl="0" w:tplc="37C26DD4">
      <w:start w:val="1"/>
      <w:numFmt w:val="lowerLetter"/>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7" w15:restartNumberingAfterBreak="0">
    <w:nsid w:val="66D53A64"/>
    <w:multiLevelType w:val="hybridMultilevel"/>
    <w:tmpl w:val="E73EDCB6"/>
    <w:lvl w:ilvl="0" w:tplc="723CD9BA">
      <w:start w:val="1"/>
      <w:numFmt w:val="bullet"/>
      <w:lvlText w:val=""/>
      <w:lvlPicBulletId w:val="0"/>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7BB2EB1"/>
    <w:multiLevelType w:val="hybridMultilevel"/>
    <w:tmpl w:val="E3FA6C7E"/>
    <w:lvl w:ilvl="0" w:tplc="82C8BDA8">
      <w:start w:val="1"/>
      <w:numFmt w:val="bullet"/>
      <w:lvlText w:val=""/>
      <w:lvlJc w:val="left"/>
      <w:pPr>
        <w:ind w:left="720" w:hanging="360"/>
      </w:pPr>
      <w:rPr>
        <w:rFonts w:ascii="Wingdings" w:hAnsi="Wingdings" w:hint="default"/>
        <w:color w:val="E42618"/>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DF23C05"/>
    <w:multiLevelType w:val="hybridMultilevel"/>
    <w:tmpl w:val="74348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2F1680C"/>
    <w:multiLevelType w:val="hybridMultilevel"/>
    <w:tmpl w:val="B93A53EA"/>
    <w:lvl w:ilvl="0" w:tplc="90C8B6DA">
      <w:start w:val="1"/>
      <w:numFmt w:val="bullet"/>
      <w:lvlText w:val=""/>
      <w:lvlJc w:val="left"/>
      <w:pPr>
        <w:ind w:left="2534" w:hanging="360"/>
      </w:pPr>
      <w:rPr>
        <w:rFonts w:ascii="Wingdings" w:hAnsi="Wingdings" w:hint="default"/>
        <w:color w:val="E42618"/>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41" w15:restartNumberingAfterBreak="0">
    <w:nsid w:val="7F331D91"/>
    <w:multiLevelType w:val="hybridMultilevel"/>
    <w:tmpl w:val="E0E0959C"/>
    <w:lvl w:ilvl="0" w:tplc="28BE514C">
      <w:start w:val="1"/>
      <w:numFmt w:val="bullet"/>
      <w:lvlText w:val=""/>
      <w:lvlPicBulletId w:val="1"/>
      <w:lvlJc w:val="left"/>
      <w:pPr>
        <w:tabs>
          <w:tab w:val="num" w:pos="360"/>
        </w:tabs>
        <w:ind w:left="360" w:hanging="360"/>
      </w:pPr>
      <w:rPr>
        <w:rFonts w:ascii="Symbol" w:hAnsi="Symbol" w:hint="default"/>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num w:numId="1" w16cid:durableId="589050348">
    <w:abstractNumId w:val="23"/>
  </w:num>
  <w:num w:numId="2" w16cid:durableId="232545936">
    <w:abstractNumId w:val="2"/>
  </w:num>
  <w:num w:numId="3" w16cid:durableId="881938268">
    <w:abstractNumId w:val="37"/>
  </w:num>
  <w:num w:numId="4" w16cid:durableId="287515894">
    <w:abstractNumId w:val="40"/>
  </w:num>
  <w:num w:numId="5" w16cid:durableId="757676495">
    <w:abstractNumId w:val="7"/>
  </w:num>
  <w:num w:numId="6" w16cid:durableId="1161041996">
    <w:abstractNumId w:val="13"/>
  </w:num>
  <w:num w:numId="7" w16cid:durableId="1609896376">
    <w:abstractNumId w:val="5"/>
  </w:num>
  <w:num w:numId="8" w16cid:durableId="279072816">
    <w:abstractNumId w:val="28"/>
  </w:num>
  <w:num w:numId="9" w16cid:durableId="494809890">
    <w:abstractNumId w:val="7"/>
  </w:num>
  <w:num w:numId="10" w16cid:durableId="1930001143">
    <w:abstractNumId w:val="15"/>
  </w:num>
  <w:num w:numId="11" w16cid:durableId="2106027734">
    <w:abstractNumId w:val="14"/>
  </w:num>
  <w:num w:numId="12" w16cid:durableId="2135979623">
    <w:abstractNumId w:val="38"/>
  </w:num>
  <w:num w:numId="13" w16cid:durableId="727730370">
    <w:abstractNumId w:val="26"/>
  </w:num>
  <w:num w:numId="14" w16cid:durableId="731586504">
    <w:abstractNumId w:val="31"/>
  </w:num>
  <w:num w:numId="15" w16cid:durableId="355273371">
    <w:abstractNumId w:val="34"/>
  </w:num>
  <w:num w:numId="16" w16cid:durableId="121265465">
    <w:abstractNumId w:val="36"/>
  </w:num>
  <w:num w:numId="17" w16cid:durableId="584388510">
    <w:abstractNumId w:val="8"/>
  </w:num>
  <w:num w:numId="18" w16cid:durableId="1420177671">
    <w:abstractNumId w:val="27"/>
  </w:num>
  <w:num w:numId="19" w16cid:durableId="750082129">
    <w:abstractNumId w:val="11"/>
  </w:num>
  <w:num w:numId="20" w16cid:durableId="1034884718">
    <w:abstractNumId w:val="24"/>
  </w:num>
  <w:num w:numId="21" w16cid:durableId="709454997">
    <w:abstractNumId w:val="29"/>
  </w:num>
  <w:num w:numId="22" w16cid:durableId="1935432750">
    <w:abstractNumId w:val="4"/>
  </w:num>
  <w:num w:numId="23" w16cid:durableId="631136070">
    <w:abstractNumId w:val="3"/>
  </w:num>
  <w:num w:numId="24" w16cid:durableId="1764761185">
    <w:abstractNumId w:val="0"/>
  </w:num>
  <w:num w:numId="25" w16cid:durableId="1338383507">
    <w:abstractNumId w:val="17"/>
  </w:num>
  <w:num w:numId="26" w16cid:durableId="1456824541">
    <w:abstractNumId w:val="25"/>
  </w:num>
  <w:num w:numId="27" w16cid:durableId="1638074095">
    <w:abstractNumId w:val="9"/>
  </w:num>
  <w:num w:numId="28" w16cid:durableId="1717776207">
    <w:abstractNumId w:val="6"/>
  </w:num>
  <w:num w:numId="29" w16cid:durableId="246769136">
    <w:abstractNumId w:val="10"/>
  </w:num>
  <w:num w:numId="30" w16cid:durableId="1254123747">
    <w:abstractNumId w:val="22"/>
  </w:num>
  <w:num w:numId="31" w16cid:durableId="1820026548">
    <w:abstractNumId w:val="1"/>
  </w:num>
  <w:num w:numId="32" w16cid:durableId="502595619">
    <w:abstractNumId w:val="41"/>
  </w:num>
  <w:num w:numId="33" w16cid:durableId="1854415880">
    <w:abstractNumId w:val="18"/>
  </w:num>
  <w:num w:numId="34" w16cid:durableId="2017880209">
    <w:abstractNumId w:val="32"/>
  </w:num>
  <w:num w:numId="35" w16cid:durableId="372774479">
    <w:abstractNumId w:val="12"/>
  </w:num>
  <w:num w:numId="36" w16cid:durableId="2033262352">
    <w:abstractNumId w:val="30"/>
  </w:num>
  <w:num w:numId="37" w16cid:durableId="1685474311">
    <w:abstractNumId w:val="20"/>
  </w:num>
  <w:num w:numId="38" w16cid:durableId="115687805">
    <w:abstractNumId w:val="19"/>
  </w:num>
  <w:num w:numId="39" w16cid:durableId="1240942790">
    <w:abstractNumId w:val="16"/>
  </w:num>
  <w:num w:numId="40" w16cid:durableId="1188103654">
    <w:abstractNumId w:val="21"/>
  </w:num>
  <w:num w:numId="41" w16cid:durableId="1675297833">
    <w:abstractNumId w:val="33"/>
  </w:num>
  <w:num w:numId="42" w16cid:durableId="1726104949">
    <w:abstractNumId w:val="39"/>
  </w:num>
  <w:num w:numId="43" w16cid:durableId="258761261">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displayBackgroundShape/>
  <w:embedSystemFonts/>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activeWritingStyle w:appName="MSWord" w:lang="en-US" w:vendorID="64" w:dllVersion="0" w:nlCheck="1" w:checkStyle="0"/>
  <w:activeWritingStyle w:appName="MSWord" w:lang="it-IT" w:vendorID="64" w:dllVersion="4096" w:nlCheck="1" w:checkStyle="0"/>
  <w:activeWritingStyle w:appName="MSWord" w:lang="en-US" w:vendorID="64" w:dllVersion="4096" w:nlCheck="1" w:checkStyle="0"/>
  <w:activeWritingStyle w:appName="MSWord" w:lang="it-IT" w:vendorID="3" w:dllVersion="517"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autoHyphenation/>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C7E"/>
    <w:rsid w:val="0000013F"/>
    <w:rsid w:val="00000148"/>
    <w:rsid w:val="00000909"/>
    <w:rsid w:val="000013A9"/>
    <w:rsid w:val="000013B5"/>
    <w:rsid w:val="000014C4"/>
    <w:rsid w:val="00001875"/>
    <w:rsid w:val="00001C85"/>
    <w:rsid w:val="00001CEC"/>
    <w:rsid w:val="00001E4D"/>
    <w:rsid w:val="000020B2"/>
    <w:rsid w:val="000020B7"/>
    <w:rsid w:val="0000212A"/>
    <w:rsid w:val="0000242C"/>
    <w:rsid w:val="000026DF"/>
    <w:rsid w:val="0000293C"/>
    <w:rsid w:val="00002F2D"/>
    <w:rsid w:val="000034C8"/>
    <w:rsid w:val="00003834"/>
    <w:rsid w:val="00003AAA"/>
    <w:rsid w:val="00003AB5"/>
    <w:rsid w:val="00003AD9"/>
    <w:rsid w:val="00003D59"/>
    <w:rsid w:val="00003F46"/>
    <w:rsid w:val="0000402D"/>
    <w:rsid w:val="000041BD"/>
    <w:rsid w:val="000043D5"/>
    <w:rsid w:val="0000451B"/>
    <w:rsid w:val="00004794"/>
    <w:rsid w:val="000048B7"/>
    <w:rsid w:val="000049DD"/>
    <w:rsid w:val="00004A4B"/>
    <w:rsid w:val="00004A77"/>
    <w:rsid w:val="00004DDD"/>
    <w:rsid w:val="00004DF3"/>
    <w:rsid w:val="00004E38"/>
    <w:rsid w:val="00005164"/>
    <w:rsid w:val="0000535E"/>
    <w:rsid w:val="00005448"/>
    <w:rsid w:val="00005950"/>
    <w:rsid w:val="00005A43"/>
    <w:rsid w:val="00005A6B"/>
    <w:rsid w:val="0000609A"/>
    <w:rsid w:val="000063E0"/>
    <w:rsid w:val="0000683C"/>
    <w:rsid w:val="000068BB"/>
    <w:rsid w:val="00006AEE"/>
    <w:rsid w:val="00006CF6"/>
    <w:rsid w:val="00006DB7"/>
    <w:rsid w:val="00006FEF"/>
    <w:rsid w:val="00007042"/>
    <w:rsid w:val="0000713B"/>
    <w:rsid w:val="00007235"/>
    <w:rsid w:val="0000740E"/>
    <w:rsid w:val="00007783"/>
    <w:rsid w:val="00007AC8"/>
    <w:rsid w:val="00007E47"/>
    <w:rsid w:val="00010041"/>
    <w:rsid w:val="000101B6"/>
    <w:rsid w:val="000101FB"/>
    <w:rsid w:val="000102D5"/>
    <w:rsid w:val="00010573"/>
    <w:rsid w:val="0001089C"/>
    <w:rsid w:val="000108ED"/>
    <w:rsid w:val="00010957"/>
    <w:rsid w:val="000109E3"/>
    <w:rsid w:val="00010A46"/>
    <w:rsid w:val="00010B15"/>
    <w:rsid w:val="00010B3A"/>
    <w:rsid w:val="00010B3C"/>
    <w:rsid w:val="00010F07"/>
    <w:rsid w:val="000113F8"/>
    <w:rsid w:val="00011610"/>
    <w:rsid w:val="000116D7"/>
    <w:rsid w:val="000119A0"/>
    <w:rsid w:val="00011A51"/>
    <w:rsid w:val="00011C85"/>
    <w:rsid w:val="00011F76"/>
    <w:rsid w:val="00012005"/>
    <w:rsid w:val="00012101"/>
    <w:rsid w:val="0001220C"/>
    <w:rsid w:val="00012364"/>
    <w:rsid w:val="000126C2"/>
    <w:rsid w:val="0001283C"/>
    <w:rsid w:val="00012A11"/>
    <w:rsid w:val="00012B0B"/>
    <w:rsid w:val="000134A3"/>
    <w:rsid w:val="000135AB"/>
    <w:rsid w:val="00013751"/>
    <w:rsid w:val="00013995"/>
    <w:rsid w:val="000139B6"/>
    <w:rsid w:val="00013A1E"/>
    <w:rsid w:val="00013B1D"/>
    <w:rsid w:val="00013ED5"/>
    <w:rsid w:val="00013F41"/>
    <w:rsid w:val="00014318"/>
    <w:rsid w:val="000143A5"/>
    <w:rsid w:val="0001463A"/>
    <w:rsid w:val="000146ED"/>
    <w:rsid w:val="000148F1"/>
    <w:rsid w:val="00014927"/>
    <w:rsid w:val="00014AF9"/>
    <w:rsid w:val="00014EC8"/>
    <w:rsid w:val="00014F7E"/>
    <w:rsid w:val="00015C2B"/>
    <w:rsid w:val="00015D22"/>
    <w:rsid w:val="00015EAD"/>
    <w:rsid w:val="00015F2F"/>
    <w:rsid w:val="000161B7"/>
    <w:rsid w:val="000163BB"/>
    <w:rsid w:val="00016421"/>
    <w:rsid w:val="00016831"/>
    <w:rsid w:val="00016B13"/>
    <w:rsid w:val="00016FCA"/>
    <w:rsid w:val="000172C7"/>
    <w:rsid w:val="00017353"/>
    <w:rsid w:val="00017C0D"/>
    <w:rsid w:val="00017ED6"/>
    <w:rsid w:val="000202A5"/>
    <w:rsid w:val="000205CA"/>
    <w:rsid w:val="0002065A"/>
    <w:rsid w:val="0002078C"/>
    <w:rsid w:val="00020ECE"/>
    <w:rsid w:val="000211AD"/>
    <w:rsid w:val="000213E2"/>
    <w:rsid w:val="00021514"/>
    <w:rsid w:val="00021652"/>
    <w:rsid w:val="0002181D"/>
    <w:rsid w:val="00021A79"/>
    <w:rsid w:val="00021B34"/>
    <w:rsid w:val="00022197"/>
    <w:rsid w:val="00022763"/>
    <w:rsid w:val="000228CB"/>
    <w:rsid w:val="000229D6"/>
    <w:rsid w:val="00022CBD"/>
    <w:rsid w:val="00022D88"/>
    <w:rsid w:val="00023424"/>
    <w:rsid w:val="00023452"/>
    <w:rsid w:val="00023622"/>
    <w:rsid w:val="0002396A"/>
    <w:rsid w:val="00023C01"/>
    <w:rsid w:val="000241B7"/>
    <w:rsid w:val="00024BDA"/>
    <w:rsid w:val="00024DC2"/>
    <w:rsid w:val="000250BE"/>
    <w:rsid w:val="000250D2"/>
    <w:rsid w:val="00025294"/>
    <w:rsid w:val="000254AC"/>
    <w:rsid w:val="0002574E"/>
    <w:rsid w:val="000257C6"/>
    <w:rsid w:val="00025822"/>
    <w:rsid w:val="00025A3E"/>
    <w:rsid w:val="00025A73"/>
    <w:rsid w:val="00025AA7"/>
    <w:rsid w:val="00025EA7"/>
    <w:rsid w:val="00026056"/>
    <w:rsid w:val="0002606C"/>
    <w:rsid w:val="000266A7"/>
    <w:rsid w:val="00026C02"/>
    <w:rsid w:val="00026D2E"/>
    <w:rsid w:val="00027C45"/>
    <w:rsid w:val="00027C90"/>
    <w:rsid w:val="00027CFD"/>
    <w:rsid w:val="00027F44"/>
    <w:rsid w:val="00027FBC"/>
    <w:rsid w:val="00030309"/>
    <w:rsid w:val="000304E1"/>
    <w:rsid w:val="000306A2"/>
    <w:rsid w:val="00030BEE"/>
    <w:rsid w:val="00030C6B"/>
    <w:rsid w:val="00030F0C"/>
    <w:rsid w:val="00031052"/>
    <w:rsid w:val="0003109B"/>
    <w:rsid w:val="0003114F"/>
    <w:rsid w:val="00031258"/>
    <w:rsid w:val="00031774"/>
    <w:rsid w:val="00031864"/>
    <w:rsid w:val="00031934"/>
    <w:rsid w:val="00031C2E"/>
    <w:rsid w:val="000320B7"/>
    <w:rsid w:val="00032A4E"/>
    <w:rsid w:val="00032C73"/>
    <w:rsid w:val="0003318B"/>
    <w:rsid w:val="0003329E"/>
    <w:rsid w:val="00033432"/>
    <w:rsid w:val="0003350F"/>
    <w:rsid w:val="0003358C"/>
    <w:rsid w:val="00033793"/>
    <w:rsid w:val="00033865"/>
    <w:rsid w:val="00033E85"/>
    <w:rsid w:val="00033F32"/>
    <w:rsid w:val="00033FB6"/>
    <w:rsid w:val="000345F9"/>
    <w:rsid w:val="000349DE"/>
    <w:rsid w:val="000350E3"/>
    <w:rsid w:val="00035164"/>
    <w:rsid w:val="00035817"/>
    <w:rsid w:val="00035837"/>
    <w:rsid w:val="0003629C"/>
    <w:rsid w:val="000362B0"/>
    <w:rsid w:val="000363D3"/>
    <w:rsid w:val="00036668"/>
    <w:rsid w:val="000368BF"/>
    <w:rsid w:val="00036E38"/>
    <w:rsid w:val="0003704B"/>
    <w:rsid w:val="0003715B"/>
    <w:rsid w:val="0003731A"/>
    <w:rsid w:val="00037593"/>
    <w:rsid w:val="000377E5"/>
    <w:rsid w:val="00037DA6"/>
    <w:rsid w:val="0004002D"/>
    <w:rsid w:val="00040033"/>
    <w:rsid w:val="000402DE"/>
    <w:rsid w:val="00040B1A"/>
    <w:rsid w:val="00041081"/>
    <w:rsid w:val="000417CF"/>
    <w:rsid w:val="00041DD2"/>
    <w:rsid w:val="00041DDD"/>
    <w:rsid w:val="00041DEF"/>
    <w:rsid w:val="00041F8D"/>
    <w:rsid w:val="00041FC1"/>
    <w:rsid w:val="00042109"/>
    <w:rsid w:val="0004257E"/>
    <w:rsid w:val="0004282F"/>
    <w:rsid w:val="0004290B"/>
    <w:rsid w:val="000429C6"/>
    <w:rsid w:val="00042B16"/>
    <w:rsid w:val="00042D21"/>
    <w:rsid w:val="00042F44"/>
    <w:rsid w:val="00042F77"/>
    <w:rsid w:val="000433C2"/>
    <w:rsid w:val="000433FC"/>
    <w:rsid w:val="0004346C"/>
    <w:rsid w:val="00043B37"/>
    <w:rsid w:val="00043B93"/>
    <w:rsid w:val="00043C67"/>
    <w:rsid w:val="0004442C"/>
    <w:rsid w:val="000444C6"/>
    <w:rsid w:val="000446D7"/>
    <w:rsid w:val="00044806"/>
    <w:rsid w:val="0004492B"/>
    <w:rsid w:val="00044BA2"/>
    <w:rsid w:val="00044DCD"/>
    <w:rsid w:val="000455A6"/>
    <w:rsid w:val="0004560F"/>
    <w:rsid w:val="00045623"/>
    <w:rsid w:val="000457A7"/>
    <w:rsid w:val="00045BC9"/>
    <w:rsid w:val="00045CF0"/>
    <w:rsid w:val="000462CB"/>
    <w:rsid w:val="000462ED"/>
    <w:rsid w:val="00046668"/>
    <w:rsid w:val="00046881"/>
    <w:rsid w:val="00046950"/>
    <w:rsid w:val="00046AF5"/>
    <w:rsid w:val="000471BD"/>
    <w:rsid w:val="000472CE"/>
    <w:rsid w:val="000473E9"/>
    <w:rsid w:val="000474A3"/>
    <w:rsid w:val="00047509"/>
    <w:rsid w:val="000478E6"/>
    <w:rsid w:val="000479D4"/>
    <w:rsid w:val="00047CCE"/>
    <w:rsid w:val="00047E42"/>
    <w:rsid w:val="00050117"/>
    <w:rsid w:val="00050204"/>
    <w:rsid w:val="000502C2"/>
    <w:rsid w:val="00050441"/>
    <w:rsid w:val="00050489"/>
    <w:rsid w:val="00050496"/>
    <w:rsid w:val="0005073C"/>
    <w:rsid w:val="00050809"/>
    <w:rsid w:val="000508D1"/>
    <w:rsid w:val="000510DA"/>
    <w:rsid w:val="0005112D"/>
    <w:rsid w:val="000512D1"/>
    <w:rsid w:val="000512D8"/>
    <w:rsid w:val="0005182E"/>
    <w:rsid w:val="00051D46"/>
    <w:rsid w:val="00051D92"/>
    <w:rsid w:val="00051E6A"/>
    <w:rsid w:val="00051FC2"/>
    <w:rsid w:val="0005220D"/>
    <w:rsid w:val="00052354"/>
    <w:rsid w:val="000524F1"/>
    <w:rsid w:val="0005314D"/>
    <w:rsid w:val="00053471"/>
    <w:rsid w:val="00053634"/>
    <w:rsid w:val="000537BB"/>
    <w:rsid w:val="000538A1"/>
    <w:rsid w:val="00053948"/>
    <w:rsid w:val="00053F62"/>
    <w:rsid w:val="000541C7"/>
    <w:rsid w:val="000543FC"/>
    <w:rsid w:val="000544F2"/>
    <w:rsid w:val="00054645"/>
    <w:rsid w:val="00054691"/>
    <w:rsid w:val="00054821"/>
    <w:rsid w:val="000548EB"/>
    <w:rsid w:val="00054BF7"/>
    <w:rsid w:val="00054E97"/>
    <w:rsid w:val="0005548D"/>
    <w:rsid w:val="000557B7"/>
    <w:rsid w:val="000557ED"/>
    <w:rsid w:val="00055BA0"/>
    <w:rsid w:val="00055DD0"/>
    <w:rsid w:val="00055E26"/>
    <w:rsid w:val="00055F7D"/>
    <w:rsid w:val="000565A3"/>
    <w:rsid w:val="00056612"/>
    <w:rsid w:val="00056635"/>
    <w:rsid w:val="000567BC"/>
    <w:rsid w:val="000569E0"/>
    <w:rsid w:val="0005749A"/>
    <w:rsid w:val="00057588"/>
    <w:rsid w:val="00057640"/>
    <w:rsid w:val="000578A2"/>
    <w:rsid w:val="00060194"/>
    <w:rsid w:val="0006065E"/>
    <w:rsid w:val="0006075A"/>
    <w:rsid w:val="00060769"/>
    <w:rsid w:val="000607A6"/>
    <w:rsid w:val="0006094A"/>
    <w:rsid w:val="00060ABD"/>
    <w:rsid w:val="0006148E"/>
    <w:rsid w:val="000617FF"/>
    <w:rsid w:val="00061BEA"/>
    <w:rsid w:val="00061C49"/>
    <w:rsid w:val="00061DC7"/>
    <w:rsid w:val="00061E48"/>
    <w:rsid w:val="00061E67"/>
    <w:rsid w:val="000620FB"/>
    <w:rsid w:val="000621DF"/>
    <w:rsid w:val="00062437"/>
    <w:rsid w:val="000624C1"/>
    <w:rsid w:val="00062595"/>
    <w:rsid w:val="0006292D"/>
    <w:rsid w:val="000629AB"/>
    <w:rsid w:val="00062A14"/>
    <w:rsid w:val="00062C7C"/>
    <w:rsid w:val="00062E45"/>
    <w:rsid w:val="00062FA3"/>
    <w:rsid w:val="000634E3"/>
    <w:rsid w:val="000635F7"/>
    <w:rsid w:val="00063776"/>
    <w:rsid w:val="000637B0"/>
    <w:rsid w:val="00063979"/>
    <w:rsid w:val="000639A9"/>
    <w:rsid w:val="00063D28"/>
    <w:rsid w:val="00063FF7"/>
    <w:rsid w:val="00064082"/>
    <w:rsid w:val="000643F7"/>
    <w:rsid w:val="00064404"/>
    <w:rsid w:val="0006443A"/>
    <w:rsid w:val="00064521"/>
    <w:rsid w:val="000648FE"/>
    <w:rsid w:val="0006494D"/>
    <w:rsid w:val="00064952"/>
    <w:rsid w:val="00064C3D"/>
    <w:rsid w:val="00064C71"/>
    <w:rsid w:val="00064E2A"/>
    <w:rsid w:val="00064E77"/>
    <w:rsid w:val="00064F4D"/>
    <w:rsid w:val="0006537C"/>
    <w:rsid w:val="00065467"/>
    <w:rsid w:val="000655F0"/>
    <w:rsid w:val="000657E2"/>
    <w:rsid w:val="00065CF6"/>
    <w:rsid w:val="000660E2"/>
    <w:rsid w:val="000660EF"/>
    <w:rsid w:val="00066258"/>
    <w:rsid w:val="000662CD"/>
    <w:rsid w:val="000662FB"/>
    <w:rsid w:val="0006665B"/>
    <w:rsid w:val="000669D4"/>
    <w:rsid w:val="000673CF"/>
    <w:rsid w:val="000673EB"/>
    <w:rsid w:val="00067AB5"/>
    <w:rsid w:val="00067F81"/>
    <w:rsid w:val="00070718"/>
    <w:rsid w:val="0007076D"/>
    <w:rsid w:val="0007086F"/>
    <w:rsid w:val="000708D3"/>
    <w:rsid w:val="00070957"/>
    <w:rsid w:val="00070DCD"/>
    <w:rsid w:val="00071056"/>
    <w:rsid w:val="00071638"/>
    <w:rsid w:val="00071CFD"/>
    <w:rsid w:val="00071EFA"/>
    <w:rsid w:val="000720F5"/>
    <w:rsid w:val="000720F8"/>
    <w:rsid w:val="00072142"/>
    <w:rsid w:val="00072610"/>
    <w:rsid w:val="00072711"/>
    <w:rsid w:val="00072728"/>
    <w:rsid w:val="00072B3F"/>
    <w:rsid w:val="00072BE2"/>
    <w:rsid w:val="00072CB8"/>
    <w:rsid w:val="000732DF"/>
    <w:rsid w:val="00073575"/>
    <w:rsid w:val="0007358E"/>
    <w:rsid w:val="00073686"/>
    <w:rsid w:val="00073872"/>
    <w:rsid w:val="0007389A"/>
    <w:rsid w:val="00073BDC"/>
    <w:rsid w:val="00073F42"/>
    <w:rsid w:val="00073FEB"/>
    <w:rsid w:val="0007462A"/>
    <w:rsid w:val="00074665"/>
    <w:rsid w:val="000746D5"/>
    <w:rsid w:val="00074709"/>
    <w:rsid w:val="000747B8"/>
    <w:rsid w:val="000749B9"/>
    <w:rsid w:val="00074B17"/>
    <w:rsid w:val="00074DC4"/>
    <w:rsid w:val="00075298"/>
    <w:rsid w:val="000753E8"/>
    <w:rsid w:val="000755F9"/>
    <w:rsid w:val="00075941"/>
    <w:rsid w:val="000759F8"/>
    <w:rsid w:val="00075C86"/>
    <w:rsid w:val="00075CB6"/>
    <w:rsid w:val="00075CC6"/>
    <w:rsid w:val="00075F8F"/>
    <w:rsid w:val="0007614F"/>
    <w:rsid w:val="00076150"/>
    <w:rsid w:val="0007650D"/>
    <w:rsid w:val="00076AAE"/>
    <w:rsid w:val="00076C27"/>
    <w:rsid w:val="0007722A"/>
    <w:rsid w:val="00077534"/>
    <w:rsid w:val="0007754A"/>
    <w:rsid w:val="00077592"/>
    <w:rsid w:val="00077B6C"/>
    <w:rsid w:val="00077C67"/>
    <w:rsid w:val="00077E7D"/>
    <w:rsid w:val="00077FEF"/>
    <w:rsid w:val="00080263"/>
    <w:rsid w:val="000803AD"/>
    <w:rsid w:val="000805FF"/>
    <w:rsid w:val="00080F2D"/>
    <w:rsid w:val="00080F62"/>
    <w:rsid w:val="000811D8"/>
    <w:rsid w:val="00081460"/>
    <w:rsid w:val="000817F5"/>
    <w:rsid w:val="000818DD"/>
    <w:rsid w:val="000818F6"/>
    <w:rsid w:val="000819D4"/>
    <w:rsid w:val="00081AC9"/>
    <w:rsid w:val="00081D1E"/>
    <w:rsid w:val="00082399"/>
    <w:rsid w:val="000828E6"/>
    <w:rsid w:val="000829B6"/>
    <w:rsid w:val="00082A1A"/>
    <w:rsid w:val="00082A62"/>
    <w:rsid w:val="00082B49"/>
    <w:rsid w:val="00082E1E"/>
    <w:rsid w:val="000830DA"/>
    <w:rsid w:val="00083173"/>
    <w:rsid w:val="00083429"/>
    <w:rsid w:val="00083FE3"/>
    <w:rsid w:val="00083FE9"/>
    <w:rsid w:val="000840F4"/>
    <w:rsid w:val="000842FF"/>
    <w:rsid w:val="00084387"/>
    <w:rsid w:val="00084533"/>
    <w:rsid w:val="00084761"/>
    <w:rsid w:val="00084AF6"/>
    <w:rsid w:val="00084AFB"/>
    <w:rsid w:val="00084E02"/>
    <w:rsid w:val="00084EE6"/>
    <w:rsid w:val="0008506C"/>
    <w:rsid w:val="000850B6"/>
    <w:rsid w:val="0008527C"/>
    <w:rsid w:val="000853F9"/>
    <w:rsid w:val="0008545A"/>
    <w:rsid w:val="0008574C"/>
    <w:rsid w:val="00085AC2"/>
    <w:rsid w:val="00085AFD"/>
    <w:rsid w:val="00085BC7"/>
    <w:rsid w:val="00085C22"/>
    <w:rsid w:val="00085C51"/>
    <w:rsid w:val="00085E26"/>
    <w:rsid w:val="0008600B"/>
    <w:rsid w:val="0008608E"/>
    <w:rsid w:val="00086154"/>
    <w:rsid w:val="000863FA"/>
    <w:rsid w:val="0008640B"/>
    <w:rsid w:val="0008652C"/>
    <w:rsid w:val="000867FF"/>
    <w:rsid w:val="000868F5"/>
    <w:rsid w:val="00086C83"/>
    <w:rsid w:val="00086D59"/>
    <w:rsid w:val="00087018"/>
    <w:rsid w:val="000873CD"/>
    <w:rsid w:val="000876FA"/>
    <w:rsid w:val="00087774"/>
    <w:rsid w:val="00087A77"/>
    <w:rsid w:val="00087BB3"/>
    <w:rsid w:val="00087D4D"/>
    <w:rsid w:val="00087E48"/>
    <w:rsid w:val="000900EB"/>
    <w:rsid w:val="0009016A"/>
    <w:rsid w:val="000909B9"/>
    <w:rsid w:val="00090A07"/>
    <w:rsid w:val="00090B9F"/>
    <w:rsid w:val="00090CF8"/>
    <w:rsid w:val="00090D41"/>
    <w:rsid w:val="00090DE6"/>
    <w:rsid w:val="00090E28"/>
    <w:rsid w:val="0009127D"/>
    <w:rsid w:val="00091ECB"/>
    <w:rsid w:val="0009240D"/>
    <w:rsid w:val="000924D4"/>
    <w:rsid w:val="00092503"/>
    <w:rsid w:val="00092C29"/>
    <w:rsid w:val="00092CB9"/>
    <w:rsid w:val="00093319"/>
    <w:rsid w:val="0009396C"/>
    <w:rsid w:val="00093EEA"/>
    <w:rsid w:val="00093F49"/>
    <w:rsid w:val="00094285"/>
    <w:rsid w:val="00094B3C"/>
    <w:rsid w:val="00094CB4"/>
    <w:rsid w:val="000950F8"/>
    <w:rsid w:val="00095213"/>
    <w:rsid w:val="00095268"/>
    <w:rsid w:val="0009549B"/>
    <w:rsid w:val="00095ABF"/>
    <w:rsid w:val="00095E83"/>
    <w:rsid w:val="00095FCF"/>
    <w:rsid w:val="00096313"/>
    <w:rsid w:val="00096371"/>
    <w:rsid w:val="0009657B"/>
    <w:rsid w:val="00096611"/>
    <w:rsid w:val="00096747"/>
    <w:rsid w:val="00096954"/>
    <w:rsid w:val="00096C13"/>
    <w:rsid w:val="00096D1C"/>
    <w:rsid w:val="00096DB8"/>
    <w:rsid w:val="000971FD"/>
    <w:rsid w:val="000972EF"/>
    <w:rsid w:val="000977C6"/>
    <w:rsid w:val="00097C8A"/>
    <w:rsid w:val="000A01A8"/>
    <w:rsid w:val="000A0378"/>
    <w:rsid w:val="000A0936"/>
    <w:rsid w:val="000A09E7"/>
    <w:rsid w:val="000A0AC7"/>
    <w:rsid w:val="000A0D76"/>
    <w:rsid w:val="000A0E6E"/>
    <w:rsid w:val="000A0FD5"/>
    <w:rsid w:val="000A1070"/>
    <w:rsid w:val="000A123E"/>
    <w:rsid w:val="000A169F"/>
    <w:rsid w:val="000A17A2"/>
    <w:rsid w:val="000A1803"/>
    <w:rsid w:val="000A1E04"/>
    <w:rsid w:val="000A23C1"/>
    <w:rsid w:val="000A2495"/>
    <w:rsid w:val="000A2640"/>
    <w:rsid w:val="000A272C"/>
    <w:rsid w:val="000A27BB"/>
    <w:rsid w:val="000A32BD"/>
    <w:rsid w:val="000A3E31"/>
    <w:rsid w:val="000A3EBA"/>
    <w:rsid w:val="000A4087"/>
    <w:rsid w:val="000A40FD"/>
    <w:rsid w:val="000A41AC"/>
    <w:rsid w:val="000A4268"/>
    <w:rsid w:val="000A45C9"/>
    <w:rsid w:val="000A471A"/>
    <w:rsid w:val="000A4A63"/>
    <w:rsid w:val="000A4E9A"/>
    <w:rsid w:val="000A52DF"/>
    <w:rsid w:val="000A5314"/>
    <w:rsid w:val="000A5D8F"/>
    <w:rsid w:val="000A5D99"/>
    <w:rsid w:val="000A601F"/>
    <w:rsid w:val="000A63AD"/>
    <w:rsid w:val="000A64FF"/>
    <w:rsid w:val="000A6591"/>
    <w:rsid w:val="000A666A"/>
    <w:rsid w:val="000A677A"/>
    <w:rsid w:val="000A69D2"/>
    <w:rsid w:val="000A6A3C"/>
    <w:rsid w:val="000A6D95"/>
    <w:rsid w:val="000A7458"/>
    <w:rsid w:val="000A75CF"/>
    <w:rsid w:val="000A77D6"/>
    <w:rsid w:val="000A78EC"/>
    <w:rsid w:val="000A796C"/>
    <w:rsid w:val="000A7A4E"/>
    <w:rsid w:val="000A7B77"/>
    <w:rsid w:val="000A7BD9"/>
    <w:rsid w:val="000A7CF9"/>
    <w:rsid w:val="000A7D86"/>
    <w:rsid w:val="000B007A"/>
    <w:rsid w:val="000B01FA"/>
    <w:rsid w:val="000B022B"/>
    <w:rsid w:val="000B02ED"/>
    <w:rsid w:val="000B0306"/>
    <w:rsid w:val="000B0497"/>
    <w:rsid w:val="000B04F3"/>
    <w:rsid w:val="000B05D5"/>
    <w:rsid w:val="000B0DCE"/>
    <w:rsid w:val="000B0E69"/>
    <w:rsid w:val="000B115A"/>
    <w:rsid w:val="000B1228"/>
    <w:rsid w:val="000B1B48"/>
    <w:rsid w:val="000B1BA4"/>
    <w:rsid w:val="000B1F20"/>
    <w:rsid w:val="000B1F2B"/>
    <w:rsid w:val="000B1F7F"/>
    <w:rsid w:val="000B23B6"/>
    <w:rsid w:val="000B27E0"/>
    <w:rsid w:val="000B2A82"/>
    <w:rsid w:val="000B2AAC"/>
    <w:rsid w:val="000B300B"/>
    <w:rsid w:val="000B326F"/>
    <w:rsid w:val="000B32C5"/>
    <w:rsid w:val="000B32E4"/>
    <w:rsid w:val="000B3304"/>
    <w:rsid w:val="000B38EA"/>
    <w:rsid w:val="000B3F89"/>
    <w:rsid w:val="000B4702"/>
    <w:rsid w:val="000B51E7"/>
    <w:rsid w:val="000B5484"/>
    <w:rsid w:val="000B56C0"/>
    <w:rsid w:val="000B5945"/>
    <w:rsid w:val="000B5984"/>
    <w:rsid w:val="000B5A90"/>
    <w:rsid w:val="000B5B83"/>
    <w:rsid w:val="000B5DC1"/>
    <w:rsid w:val="000B6192"/>
    <w:rsid w:val="000B61B4"/>
    <w:rsid w:val="000B61F3"/>
    <w:rsid w:val="000B6299"/>
    <w:rsid w:val="000B6432"/>
    <w:rsid w:val="000B6575"/>
    <w:rsid w:val="000B67AB"/>
    <w:rsid w:val="000B6A87"/>
    <w:rsid w:val="000B6AE8"/>
    <w:rsid w:val="000B6C60"/>
    <w:rsid w:val="000B6C6C"/>
    <w:rsid w:val="000B6D0F"/>
    <w:rsid w:val="000B6E6D"/>
    <w:rsid w:val="000B72E0"/>
    <w:rsid w:val="000B7912"/>
    <w:rsid w:val="000B7989"/>
    <w:rsid w:val="000C0226"/>
    <w:rsid w:val="000C076E"/>
    <w:rsid w:val="000C08C6"/>
    <w:rsid w:val="000C099C"/>
    <w:rsid w:val="000C0A6A"/>
    <w:rsid w:val="000C0D4C"/>
    <w:rsid w:val="000C0E86"/>
    <w:rsid w:val="000C0F55"/>
    <w:rsid w:val="000C0FAD"/>
    <w:rsid w:val="000C1043"/>
    <w:rsid w:val="000C1097"/>
    <w:rsid w:val="000C1AB5"/>
    <w:rsid w:val="000C1C3E"/>
    <w:rsid w:val="000C1D7C"/>
    <w:rsid w:val="000C2106"/>
    <w:rsid w:val="000C2268"/>
    <w:rsid w:val="000C233C"/>
    <w:rsid w:val="000C2436"/>
    <w:rsid w:val="000C25D8"/>
    <w:rsid w:val="000C267B"/>
    <w:rsid w:val="000C2980"/>
    <w:rsid w:val="000C2A12"/>
    <w:rsid w:val="000C2ADF"/>
    <w:rsid w:val="000C2FB7"/>
    <w:rsid w:val="000C2FE9"/>
    <w:rsid w:val="000C3199"/>
    <w:rsid w:val="000C3279"/>
    <w:rsid w:val="000C35FB"/>
    <w:rsid w:val="000C3627"/>
    <w:rsid w:val="000C3630"/>
    <w:rsid w:val="000C3830"/>
    <w:rsid w:val="000C39B4"/>
    <w:rsid w:val="000C3D07"/>
    <w:rsid w:val="000C3DA5"/>
    <w:rsid w:val="000C4434"/>
    <w:rsid w:val="000C4457"/>
    <w:rsid w:val="000C4689"/>
    <w:rsid w:val="000C4874"/>
    <w:rsid w:val="000C4D5C"/>
    <w:rsid w:val="000C5202"/>
    <w:rsid w:val="000C52CB"/>
    <w:rsid w:val="000C53F5"/>
    <w:rsid w:val="000C546D"/>
    <w:rsid w:val="000C5564"/>
    <w:rsid w:val="000C5602"/>
    <w:rsid w:val="000C59C4"/>
    <w:rsid w:val="000C5B36"/>
    <w:rsid w:val="000C5F23"/>
    <w:rsid w:val="000C627A"/>
    <w:rsid w:val="000C6B75"/>
    <w:rsid w:val="000C6F05"/>
    <w:rsid w:val="000C71C5"/>
    <w:rsid w:val="000C727A"/>
    <w:rsid w:val="000C730B"/>
    <w:rsid w:val="000C7321"/>
    <w:rsid w:val="000C7697"/>
    <w:rsid w:val="000C789E"/>
    <w:rsid w:val="000C7B4C"/>
    <w:rsid w:val="000C7C90"/>
    <w:rsid w:val="000C7EF4"/>
    <w:rsid w:val="000D0010"/>
    <w:rsid w:val="000D029C"/>
    <w:rsid w:val="000D072A"/>
    <w:rsid w:val="000D0731"/>
    <w:rsid w:val="000D0BF7"/>
    <w:rsid w:val="000D0CC9"/>
    <w:rsid w:val="000D0F51"/>
    <w:rsid w:val="000D11A3"/>
    <w:rsid w:val="000D1221"/>
    <w:rsid w:val="000D122B"/>
    <w:rsid w:val="000D166C"/>
    <w:rsid w:val="000D1B06"/>
    <w:rsid w:val="000D1E54"/>
    <w:rsid w:val="000D24E2"/>
    <w:rsid w:val="000D2A4A"/>
    <w:rsid w:val="000D2BA7"/>
    <w:rsid w:val="000D2BC0"/>
    <w:rsid w:val="000D3134"/>
    <w:rsid w:val="000D3381"/>
    <w:rsid w:val="000D3A7C"/>
    <w:rsid w:val="000D3B3B"/>
    <w:rsid w:val="000D3CAE"/>
    <w:rsid w:val="000D4568"/>
    <w:rsid w:val="000D4B7E"/>
    <w:rsid w:val="000D4C29"/>
    <w:rsid w:val="000D4EE8"/>
    <w:rsid w:val="000D4F36"/>
    <w:rsid w:val="000D4FE9"/>
    <w:rsid w:val="000D5068"/>
    <w:rsid w:val="000D5383"/>
    <w:rsid w:val="000D53B8"/>
    <w:rsid w:val="000D5833"/>
    <w:rsid w:val="000D5DD7"/>
    <w:rsid w:val="000D63AA"/>
    <w:rsid w:val="000D68E4"/>
    <w:rsid w:val="000D70FA"/>
    <w:rsid w:val="000D7279"/>
    <w:rsid w:val="000D72FD"/>
    <w:rsid w:val="000D7447"/>
    <w:rsid w:val="000D7650"/>
    <w:rsid w:val="000D7679"/>
    <w:rsid w:val="000D7DB5"/>
    <w:rsid w:val="000E0D71"/>
    <w:rsid w:val="000E0FA7"/>
    <w:rsid w:val="000E0FC9"/>
    <w:rsid w:val="000E1054"/>
    <w:rsid w:val="000E12F6"/>
    <w:rsid w:val="000E1473"/>
    <w:rsid w:val="000E162A"/>
    <w:rsid w:val="000E16AF"/>
    <w:rsid w:val="000E1722"/>
    <w:rsid w:val="000E177D"/>
    <w:rsid w:val="000E199B"/>
    <w:rsid w:val="000E19F0"/>
    <w:rsid w:val="000E1DE0"/>
    <w:rsid w:val="000E1E6F"/>
    <w:rsid w:val="000E2098"/>
    <w:rsid w:val="000E237E"/>
    <w:rsid w:val="000E23BF"/>
    <w:rsid w:val="000E23EF"/>
    <w:rsid w:val="000E25C3"/>
    <w:rsid w:val="000E2710"/>
    <w:rsid w:val="000E29F4"/>
    <w:rsid w:val="000E2BE0"/>
    <w:rsid w:val="000E2BFB"/>
    <w:rsid w:val="000E2E1B"/>
    <w:rsid w:val="000E327D"/>
    <w:rsid w:val="000E32BE"/>
    <w:rsid w:val="000E32CD"/>
    <w:rsid w:val="000E33C5"/>
    <w:rsid w:val="000E3886"/>
    <w:rsid w:val="000E3CFC"/>
    <w:rsid w:val="000E40CB"/>
    <w:rsid w:val="000E41F1"/>
    <w:rsid w:val="000E420F"/>
    <w:rsid w:val="000E44A9"/>
    <w:rsid w:val="000E49EC"/>
    <w:rsid w:val="000E4A31"/>
    <w:rsid w:val="000E4A6D"/>
    <w:rsid w:val="000E4A78"/>
    <w:rsid w:val="000E5429"/>
    <w:rsid w:val="000E5AEC"/>
    <w:rsid w:val="000E62CE"/>
    <w:rsid w:val="000E63BC"/>
    <w:rsid w:val="000E6444"/>
    <w:rsid w:val="000E649F"/>
    <w:rsid w:val="000E6514"/>
    <w:rsid w:val="000E6560"/>
    <w:rsid w:val="000E66DF"/>
    <w:rsid w:val="000E69BD"/>
    <w:rsid w:val="000E6B08"/>
    <w:rsid w:val="000E6B42"/>
    <w:rsid w:val="000E6DC0"/>
    <w:rsid w:val="000E6E1E"/>
    <w:rsid w:val="000E6FD2"/>
    <w:rsid w:val="000E70A5"/>
    <w:rsid w:val="000E7523"/>
    <w:rsid w:val="000E78BC"/>
    <w:rsid w:val="000E7BDA"/>
    <w:rsid w:val="000E7CF0"/>
    <w:rsid w:val="000E7D1F"/>
    <w:rsid w:val="000E7F42"/>
    <w:rsid w:val="000F039B"/>
    <w:rsid w:val="000F0888"/>
    <w:rsid w:val="000F0DEA"/>
    <w:rsid w:val="000F0DFE"/>
    <w:rsid w:val="000F10FF"/>
    <w:rsid w:val="000F1394"/>
    <w:rsid w:val="000F1434"/>
    <w:rsid w:val="000F1519"/>
    <w:rsid w:val="000F1522"/>
    <w:rsid w:val="000F1672"/>
    <w:rsid w:val="000F1701"/>
    <w:rsid w:val="000F18A3"/>
    <w:rsid w:val="000F19CA"/>
    <w:rsid w:val="000F1A1E"/>
    <w:rsid w:val="000F1A51"/>
    <w:rsid w:val="000F1CEF"/>
    <w:rsid w:val="000F22C3"/>
    <w:rsid w:val="000F25EE"/>
    <w:rsid w:val="000F269A"/>
    <w:rsid w:val="000F26C0"/>
    <w:rsid w:val="000F2873"/>
    <w:rsid w:val="000F29A4"/>
    <w:rsid w:val="000F2BE7"/>
    <w:rsid w:val="000F2E67"/>
    <w:rsid w:val="000F2FB2"/>
    <w:rsid w:val="000F2FB3"/>
    <w:rsid w:val="000F32AC"/>
    <w:rsid w:val="000F370D"/>
    <w:rsid w:val="000F374B"/>
    <w:rsid w:val="000F3E1E"/>
    <w:rsid w:val="000F4248"/>
    <w:rsid w:val="000F430C"/>
    <w:rsid w:val="000F43D3"/>
    <w:rsid w:val="000F4698"/>
    <w:rsid w:val="000F49FA"/>
    <w:rsid w:val="000F4B6B"/>
    <w:rsid w:val="000F4D00"/>
    <w:rsid w:val="000F4FE7"/>
    <w:rsid w:val="000F564E"/>
    <w:rsid w:val="000F56D9"/>
    <w:rsid w:val="000F585A"/>
    <w:rsid w:val="000F5E41"/>
    <w:rsid w:val="000F5EC4"/>
    <w:rsid w:val="000F6161"/>
    <w:rsid w:val="000F6B2D"/>
    <w:rsid w:val="000F6DF2"/>
    <w:rsid w:val="000F6E4D"/>
    <w:rsid w:val="000F7053"/>
    <w:rsid w:val="000F729F"/>
    <w:rsid w:val="000F72FC"/>
    <w:rsid w:val="000F7AD5"/>
    <w:rsid w:val="000F7B19"/>
    <w:rsid w:val="000F7CB4"/>
    <w:rsid w:val="000F7F64"/>
    <w:rsid w:val="000F7FAE"/>
    <w:rsid w:val="00100058"/>
    <w:rsid w:val="00100268"/>
    <w:rsid w:val="00100374"/>
    <w:rsid w:val="00100472"/>
    <w:rsid w:val="0010076C"/>
    <w:rsid w:val="0010099C"/>
    <w:rsid w:val="00100B0C"/>
    <w:rsid w:val="00100BB4"/>
    <w:rsid w:val="00100E46"/>
    <w:rsid w:val="00101A55"/>
    <w:rsid w:val="00101DE1"/>
    <w:rsid w:val="00101F21"/>
    <w:rsid w:val="0010203F"/>
    <w:rsid w:val="001028DF"/>
    <w:rsid w:val="00102988"/>
    <w:rsid w:val="00102AF2"/>
    <w:rsid w:val="00102B37"/>
    <w:rsid w:val="00102E12"/>
    <w:rsid w:val="001030AA"/>
    <w:rsid w:val="001030AE"/>
    <w:rsid w:val="0010327A"/>
    <w:rsid w:val="0010332C"/>
    <w:rsid w:val="00103356"/>
    <w:rsid w:val="001033EA"/>
    <w:rsid w:val="00103433"/>
    <w:rsid w:val="001035FC"/>
    <w:rsid w:val="00103740"/>
    <w:rsid w:val="00103A48"/>
    <w:rsid w:val="00103ADC"/>
    <w:rsid w:val="00103DFD"/>
    <w:rsid w:val="00104168"/>
    <w:rsid w:val="001041B0"/>
    <w:rsid w:val="00104E68"/>
    <w:rsid w:val="00104EC6"/>
    <w:rsid w:val="00105205"/>
    <w:rsid w:val="00105774"/>
    <w:rsid w:val="00105B08"/>
    <w:rsid w:val="00105DD1"/>
    <w:rsid w:val="00105DF5"/>
    <w:rsid w:val="0010607E"/>
    <w:rsid w:val="001061CA"/>
    <w:rsid w:val="0010637F"/>
    <w:rsid w:val="0010642A"/>
    <w:rsid w:val="0010687A"/>
    <w:rsid w:val="00106893"/>
    <w:rsid w:val="00106AA3"/>
    <w:rsid w:val="00106C13"/>
    <w:rsid w:val="00106D44"/>
    <w:rsid w:val="00107126"/>
    <w:rsid w:val="0010726B"/>
    <w:rsid w:val="001075A8"/>
    <w:rsid w:val="00107923"/>
    <w:rsid w:val="00107963"/>
    <w:rsid w:val="001079C3"/>
    <w:rsid w:val="00107B24"/>
    <w:rsid w:val="00107D18"/>
    <w:rsid w:val="00107D57"/>
    <w:rsid w:val="00110088"/>
    <w:rsid w:val="0011015B"/>
    <w:rsid w:val="00110856"/>
    <w:rsid w:val="00111252"/>
    <w:rsid w:val="001112CB"/>
    <w:rsid w:val="00111347"/>
    <w:rsid w:val="00111823"/>
    <w:rsid w:val="00111A2F"/>
    <w:rsid w:val="00111ADD"/>
    <w:rsid w:val="00111C53"/>
    <w:rsid w:val="00111C5B"/>
    <w:rsid w:val="00111D49"/>
    <w:rsid w:val="001124E6"/>
    <w:rsid w:val="0011266F"/>
    <w:rsid w:val="00112A83"/>
    <w:rsid w:val="00112FD6"/>
    <w:rsid w:val="0011319E"/>
    <w:rsid w:val="001133A9"/>
    <w:rsid w:val="00113969"/>
    <w:rsid w:val="00113A41"/>
    <w:rsid w:val="00113BA8"/>
    <w:rsid w:val="00113BDB"/>
    <w:rsid w:val="00113E20"/>
    <w:rsid w:val="00113E61"/>
    <w:rsid w:val="00113EC4"/>
    <w:rsid w:val="00113F0D"/>
    <w:rsid w:val="00113F71"/>
    <w:rsid w:val="00114045"/>
    <w:rsid w:val="001143AE"/>
    <w:rsid w:val="001143D0"/>
    <w:rsid w:val="0011449B"/>
    <w:rsid w:val="001146BF"/>
    <w:rsid w:val="001148C3"/>
    <w:rsid w:val="001148D3"/>
    <w:rsid w:val="00114B31"/>
    <w:rsid w:val="00115007"/>
    <w:rsid w:val="0011562D"/>
    <w:rsid w:val="001156D5"/>
    <w:rsid w:val="001157C8"/>
    <w:rsid w:val="00115807"/>
    <w:rsid w:val="00115FA8"/>
    <w:rsid w:val="001161BD"/>
    <w:rsid w:val="00116DD5"/>
    <w:rsid w:val="00117309"/>
    <w:rsid w:val="00117369"/>
    <w:rsid w:val="00117AF1"/>
    <w:rsid w:val="00117BB0"/>
    <w:rsid w:val="0012011D"/>
    <w:rsid w:val="001202DD"/>
    <w:rsid w:val="00120457"/>
    <w:rsid w:val="00120D7F"/>
    <w:rsid w:val="00120F89"/>
    <w:rsid w:val="00121177"/>
    <w:rsid w:val="00121403"/>
    <w:rsid w:val="001216FA"/>
    <w:rsid w:val="00121F1E"/>
    <w:rsid w:val="001221F8"/>
    <w:rsid w:val="00122306"/>
    <w:rsid w:val="001224C8"/>
    <w:rsid w:val="00122912"/>
    <w:rsid w:val="00122976"/>
    <w:rsid w:val="00122AF8"/>
    <w:rsid w:val="00122E6B"/>
    <w:rsid w:val="0012357E"/>
    <w:rsid w:val="0012380F"/>
    <w:rsid w:val="00123A77"/>
    <w:rsid w:val="00123BB8"/>
    <w:rsid w:val="00124094"/>
    <w:rsid w:val="00124185"/>
    <w:rsid w:val="001248B9"/>
    <w:rsid w:val="001249B2"/>
    <w:rsid w:val="00124D18"/>
    <w:rsid w:val="001254C6"/>
    <w:rsid w:val="001255EC"/>
    <w:rsid w:val="0012560D"/>
    <w:rsid w:val="00125651"/>
    <w:rsid w:val="0012585B"/>
    <w:rsid w:val="00125896"/>
    <w:rsid w:val="00125958"/>
    <w:rsid w:val="00125A0F"/>
    <w:rsid w:val="00125A7A"/>
    <w:rsid w:val="00125AC1"/>
    <w:rsid w:val="00125C51"/>
    <w:rsid w:val="00125D56"/>
    <w:rsid w:val="00125E1E"/>
    <w:rsid w:val="00125FC1"/>
    <w:rsid w:val="001260FC"/>
    <w:rsid w:val="001261E1"/>
    <w:rsid w:val="001261E2"/>
    <w:rsid w:val="00126235"/>
    <w:rsid w:val="001267F9"/>
    <w:rsid w:val="00126876"/>
    <w:rsid w:val="0012704D"/>
    <w:rsid w:val="00127214"/>
    <w:rsid w:val="001273DA"/>
    <w:rsid w:val="00127802"/>
    <w:rsid w:val="00127A4D"/>
    <w:rsid w:val="00127BE9"/>
    <w:rsid w:val="00127CCE"/>
    <w:rsid w:val="00127F23"/>
    <w:rsid w:val="00127FE5"/>
    <w:rsid w:val="0013060B"/>
    <w:rsid w:val="0013061F"/>
    <w:rsid w:val="001306A7"/>
    <w:rsid w:val="001308A6"/>
    <w:rsid w:val="00130C73"/>
    <w:rsid w:val="00131084"/>
    <w:rsid w:val="0013114E"/>
    <w:rsid w:val="00131228"/>
    <w:rsid w:val="00131239"/>
    <w:rsid w:val="001315D4"/>
    <w:rsid w:val="001315EA"/>
    <w:rsid w:val="0013171C"/>
    <w:rsid w:val="001319AE"/>
    <w:rsid w:val="00131F5F"/>
    <w:rsid w:val="00132081"/>
    <w:rsid w:val="00132098"/>
    <w:rsid w:val="0013239A"/>
    <w:rsid w:val="00132674"/>
    <w:rsid w:val="00132834"/>
    <w:rsid w:val="00132A09"/>
    <w:rsid w:val="00132D0E"/>
    <w:rsid w:val="00132F27"/>
    <w:rsid w:val="001334D9"/>
    <w:rsid w:val="0013352E"/>
    <w:rsid w:val="001335FA"/>
    <w:rsid w:val="00133704"/>
    <w:rsid w:val="0013399B"/>
    <w:rsid w:val="00133C5F"/>
    <w:rsid w:val="0013405B"/>
    <w:rsid w:val="0013455F"/>
    <w:rsid w:val="001345F4"/>
    <w:rsid w:val="00134DFF"/>
    <w:rsid w:val="00135207"/>
    <w:rsid w:val="0013570C"/>
    <w:rsid w:val="00135722"/>
    <w:rsid w:val="001358B2"/>
    <w:rsid w:val="001358CD"/>
    <w:rsid w:val="00135997"/>
    <w:rsid w:val="00135D93"/>
    <w:rsid w:val="00135E0B"/>
    <w:rsid w:val="00135EC9"/>
    <w:rsid w:val="0013651B"/>
    <w:rsid w:val="00136B3B"/>
    <w:rsid w:val="00136B82"/>
    <w:rsid w:val="00136C10"/>
    <w:rsid w:val="001370C1"/>
    <w:rsid w:val="00137605"/>
    <w:rsid w:val="001376AE"/>
    <w:rsid w:val="00137940"/>
    <w:rsid w:val="00137B50"/>
    <w:rsid w:val="00137FEB"/>
    <w:rsid w:val="001402C7"/>
    <w:rsid w:val="0014041C"/>
    <w:rsid w:val="001404E5"/>
    <w:rsid w:val="00140552"/>
    <w:rsid w:val="00140776"/>
    <w:rsid w:val="00140B2A"/>
    <w:rsid w:val="00140F9A"/>
    <w:rsid w:val="00140FBC"/>
    <w:rsid w:val="0014144B"/>
    <w:rsid w:val="001419EF"/>
    <w:rsid w:val="00141A37"/>
    <w:rsid w:val="00141B4A"/>
    <w:rsid w:val="00141B81"/>
    <w:rsid w:val="00141C42"/>
    <w:rsid w:val="00141DAE"/>
    <w:rsid w:val="0014201A"/>
    <w:rsid w:val="001421E4"/>
    <w:rsid w:val="00142F44"/>
    <w:rsid w:val="00143151"/>
    <w:rsid w:val="001431DB"/>
    <w:rsid w:val="001431FB"/>
    <w:rsid w:val="001432CD"/>
    <w:rsid w:val="001433EC"/>
    <w:rsid w:val="0014357F"/>
    <w:rsid w:val="001435D2"/>
    <w:rsid w:val="00143799"/>
    <w:rsid w:val="001439E8"/>
    <w:rsid w:val="00143A28"/>
    <w:rsid w:val="00143A49"/>
    <w:rsid w:val="00143C18"/>
    <w:rsid w:val="00143D93"/>
    <w:rsid w:val="001440DD"/>
    <w:rsid w:val="00144402"/>
    <w:rsid w:val="00144874"/>
    <w:rsid w:val="001448EF"/>
    <w:rsid w:val="00144B75"/>
    <w:rsid w:val="00144DF8"/>
    <w:rsid w:val="001452DD"/>
    <w:rsid w:val="00145A1D"/>
    <w:rsid w:val="001463B3"/>
    <w:rsid w:val="00146498"/>
    <w:rsid w:val="00146C4C"/>
    <w:rsid w:val="00146D50"/>
    <w:rsid w:val="00147253"/>
    <w:rsid w:val="0014748A"/>
    <w:rsid w:val="00147559"/>
    <w:rsid w:val="001478BA"/>
    <w:rsid w:val="00147C81"/>
    <w:rsid w:val="00147CF6"/>
    <w:rsid w:val="00147F89"/>
    <w:rsid w:val="00150180"/>
    <w:rsid w:val="001504F9"/>
    <w:rsid w:val="00150C63"/>
    <w:rsid w:val="00150FA3"/>
    <w:rsid w:val="001511A4"/>
    <w:rsid w:val="001511EF"/>
    <w:rsid w:val="0015121D"/>
    <w:rsid w:val="0015128D"/>
    <w:rsid w:val="00151343"/>
    <w:rsid w:val="001516DB"/>
    <w:rsid w:val="001518E6"/>
    <w:rsid w:val="00151BB3"/>
    <w:rsid w:val="00152081"/>
    <w:rsid w:val="00152333"/>
    <w:rsid w:val="00152CFF"/>
    <w:rsid w:val="00152E56"/>
    <w:rsid w:val="001532E5"/>
    <w:rsid w:val="00153428"/>
    <w:rsid w:val="0015386C"/>
    <w:rsid w:val="001538D3"/>
    <w:rsid w:val="00153A3C"/>
    <w:rsid w:val="00153B24"/>
    <w:rsid w:val="0015413F"/>
    <w:rsid w:val="001546B2"/>
    <w:rsid w:val="00154850"/>
    <w:rsid w:val="0015485C"/>
    <w:rsid w:val="00154A69"/>
    <w:rsid w:val="00154B63"/>
    <w:rsid w:val="00154BB5"/>
    <w:rsid w:val="00154CB3"/>
    <w:rsid w:val="00155117"/>
    <w:rsid w:val="001555D0"/>
    <w:rsid w:val="001555E2"/>
    <w:rsid w:val="001559AA"/>
    <w:rsid w:val="00155B56"/>
    <w:rsid w:val="00156390"/>
    <w:rsid w:val="001567B4"/>
    <w:rsid w:val="00156C7D"/>
    <w:rsid w:val="00156D13"/>
    <w:rsid w:val="00156FFE"/>
    <w:rsid w:val="00157260"/>
    <w:rsid w:val="0015726A"/>
    <w:rsid w:val="001575D8"/>
    <w:rsid w:val="00157664"/>
    <w:rsid w:val="0015796C"/>
    <w:rsid w:val="001600DF"/>
    <w:rsid w:val="00160180"/>
    <w:rsid w:val="00160296"/>
    <w:rsid w:val="00160503"/>
    <w:rsid w:val="00160640"/>
    <w:rsid w:val="00161148"/>
    <w:rsid w:val="001611C8"/>
    <w:rsid w:val="00161230"/>
    <w:rsid w:val="00161444"/>
    <w:rsid w:val="0016149C"/>
    <w:rsid w:val="001614D8"/>
    <w:rsid w:val="00161A69"/>
    <w:rsid w:val="00161AEE"/>
    <w:rsid w:val="00161BFF"/>
    <w:rsid w:val="00161EB3"/>
    <w:rsid w:val="00162056"/>
    <w:rsid w:val="001622D3"/>
    <w:rsid w:val="00162387"/>
    <w:rsid w:val="00162BAC"/>
    <w:rsid w:val="00162C0B"/>
    <w:rsid w:val="00163071"/>
    <w:rsid w:val="00163090"/>
    <w:rsid w:val="001631AE"/>
    <w:rsid w:val="0016323D"/>
    <w:rsid w:val="001632FB"/>
    <w:rsid w:val="0016343C"/>
    <w:rsid w:val="00163540"/>
    <w:rsid w:val="001638DD"/>
    <w:rsid w:val="00163B9C"/>
    <w:rsid w:val="0016426C"/>
    <w:rsid w:val="001645B6"/>
    <w:rsid w:val="00164938"/>
    <w:rsid w:val="00164DAA"/>
    <w:rsid w:val="001651FC"/>
    <w:rsid w:val="001652F4"/>
    <w:rsid w:val="00165947"/>
    <w:rsid w:val="00165A6D"/>
    <w:rsid w:val="00165C76"/>
    <w:rsid w:val="00165E0A"/>
    <w:rsid w:val="001661D3"/>
    <w:rsid w:val="00166288"/>
    <w:rsid w:val="00166316"/>
    <w:rsid w:val="00166319"/>
    <w:rsid w:val="001664CA"/>
    <w:rsid w:val="00166DDC"/>
    <w:rsid w:val="001671CF"/>
    <w:rsid w:val="001672F4"/>
    <w:rsid w:val="0016765F"/>
    <w:rsid w:val="00167687"/>
    <w:rsid w:val="00167757"/>
    <w:rsid w:val="00167891"/>
    <w:rsid w:val="00167A7F"/>
    <w:rsid w:val="00167A99"/>
    <w:rsid w:val="00167E3D"/>
    <w:rsid w:val="00167FAA"/>
    <w:rsid w:val="00167FBE"/>
    <w:rsid w:val="00167FDD"/>
    <w:rsid w:val="001703A0"/>
    <w:rsid w:val="001706EF"/>
    <w:rsid w:val="00170813"/>
    <w:rsid w:val="001708CE"/>
    <w:rsid w:val="00170967"/>
    <w:rsid w:val="00170991"/>
    <w:rsid w:val="00170A4B"/>
    <w:rsid w:val="00170E15"/>
    <w:rsid w:val="00170E23"/>
    <w:rsid w:val="00170E70"/>
    <w:rsid w:val="0017101B"/>
    <w:rsid w:val="0017102B"/>
    <w:rsid w:val="001711F4"/>
    <w:rsid w:val="00171359"/>
    <w:rsid w:val="001714BB"/>
    <w:rsid w:val="00171517"/>
    <w:rsid w:val="0017188E"/>
    <w:rsid w:val="00171C7A"/>
    <w:rsid w:val="001725A8"/>
    <w:rsid w:val="001727B8"/>
    <w:rsid w:val="0017294B"/>
    <w:rsid w:val="00172D8E"/>
    <w:rsid w:val="00172E48"/>
    <w:rsid w:val="0017308C"/>
    <w:rsid w:val="00173151"/>
    <w:rsid w:val="0017341A"/>
    <w:rsid w:val="0017374F"/>
    <w:rsid w:val="001744D4"/>
    <w:rsid w:val="0017464D"/>
    <w:rsid w:val="0017472E"/>
    <w:rsid w:val="001747FB"/>
    <w:rsid w:val="00174879"/>
    <w:rsid w:val="0017489B"/>
    <w:rsid w:val="00174AD0"/>
    <w:rsid w:val="00174B36"/>
    <w:rsid w:val="00174BED"/>
    <w:rsid w:val="00174D35"/>
    <w:rsid w:val="00174F8E"/>
    <w:rsid w:val="0017508C"/>
    <w:rsid w:val="00175120"/>
    <w:rsid w:val="00175364"/>
    <w:rsid w:val="00175897"/>
    <w:rsid w:val="00175B59"/>
    <w:rsid w:val="00175C1D"/>
    <w:rsid w:val="00175DBA"/>
    <w:rsid w:val="00175FBA"/>
    <w:rsid w:val="00176004"/>
    <w:rsid w:val="0017600F"/>
    <w:rsid w:val="00176C70"/>
    <w:rsid w:val="00176C84"/>
    <w:rsid w:val="00176F23"/>
    <w:rsid w:val="001770F1"/>
    <w:rsid w:val="001772A7"/>
    <w:rsid w:val="001777A8"/>
    <w:rsid w:val="00177966"/>
    <w:rsid w:val="00177CDA"/>
    <w:rsid w:val="0018016F"/>
    <w:rsid w:val="00180464"/>
    <w:rsid w:val="0018068D"/>
    <w:rsid w:val="00180A46"/>
    <w:rsid w:val="00180B2A"/>
    <w:rsid w:val="00180B4B"/>
    <w:rsid w:val="00180F58"/>
    <w:rsid w:val="00181180"/>
    <w:rsid w:val="0018133F"/>
    <w:rsid w:val="00181410"/>
    <w:rsid w:val="00181555"/>
    <w:rsid w:val="001819F0"/>
    <w:rsid w:val="00181A1C"/>
    <w:rsid w:val="00181E2B"/>
    <w:rsid w:val="00181FED"/>
    <w:rsid w:val="00182103"/>
    <w:rsid w:val="001823B9"/>
    <w:rsid w:val="0018264E"/>
    <w:rsid w:val="00182674"/>
    <w:rsid w:val="00182A18"/>
    <w:rsid w:val="00182B9D"/>
    <w:rsid w:val="00182BB8"/>
    <w:rsid w:val="00182BBE"/>
    <w:rsid w:val="00182CF7"/>
    <w:rsid w:val="001834C4"/>
    <w:rsid w:val="001836BE"/>
    <w:rsid w:val="00183A2A"/>
    <w:rsid w:val="00183ACA"/>
    <w:rsid w:val="0018434D"/>
    <w:rsid w:val="00184632"/>
    <w:rsid w:val="00184694"/>
    <w:rsid w:val="001847E1"/>
    <w:rsid w:val="00184B06"/>
    <w:rsid w:val="00184CB4"/>
    <w:rsid w:val="00184DC9"/>
    <w:rsid w:val="00185048"/>
    <w:rsid w:val="00185259"/>
    <w:rsid w:val="001852D0"/>
    <w:rsid w:val="00185391"/>
    <w:rsid w:val="00185465"/>
    <w:rsid w:val="001857BC"/>
    <w:rsid w:val="00185A49"/>
    <w:rsid w:val="00185DBD"/>
    <w:rsid w:val="00185DEC"/>
    <w:rsid w:val="00185F1A"/>
    <w:rsid w:val="00186029"/>
    <w:rsid w:val="0018615D"/>
    <w:rsid w:val="00186938"/>
    <w:rsid w:val="00186D78"/>
    <w:rsid w:val="001871D5"/>
    <w:rsid w:val="001871F1"/>
    <w:rsid w:val="0018738D"/>
    <w:rsid w:val="00187683"/>
    <w:rsid w:val="0018768D"/>
    <w:rsid w:val="00187799"/>
    <w:rsid w:val="001878AF"/>
    <w:rsid w:val="001879D6"/>
    <w:rsid w:val="00187F03"/>
    <w:rsid w:val="00190077"/>
    <w:rsid w:val="00190158"/>
    <w:rsid w:val="00190333"/>
    <w:rsid w:val="00190420"/>
    <w:rsid w:val="001905CA"/>
    <w:rsid w:val="001906DB"/>
    <w:rsid w:val="0019079B"/>
    <w:rsid w:val="00190AF4"/>
    <w:rsid w:val="00190C98"/>
    <w:rsid w:val="00190FC2"/>
    <w:rsid w:val="001910F4"/>
    <w:rsid w:val="00191237"/>
    <w:rsid w:val="0019150C"/>
    <w:rsid w:val="00191515"/>
    <w:rsid w:val="00192064"/>
    <w:rsid w:val="00192293"/>
    <w:rsid w:val="00192674"/>
    <w:rsid w:val="001927F0"/>
    <w:rsid w:val="00192880"/>
    <w:rsid w:val="00192D16"/>
    <w:rsid w:val="00192E10"/>
    <w:rsid w:val="00192E96"/>
    <w:rsid w:val="00192F98"/>
    <w:rsid w:val="0019371B"/>
    <w:rsid w:val="00193818"/>
    <w:rsid w:val="00193989"/>
    <w:rsid w:val="00193A14"/>
    <w:rsid w:val="00193A4B"/>
    <w:rsid w:val="00193CF7"/>
    <w:rsid w:val="00193D54"/>
    <w:rsid w:val="001941DE"/>
    <w:rsid w:val="00194384"/>
    <w:rsid w:val="001949C7"/>
    <w:rsid w:val="00194DAF"/>
    <w:rsid w:val="00194ECA"/>
    <w:rsid w:val="00195533"/>
    <w:rsid w:val="00195940"/>
    <w:rsid w:val="001959D9"/>
    <w:rsid w:val="001959E9"/>
    <w:rsid w:val="00195C52"/>
    <w:rsid w:val="00195CAE"/>
    <w:rsid w:val="00195F15"/>
    <w:rsid w:val="00195FF2"/>
    <w:rsid w:val="001962DE"/>
    <w:rsid w:val="001967B2"/>
    <w:rsid w:val="0019686B"/>
    <w:rsid w:val="001969C1"/>
    <w:rsid w:val="00196C94"/>
    <w:rsid w:val="00196CD3"/>
    <w:rsid w:val="00196D70"/>
    <w:rsid w:val="001971CB"/>
    <w:rsid w:val="0019720C"/>
    <w:rsid w:val="00197332"/>
    <w:rsid w:val="001977AD"/>
    <w:rsid w:val="00197AD3"/>
    <w:rsid w:val="00197EDB"/>
    <w:rsid w:val="001A047F"/>
    <w:rsid w:val="001A0668"/>
    <w:rsid w:val="001A0973"/>
    <w:rsid w:val="001A0AF9"/>
    <w:rsid w:val="001A0D3B"/>
    <w:rsid w:val="001A11E5"/>
    <w:rsid w:val="001A13B6"/>
    <w:rsid w:val="001A14D5"/>
    <w:rsid w:val="001A190A"/>
    <w:rsid w:val="001A19E6"/>
    <w:rsid w:val="001A20C6"/>
    <w:rsid w:val="001A21C1"/>
    <w:rsid w:val="001A22C1"/>
    <w:rsid w:val="001A238D"/>
    <w:rsid w:val="001A2616"/>
    <w:rsid w:val="001A28E8"/>
    <w:rsid w:val="001A28FB"/>
    <w:rsid w:val="001A2902"/>
    <w:rsid w:val="001A3131"/>
    <w:rsid w:val="001A3344"/>
    <w:rsid w:val="001A34D7"/>
    <w:rsid w:val="001A39C2"/>
    <w:rsid w:val="001A3A0A"/>
    <w:rsid w:val="001A3AEB"/>
    <w:rsid w:val="001A3B71"/>
    <w:rsid w:val="001A3F3F"/>
    <w:rsid w:val="001A4067"/>
    <w:rsid w:val="001A417C"/>
    <w:rsid w:val="001A41BF"/>
    <w:rsid w:val="001A4296"/>
    <w:rsid w:val="001A435E"/>
    <w:rsid w:val="001A43C7"/>
    <w:rsid w:val="001A4D72"/>
    <w:rsid w:val="001A4D76"/>
    <w:rsid w:val="001A4ECD"/>
    <w:rsid w:val="001A5199"/>
    <w:rsid w:val="001A5210"/>
    <w:rsid w:val="001A527F"/>
    <w:rsid w:val="001A535E"/>
    <w:rsid w:val="001A57C1"/>
    <w:rsid w:val="001A5AF8"/>
    <w:rsid w:val="001A5AFA"/>
    <w:rsid w:val="001A5D6D"/>
    <w:rsid w:val="001A674F"/>
    <w:rsid w:val="001A6D60"/>
    <w:rsid w:val="001A7A82"/>
    <w:rsid w:val="001A7AAD"/>
    <w:rsid w:val="001B000F"/>
    <w:rsid w:val="001B0139"/>
    <w:rsid w:val="001B01CB"/>
    <w:rsid w:val="001B0549"/>
    <w:rsid w:val="001B065E"/>
    <w:rsid w:val="001B07B9"/>
    <w:rsid w:val="001B0ADE"/>
    <w:rsid w:val="001B0D6D"/>
    <w:rsid w:val="001B0DAE"/>
    <w:rsid w:val="001B0E93"/>
    <w:rsid w:val="001B10B4"/>
    <w:rsid w:val="001B12CC"/>
    <w:rsid w:val="001B12FD"/>
    <w:rsid w:val="001B1426"/>
    <w:rsid w:val="001B14BD"/>
    <w:rsid w:val="001B1527"/>
    <w:rsid w:val="001B15BA"/>
    <w:rsid w:val="001B1849"/>
    <w:rsid w:val="001B1981"/>
    <w:rsid w:val="001B1A43"/>
    <w:rsid w:val="001B1EFE"/>
    <w:rsid w:val="001B20F5"/>
    <w:rsid w:val="001B2787"/>
    <w:rsid w:val="001B28C7"/>
    <w:rsid w:val="001B2A8B"/>
    <w:rsid w:val="001B2FEC"/>
    <w:rsid w:val="001B30BD"/>
    <w:rsid w:val="001B31A2"/>
    <w:rsid w:val="001B3221"/>
    <w:rsid w:val="001B3436"/>
    <w:rsid w:val="001B3775"/>
    <w:rsid w:val="001B3AD8"/>
    <w:rsid w:val="001B3C8F"/>
    <w:rsid w:val="001B3DD5"/>
    <w:rsid w:val="001B3E81"/>
    <w:rsid w:val="001B3F06"/>
    <w:rsid w:val="001B40D4"/>
    <w:rsid w:val="001B41A8"/>
    <w:rsid w:val="001B43EA"/>
    <w:rsid w:val="001B4695"/>
    <w:rsid w:val="001B4A39"/>
    <w:rsid w:val="001B4C4A"/>
    <w:rsid w:val="001B5273"/>
    <w:rsid w:val="001B52C9"/>
    <w:rsid w:val="001B5331"/>
    <w:rsid w:val="001B5337"/>
    <w:rsid w:val="001B53BC"/>
    <w:rsid w:val="001B55A0"/>
    <w:rsid w:val="001B57BC"/>
    <w:rsid w:val="001B5879"/>
    <w:rsid w:val="001B599E"/>
    <w:rsid w:val="001B5A78"/>
    <w:rsid w:val="001B5CAF"/>
    <w:rsid w:val="001B5FFF"/>
    <w:rsid w:val="001B6236"/>
    <w:rsid w:val="001B6774"/>
    <w:rsid w:val="001B6B0B"/>
    <w:rsid w:val="001B6EB6"/>
    <w:rsid w:val="001B7028"/>
    <w:rsid w:val="001B7265"/>
    <w:rsid w:val="001B73FD"/>
    <w:rsid w:val="001B7408"/>
    <w:rsid w:val="001B7625"/>
    <w:rsid w:val="001B7735"/>
    <w:rsid w:val="001B7805"/>
    <w:rsid w:val="001B7B68"/>
    <w:rsid w:val="001C0063"/>
    <w:rsid w:val="001C025E"/>
    <w:rsid w:val="001C0344"/>
    <w:rsid w:val="001C0599"/>
    <w:rsid w:val="001C061E"/>
    <w:rsid w:val="001C0BE8"/>
    <w:rsid w:val="001C0F4B"/>
    <w:rsid w:val="001C0F92"/>
    <w:rsid w:val="001C0FBC"/>
    <w:rsid w:val="001C129F"/>
    <w:rsid w:val="001C1456"/>
    <w:rsid w:val="001C17CF"/>
    <w:rsid w:val="001C1A89"/>
    <w:rsid w:val="001C1C33"/>
    <w:rsid w:val="001C1F72"/>
    <w:rsid w:val="001C218A"/>
    <w:rsid w:val="001C2213"/>
    <w:rsid w:val="001C2964"/>
    <w:rsid w:val="001C2C8A"/>
    <w:rsid w:val="001C2E71"/>
    <w:rsid w:val="001C39C5"/>
    <w:rsid w:val="001C3E5B"/>
    <w:rsid w:val="001C45AC"/>
    <w:rsid w:val="001C4607"/>
    <w:rsid w:val="001C4892"/>
    <w:rsid w:val="001C4BB1"/>
    <w:rsid w:val="001C4C37"/>
    <w:rsid w:val="001C51E1"/>
    <w:rsid w:val="001C5236"/>
    <w:rsid w:val="001C531F"/>
    <w:rsid w:val="001C5896"/>
    <w:rsid w:val="001C5946"/>
    <w:rsid w:val="001C5CCA"/>
    <w:rsid w:val="001C5F64"/>
    <w:rsid w:val="001C6181"/>
    <w:rsid w:val="001C62D9"/>
    <w:rsid w:val="001C6347"/>
    <w:rsid w:val="001C64A7"/>
    <w:rsid w:val="001C66F6"/>
    <w:rsid w:val="001C68A3"/>
    <w:rsid w:val="001C6BDB"/>
    <w:rsid w:val="001C6EA6"/>
    <w:rsid w:val="001C736C"/>
    <w:rsid w:val="001C76EC"/>
    <w:rsid w:val="001C78BB"/>
    <w:rsid w:val="001D0175"/>
    <w:rsid w:val="001D01F2"/>
    <w:rsid w:val="001D07C1"/>
    <w:rsid w:val="001D0D4A"/>
    <w:rsid w:val="001D0DC3"/>
    <w:rsid w:val="001D1045"/>
    <w:rsid w:val="001D1334"/>
    <w:rsid w:val="001D1461"/>
    <w:rsid w:val="001D150B"/>
    <w:rsid w:val="001D1E4C"/>
    <w:rsid w:val="001D1F1C"/>
    <w:rsid w:val="001D2205"/>
    <w:rsid w:val="001D2416"/>
    <w:rsid w:val="001D2592"/>
    <w:rsid w:val="001D26FF"/>
    <w:rsid w:val="001D28AD"/>
    <w:rsid w:val="001D2C5F"/>
    <w:rsid w:val="001D3155"/>
    <w:rsid w:val="001D338D"/>
    <w:rsid w:val="001D35C0"/>
    <w:rsid w:val="001D38DA"/>
    <w:rsid w:val="001D3A08"/>
    <w:rsid w:val="001D407C"/>
    <w:rsid w:val="001D4279"/>
    <w:rsid w:val="001D447C"/>
    <w:rsid w:val="001D4545"/>
    <w:rsid w:val="001D47E9"/>
    <w:rsid w:val="001D4AD4"/>
    <w:rsid w:val="001D4C7E"/>
    <w:rsid w:val="001D4E3C"/>
    <w:rsid w:val="001D5006"/>
    <w:rsid w:val="001D50E2"/>
    <w:rsid w:val="001D5621"/>
    <w:rsid w:val="001D58AB"/>
    <w:rsid w:val="001D5AAC"/>
    <w:rsid w:val="001D5ABC"/>
    <w:rsid w:val="001D5E14"/>
    <w:rsid w:val="001D5E51"/>
    <w:rsid w:val="001D60B6"/>
    <w:rsid w:val="001D61E0"/>
    <w:rsid w:val="001D642A"/>
    <w:rsid w:val="001D658F"/>
    <w:rsid w:val="001D68EC"/>
    <w:rsid w:val="001D6B45"/>
    <w:rsid w:val="001D6D41"/>
    <w:rsid w:val="001D7348"/>
    <w:rsid w:val="001D744B"/>
    <w:rsid w:val="001D7C96"/>
    <w:rsid w:val="001E0022"/>
    <w:rsid w:val="001E0094"/>
    <w:rsid w:val="001E018C"/>
    <w:rsid w:val="001E0205"/>
    <w:rsid w:val="001E0395"/>
    <w:rsid w:val="001E079A"/>
    <w:rsid w:val="001E081F"/>
    <w:rsid w:val="001E08DA"/>
    <w:rsid w:val="001E0984"/>
    <w:rsid w:val="001E0EDB"/>
    <w:rsid w:val="001E15E8"/>
    <w:rsid w:val="001E17CA"/>
    <w:rsid w:val="001E1AF5"/>
    <w:rsid w:val="001E1B40"/>
    <w:rsid w:val="001E1D83"/>
    <w:rsid w:val="001E2035"/>
    <w:rsid w:val="001E204F"/>
    <w:rsid w:val="001E24EA"/>
    <w:rsid w:val="001E2F57"/>
    <w:rsid w:val="001E2FF1"/>
    <w:rsid w:val="001E3130"/>
    <w:rsid w:val="001E3303"/>
    <w:rsid w:val="001E3A96"/>
    <w:rsid w:val="001E40AF"/>
    <w:rsid w:val="001E40EC"/>
    <w:rsid w:val="001E4755"/>
    <w:rsid w:val="001E4776"/>
    <w:rsid w:val="001E4804"/>
    <w:rsid w:val="001E492B"/>
    <w:rsid w:val="001E4A55"/>
    <w:rsid w:val="001E4F16"/>
    <w:rsid w:val="001E4F73"/>
    <w:rsid w:val="001E51CC"/>
    <w:rsid w:val="001E51F7"/>
    <w:rsid w:val="001E531B"/>
    <w:rsid w:val="001E536B"/>
    <w:rsid w:val="001E54C0"/>
    <w:rsid w:val="001E551F"/>
    <w:rsid w:val="001E5A07"/>
    <w:rsid w:val="001E5D07"/>
    <w:rsid w:val="001E5DAC"/>
    <w:rsid w:val="001E5ED3"/>
    <w:rsid w:val="001E5FEE"/>
    <w:rsid w:val="001E6089"/>
    <w:rsid w:val="001E65CF"/>
    <w:rsid w:val="001E67C2"/>
    <w:rsid w:val="001E67C4"/>
    <w:rsid w:val="001E6BA2"/>
    <w:rsid w:val="001E6C58"/>
    <w:rsid w:val="001E70DE"/>
    <w:rsid w:val="001E71F0"/>
    <w:rsid w:val="001E7779"/>
    <w:rsid w:val="001E779F"/>
    <w:rsid w:val="001E79F6"/>
    <w:rsid w:val="001F0235"/>
    <w:rsid w:val="001F024C"/>
    <w:rsid w:val="001F04BF"/>
    <w:rsid w:val="001F0698"/>
    <w:rsid w:val="001F0858"/>
    <w:rsid w:val="001F0D0D"/>
    <w:rsid w:val="001F0E0C"/>
    <w:rsid w:val="001F0E14"/>
    <w:rsid w:val="001F142B"/>
    <w:rsid w:val="001F1597"/>
    <w:rsid w:val="001F18EF"/>
    <w:rsid w:val="001F1ABF"/>
    <w:rsid w:val="001F1DAA"/>
    <w:rsid w:val="001F21EC"/>
    <w:rsid w:val="001F2D9C"/>
    <w:rsid w:val="001F2E17"/>
    <w:rsid w:val="001F3366"/>
    <w:rsid w:val="001F352E"/>
    <w:rsid w:val="001F373B"/>
    <w:rsid w:val="001F38D3"/>
    <w:rsid w:val="001F398B"/>
    <w:rsid w:val="001F3C8D"/>
    <w:rsid w:val="001F3E5A"/>
    <w:rsid w:val="001F3E90"/>
    <w:rsid w:val="001F3EF9"/>
    <w:rsid w:val="001F43F3"/>
    <w:rsid w:val="001F4A9D"/>
    <w:rsid w:val="001F504A"/>
    <w:rsid w:val="001F50C3"/>
    <w:rsid w:val="001F53EF"/>
    <w:rsid w:val="001F5476"/>
    <w:rsid w:val="001F573B"/>
    <w:rsid w:val="001F5C37"/>
    <w:rsid w:val="001F5EA0"/>
    <w:rsid w:val="001F601A"/>
    <w:rsid w:val="001F60A2"/>
    <w:rsid w:val="001F6302"/>
    <w:rsid w:val="001F6450"/>
    <w:rsid w:val="001F64D7"/>
    <w:rsid w:val="001F66D3"/>
    <w:rsid w:val="001F676C"/>
    <w:rsid w:val="001F6ADA"/>
    <w:rsid w:val="001F6C38"/>
    <w:rsid w:val="001F7077"/>
    <w:rsid w:val="001F70A1"/>
    <w:rsid w:val="001F70B7"/>
    <w:rsid w:val="001F7132"/>
    <w:rsid w:val="001F71F0"/>
    <w:rsid w:val="001F7282"/>
    <w:rsid w:val="001F7D1B"/>
    <w:rsid w:val="001F7F23"/>
    <w:rsid w:val="002000EB"/>
    <w:rsid w:val="00200225"/>
    <w:rsid w:val="002005D6"/>
    <w:rsid w:val="002005D8"/>
    <w:rsid w:val="002005F7"/>
    <w:rsid w:val="0020090F"/>
    <w:rsid w:val="00200A45"/>
    <w:rsid w:val="00200BC8"/>
    <w:rsid w:val="00200C03"/>
    <w:rsid w:val="00200DD2"/>
    <w:rsid w:val="00200EAC"/>
    <w:rsid w:val="00201215"/>
    <w:rsid w:val="0020166E"/>
    <w:rsid w:val="0020169C"/>
    <w:rsid w:val="0020172C"/>
    <w:rsid w:val="00201869"/>
    <w:rsid w:val="00201938"/>
    <w:rsid w:val="00201B0E"/>
    <w:rsid w:val="00201D2E"/>
    <w:rsid w:val="002023EE"/>
    <w:rsid w:val="002026BD"/>
    <w:rsid w:val="00202863"/>
    <w:rsid w:val="00202CA6"/>
    <w:rsid w:val="00202FBE"/>
    <w:rsid w:val="00203209"/>
    <w:rsid w:val="00203412"/>
    <w:rsid w:val="002034BA"/>
    <w:rsid w:val="0020368C"/>
    <w:rsid w:val="002039D7"/>
    <w:rsid w:val="00203B8B"/>
    <w:rsid w:val="00203C61"/>
    <w:rsid w:val="00203FD3"/>
    <w:rsid w:val="00204052"/>
    <w:rsid w:val="002041C4"/>
    <w:rsid w:val="002045F9"/>
    <w:rsid w:val="00204808"/>
    <w:rsid w:val="00204871"/>
    <w:rsid w:val="00204C24"/>
    <w:rsid w:val="00204C6A"/>
    <w:rsid w:val="00205454"/>
    <w:rsid w:val="002057AA"/>
    <w:rsid w:val="00205C76"/>
    <w:rsid w:val="002063D1"/>
    <w:rsid w:val="002068C9"/>
    <w:rsid w:val="002069DF"/>
    <w:rsid w:val="00206BBF"/>
    <w:rsid w:val="00206E6F"/>
    <w:rsid w:val="00206F45"/>
    <w:rsid w:val="00207188"/>
    <w:rsid w:val="002071D3"/>
    <w:rsid w:val="002073C2"/>
    <w:rsid w:val="0020766F"/>
    <w:rsid w:val="00207BEA"/>
    <w:rsid w:val="00207EF4"/>
    <w:rsid w:val="00207FA2"/>
    <w:rsid w:val="00210DD3"/>
    <w:rsid w:val="00211045"/>
    <w:rsid w:val="00211448"/>
    <w:rsid w:val="002114A3"/>
    <w:rsid w:val="00211886"/>
    <w:rsid w:val="00211953"/>
    <w:rsid w:val="00211EC0"/>
    <w:rsid w:val="00211EF1"/>
    <w:rsid w:val="00212199"/>
    <w:rsid w:val="0021228E"/>
    <w:rsid w:val="002123A2"/>
    <w:rsid w:val="00212514"/>
    <w:rsid w:val="00212661"/>
    <w:rsid w:val="0021274C"/>
    <w:rsid w:val="0021353A"/>
    <w:rsid w:val="0021357B"/>
    <w:rsid w:val="00213F72"/>
    <w:rsid w:val="002142A5"/>
    <w:rsid w:val="0021442F"/>
    <w:rsid w:val="00214627"/>
    <w:rsid w:val="00214777"/>
    <w:rsid w:val="00214855"/>
    <w:rsid w:val="00215050"/>
    <w:rsid w:val="002150D5"/>
    <w:rsid w:val="00215176"/>
    <w:rsid w:val="0021531D"/>
    <w:rsid w:val="00215554"/>
    <w:rsid w:val="00215588"/>
    <w:rsid w:val="00215733"/>
    <w:rsid w:val="0021595C"/>
    <w:rsid w:val="00215B3C"/>
    <w:rsid w:val="00215E1F"/>
    <w:rsid w:val="00215FC4"/>
    <w:rsid w:val="002161F6"/>
    <w:rsid w:val="00216273"/>
    <w:rsid w:val="002165F4"/>
    <w:rsid w:val="00216A15"/>
    <w:rsid w:val="00216B4F"/>
    <w:rsid w:val="00216C1A"/>
    <w:rsid w:val="00216EEC"/>
    <w:rsid w:val="00217688"/>
    <w:rsid w:val="00217777"/>
    <w:rsid w:val="002177DD"/>
    <w:rsid w:val="00217C10"/>
    <w:rsid w:val="00217F9A"/>
    <w:rsid w:val="00220309"/>
    <w:rsid w:val="00220538"/>
    <w:rsid w:val="002205F1"/>
    <w:rsid w:val="002210D5"/>
    <w:rsid w:val="00221730"/>
    <w:rsid w:val="00221BAA"/>
    <w:rsid w:val="00221EF9"/>
    <w:rsid w:val="00222082"/>
    <w:rsid w:val="0022225F"/>
    <w:rsid w:val="002222B9"/>
    <w:rsid w:val="002227FF"/>
    <w:rsid w:val="0022293C"/>
    <w:rsid w:val="00222B53"/>
    <w:rsid w:val="00222DFB"/>
    <w:rsid w:val="002230A9"/>
    <w:rsid w:val="002235B2"/>
    <w:rsid w:val="0022377B"/>
    <w:rsid w:val="00223A96"/>
    <w:rsid w:val="00223EEC"/>
    <w:rsid w:val="0022404C"/>
    <w:rsid w:val="002244F6"/>
    <w:rsid w:val="002244FD"/>
    <w:rsid w:val="002246B5"/>
    <w:rsid w:val="0022476B"/>
    <w:rsid w:val="00224933"/>
    <w:rsid w:val="00224A5E"/>
    <w:rsid w:val="00224B8C"/>
    <w:rsid w:val="00224BE7"/>
    <w:rsid w:val="00224DC1"/>
    <w:rsid w:val="00224E8B"/>
    <w:rsid w:val="002250BF"/>
    <w:rsid w:val="00225129"/>
    <w:rsid w:val="0022535F"/>
    <w:rsid w:val="00225704"/>
    <w:rsid w:val="00225B5B"/>
    <w:rsid w:val="00225BF4"/>
    <w:rsid w:val="00225D0C"/>
    <w:rsid w:val="00226403"/>
    <w:rsid w:val="00226461"/>
    <w:rsid w:val="002264F7"/>
    <w:rsid w:val="00226679"/>
    <w:rsid w:val="00226782"/>
    <w:rsid w:val="00226932"/>
    <w:rsid w:val="0022699B"/>
    <w:rsid w:val="00226A72"/>
    <w:rsid w:val="00226B20"/>
    <w:rsid w:val="00226BFC"/>
    <w:rsid w:val="002272AB"/>
    <w:rsid w:val="002274CB"/>
    <w:rsid w:val="00227555"/>
    <w:rsid w:val="00227783"/>
    <w:rsid w:val="002279BF"/>
    <w:rsid w:val="00227A83"/>
    <w:rsid w:val="00227CBD"/>
    <w:rsid w:val="00227E38"/>
    <w:rsid w:val="002300AE"/>
    <w:rsid w:val="002301D6"/>
    <w:rsid w:val="00230423"/>
    <w:rsid w:val="00230515"/>
    <w:rsid w:val="00230ABF"/>
    <w:rsid w:val="00230E55"/>
    <w:rsid w:val="002311BB"/>
    <w:rsid w:val="002311C5"/>
    <w:rsid w:val="002313D8"/>
    <w:rsid w:val="00231891"/>
    <w:rsid w:val="00231899"/>
    <w:rsid w:val="00231E46"/>
    <w:rsid w:val="00231FB5"/>
    <w:rsid w:val="00231FFE"/>
    <w:rsid w:val="002320ED"/>
    <w:rsid w:val="0023214C"/>
    <w:rsid w:val="002323A7"/>
    <w:rsid w:val="002328F7"/>
    <w:rsid w:val="00232F9D"/>
    <w:rsid w:val="00232FD1"/>
    <w:rsid w:val="0023308A"/>
    <w:rsid w:val="0023361F"/>
    <w:rsid w:val="002338C4"/>
    <w:rsid w:val="00233B11"/>
    <w:rsid w:val="002344A7"/>
    <w:rsid w:val="00234568"/>
    <w:rsid w:val="00234B37"/>
    <w:rsid w:val="00234D9F"/>
    <w:rsid w:val="00234F0F"/>
    <w:rsid w:val="00235041"/>
    <w:rsid w:val="002357C4"/>
    <w:rsid w:val="00235A0C"/>
    <w:rsid w:val="00235A66"/>
    <w:rsid w:val="00235B83"/>
    <w:rsid w:val="00235BD6"/>
    <w:rsid w:val="00235EFE"/>
    <w:rsid w:val="0023612D"/>
    <w:rsid w:val="0023622A"/>
    <w:rsid w:val="002363B1"/>
    <w:rsid w:val="00236618"/>
    <w:rsid w:val="00236BB6"/>
    <w:rsid w:val="00236BC2"/>
    <w:rsid w:val="00236D13"/>
    <w:rsid w:val="0023707F"/>
    <w:rsid w:val="00237194"/>
    <w:rsid w:val="00237230"/>
    <w:rsid w:val="00237263"/>
    <w:rsid w:val="0023735D"/>
    <w:rsid w:val="002376E3"/>
    <w:rsid w:val="00237837"/>
    <w:rsid w:val="00237C8F"/>
    <w:rsid w:val="00237C92"/>
    <w:rsid w:val="002404C6"/>
    <w:rsid w:val="00240C21"/>
    <w:rsid w:val="00240F22"/>
    <w:rsid w:val="002417D6"/>
    <w:rsid w:val="002417EC"/>
    <w:rsid w:val="002417F9"/>
    <w:rsid w:val="00241826"/>
    <w:rsid w:val="00241B92"/>
    <w:rsid w:val="00241BE0"/>
    <w:rsid w:val="00241C13"/>
    <w:rsid w:val="00241D4E"/>
    <w:rsid w:val="00241E4C"/>
    <w:rsid w:val="00242210"/>
    <w:rsid w:val="00242B7C"/>
    <w:rsid w:val="00242CF9"/>
    <w:rsid w:val="00242F77"/>
    <w:rsid w:val="0024305F"/>
    <w:rsid w:val="00243133"/>
    <w:rsid w:val="00243154"/>
    <w:rsid w:val="002434B2"/>
    <w:rsid w:val="00243660"/>
    <w:rsid w:val="00243A79"/>
    <w:rsid w:val="00243B1E"/>
    <w:rsid w:val="00244133"/>
    <w:rsid w:val="002442E8"/>
    <w:rsid w:val="002443A9"/>
    <w:rsid w:val="00244441"/>
    <w:rsid w:val="002447BE"/>
    <w:rsid w:val="00244A88"/>
    <w:rsid w:val="00244AE8"/>
    <w:rsid w:val="00244C69"/>
    <w:rsid w:val="00244C8D"/>
    <w:rsid w:val="002450DB"/>
    <w:rsid w:val="00245C87"/>
    <w:rsid w:val="00245CEC"/>
    <w:rsid w:val="00245E94"/>
    <w:rsid w:val="00245ECC"/>
    <w:rsid w:val="002461EF"/>
    <w:rsid w:val="00246909"/>
    <w:rsid w:val="00246BEE"/>
    <w:rsid w:val="00246CF4"/>
    <w:rsid w:val="002471C5"/>
    <w:rsid w:val="002473BB"/>
    <w:rsid w:val="0024768D"/>
    <w:rsid w:val="002477EA"/>
    <w:rsid w:val="00247D0F"/>
    <w:rsid w:val="00247E0D"/>
    <w:rsid w:val="00247EA7"/>
    <w:rsid w:val="002500FB"/>
    <w:rsid w:val="00250697"/>
    <w:rsid w:val="002507EF"/>
    <w:rsid w:val="00250829"/>
    <w:rsid w:val="00250963"/>
    <w:rsid w:val="00250C0B"/>
    <w:rsid w:val="00251722"/>
    <w:rsid w:val="00251738"/>
    <w:rsid w:val="00251B16"/>
    <w:rsid w:val="00251B85"/>
    <w:rsid w:val="00251BE4"/>
    <w:rsid w:val="00251C51"/>
    <w:rsid w:val="00251D18"/>
    <w:rsid w:val="00251D6B"/>
    <w:rsid w:val="0025254B"/>
    <w:rsid w:val="00252594"/>
    <w:rsid w:val="002525A3"/>
    <w:rsid w:val="002528A3"/>
    <w:rsid w:val="00252F1D"/>
    <w:rsid w:val="00253070"/>
    <w:rsid w:val="00253087"/>
    <w:rsid w:val="00253113"/>
    <w:rsid w:val="002531E1"/>
    <w:rsid w:val="002534FD"/>
    <w:rsid w:val="00253548"/>
    <w:rsid w:val="002535A1"/>
    <w:rsid w:val="002538CC"/>
    <w:rsid w:val="00253D4E"/>
    <w:rsid w:val="00253E7F"/>
    <w:rsid w:val="00254208"/>
    <w:rsid w:val="0025426F"/>
    <w:rsid w:val="002546FF"/>
    <w:rsid w:val="00254781"/>
    <w:rsid w:val="002548DD"/>
    <w:rsid w:val="00254D4A"/>
    <w:rsid w:val="0025585A"/>
    <w:rsid w:val="00255B2E"/>
    <w:rsid w:val="0025636A"/>
    <w:rsid w:val="00256443"/>
    <w:rsid w:val="002564F9"/>
    <w:rsid w:val="00256A69"/>
    <w:rsid w:val="00256C8A"/>
    <w:rsid w:val="00256E1E"/>
    <w:rsid w:val="002575FE"/>
    <w:rsid w:val="0025771E"/>
    <w:rsid w:val="00257EA6"/>
    <w:rsid w:val="00257F9D"/>
    <w:rsid w:val="0026018C"/>
    <w:rsid w:val="002601D1"/>
    <w:rsid w:val="00260508"/>
    <w:rsid w:val="0026094B"/>
    <w:rsid w:val="00260A10"/>
    <w:rsid w:val="00260A19"/>
    <w:rsid w:val="00260B0F"/>
    <w:rsid w:val="00260C44"/>
    <w:rsid w:val="00260D39"/>
    <w:rsid w:val="00261067"/>
    <w:rsid w:val="002610AB"/>
    <w:rsid w:val="00261375"/>
    <w:rsid w:val="0026158D"/>
    <w:rsid w:val="00261836"/>
    <w:rsid w:val="00261967"/>
    <w:rsid w:val="0026196A"/>
    <w:rsid w:val="002619F6"/>
    <w:rsid w:val="00262141"/>
    <w:rsid w:val="0026219E"/>
    <w:rsid w:val="002621B0"/>
    <w:rsid w:val="0026234A"/>
    <w:rsid w:val="0026240F"/>
    <w:rsid w:val="00262636"/>
    <w:rsid w:val="00262C3B"/>
    <w:rsid w:val="00262EA9"/>
    <w:rsid w:val="00262F9D"/>
    <w:rsid w:val="00263503"/>
    <w:rsid w:val="002639B6"/>
    <w:rsid w:val="00263B9E"/>
    <w:rsid w:val="00263D23"/>
    <w:rsid w:val="00263E6C"/>
    <w:rsid w:val="0026417C"/>
    <w:rsid w:val="002645E0"/>
    <w:rsid w:val="002646BC"/>
    <w:rsid w:val="002646C5"/>
    <w:rsid w:val="0026479B"/>
    <w:rsid w:val="00264C3C"/>
    <w:rsid w:val="00264D1C"/>
    <w:rsid w:val="00264D27"/>
    <w:rsid w:val="00264E0E"/>
    <w:rsid w:val="002651C4"/>
    <w:rsid w:val="002652E2"/>
    <w:rsid w:val="0026533A"/>
    <w:rsid w:val="00265594"/>
    <w:rsid w:val="002656E7"/>
    <w:rsid w:val="00265A7E"/>
    <w:rsid w:val="00265FB9"/>
    <w:rsid w:val="002660E7"/>
    <w:rsid w:val="00266369"/>
    <w:rsid w:val="00266427"/>
    <w:rsid w:val="002668A5"/>
    <w:rsid w:val="00266963"/>
    <w:rsid w:val="0026698A"/>
    <w:rsid w:val="00266A37"/>
    <w:rsid w:val="00266A4E"/>
    <w:rsid w:val="00266B28"/>
    <w:rsid w:val="0026743B"/>
    <w:rsid w:val="002674D4"/>
    <w:rsid w:val="0026788C"/>
    <w:rsid w:val="00267B8E"/>
    <w:rsid w:val="00267FA4"/>
    <w:rsid w:val="00270089"/>
    <w:rsid w:val="002702AC"/>
    <w:rsid w:val="002703EE"/>
    <w:rsid w:val="00270486"/>
    <w:rsid w:val="00270603"/>
    <w:rsid w:val="0027067A"/>
    <w:rsid w:val="00270754"/>
    <w:rsid w:val="00270B4C"/>
    <w:rsid w:val="00270BA6"/>
    <w:rsid w:val="00271495"/>
    <w:rsid w:val="00271791"/>
    <w:rsid w:val="002718F5"/>
    <w:rsid w:val="00271BB0"/>
    <w:rsid w:val="00271C21"/>
    <w:rsid w:val="00271CD7"/>
    <w:rsid w:val="00272197"/>
    <w:rsid w:val="00272239"/>
    <w:rsid w:val="0027254B"/>
    <w:rsid w:val="0027257D"/>
    <w:rsid w:val="0027278D"/>
    <w:rsid w:val="002727A5"/>
    <w:rsid w:val="002727F1"/>
    <w:rsid w:val="00272815"/>
    <w:rsid w:val="0027284A"/>
    <w:rsid w:val="00272976"/>
    <w:rsid w:val="00272C6E"/>
    <w:rsid w:val="00272E6F"/>
    <w:rsid w:val="0027309A"/>
    <w:rsid w:val="00273166"/>
    <w:rsid w:val="0027326D"/>
    <w:rsid w:val="002733D4"/>
    <w:rsid w:val="0027349E"/>
    <w:rsid w:val="002735E3"/>
    <w:rsid w:val="00273798"/>
    <w:rsid w:val="0027381D"/>
    <w:rsid w:val="0027386A"/>
    <w:rsid w:val="00273D5D"/>
    <w:rsid w:val="00274177"/>
    <w:rsid w:val="00274252"/>
    <w:rsid w:val="002743FA"/>
    <w:rsid w:val="002744D8"/>
    <w:rsid w:val="00274620"/>
    <w:rsid w:val="002747BB"/>
    <w:rsid w:val="00274BBB"/>
    <w:rsid w:val="00274EAD"/>
    <w:rsid w:val="00274F2E"/>
    <w:rsid w:val="0027566E"/>
    <w:rsid w:val="00275A35"/>
    <w:rsid w:val="00275A9F"/>
    <w:rsid w:val="00275CFA"/>
    <w:rsid w:val="00275D3C"/>
    <w:rsid w:val="00275D68"/>
    <w:rsid w:val="00275D7D"/>
    <w:rsid w:val="00276171"/>
    <w:rsid w:val="00276279"/>
    <w:rsid w:val="00276641"/>
    <w:rsid w:val="0027680C"/>
    <w:rsid w:val="00276900"/>
    <w:rsid w:val="00276C62"/>
    <w:rsid w:val="00276CC7"/>
    <w:rsid w:val="0027710B"/>
    <w:rsid w:val="00277155"/>
    <w:rsid w:val="0027729B"/>
    <w:rsid w:val="00277448"/>
    <w:rsid w:val="0027752A"/>
    <w:rsid w:val="00277796"/>
    <w:rsid w:val="00277889"/>
    <w:rsid w:val="00277C1C"/>
    <w:rsid w:val="00277D4A"/>
    <w:rsid w:val="00277E37"/>
    <w:rsid w:val="00277E82"/>
    <w:rsid w:val="00277F1D"/>
    <w:rsid w:val="00280061"/>
    <w:rsid w:val="00280377"/>
    <w:rsid w:val="0028041B"/>
    <w:rsid w:val="002804AC"/>
    <w:rsid w:val="002804EB"/>
    <w:rsid w:val="002808BE"/>
    <w:rsid w:val="00280F7E"/>
    <w:rsid w:val="00281059"/>
    <w:rsid w:val="002813A6"/>
    <w:rsid w:val="00281554"/>
    <w:rsid w:val="002815AF"/>
    <w:rsid w:val="0028196F"/>
    <w:rsid w:val="00281A05"/>
    <w:rsid w:val="00281A74"/>
    <w:rsid w:val="00281C4A"/>
    <w:rsid w:val="00281C52"/>
    <w:rsid w:val="00281C8C"/>
    <w:rsid w:val="00282236"/>
    <w:rsid w:val="00282268"/>
    <w:rsid w:val="0028247B"/>
    <w:rsid w:val="002828FD"/>
    <w:rsid w:val="00282A2A"/>
    <w:rsid w:val="00282E1E"/>
    <w:rsid w:val="00282F47"/>
    <w:rsid w:val="002833A0"/>
    <w:rsid w:val="002833D1"/>
    <w:rsid w:val="00283AE9"/>
    <w:rsid w:val="002840A3"/>
    <w:rsid w:val="00284AB7"/>
    <w:rsid w:val="00284D53"/>
    <w:rsid w:val="00284DAF"/>
    <w:rsid w:val="002850DB"/>
    <w:rsid w:val="00285A80"/>
    <w:rsid w:val="00285C02"/>
    <w:rsid w:val="00285D13"/>
    <w:rsid w:val="00285D73"/>
    <w:rsid w:val="00285F5C"/>
    <w:rsid w:val="002862AB"/>
    <w:rsid w:val="002862DE"/>
    <w:rsid w:val="002865EA"/>
    <w:rsid w:val="002869BD"/>
    <w:rsid w:val="00286A96"/>
    <w:rsid w:val="00286B77"/>
    <w:rsid w:val="00286CFA"/>
    <w:rsid w:val="00286F35"/>
    <w:rsid w:val="00287290"/>
    <w:rsid w:val="002874AF"/>
    <w:rsid w:val="002874B8"/>
    <w:rsid w:val="002876EC"/>
    <w:rsid w:val="0028777D"/>
    <w:rsid w:val="00287F76"/>
    <w:rsid w:val="00290211"/>
    <w:rsid w:val="002904CD"/>
    <w:rsid w:val="002908EB"/>
    <w:rsid w:val="002909A8"/>
    <w:rsid w:val="00290DD8"/>
    <w:rsid w:val="00291376"/>
    <w:rsid w:val="00291628"/>
    <w:rsid w:val="00291668"/>
    <w:rsid w:val="00291E84"/>
    <w:rsid w:val="0029200F"/>
    <w:rsid w:val="00292686"/>
    <w:rsid w:val="00292729"/>
    <w:rsid w:val="00292D74"/>
    <w:rsid w:val="00292E42"/>
    <w:rsid w:val="002930F0"/>
    <w:rsid w:val="0029317C"/>
    <w:rsid w:val="00293972"/>
    <w:rsid w:val="002939A1"/>
    <w:rsid w:val="00293E11"/>
    <w:rsid w:val="0029413E"/>
    <w:rsid w:val="00294271"/>
    <w:rsid w:val="0029428F"/>
    <w:rsid w:val="002943C8"/>
    <w:rsid w:val="002943D6"/>
    <w:rsid w:val="002948C8"/>
    <w:rsid w:val="00294B9E"/>
    <w:rsid w:val="00294CC4"/>
    <w:rsid w:val="00294DB4"/>
    <w:rsid w:val="00294E55"/>
    <w:rsid w:val="00294E58"/>
    <w:rsid w:val="0029511E"/>
    <w:rsid w:val="00295425"/>
    <w:rsid w:val="00295558"/>
    <w:rsid w:val="002955FB"/>
    <w:rsid w:val="002957D8"/>
    <w:rsid w:val="00295AE3"/>
    <w:rsid w:val="00295C56"/>
    <w:rsid w:val="00295F26"/>
    <w:rsid w:val="002960DA"/>
    <w:rsid w:val="0029619C"/>
    <w:rsid w:val="002961D1"/>
    <w:rsid w:val="002962DC"/>
    <w:rsid w:val="0029661E"/>
    <w:rsid w:val="002968AA"/>
    <w:rsid w:val="002968B2"/>
    <w:rsid w:val="002969DD"/>
    <w:rsid w:val="00296A18"/>
    <w:rsid w:val="00296AA9"/>
    <w:rsid w:val="00296BFD"/>
    <w:rsid w:val="00296CA0"/>
    <w:rsid w:val="00296E94"/>
    <w:rsid w:val="00296F54"/>
    <w:rsid w:val="0029700A"/>
    <w:rsid w:val="00297699"/>
    <w:rsid w:val="00297761"/>
    <w:rsid w:val="002978BE"/>
    <w:rsid w:val="00297ACE"/>
    <w:rsid w:val="00297E6D"/>
    <w:rsid w:val="002A0347"/>
    <w:rsid w:val="002A0A1D"/>
    <w:rsid w:val="002A12FD"/>
    <w:rsid w:val="002A1485"/>
    <w:rsid w:val="002A1542"/>
    <w:rsid w:val="002A1573"/>
    <w:rsid w:val="002A1882"/>
    <w:rsid w:val="002A1A95"/>
    <w:rsid w:val="002A1B8C"/>
    <w:rsid w:val="002A1EEB"/>
    <w:rsid w:val="002A28B2"/>
    <w:rsid w:val="002A28CE"/>
    <w:rsid w:val="002A2E5E"/>
    <w:rsid w:val="002A30DE"/>
    <w:rsid w:val="002A373D"/>
    <w:rsid w:val="002A3AB8"/>
    <w:rsid w:val="002A3DE5"/>
    <w:rsid w:val="002A3E42"/>
    <w:rsid w:val="002A3EE0"/>
    <w:rsid w:val="002A4017"/>
    <w:rsid w:val="002A44A4"/>
    <w:rsid w:val="002A44B4"/>
    <w:rsid w:val="002A4657"/>
    <w:rsid w:val="002A484E"/>
    <w:rsid w:val="002A4F7D"/>
    <w:rsid w:val="002A54AE"/>
    <w:rsid w:val="002A5F33"/>
    <w:rsid w:val="002A629A"/>
    <w:rsid w:val="002A63A9"/>
    <w:rsid w:val="002A640F"/>
    <w:rsid w:val="002A670F"/>
    <w:rsid w:val="002A6AA2"/>
    <w:rsid w:val="002A6EF8"/>
    <w:rsid w:val="002A7525"/>
    <w:rsid w:val="002A7581"/>
    <w:rsid w:val="002A78A7"/>
    <w:rsid w:val="002A7960"/>
    <w:rsid w:val="002A7CE2"/>
    <w:rsid w:val="002A7CF7"/>
    <w:rsid w:val="002A7D91"/>
    <w:rsid w:val="002A7EC9"/>
    <w:rsid w:val="002B01B7"/>
    <w:rsid w:val="002B0249"/>
    <w:rsid w:val="002B03F7"/>
    <w:rsid w:val="002B049D"/>
    <w:rsid w:val="002B0814"/>
    <w:rsid w:val="002B09FA"/>
    <w:rsid w:val="002B0CB4"/>
    <w:rsid w:val="002B0DBA"/>
    <w:rsid w:val="002B0F56"/>
    <w:rsid w:val="002B1125"/>
    <w:rsid w:val="002B113A"/>
    <w:rsid w:val="002B130B"/>
    <w:rsid w:val="002B152C"/>
    <w:rsid w:val="002B1735"/>
    <w:rsid w:val="002B1779"/>
    <w:rsid w:val="002B1812"/>
    <w:rsid w:val="002B1B7A"/>
    <w:rsid w:val="002B1B82"/>
    <w:rsid w:val="002B2283"/>
    <w:rsid w:val="002B2398"/>
    <w:rsid w:val="002B25FB"/>
    <w:rsid w:val="002B2B50"/>
    <w:rsid w:val="002B3064"/>
    <w:rsid w:val="002B323E"/>
    <w:rsid w:val="002B3352"/>
    <w:rsid w:val="002B34FF"/>
    <w:rsid w:val="002B3890"/>
    <w:rsid w:val="002B3895"/>
    <w:rsid w:val="002B3C30"/>
    <w:rsid w:val="002B3EB9"/>
    <w:rsid w:val="002B428A"/>
    <w:rsid w:val="002B487A"/>
    <w:rsid w:val="002B48A5"/>
    <w:rsid w:val="002B4B86"/>
    <w:rsid w:val="002B4C24"/>
    <w:rsid w:val="002B4EA8"/>
    <w:rsid w:val="002B5415"/>
    <w:rsid w:val="002B5755"/>
    <w:rsid w:val="002B596F"/>
    <w:rsid w:val="002B5A11"/>
    <w:rsid w:val="002B5B1A"/>
    <w:rsid w:val="002B5BCB"/>
    <w:rsid w:val="002B5CF3"/>
    <w:rsid w:val="002B5D56"/>
    <w:rsid w:val="002B5EAA"/>
    <w:rsid w:val="002B620B"/>
    <w:rsid w:val="002B645E"/>
    <w:rsid w:val="002B6831"/>
    <w:rsid w:val="002B68A2"/>
    <w:rsid w:val="002B6AC3"/>
    <w:rsid w:val="002B6B25"/>
    <w:rsid w:val="002B6D7E"/>
    <w:rsid w:val="002B6F8C"/>
    <w:rsid w:val="002B706E"/>
    <w:rsid w:val="002B70E1"/>
    <w:rsid w:val="002B745C"/>
    <w:rsid w:val="002B7529"/>
    <w:rsid w:val="002B75CB"/>
    <w:rsid w:val="002B7983"/>
    <w:rsid w:val="002C0080"/>
    <w:rsid w:val="002C00D8"/>
    <w:rsid w:val="002C0265"/>
    <w:rsid w:val="002C0398"/>
    <w:rsid w:val="002C03CE"/>
    <w:rsid w:val="002C0858"/>
    <w:rsid w:val="002C0E2C"/>
    <w:rsid w:val="002C0ECE"/>
    <w:rsid w:val="002C1081"/>
    <w:rsid w:val="002C112A"/>
    <w:rsid w:val="002C12B2"/>
    <w:rsid w:val="002C13AE"/>
    <w:rsid w:val="002C17A3"/>
    <w:rsid w:val="002C1BD4"/>
    <w:rsid w:val="002C1C92"/>
    <w:rsid w:val="002C1E82"/>
    <w:rsid w:val="002C1FF9"/>
    <w:rsid w:val="002C2097"/>
    <w:rsid w:val="002C2344"/>
    <w:rsid w:val="002C24F1"/>
    <w:rsid w:val="002C26DE"/>
    <w:rsid w:val="002C28FB"/>
    <w:rsid w:val="002C299A"/>
    <w:rsid w:val="002C29DD"/>
    <w:rsid w:val="002C2BAC"/>
    <w:rsid w:val="002C2D23"/>
    <w:rsid w:val="002C2D34"/>
    <w:rsid w:val="002C2FD9"/>
    <w:rsid w:val="002C3122"/>
    <w:rsid w:val="002C362C"/>
    <w:rsid w:val="002C3714"/>
    <w:rsid w:val="002C379A"/>
    <w:rsid w:val="002C3A51"/>
    <w:rsid w:val="002C3B24"/>
    <w:rsid w:val="002C3E80"/>
    <w:rsid w:val="002C421F"/>
    <w:rsid w:val="002C44A8"/>
    <w:rsid w:val="002C4877"/>
    <w:rsid w:val="002C4AA4"/>
    <w:rsid w:val="002C4B78"/>
    <w:rsid w:val="002C4BCB"/>
    <w:rsid w:val="002C4E0A"/>
    <w:rsid w:val="002C4F15"/>
    <w:rsid w:val="002C4F60"/>
    <w:rsid w:val="002C50BF"/>
    <w:rsid w:val="002C552E"/>
    <w:rsid w:val="002C59AC"/>
    <w:rsid w:val="002C5D6A"/>
    <w:rsid w:val="002C613F"/>
    <w:rsid w:val="002C63C4"/>
    <w:rsid w:val="002C64C2"/>
    <w:rsid w:val="002C684C"/>
    <w:rsid w:val="002C6993"/>
    <w:rsid w:val="002C6AB6"/>
    <w:rsid w:val="002C6C39"/>
    <w:rsid w:val="002C702C"/>
    <w:rsid w:val="002C77D8"/>
    <w:rsid w:val="002C7905"/>
    <w:rsid w:val="002C7A4F"/>
    <w:rsid w:val="002C7A77"/>
    <w:rsid w:val="002C7C0D"/>
    <w:rsid w:val="002C7D1B"/>
    <w:rsid w:val="002D001A"/>
    <w:rsid w:val="002D0071"/>
    <w:rsid w:val="002D0179"/>
    <w:rsid w:val="002D0426"/>
    <w:rsid w:val="002D045D"/>
    <w:rsid w:val="002D07EA"/>
    <w:rsid w:val="002D14B2"/>
    <w:rsid w:val="002D14E2"/>
    <w:rsid w:val="002D1F2B"/>
    <w:rsid w:val="002D23BB"/>
    <w:rsid w:val="002D26BB"/>
    <w:rsid w:val="002D2A74"/>
    <w:rsid w:val="002D2D74"/>
    <w:rsid w:val="002D2DCD"/>
    <w:rsid w:val="002D30D9"/>
    <w:rsid w:val="002D3487"/>
    <w:rsid w:val="002D377F"/>
    <w:rsid w:val="002D37B7"/>
    <w:rsid w:val="002D3A33"/>
    <w:rsid w:val="002D3D1D"/>
    <w:rsid w:val="002D3D34"/>
    <w:rsid w:val="002D40B9"/>
    <w:rsid w:val="002D41B1"/>
    <w:rsid w:val="002D44D5"/>
    <w:rsid w:val="002D45C1"/>
    <w:rsid w:val="002D45DD"/>
    <w:rsid w:val="002D500B"/>
    <w:rsid w:val="002D5597"/>
    <w:rsid w:val="002D55DE"/>
    <w:rsid w:val="002D5B2B"/>
    <w:rsid w:val="002D5D27"/>
    <w:rsid w:val="002D6265"/>
    <w:rsid w:val="002D6341"/>
    <w:rsid w:val="002D648A"/>
    <w:rsid w:val="002D6506"/>
    <w:rsid w:val="002D66F4"/>
    <w:rsid w:val="002D71E2"/>
    <w:rsid w:val="002D7439"/>
    <w:rsid w:val="002D7C26"/>
    <w:rsid w:val="002D7E3D"/>
    <w:rsid w:val="002D7F43"/>
    <w:rsid w:val="002E0647"/>
    <w:rsid w:val="002E09D6"/>
    <w:rsid w:val="002E0A17"/>
    <w:rsid w:val="002E0A9D"/>
    <w:rsid w:val="002E0AAB"/>
    <w:rsid w:val="002E0BFA"/>
    <w:rsid w:val="002E0DB1"/>
    <w:rsid w:val="002E0E0F"/>
    <w:rsid w:val="002E13F3"/>
    <w:rsid w:val="002E15DD"/>
    <w:rsid w:val="002E166A"/>
    <w:rsid w:val="002E167C"/>
    <w:rsid w:val="002E17A7"/>
    <w:rsid w:val="002E1A76"/>
    <w:rsid w:val="002E1E79"/>
    <w:rsid w:val="002E223A"/>
    <w:rsid w:val="002E251C"/>
    <w:rsid w:val="002E27E0"/>
    <w:rsid w:val="002E2DCC"/>
    <w:rsid w:val="002E354F"/>
    <w:rsid w:val="002E35E0"/>
    <w:rsid w:val="002E3B54"/>
    <w:rsid w:val="002E403B"/>
    <w:rsid w:val="002E4450"/>
    <w:rsid w:val="002E45B5"/>
    <w:rsid w:val="002E4761"/>
    <w:rsid w:val="002E478E"/>
    <w:rsid w:val="002E4DA4"/>
    <w:rsid w:val="002E4FE3"/>
    <w:rsid w:val="002E525F"/>
    <w:rsid w:val="002E52A5"/>
    <w:rsid w:val="002E54A7"/>
    <w:rsid w:val="002E5E0C"/>
    <w:rsid w:val="002E60B7"/>
    <w:rsid w:val="002E62E9"/>
    <w:rsid w:val="002E6345"/>
    <w:rsid w:val="002E6375"/>
    <w:rsid w:val="002E6590"/>
    <w:rsid w:val="002E663C"/>
    <w:rsid w:val="002E6B6F"/>
    <w:rsid w:val="002E709D"/>
    <w:rsid w:val="002E735A"/>
    <w:rsid w:val="002F0050"/>
    <w:rsid w:val="002F00FD"/>
    <w:rsid w:val="002F03F0"/>
    <w:rsid w:val="002F09DF"/>
    <w:rsid w:val="002F0C5F"/>
    <w:rsid w:val="002F0F72"/>
    <w:rsid w:val="002F10E9"/>
    <w:rsid w:val="002F1260"/>
    <w:rsid w:val="002F12F1"/>
    <w:rsid w:val="002F1774"/>
    <w:rsid w:val="002F17CD"/>
    <w:rsid w:val="002F1EC3"/>
    <w:rsid w:val="002F1F01"/>
    <w:rsid w:val="002F204E"/>
    <w:rsid w:val="002F2215"/>
    <w:rsid w:val="002F250B"/>
    <w:rsid w:val="002F2515"/>
    <w:rsid w:val="002F2678"/>
    <w:rsid w:val="002F27B8"/>
    <w:rsid w:val="002F2916"/>
    <w:rsid w:val="002F2DB7"/>
    <w:rsid w:val="002F3222"/>
    <w:rsid w:val="002F37DE"/>
    <w:rsid w:val="002F397D"/>
    <w:rsid w:val="002F3B21"/>
    <w:rsid w:val="002F3DA7"/>
    <w:rsid w:val="002F4141"/>
    <w:rsid w:val="002F4305"/>
    <w:rsid w:val="002F4931"/>
    <w:rsid w:val="002F498C"/>
    <w:rsid w:val="002F4FB0"/>
    <w:rsid w:val="002F53DF"/>
    <w:rsid w:val="002F5669"/>
    <w:rsid w:val="002F57F2"/>
    <w:rsid w:val="002F596F"/>
    <w:rsid w:val="002F5979"/>
    <w:rsid w:val="002F5CD6"/>
    <w:rsid w:val="002F5E1F"/>
    <w:rsid w:val="002F61FC"/>
    <w:rsid w:val="002F68A4"/>
    <w:rsid w:val="002F6F36"/>
    <w:rsid w:val="002F7122"/>
    <w:rsid w:val="002F72FC"/>
    <w:rsid w:val="002F7538"/>
    <w:rsid w:val="002F7610"/>
    <w:rsid w:val="002F769F"/>
    <w:rsid w:val="002F7A21"/>
    <w:rsid w:val="002F7CC0"/>
    <w:rsid w:val="002F7D08"/>
    <w:rsid w:val="002F7D8B"/>
    <w:rsid w:val="002F7ED7"/>
    <w:rsid w:val="00300368"/>
    <w:rsid w:val="0030043E"/>
    <w:rsid w:val="003005AB"/>
    <w:rsid w:val="0030088A"/>
    <w:rsid w:val="00300A66"/>
    <w:rsid w:val="00300ACA"/>
    <w:rsid w:val="00300BCA"/>
    <w:rsid w:val="00301136"/>
    <w:rsid w:val="00301795"/>
    <w:rsid w:val="003017EE"/>
    <w:rsid w:val="0030190B"/>
    <w:rsid w:val="00301CCF"/>
    <w:rsid w:val="00301DD8"/>
    <w:rsid w:val="0030234B"/>
    <w:rsid w:val="003026B2"/>
    <w:rsid w:val="00302A3F"/>
    <w:rsid w:val="00302FF0"/>
    <w:rsid w:val="00303350"/>
    <w:rsid w:val="00303393"/>
    <w:rsid w:val="003037E8"/>
    <w:rsid w:val="00303A9C"/>
    <w:rsid w:val="00303AD6"/>
    <w:rsid w:val="00303B74"/>
    <w:rsid w:val="00303D90"/>
    <w:rsid w:val="003048AB"/>
    <w:rsid w:val="00304B86"/>
    <w:rsid w:val="00304EBC"/>
    <w:rsid w:val="00304EC3"/>
    <w:rsid w:val="00304FEB"/>
    <w:rsid w:val="003051F6"/>
    <w:rsid w:val="0030522F"/>
    <w:rsid w:val="003055A0"/>
    <w:rsid w:val="003057A5"/>
    <w:rsid w:val="0030599A"/>
    <w:rsid w:val="00305F64"/>
    <w:rsid w:val="00306262"/>
    <w:rsid w:val="0030630E"/>
    <w:rsid w:val="003065CA"/>
    <w:rsid w:val="003067C8"/>
    <w:rsid w:val="0030710C"/>
    <w:rsid w:val="003074B3"/>
    <w:rsid w:val="00307507"/>
    <w:rsid w:val="003075F3"/>
    <w:rsid w:val="00307657"/>
    <w:rsid w:val="00307B6D"/>
    <w:rsid w:val="00307C95"/>
    <w:rsid w:val="00307D3C"/>
    <w:rsid w:val="00307EA9"/>
    <w:rsid w:val="00307F9B"/>
    <w:rsid w:val="00307FD2"/>
    <w:rsid w:val="00310271"/>
    <w:rsid w:val="0031082C"/>
    <w:rsid w:val="0031090A"/>
    <w:rsid w:val="00310C18"/>
    <w:rsid w:val="00311558"/>
    <w:rsid w:val="00311741"/>
    <w:rsid w:val="003117A8"/>
    <w:rsid w:val="003118AA"/>
    <w:rsid w:val="00311E9E"/>
    <w:rsid w:val="00311FF1"/>
    <w:rsid w:val="00312166"/>
    <w:rsid w:val="003121EA"/>
    <w:rsid w:val="003122C6"/>
    <w:rsid w:val="00312419"/>
    <w:rsid w:val="00312636"/>
    <w:rsid w:val="0031271D"/>
    <w:rsid w:val="00312860"/>
    <w:rsid w:val="00312940"/>
    <w:rsid w:val="00312A54"/>
    <w:rsid w:val="00312A8B"/>
    <w:rsid w:val="003137B8"/>
    <w:rsid w:val="0031385F"/>
    <w:rsid w:val="003138A5"/>
    <w:rsid w:val="00313984"/>
    <w:rsid w:val="00313A64"/>
    <w:rsid w:val="00313B75"/>
    <w:rsid w:val="00313E32"/>
    <w:rsid w:val="00313F54"/>
    <w:rsid w:val="0031404C"/>
    <w:rsid w:val="003143E5"/>
    <w:rsid w:val="0031471A"/>
    <w:rsid w:val="00314D69"/>
    <w:rsid w:val="00314DE9"/>
    <w:rsid w:val="00314E9E"/>
    <w:rsid w:val="0031501B"/>
    <w:rsid w:val="00315504"/>
    <w:rsid w:val="003155AC"/>
    <w:rsid w:val="00315B5C"/>
    <w:rsid w:val="00315C41"/>
    <w:rsid w:val="00315EBD"/>
    <w:rsid w:val="00316068"/>
    <w:rsid w:val="003165A8"/>
    <w:rsid w:val="0031682A"/>
    <w:rsid w:val="00316861"/>
    <w:rsid w:val="00316C43"/>
    <w:rsid w:val="00317320"/>
    <w:rsid w:val="0031766A"/>
    <w:rsid w:val="0031770B"/>
    <w:rsid w:val="0031779B"/>
    <w:rsid w:val="00317904"/>
    <w:rsid w:val="00317C4C"/>
    <w:rsid w:val="003201D6"/>
    <w:rsid w:val="00320550"/>
    <w:rsid w:val="0032086A"/>
    <w:rsid w:val="00320A0F"/>
    <w:rsid w:val="00320C41"/>
    <w:rsid w:val="00320CFB"/>
    <w:rsid w:val="00320DF2"/>
    <w:rsid w:val="00321A02"/>
    <w:rsid w:val="00321DB7"/>
    <w:rsid w:val="00321E0F"/>
    <w:rsid w:val="00321EDE"/>
    <w:rsid w:val="003227AE"/>
    <w:rsid w:val="003229D6"/>
    <w:rsid w:val="00322B1B"/>
    <w:rsid w:val="00322B58"/>
    <w:rsid w:val="00322C80"/>
    <w:rsid w:val="00322CF8"/>
    <w:rsid w:val="003230EF"/>
    <w:rsid w:val="00323185"/>
    <w:rsid w:val="003232CA"/>
    <w:rsid w:val="0032366B"/>
    <w:rsid w:val="00323BEF"/>
    <w:rsid w:val="00323C35"/>
    <w:rsid w:val="00323D52"/>
    <w:rsid w:val="00323D89"/>
    <w:rsid w:val="0032400C"/>
    <w:rsid w:val="00324108"/>
    <w:rsid w:val="00324153"/>
    <w:rsid w:val="003241B5"/>
    <w:rsid w:val="003243E9"/>
    <w:rsid w:val="00324519"/>
    <w:rsid w:val="003247E3"/>
    <w:rsid w:val="00324B8F"/>
    <w:rsid w:val="00324BB2"/>
    <w:rsid w:val="00324D0E"/>
    <w:rsid w:val="00325413"/>
    <w:rsid w:val="00326311"/>
    <w:rsid w:val="003266E3"/>
    <w:rsid w:val="003267AB"/>
    <w:rsid w:val="00326A31"/>
    <w:rsid w:val="00326ED5"/>
    <w:rsid w:val="0032779B"/>
    <w:rsid w:val="003277C6"/>
    <w:rsid w:val="0032789F"/>
    <w:rsid w:val="0032797F"/>
    <w:rsid w:val="003279B1"/>
    <w:rsid w:val="00327C53"/>
    <w:rsid w:val="00327D37"/>
    <w:rsid w:val="0033002C"/>
    <w:rsid w:val="003302B3"/>
    <w:rsid w:val="0033066E"/>
    <w:rsid w:val="00330860"/>
    <w:rsid w:val="00330898"/>
    <w:rsid w:val="00330CD1"/>
    <w:rsid w:val="00330F96"/>
    <w:rsid w:val="00331402"/>
    <w:rsid w:val="00331564"/>
    <w:rsid w:val="00331C83"/>
    <w:rsid w:val="00331D06"/>
    <w:rsid w:val="00331F43"/>
    <w:rsid w:val="00332085"/>
    <w:rsid w:val="00332112"/>
    <w:rsid w:val="00332258"/>
    <w:rsid w:val="003322C0"/>
    <w:rsid w:val="00332306"/>
    <w:rsid w:val="00332651"/>
    <w:rsid w:val="00332C71"/>
    <w:rsid w:val="00332DF2"/>
    <w:rsid w:val="00332E1C"/>
    <w:rsid w:val="00332FE7"/>
    <w:rsid w:val="0033323F"/>
    <w:rsid w:val="0033326F"/>
    <w:rsid w:val="00333299"/>
    <w:rsid w:val="003332E9"/>
    <w:rsid w:val="0033336C"/>
    <w:rsid w:val="00333623"/>
    <w:rsid w:val="0033374A"/>
    <w:rsid w:val="00333D8B"/>
    <w:rsid w:val="00333EA8"/>
    <w:rsid w:val="00334216"/>
    <w:rsid w:val="00334D4B"/>
    <w:rsid w:val="00334FEC"/>
    <w:rsid w:val="00335234"/>
    <w:rsid w:val="00335454"/>
    <w:rsid w:val="00335556"/>
    <w:rsid w:val="003357A5"/>
    <w:rsid w:val="003358AC"/>
    <w:rsid w:val="00335A67"/>
    <w:rsid w:val="00335ACF"/>
    <w:rsid w:val="00335DFC"/>
    <w:rsid w:val="00335F50"/>
    <w:rsid w:val="0033628C"/>
    <w:rsid w:val="003364EB"/>
    <w:rsid w:val="003369E9"/>
    <w:rsid w:val="00336AF8"/>
    <w:rsid w:val="00336D67"/>
    <w:rsid w:val="00336D82"/>
    <w:rsid w:val="00336E00"/>
    <w:rsid w:val="00336FCE"/>
    <w:rsid w:val="003374B9"/>
    <w:rsid w:val="00337599"/>
    <w:rsid w:val="003375B5"/>
    <w:rsid w:val="00337801"/>
    <w:rsid w:val="003379C6"/>
    <w:rsid w:val="00337AE4"/>
    <w:rsid w:val="00340525"/>
    <w:rsid w:val="00340943"/>
    <w:rsid w:val="00340D6C"/>
    <w:rsid w:val="0034103A"/>
    <w:rsid w:val="00341201"/>
    <w:rsid w:val="0034129A"/>
    <w:rsid w:val="0034147D"/>
    <w:rsid w:val="003414EE"/>
    <w:rsid w:val="0034151E"/>
    <w:rsid w:val="00341649"/>
    <w:rsid w:val="00341652"/>
    <w:rsid w:val="0034170A"/>
    <w:rsid w:val="003417A1"/>
    <w:rsid w:val="00341D9D"/>
    <w:rsid w:val="00341F7B"/>
    <w:rsid w:val="00341F8D"/>
    <w:rsid w:val="00342020"/>
    <w:rsid w:val="0034208E"/>
    <w:rsid w:val="0034221D"/>
    <w:rsid w:val="003428A8"/>
    <w:rsid w:val="00342971"/>
    <w:rsid w:val="00342CDD"/>
    <w:rsid w:val="003433E1"/>
    <w:rsid w:val="0034376F"/>
    <w:rsid w:val="0034379A"/>
    <w:rsid w:val="00343C4C"/>
    <w:rsid w:val="00344282"/>
    <w:rsid w:val="003444EA"/>
    <w:rsid w:val="00344820"/>
    <w:rsid w:val="00344F4E"/>
    <w:rsid w:val="0034520B"/>
    <w:rsid w:val="00345CA0"/>
    <w:rsid w:val="00345DA7"/>
    <w:rsid w:val="00345E28"/>
    <w:rsid w:val="00345F3F"/>
    <w:rsid w:val="0034637F"/>
    <w:rsid w:val="00346546"/>
    <w:rsid w:val="00346594"/>
    <w:rsid w:val="003466C2"/>
    <w:rsid w:val="0034677A"/>
    <w:rsid w:val="003469CB"/>
    <w:rsid w:val="00346AE9"/>
    <w:rsid w:val="00346BAC"/>
    <w:rsid w:val="00346C60"/>
    <w:rsid w:val="00346CD9"/>
    <w:rsid w:val="00346D95"/>
    <w:rsid w:val="00346DA6"/>
    <w:rsid w:val="00346DCB"/>
    <w:rsid w:val="00347253"/>
    <w:rsid w:val="0034755D"/>
    <w:rsid w:val="0034781D"/>
    <w:rsid w:val="003478B8"/>
    <w:rsid w:val="00347A7B"/>
    <w:rsid w:val="00347C78"/>
    <w:rsid w:val="00347DAE"/>
    <w:rsid w:val="00347EFC"/>
    <w:rsid w:val="0035047A"/>
    <w:rsid w:val="003506A3"/>
    <w:rsid w:val="0035073E"/>
    <w:rsid w:val="003508F5"/>
    <w:rsid w:val="00350C02"/>
    <w:rsid w:val="00350C65"/>
    <w:rsid w:val="00350ED6"/>
    <w:rsid w:val="003514A5"/>
    <w:rsid w:val="00351508"/>
    <w:rsid w:val="003515E4"/>
    <w:rsid w:val="003516AB"/>
    <w:rsid w:val="00351775"/>
    <w:rsid w:val="00351920"/>
    <w:rsid w:val="003519BF"/>
    <w:rsid w:val="00351B55"/>
    <w:rsid w:val="0035203D"/>
    <w:rsid w:val="0035209C"/>
    <w:rsid w:val="003520F2"/>
    <w:rsid w:val="00352237"/>
    <w:rsid w:val="0035225A"/>
    <w:rsid w:val="00352478"/>
    <w:rsid w:val="0035276A"/>
    <w:rsid w:val="00352844"/>
    <w:rsid w:val="00352C51"/>
    <w:rsid w:val="00352D6C"/>
    <w:rsid w:val="00352DA4"/>
    <w:rsid w:val="00352DD2"/>
    <w:rsid w:val="00352F29"/>
    <w:rsid w:val="00352F42"/>
    <w:rsid w:val="00353066"/>
    <w:rsid w:val="003530D0"/>
    <w:rsid w:val="003534F2"/>
    <w:rsid w:val="00353727"/>
    <w:rsid w:val="0035378F"/>
    <w:rsid w:val="003538A4"/>
    <w:rsid w:val="00353A33"/>
    <w:rsid w:val="00354081"/>
    <w:rsid w:val="00354271"/>
    <w:rsid w:val="00354501"/>
    <w:rsid w:val="00354573"/>
    <w:rsid w:val="0035460B"/>
    <w:rsid w:val="00354CEC"/>
    <w:rsid w:val="00354EB9"/>
    <w:rsid w:val="00354F2C"/>
    <w:rsid w:val="00355054"/>
    <w:rsid w:val="0035523E"/>
    <w:rsid w:val="0035527A"/>
    <w:rsid w:val="003552D7"/>
    <w:rsid w:val="003552DE"/>
    <w:rsid w:val="003552EC"/>
    <w:rsid w:val="00355346"/>
    <w:rsid w:val="0035541D"/>
    <w:rsid w:val="0035597C"/>
    <w:rsid w:val="003559A5"/>
    <w:rsid w:val="00355E27"/>
    <w:rsid w:val="00355F2A"/>
    <w:rsid w:val="0035648E"/>
    <w:rsid w:val="00357189"/>
    <w:rsid w:val="0035733C"/>
    <w:rsid w:val="00357450"/>
    <w:rsid w:val="00357467"/>
    <w:rsid w:val="003575C3"/>
    <w:rsid w:val="00357662"/>
    <w:rsid w:val="00357726"/>
    <w:rsid w:val="00357C8B"/>
    <w:rsid w:val="00357DB0"/>
    <w:rsid w:val="0036024D"/>
    <w:rsid w:val="003602E7"/>
    <w:rsid w:val="00360444"/>
    <w:rsid w:val="003606A5"/>
    <w:rsid w:val="00360878"/>
    <w:rsid w:val="00360937"/>
    <w:rsid w:val="00361098"/>
    <w:rsid w:val="00361487"/>
    <w:rsid w:val="003617E9"/>
    <w:rsid w:val="00361AD2"/>
    <w:rsid w:val="00361C7B"/>
    <w:rsid w:val="00361F71"/>
    <w:rsid w:val="00362029"/>
    <w:rsid w:val="003620A8"/>
    <w:rsid w:val="003623D0"/>
    <w:rsid w:val="003625C9"/>
    <w:rsid w:val="00362655"/>
    <w:rsid w:val="0036269B"/>
    <w:rsid w:val="00362A70"/>
    <w:rsid w:val="00362B31"/>
    <w:rsid w:val="00362DF5"/>
    <w:rsid w:val="003630E0"/>
    <w:rsid w:val="003630E3"/>
    <w:rsid w:val="00363320"/>
    <w:rsid w:val="00363362"/>
    <w:rsid w:val="0036364D"/>
    <w:rsid w:val="00363751"/>
    <w:rsid w:val="00363892"/>
    <w:rsid w:val="00363943"/>
    <w:rsid w:val="00363BA9"/>
    <w:rsid w:val="00363BC4"/>
    <w:rsid w:val="00363F7A"/>
    <w:rsid w:val="00364295"/>
    <w:rsid w:val="003642DC"/>
    <w:rsid w:val="003643F1"/>
    <w:rsid w:val="003645AF"/>
    <w:rsid w:val="003646B0"/>
    <w:rsid w:val="00364B65"/>
    <w:rsid w:val="00364C67"/>
    <w:rsid w:val="00364DAC"/>
    <w:rsid w:val="00365240"/>
    <w:rsid w:val="003652B5"/>
    <w:rsid w:val="003656F1"/>
    <w:rsid w:val="00365B94"/>
    <w:rsid w:val="00365E4F"/>
    <w:rsid w:val="003661D8"/>
    <w:rsid w:val="003662D4"/>
    <w:rsid w:val="00366446"/>
    <w:rsid w:val="0036650E"/>
    <w:rsid w:val="0036682B"/>
    <w:rsid w:val="0036699E"/>
    <w:rsid w:val="00366D2A"/>
    <w:rsid w:val="00366D35"/>
    <w:rsid w:val="00367107"/>
    <w:rsid w:val="003672B7"/>
    <w:rsid w:val="00367842"/>
    <w:rsid w:val="0037051D"/>
    <w:rsid w:val="00370778"/>
    <w:rsid w:val="003707DA"/>
    <w:rsid w:val="00370C00"/>
    <w:rsid w:val="00370DCA"/>
    <w:rsid w:val="003714A3"/>
    <w:rsid w:val="003715A2"/>
    <w:rsid w:val="00371DE0"/>
    <w:rsid w:val="00371F1B"/>
    <w:rsid w:val="0037202E"/>
    <w:rsid w:val="00372319"/>
    <w:rsid w:val="00372368"/>
    <w:rsid w:val="00372A57"/>
    <w:rsid w:val="003732BA"/>
    <w:rsid w:val="003732BE"/>
    <w:rsid w:val="00373884"/>
    <w:rsid w:val="003738EA"/>
    <w:rsid w:val="003739FC"/>
    <w:rsid w:val="00373D6F"/>
    <w:rsid w:val="00373D9A"/>
    <w:rsid w:val="00373ED7"/>
    <w:rsid w:val="00373F6B"/>
    <w:rsid w:val="00374292"/>
    <w:rsid w:val="003742E8"/>
    <w:rsid w:val="0037471D"/>
    <w:rsid w:val="003749B0"/>
    <w:rsid w:val="00374C56"/>
    <w:rsid w:val="003750EC"/>
    <w:rsid w:val="00375811"/>
    <w:rsid w:val="00375C25"/>
    <w:rsid w:val="0037600D"/>
    <w:rsid w:val="003760B4"/>
    <w:rsid w:val="00376290"/>
    <w:rsid w:val="003765B8"/>
    <w:rsid w:val="0037686F"/>
    <w:rsid w:val="00376C06"/>
    <w:rsid w:val="00377031"/>
    <w:rsid w:val="00377516"/>
    <w:rsid w:val="00377691"/>
    <w:rsid w:val="00377913"/>
    <w:rsid w:val="003779B7"/>
    <w:rsid w:val="00377ACB"/>
    <w:rsid w:val="00377B2E"/>
    <w:rsid w:val="00377BB7"/>
    <w:rsid w:val="00377BBF"/>
    <w:rsid w:val="00377D23"/>
    <w:rsid w:val="0038003F"/>
    <w:rsid w:val="00380240"/>
    <w:rsid w:val="00380684"/>
    <w:rsid w:val="003806EC"/>
    <w:rsid w:val="00380C09"/>
    <w:rsid w:val="00380ED7"/>
    <w:rsid w:val="00380F6A"/>
    <w:rsid w:val="00381221"/>
    <w:rsid w:val="003812C2"/>
    <w:rsid w:val="0038131C"/>
    <w:rsid w:val="00381419"/>
    <w:rsid w:val="00381550"/>
    <w:rsid w:val="00381751"/>
    <w:rsid w:val="00381BA5"/>
    <w:rsid w:val="00381FDE"/>
    <w:rsid w:val="00382185"/>
    <w:rsid w:val="00382525"/>
    <w:rsid w:val="003825B1"/>
    <w:rsid w:val="00382674"/>
    <w:rsid w:val="003826A8"/>
    <w:rsid w:val="003828E4"/>
    <w:rsid w:val="00382C4F"/>
    <w:rsid w:val="00382DFD"/>
    <w:rsid w:val="00382EA5"/>
    <w:rsid w:val="003830F2"/>
    <w:rsid w:val="003831BB"/>
    <w:rsid w:val="00383416"/>
    <w:rsid w:val="0038342A"/>
    <w:rsid w:val="0038386C"/>
    <w:rsid w:val="00383932"/>
    <w:rsid w:val="00383AEB"/>
    <w:rsid w:val="00383B21"/>
    <w:rsid w:val="003841EF"/>
    <w:rsid w:val="00384595"/>
    <w:rsid w:val="003847F8"/>
    <w:rsid w:val="00384DCF"/>
    <w:rsid w:val="003851B8"/>
    <w:rsid w:val="0038543F"/>
    <w:rsid w:val="0038587C"/>
    <w:rsid w:val="003858E3"/>
    <w:rsid w:val="00385B90"/>
    <w:rsid w:val="00385C0F"/>
    <w:rsid w:val="00385CD1"/>
    <w:rsid w:val="00386C39"/>
    <w:rsid w:val="00386C51"/>
    <w:rsid w:val="003870C7"/>
    <w:rsid w:val="00387279"/>
    <w:rsid w:val="003873EC"/>
    <w:rsid w:val="0038758C"/>
    <w:rsid w:val="003877B4"/>
    <w:rsid w:val="003877FA"/>
    <w:rsid w:val="00387B14"/>
    <w:rsid w:val="00387C00"/>
    <w:rsid w:val="0039050A"/>
    <w:rsid w:val="003907B7"/>
    <w:rsid w:val="0039096D"/>
    <w:rsid w:val="00390A71"/>
    <w:rsid w:val="00390BBB"/>
    <w:rsid w:val="00391051"/>
    <w:rsid w:val="00391722"/>
    <w:rsid w:val="003918C2"/>
    <w:rsid w:val="00391B5D"/>
    <w:rsid w:val="00391D3E"/>
    <w:rsid w:val="00392029"/>
    <w:rsid w:val="003923C9"/>
    <w:rsid w:val="00392479"/>
    <w:rsid w:val="00392528"/>
    <w:rsid w:val="003929B9"/>
    <w:rsid w:val="0039302C"/>
    <w:rsid w:val="003930E4"/>
    <w:rsid w:val="00393174"/>
    <w:rsid w:val="00393315"/>
    <w:rsid w:val="00393591"/>
    <w:rsid w:val="00393B51"/>
    <w:rsid w:val="00393BCA"/>
    <w:rsid w:val="00393C29"/>
    <w:rsid w:val="00393D3F"/>
    <w:rsid w:val="00393D4D"/>
    <w:rsid w:val="00394380"/>
    <w:rsid w:val="0039486E"/>
    <w:rsid w:val="00395136"/>
    <w:rsid w:val="00395D05"/>
    <w:rsid w:val="00395D07"/>
    <w:rsid w:val="003961E3"/>
    <w:rsid w:val="0039625A"/>
    <w:rsid w:val="00396ADA"/>
    <w:rsid w:val="00396DE8"/>
    <w:rsid w:val="00396E03"/>
    <w:rsid w:val="00397213"/>
    <w:rsid w:val="0039735D"/>
    <w:rsid w:val="003974F3"/>
    <w:rsid w:val="003977A3"/>
    <w:rsid w:val="00397B3F"/>
    <w:rsid w:val="00397E52"/>
    <w:rsid w:val="003A050D"/>
    <w:rsid w:val="003A0C00"/>
    <w:rsid w:val="003A0E36"/>
    <w:rsid w:val="003A0EE1"/>
    <w:rsid w:val="003A1006"/>
    <w:rsid w:val="003A1049"/>
    <w:rsid w:val="003A117A"/>
    <w:rsid w:val="003A11D4"/>
    <w:rsid w:val="003A1251"/>
    <w:rsid w:val="003A13A2"/>
    <w:rsid w:val="003A1870"/>
    <w:rsid w:val="003A1AB3"/>
    <w:rsid w:val="003A2214"/>
    <w:rsid w:val="003A2282"/>
    <w:rsid w:val="003A2290"/>
    <w:rsid w:val="003A2350"/>
    <w:rsid w:val="003A265D"/>
    <w:rsid w:val="003A2FE6"/>
    <w:rsid w:val="003A31E4"/>
    <w:rsid w:val="003A36FC"/>
    <w:rsid w:val="003A3841"/>
    <w:rsid w:val="003A3901"/>
    <w:rsid w:val="003A3DF1"/>
    <w:rsid w:val="003A3F2C"/>
    <w:rsid w:val="003A3F86"/>
    <w:rsid w:val="003A3FE5"/>
    <w:rsid w:val="003A518A"/>
    <w:rsid w:val="003A5674"/>
    <w:rsid w:val="003A577F"/>
    <w:rsid w:val="003A5977"/>
    <w:rsid w:val="003A61A8"/>
    <w:rsid w:val="003A652C"/>
    <w:rsid w:val="003A6670"/>
    <w:rsid w:val="003A68C5"/>
    <w:rsid w:val="003A6CD3"/>
    <w:rsid w:val="003A7D08"/>
    <w:rsid w:val="003A7FE6"/>
    <w:rsid w:val="003B030F"/>
    <w:rsid w:val="003B036B"/>
    <w:rsid w:val="003B03EF"/>
    <w:rsid w:val="003B0761"/>
    <w:rsid w:val="003B076F"/>
    <w:rsid w:val="003B0AB5"/>
    <w:rsid w:val="003B0C3B"/>
    <w:rsid w:val="003B0E7D"/>
    <w:rsid w:val="003B1525"/>
    <w:rsid w:val="003B157D"/>
    <w:rsid w:val="003B1AFF"/>
    <w:rsid w:val="003B1B33"/>
    <w:rsid w:val="003B1CD3"/>
    <w:rsid w:val="003B1D02"/>
    <w:rsid w:val="003B1D7D"/>
    <w:rsid w:val="003B1EF7"/>
    <w:rsid w:val="003B220C"/>
    <w:rsid w:val="003B2492"/>
    <w:rsid w:val="003B2805"/>
    <w:rsid w:val="003B28F3"/>
    <w:rsid w:val="003B2B2A"/>
    <w:rsid w:val="003B2C01"/>
    <w:rsid w:val="003B2C2C"/>
    <w:rsid w:val="003B2F20"/>
    <w:rsid w:val="003B2F26"/>
    <w:rsid w:val="003B3624"/>
    <w:rsid w:val="003B36AC"/>
    <w:rsid w:val="003B381B"/>
    <w:rsid w:val="003B384A"/>
    <w:rsid w:val="003B3E14"/>
    <w:rsid w:val="003B3F8F"/>
    <w:rsid w:val="003B40B4"/>
    <w:rsid w:val="003B4338"/>
    <w:rsid w:val="003B4529"/>
    <w:rsid w:val="003B45B0"/>
    <w:rsid w:val="003B4634"/>
    <w:rsid w:val="003B4643"/>
    <w:rsid w:val="003B4654"/>
    <w:rsid w:val="003B4962"/>
    <w:rsid w:val="003B4C8E"/>
    <w:rsid w:val="003B53D3"/>
    <w:rsid w:val="003B573B"/>
    <w:rsid w:val="003B574D"/>
    <w:rsid w:val="003B5B18"/>
    <w:rsid w:val="003B5BFC"/>
    <w:rsid w:val="003B5D68"/>
    <w:rsid w:val="003B5E38"/>
    <w:rsid w:val="003B5E91"/>
    <w:rsid w:val="003B635A"/>
    <w:rsid w:val="003B6BED"/>
    <w:rsid w:val="003B6C70"/>
    <w:rsid w:val="003B6EA9"/>
    <w:rsid w:val="003B7026"/>
    <w:rsid w:val="003B7C67"/>
    <w:rsid w:val="003B7D50"/>
    <w:rsid w:val="003B7E52"/>
    <w:rsid w:val="003C017E"/>
    <w:rsid w:val="003C03E8"/>
    <w:rsid w:val="003C06C4"/>
    <w:rsid w:val="003C08FC"/>
    <w:rsid w:val="003C0C05"/>
    <w:rsid w:val="003C0D79"/>
    <w:rsid w:val="003C1208"/>
    <w:rsid w:val="003C1365"/>
    <w:rsid w:val="003C1441"/>
    <w:rsid w:val="003C14F9"/>
    <w:rsid w:val="003C1B9D"/>
    <w:rsid w:val="003C1BBD"/>
    <w:rsid w:val="003C1CC5"/>
    <w:rsid w:val="003C1E84"/>
    <w:rsid w:val="003C2107"/>
    <w:rsid w:val="003C23BD"/>
    <w:rsid w:val="003C2458"/>
    <w:rsid w:val="003C25CD"/>
    <w:rsid w:val="003C292B"/>
    <w:rsid w:val="003C2E26"/>
    <w:rsid w:val="003C2EDE"/>
    <w:rsid w:val="003C3071"/>
    <w:rsid w:val="003C320A"/>
    <w:rsid w:val="003C34DF"/>
    <w:rsid w:val="003C3836"/>
    <w:rsid w:val="003C3A33"/>
    <w:rsid w:val="003C3B3F"/>
    <w:rsid w:val="003C3EE2"/>
    <w:rsid w:val="003C42BC"/>
    <w:rsid w:val="003C44CC"/>
    <w:rsid w:val="003C45C2"/>
    <w:rsid w:val="003C47CE"/>
    <w:rsid w:val="003C47DF"/>
    <w:rsid w:val="003C48A9"/>
    <w:rsid w:val="003C48AB"/>
    <w:rsid w:val="003C4BDA"/>
    <w:rsid w:val="003C4DED"/>
    <w:rsid w:val="003C4EEE"/>
    <w:rsid w:val="003C5074"/>
    <w:rsid w:val="003C56AF"/>
    <w:rsid w:val="003C5803"/>
    <w:rsid w:val="003C58B0"/>
    <w:rsid w:val="003C5A5C"/>
    <w:rsid w:val="003C5D67"/>
    <w:rsid w:val="003C64BD"/>
    <w:rsid w:val="003C6A6E"/>
    <w:rsid w:val="003C6B1B"/>
    <w:rsid w:val="003C6D66"/>
    <w:rsid w:val="003C73D1"/>
    <w:rsid w:val="003C7418"/>
    <w:rsid w:val="003C7A67"/>
    <w:rsid w:val="003C7D1B"/>
    <w:rsid w:val="003D0842"/>
    <w:rsid w:val="003D0955"/>
    <w:rsid w:val="003D0ACE"/>
    <w:rsid w:val="003D11ED"/>
    <w:rsid w:val="003D161B"/>
    <w:rsid w:val="003D17D8"/>
    <w:rsid w:val="003D1848"/>
    <w:rsid w:val="003D1866"/>
    <w:rsid w:val="003D19F9"/>
    <w:rsid w:val="003D1B35"/>
    <w:rsid w:val="003D1C2B"/>
    <w:rsid w:val="003D1E3A"/>
    <w:rsid w:val="003D21BE"/>
    <w:rsid w:val="003D25ED"/>
    <w:rsid w:val="003D27AC"/>
    <w:rsid w:val="003D28BD"/>
    <w:rsid w:val="003D2965"/>
    <w:rsid w:val="003D2CD5"/>
    <w:rsid w:val="003D2D9F"/>
    <w:rsid w:val="003D2E21"/>
    <w:rsid w:val="003D30AC"/>
    <w:rsid w:val="003D32C8"/>
    <w:rsid w:val="003D33F5"/>
    <w:rsid w:val="003D346A"/>
    <w:rsid w:val="003D3FEB"/>
    <w:rsid w:val="003D444A"/>
    <w:rsid w:val="003D4770"/>
    <w:rsid w:val="003D513E"/>
    <w:rsid w:val="003D52BE"/>
    <w:rsid w:val="003D560D"/>
    <w:rsid w:val="003D59B2"/>
    <w:rsid w:val="003D5EFE"/>
    <w:rsid w:val="003D615C"/>
    <w:rsid w:val="003D64AC"/>
    <w:rsid w:val="003D6539"/>
    <w:rsid w:val="003D670F"/>
    <w:rsid w:val="003D6839"/>
    <w:rsid w:val="003D6F1B"/>
    <w:rsid w:val="003D7233"/>
    <w:rsid w:val="003D743F"/>
    <w:rsid w:val="003D770B"/>
    <w:rsid w:val="003D773B"/>
    <w:rsid w:val="003D77A5"/>
    <w:rsid w:val="003D78BB"/>
    <w:rsid w:val="003E01EE"/>
    <w:rsid w:val="003E02DD"/>
    <w:rsid w:val="003E054A"/>
    <w:rsid w:val="003E05F3"/>
    <w:rsid w:val="003E06FC"/>
    <w:rsid w:val="003E14E7"/>
    <w:rsid w:val="003E17C2"/>
    <w:rsid w:val="003E18FD"/>
    <w:rsid w:val="003E2081"/>
    <w:rsid w:val="003E2087"/>
    <w:rsid w:val="003E22BD"/>
    <w:rsid w:val="003E28D6"/>
    <w:rsid w:val="003E2AD9"/>
    <w:rsid w:val="003E2BD1"/>
    <w:rsid w:val="003E2DDC"/>
    <w:rsid w:val="003E3658"/>
    <w:rsid w:val="003E399B"/>
    <w:rsid w:val="003E3B7C"/>
    <w:rsid w:val="003E3B8B"/>
    <w:rsid w:val="003E3CF0"/>
    <w:rsid w:val="003E42DF"/>
    <w:rsid w:val="003E457C"/>
    <w:rsid w:val="003E46A0"/>
    <w:rsid w:val="003E477B"/>
    <w:rsid w:val="003E4A07"/>
    <w:rsid w:val="003E4D37"/>
    <w:rsid w:val="003E4DA8"/>
    <w:rsid w:val="003E50B6"/>
    <w:rsid w:val="003E5238"/>
    <w:rsid w:val="003E52F6"/>
    <w:rsid w:val="003E5560"/>
    <w:rsid w:val="003E5695"/>
    <w:rsid w:val="003E57B1"/>
    <w:rsid w:val="003E584F"/>
    <w:rsid w:val="003E5B51"/>
    <w:rsid w:val="003E5D1D"/>
    <w:rsid w:val="003E5D2A"/>
    <w:rsid w:val="003E5E29"/>
    <w:rsid w:val="003E6417"/>
    <w:rsid w:val="003E6502"/>
    <w:rsid w:val="003E6717"/>
    <w:rsid w:val="003E6E80"/>
    <w:rsid w:val="003E711E"/>
    <w:rsid w:val="003E7764"/>
    <w:rsid w:val="003E7F5A"/>
    <w:rsid w:val="003F0316"/>
    <w:rsid w:val="003F068B"/>
    <w:rsid w:val="003F0B3C"/>
    <w:rsid w:val="003F0C5A"/>
    <w:rsid w:val="003F0CA4"/>
    <w:rsid w:val="003F1106"/>
    <w:rsid w:val="003F11B5"/>
    <w:rsid w:val="003F14CC"/>
    <w:rsid w:val="003F1B38"/>
    <w:rsid w:val="003F1D58"/>
    <w:rsid w:val="003F1DD9"/>
    <w:rsid w:val="003F20A1"/>
    <w:rsid w:val="003F223B"/>
    <w:rsid w:val="003F22A7"/>
    <w:rsid w:val="003F266F"/>
    <w:rsid w:val="003F2A28"/>
    <w:rsid w:val="003F33E6"/>
    <w:rsid w:val="003F3600"/>
    <w:rsid w:val="003F361C"/>
    <w:rsid w:val="003F3CEC"/>
    <w:rsid w:val="003F3D11"/>
    <w:rsid w:val="003F3F99"/>
    <w:rsid w:val="003F42C3"/>
    <w:rsid w:val="003F4863"/>
    <w:rsid w:val="003F4893"/>
    <w:rsid w:val="003F4990"/>
    <w:rsid w:val="003F49EB"/>
    <w:rsid w:val="003F4AC0"/>
    <w:rsid w:val="003F4D1F"/>
    <w:rsid w:val="003F4E7B"/>
    <w:rsid w:val="003F5639"/>
    <w:rsid w:val="003F569B"/>
    <w:rsid w:val="003F56A8"/>
    <w:rsid w:val="003F5951"/>
    <w:rsid w:val="003F5B62"/>
    <w:rsid w:val="003F5D28"/>
    <w:rsid w:val="003F5D2A"/>
    <w:rsid w:val="003F5D9C"/>
    <w:rsid w:val="003F5E6C"/>
    <w:rsid w:val="003F5F8E"/>
    <w:rsid w:val="003F5FB5"/>
    <w:rsid w:val="003F6118"/>
    <w:rsid w:val="003F614A"/>
    <w:rsid w:val="003F6511"/>
    <w:rsid w:val="003F6BDC"/>
    <w:rsid w:val="003F6BF7"/>
    <w:rsid w:val="003F6CD8"/>
    <w:rsid w:val="003F6D04"/>
    <w:rsid w:val="003F6D10"/>
    <w:rsid w:val="003F6D7D"/>
    <w:rsid w:val="003F712A"/>
    <w:rsid w:val="003F7131"/>
    <w:rsid w:val="003F7178"/>
    <w:rsid w:val="003F72E6"/>
    <w:rsid w:val="003F734A"/>
    <w:rsid w:val="003F74C8"/>
    <w:rsid w:val="003F7809"/>
    <w:rsid w:val="003F789F"/>
    <w:rsid w:val="003F79DD"/>
    <w:rsid w:val="003F79FF"/>
    <w:rsid w:val="003F7F3D"/>
    <w:rsid w:val="00400E43"/>
    <w:rsid w:val="00400F9C"/>
    <w:rsid w:val="00401310"/>
    <w:rsid w:val="004015B4"/>
    <w:rsid w:val="004016E8"/>
    <w:rsid w:val="004018F1"/>
    <w:rsid w:val="00401933"/>
    <w:rsid w:val="00401A73"/>
    <w:rsid w:val="00401AC1"/>
    <w:rsid w:val="00401B4D"/>
    <w:rsid w:val="00401CBA"/>
    <w:rsid w:val="00401D25"/>
    <w:rsid w:val="00401D27"/>
    <w:rsid w:val="00401D37"/>
    <w:rsid w:val="00401E38"/>
    <w:rsid w:val="00401ED6"/>
    <w:rsid w:val="00401FD4"/>
    <w:rsid w:val="004020F3"/>
    <w:rsid w:val="00402141"/>
    <w:rsid w:val="004022CA"/>
    <w:rsid w:val="00402420"/>
    <w:rsid w:val="00402452"/>
    <w:rsid w:val="004025BF"/>
    <w:rsid w:val="004027B8"/>
    <w:rsid w:val="00402887"/>
    <w:rsid w:val="00402C58"/>
    <w:rsid w:val="004034CE"/>
    <w:rsid w:val="0040359C"/>
    <w:rsid w:val="00403783"/>
    <w:rsid w:val="00404073"/>
    <w:rsid w:val="00404096"/>
    <w:rsid w:val="00404B2C"/>
    <w:rsid w:val="00404BA0"/>
    <w:rsid w:val="0040523B"/>
    <w:rsid w:val="004053AA"/>
    <w:rsid w:val="00405905"/>
    <w:rsid w:val="00405963"/>
    <w:rsid w:val="00405A4B"/>
    <w:rsid w:val="00405C6D"/>
    <w:rsid w:val="00405D4C"/>
    <w:rsid w:val="004065D7"/>
    <w:rsid w:val="0040672B"/>
    <w:rsid w:val="00406B8B"/>
    <w:rsid w:val="00406E02"/>
    <w:rsid w:val="00406F3C"/>
    <w:rsid w:val="004071B8"/>
    <w:rsid w:val="004077BD"/>
    <w:rsid w:val="00407978"/>
    <w:rsid w:val="00407D29"/>
    <w:rsid w:val="00407E4C"/>
    <w:rsid w:val="00407E9B"/>
    <w:rsid w:val="00410376"/>
    <w:rsid w:val="004105EC"/>
    <w:rsid w:val="004106ED"/>
    <w:rsid w:val="0041090D"/>
    <w:rsid w:val="00410977"/>
    <w:rsid w:val="00410B07"/>
    <w:rsid w:val="00410BEC"/>
    <w:rsid w:val="00410F7D"/>
    <w:rsid w:val="0041103D"/>
    <w:rsid w:val="0041165F"/>
    <w:rsid w:val="00411A76"/>
    <w:rsid w:val="00411D7D"/>
    <w:rsid w:val="00411E89"/>
    <w:rsid w:val="00411F02"/>
    <w:rsid w:val="0041201D"/>
    <w:rsid w:val="004120EB"/>
    <w:rsid w:val="0041235A"/>
    <w:rsid w:val="004123A4"/>
    <w:rsid w:val="00412449"/>
    <w:rsid w:val="004124B7"/>
    <w:rsid w:val="004127E1"/>
    <w:rsid w:val="00412A73"/>
    <w:rsid w:val="00412BAE"/>
    <w:rsid w:val="004130F2"/>
    <w:rsid w:val="00413355"/>
    <w:rsid w:val="00413597"/>
    <w:rsid w:val="004135B3"/>
    <w:rsid w:val="004137BB"/>
    <w:rsid w:val="00413BB7"/>
    <w:rsid w:val="00413EE2"/>
    <w:rsid w:val="00413F91"/>
    <w:rsid w:val="0041423B"/>
    <w:rsid w:val="004147AE"/>
    <w:rsid w:val="00414FD1"/>
    <w:rsid w:val="00415074"/>
    <w:rsid w:val="0041537D"/>
    <w:rsid w:val="004155C8"/>
    <w:rsid w:val="004158A8"/>
    <w:rsid w:val="004159BF"/>
    <w:rsid w:val="00415AF2"/>
    <w:rsid w:val="00415B87"/>
    <w:rsid w:val="00415C52"/>
    <w:rsid w:val="00415DE2"/>
    <w:rsid w:val="00415E4E"/>
    <w:rsid w:val="0041602E"/>
    <w:rsid w:val="0041640D"/>
    <w:rsid w:val="0041642C"/>
    <w:rsid w:val="00416475"/>
    <w:rsid w:val="0041679A"/>
    <w:rsid w:val="004167F6"/>
    <w:rsid w:val="00416911"/>
    <w:rsid w:val="00416957"/>
    <w:rsid w:val="004169B9"/>
    <w:rsid w:val="00416A32"/>
    <w:rsid w:val="00416BBA"/>
    <w:rsid w:val="00416FD8"/>
    <w:rsid w:val="0041737A"/>
    <w:rsid w:val="004175B6"/>
    <w:rsid w:val="00417714"/>
    <w:rsid w:val="00417BB4"/>
    <w:rsid w:val="00417C33"/>
    <w:rsid w:val="00417D16"/>
    <w:rsid w:val="00417E1D"/>
    <w:rsid w:val="00417ECD"/>
    <w:rsid w:val="004203DA"/>
    <w:rsid w:val="00420545"/>
    <w:rsid w:val="00420620"/>
    <w:rsid w:val="004206A5"/>
    <w:rsid w:val="004206E3"/>
    <w:rsid w:val="00420AA9"/>
    <w:rsid w:val="00420AF5"/>
    <w:rsid w:val="00420B1D"/>
    <w:rsid w:val="00420CB5"/>
    <w:rsid w:val="00420F56"/>
    <w:rsid w:val="00420F89"/>
    <w:rsid w:val="004213C5"/>
    <w:rsid w:val="00421675"/>
    <w:rsid w:val="00421903"/>
    <w:rsid w:val="00421A7F"/>
    <w:rsid w:val="00421C4D"/>
    <w:rsid w:val="00421D7E"/>
    <w:rsid w:val="00421ED1"/>
    <w:rsid w:val="00421F6D"/>
    <w:rsid w:val="00422146"/>
    <w:rsid w:val="0042218D"/>
    <w:rsid w:val="00422303"/>
    <w:rsid w:val="00422498"/>
    <w:rsid w:val="004225D4"/>
    <w:rsid w:val="00422751"/>
    <w:rsid w:val="00422ED6"/>
    <w:rsid w:val="004231CB"/>
    <w:rsid w:val="004234CD"/>
    <w:rsid w:val="00423755"/>
    <w:rsid w:val="00423977"/>
    <w:rsid w:val="004239FF"/>
    <w:rsid w:val="00423A39"/>
    <w:rsid w:val="00423C08"/>
    <w:rsid w:val="00423CB4"/>
    <w:rsid w:val="0042401D"/>
    <w:rsid w:val="004243F9"/>
    <w:rsid w:val="004244D4"/>
    <w:rsid w:val="00424647"/>
    <w:rsid w:val="0042476E"/>
    <w:rsid w:val="0042490B"/>
    <w:rsid w:val="00425437"/>
    <w:rsid w:val="004256B4"/>
    <w:rsid w:val="00425724"/>
    <w:rsid w:val="00425AC0"/>
    <w:rsid w:val="00425AED"/>
    <w:rsid w:val="00425B7A"/>
    <w:rsid w:val="00425DA0"/>
    <w:rsid w:val="00425DED"/>
    <w:rsid w:val="00425E97"/>
    <w:rsid w:val="00425FCC"/>
    <w:rsid w:val="0042609B"/>
    <w:rsid w:val="00426210"/>
    <w:rsid w:val="004263C3"/>
    <w:rsid w:val="00426B03"/>
    <w:rsid w:val="00426B1C"/>
    <w:rsid w:val="00426B82"/>
    <w:rsid w:val="00426F10"/>
    <w:rsid w:val="00427417"/>
    <w:rsid w:val="004279EA"/>
    <w:rsid w:val="00427ED8"/>
    <w:rsid w:val="00427FF2"/>
    <w:rsid w:val="004303A8"/>
    <w:rsid w:val="00430489"/>
    <w:rsid w:val="0043057C"/>
    <w:rsid w:val="004307B3"/>
    <w:rsid w:val="004309C8"/>
    <w:rsid w:val="00430B6C"/>
    <w:rsid w:val="00430B7F"/>
    <w:rsid w:val="00430EA4"/>
    <w:rsid w:val="00430F0F"/>
    <w:rsid w:val="00430F36"/>
    <w:rsid w:val="00431975"/>
    <w:rsid w:val="00431E54"/>
    <w:rsid w:val="00431FF0"/>
    <w:rsid w:val="004322FA"/>
    <w:rsid w:val="004323D0"/>
    <w:rsid w:val="004324F0"/>
    <w:rsid w:val="00432932"/>
    <w:rsid w:val="00432A85"/>
    <w:rsid w:val="00432A8E"/>
    <w:rsid w:val="00432B1B"/>
    <w:rsid w:val="00432B6E"/>
    <w:rsid w:val="00432E67"/>
    <w:rsid w:val="00432E68"/>
    <w:rsid w:val="00433355"/>
    <w:rsid w:val="0043336E"/>
    <w:rsid w:val="004338D1"/>
    <w:rsid w:val="00433B74"/>
    <w:rsid w:val="00433B94"/>
    <w:rsid w:val="00433F34"/>
    <w:rsid w:val="00434001"/>
    <w:rsid w:val="00434015"/>
    <w:rsid w:val="00434061"/>
    <w:rsid w:val="00434325"/>
    <w:rsid w:val="0043456C"/>
    <w:rsid w:val="00434932"/>
    <w:rsid w:val="004349F7"/>
    <w:rsid w:val="00434D0D"/>
    <w:rsid w:val="00434D81"/>
    <w:rsid w:val="004350BA"/>
    <w:rsid w:val="004356A8"/>
    <w:rsid w:val="00435802"/>
    <w:rsid w:val="004358FA"/>
    <w:rsid w:val="00435A1B"/>
    <w:rsid w:val="00435D51"/>
    <w:rsid w:val="0043643A"/>
    <w:rsid w:val="00436758"/>
    <w:rsid w:val="004367EA"/>
    <w:rsid w:val="00436860"/>
    <w:rsid w:val="00436BBA"/>
    <w:rsid w:val="00436D25"/>
    <w:rsid w:val="00437253"/>
    <w:rsid w:val="004375A1"/>
    <w:rsid w:val="00437870"/>
    <w:rsid w:val="00437C5D"/>
    <w:rsid w:val="00437D34"/>
    <w:rsid w:val="004401FB"/>
    <w:rsid w:val="004404A2"/>
    <w:rsid w:val="00440749"/>
    <w:rsid w:val="00440926"/>
    <w:rsid w:val="00440CA4"/>
    <w:rsid w:val="00440F98"/>
    <w:rsid w:val="00441608"/>
    <w:rsid w:val="004416A0"/>
    <w:rsid w:val="0044194C"/>
    <w:rsid w:val="00441AF8"/>
    <w:rsid w:val="00441B03"/>
    <w:rsid w:val="00441B06"/>
    <w:rsid w:val="00441C7C"/>
    <w:rsid w:val="004423DE"/>
    <w:rsid w:val="004425C6"/>
    <w:rsid w:val="004429D3"/>
    <w:rsid w:val="00442A1A"/>
    <w:rsid w:val="00442C1F"/>
    <w:rsid w:val="00442DCC"/>
    <w:rsid w:val="00443449"/>
    <w:rsid w:val="0044383D"/>
    <w:rsid w:val="00443AB0"/>
    <w:rsid w:val="00443AEA"/>
    <w:rsid w:val="00443DAD"/>
    <w:rsid w:val="00443DC1"/>
    <w:rsid w:val="0044408A"/>
    <w:rsid w:val="0044409D"/>
    <w:rsid w:val="004442D9"/>
    <w:rsid w:val="00444495"/>
    <w:rsid w:val="00444508"/>
    <w:rsid w:val="00444509"/>
    <w:rsid w:val="00444709"/>
    <w:rsid w:val="00445096"/>
    <w:rsid w:val="0044536C"/>
    <w:rsid w:val="004457E0"/>
    <w:rsid w:val="004459F5"/>
    <w:rsid w:val="00445DEB"/>
    <w:rsid w:val="00445FBF"/>
    <w:rsid w:val="004461A2"/>
    <w:rsid w:val="004461DD"/>
    <w:rsid w:val="0044666B"/>
    <w:rsid w:val="0044694C"/>
    <w:rsid w:val="00446A13"/>
    <w:rsid w:val="00446AD8"/>
    <w:rsid w:val="004474D4"/>
    <w:rsid w:val="00447576"/>
    <w:rsid w:val="0044757C"/>
    <w:rsid w:val="004476D1"/>
    <w:rsid w:val="00447A25"/>
    <w:rsid w:val="00447A29"/>
    <w:rsid w:val="00447B32"/>
    <w:rsid w:val="00447C6E"/>
    <w:rsid w:val="00447EA3"/>
    <w:rsid w:val="0045012B"/>
    <w:rsid w:val="00450177"/>
    <w:rsid w:val="004504AB"/>
    <w:rsid w:val="004505B6"/>
    <w:rsid w:val="004508A8"/>
    <w:rsid w:val="00450DD9"/>
    <w:rsid w:val="00450FD5"/>
    <w:rsid w:val="00450FE9"/>
    <w:rsid w:val="00451137"/>
    <w:rsid w:val="0045113B"/>
    <w:rsid w:val="004512BB"/>
    <w:rsid w:val="004513DB"/>
    <w:rsid w:val="004514A2"/>
    <w:rsid w:val="004515F4"/>
    <w:rsid w:val="00451798"/>
    <w:rsid w:val="00451B4C"/>
    <w:rsid w:val="00451FAA"/>
    <w:rsid w:val="0045268B"/>
    <w:rsid w:val="00452C7F"/>
    <w:rsid w:val="00452F7A"/>
    <w:rsid w:val="00453573"/>
    <w:rsid w:val="004535F3"/>
    <w:rsid w:val="00453AA8"/>
    <w:rsid w:val="004541D9"/>
    <w:rsid w:val="004541EE"/>
    <w:rsid w:val="004541FD"/>
    <w:rsid w:val="0045489F"/>
    <w:rsid w:val="00454AF8"/>
    <w:rsid w:val="00454B3F"/>
    <w:rsid w:val="00454BC1"/>
    <w:rsid w:val="00454CA2"/>
    <w:rsid w:val="00454D1F"/>
    <w:rsid w:val="00454E45"/>
    <w:rsid w:val="0045558E"/>
    <w:rsid w:val="00455635"/>
    <w:rsid w:val="0045580C"/>
    <w:rsid w:val="004559EF"/>
    <w:rsid w:val="00455B62"/>
    <w:rsid w:val="004560DB"/>
    <w:rsid w:val="00456138"/>
    <w:rsid w:val="0045614A"/>
    <w:rsid w:val="004565BA"/>
    <w:rsid w:val="004567AC"/>
    <w:rsid w:val="00456CDB"/>
    <w:rsid w:val="00456D13"/>
    <w:rsid w:val="0045748D"/>
    <w:rsid w:val="00457730"/>
    <w:rsid w:val="00457ACC"/>
    <w:rsid w:val="004600F6"/>
    <w:rsid w:val="00460447"/>
    <w:rsid w:val="00460457"/>
    <w:rsid w:val="004604CA"/>
    <w:rsid w:val="00460605"/>
    <w:rsid w:val="00460B08"/>
    <w:rsid w:val="00460D19"/>
    <w:rsid w:val="00460F5B"/>
    <w:rsid w:val="004610DD"/>
    <w:rsid w:val="00461404"/>
    <w:rsid w:val="00461421"/>
    <w:rsid w:val="004617BA"/>
    <w:rsid w:val="00461B32"/>
    <w:rsid w:val="00461E39"/>
    <w:rsid w:val="00461E7A"/>
    <w:rsid w:val="0046251E"/>
    <w:rsid w:val="0046257C"/>
    <w:rsid w:val="0046299E"/>
    <w:rsid w:val="004629F6"/>
    <w:rsid w:val="00462C08"/>
    <w:rsid w:val="00462C4E"/>
    <w:rsid w:val="00462D83"/>
    <w:rsid w:val="004634C2"/>
    <w:rsid w:val="004639FB"/>
    <w:rsid w:val="00463A4F"/>
    <w:rsid w:val="00463E09"/>
    <w:rsid w:val="00464124"/>
    <w:rsid w:val="004641A8"/>
    <w:rsid w:val="004643BC"/>
    <w:rsid w:val="00464790"/>
    <w:rsid w:val="0046482D"/>
    <w:rsid w:val="00464EF5"/>
    <w:rsid w:val="00464F80"/>
    <w:rsid w:val="00464FF5"/>
    <w:rsid w:val="00464FFD"/>
    <w:rsid w:val="004651F3"/>
    <w:rsid w:val="004655F6"/>
    <w:rsid w:val="004656C0"/>
    <w:rsid w:val="00465E50"/>
    <w:rsid w:val="00465E82"/>
    <w:rsid w:val="00465EB9"/>
    <w:rsid w:val="00465EED"/>
    <w:rsid w:val="00465FDA"/>
    <w:rsid w:val="0046604F"/>
    <w:rsid w:val="00466A69"/>
    <w:rsid w:val="00466BDF"/>
    <w:rsid w:val="00467625"/>
    <w:rsid w:val="004676F6"/>
    <w:rsid w:val="00467933"/>
    <w:rsid w:val="004679CE"/>
    <w:rsid w:val="00467A80"/>
    <w:rsid w:val="00467D02"/>
    <w:rsid w:val="00467DBB"/>
    <w:rsid w:val="0047006B"/>
    <w:rsid w:val="004700FF"/>
    <w:rsid w:val="0047029F"/>
    <w:rsid w:val="0047052B"/>
    <w:rsid w:val="0047072E"/>
    <w:rsid w:val="004707C5"/>
    <w:rsid w:val="00470865"/>
    <w:rsid w:val="00470A44"/>
    <w:rsid w:val="00470DF2"/>
    <w:rsid w:val="00470E31"/>
    <w:rsid w:val="00470EB6"/>
    <w:rsid w:val="0047136E"/>
    <w:rsid w:val="004713E7"/>
    <w:rsid w:val="0047143B"/>
    <w:rsid w:val="004714E7"/>
    <w:rsid w:val="00471561"/>
    <w:rsid w:val="00471613"/>
    <w:rsid w:val="00471662"/>
    <w:rsid w:val="00471A4D"/>
    <w:rsid w:val="00471AB2"/>
    <w:rsid w:val="00471E45"/>
    <w:rsid w:val="00471E6F"/>
    <w:rsid w:val="00471F85"/>
    <w:rsid w:val="00472019"/>
    <w:rsid w:val="00472254"/>
    <w:rsid w:val="004723FC"/>
    <w:rsid w:val="00472862"/>
    <w:rsid w:val="00472912"/>
    <w:rsid w:val="00472EA4"/>
    <w:rsid w:val="004730F6"/>
    <w:rsid w:val="004732E0"/>
    <w:rsid w:val="00473874"/>
    <w:rsid w:val="00473ACF"/>
    <w:rsid w:val="00473F92"/>
    <w:rsid w:val="00474027"/>
    <w:rsid w:val="004742D9"/>
    <w:rsid w:val="004747DF"/>
    <w:rsid w:val="00474822"/>
    <w:rsid w:val="004748AB"/>
    <w:rsid w:val="00474945"/>
    <w:rsid w:val="00474CE0"/>
    <w:rsid w:val="00474E36"/>
    <w:rsid w:val="00474E52"/>
    <w:rsid w:val="004756C6"/>
    <w:rsid w:val="00475974"/>
    <w:rsid w:val="00475B31"/>
    <w:rsid w:val="00475DEB"/>
    <w:rsid w:val="00475E3C"/>
    <w:rsid w:val="00475EF0"/>
    <w:rsid w:val="00476048"/>
    <w:rsid w:val="004760BA"/>
    <w:rsid w:val="0047614F"/>
    <w:rsid w:val="00476619"/>
    <w:rsid w:val="00476711"/>
    <w:rsid w:val="00476786"/>
    <w:rsid w:val="00476FE1"/>
    <w:rsid w:val="00477748"/>
    <w:rsid w:val="00477957"/>
    <w:rsid w:val="00477A5B"/>
    <w:rsid w:val="00480EB2"/>
    <w:rsid w:val="00480FF9"/>
    <w:rsid w:val="004810CF"/>
    <w:rsid w:val="00481340"/>
    <w:rsid w:val="004814B3"/>
    <w:rsid w:val="004818A1"/>
    <w:rsid w:val="004818D5"/>
    <w:rsid w:val="004823D5"/>
    <w:rsid w:val="00482465"/>
    <w:rsid w:val="004826CF"/>
    <w:rsid w:val="004828B2"/>
    <w:rsid w:val="00482C3D"/>
    <w:rsid w:val="00482DD6"/>
    <w:rsid w:val="00482DFE"/>
    <w:rsid w:val="00482FE8"/>
    <w:rsid w:val="00482FFB"/>
    <w:rsid w:val="0048309E"/>
    <w:rsid w:val="004830AA"/>
    <w:rsid w:val="004835A5"/>
    <w:rsid w:val="00483858"/>
    <w:rsid w:val="00483AF3"/>
    <w:rsid w:val="00483B5E"/>
    <w:rsid w:val="00483E9E"/>
    <w:rsid w:val="00484066"/>
    <w:rsid w:val="00484909"/>
    <w:rsid w:val="00484983"/>
    <w:rsid w:val="00484A4E"/>
    <w:rsid w:val="00484ABB"/>
    <w:rsid w:val="00484F00"/>
    <w:rsid w:val="00484FA4"/>
    <w:rsid w:val="004851FE"/>
    <w:rsid w:val="00485453"/>
    <w:rsid w:val="0048546D"/>
    <w:rsid w:val="00485A12"/>
    <w:rsid w:val="00485CF8"/>
    <w:rsid w:val="00485EC3"/>
    <w:rsid w:val="00485FDE"/>
    <w:rsid w:val="0048614A"/>
    <w:rsid w:val="00486649"/>
    <w:rsid w:val="0048666F"/>
    <w:rsid w:val="00486710"/>
    <w:rsid w:val="004868BD"/>
    <w:rsid w:val="00486A90"/>
    <w:rsid w:val="00486D1F"/>
    <w:rsid w:val="00486F36"/>
    <w:rsid w:val="00486F51"/>
    <w:rsid w:val="004871D6"/>
    <w:rsid w:val="004876BD"/>
    <w:rsid w:val="00487AB9"/>
    <w:rsid w:val="00487D6E"/>
    <w:rsid w:val="004903B1"/>
    <w:rsid w:val="0049050C"/>
    <w:rsid w:val="00490A4A"/>
    <w:rsid w:val="00490BD2"/>
    <w:rsid w:val="00490FC5"/>
    <w:rsid w:val="00490FC9"/>
    <w:rsid w:val="00491072"/>
    <w:rsid w:val="004918D7"/>
    <w:rsid w:val="0049192C"/>
    <w:rsid w:val="00491BC4"/>
    <w:rsid w:val="00491BE4"/>
    <w:rsid w:val="00491D4B"/>
    <w:rsid w:val="00491F82"/>
    <w:rsid w:val="00491FE4"/>
    <w:rsid w:val="00491FFF"/>
    <w:rsid w:val="004921DD"/>
    <w:rsid w:val="0049220C"/>
    <w:rsid w:val="004924A2"/>
    <w:rsid w:val="00492783"/>
    <w:rsid w:val="0049283C"/>
    <w:rsid w:val="00492949"/>
    <w:rsid w:val="00492A64"/>
    <w:rsid w:val="00492EC2"/>
    <w:rsid w:val="004932EC"/>
    <w:rsid w:val="00493428"/>
    <w:rsid w:val="0049365E"/>
    <w:rsid w:val="00493A57"/>
    <w:rsid w:val="00493AC0"/>
    <w:rsid w:val="00493C5A"/>
    <w:rsid w:val="00493FBF"/>
    <w:rsid w:val="004942B5"/>
    <w:rsid w:val="00494853"/>
    <w:rsid w:val="00494CE1"/>
    <w:rsid w:val="00494DAD"/>
    <w:rsid w:val="004959DC"/>
    <w:rsid w:val="00495A36"/>
    <w:rsid w:val="00495A78"/>
    <w:rsid w:val="00495C7D"/>
    <w:rsid w:val="00495D09"/>
    <w:rsid w:val="00495FFC"/>
    <w:rsid w:val="0049611A"/>
    <w:rsid w:val="00496199"/>
    <w:rsid w:val="0049623F"/>
    <w:rsid w:val="00496460"/>
    <w:rsid w:val="004964DE"/>
    <w:rsid w:val="004964F6"/>
    <w:rsid w:val="0049652D"/>
    <w:rsid w:val="004967C5"/>
    <w:rsid w:val="004969FA"/>
    <w:rsid w:val="00496B9B"/>
    <w:rsid w:val="004973CB"/>
    <w:rsid w:val="004975D3"/>
    <w:rsid w:val="00497A05"/>
    <w:rsid w:val="004A00B4"/>
    <w:rsid w:val="004A0427"/>
    <w:rsid w:val="004A0DF3"/>
    <w:rsid w:val="004A13A5"/>
    <w:rsid w:val="004A193A"/>
    <w:rsid w:val="004A1BBA"/>
    <w:rsid w:val="004A2072"/>
    <w:rsid w:val="004A211E"/>
    <w:rsid w:val="004A27B7"/>
    <w:rsid w:val="004A28DE"/>
    <w:rsid w:val="004A294B"/>
    <w:rsid w:val="004A2E90"/>
    <w:rsid w:val="004A3017"/>
    <w:rsid w:val="004A324F"/>
    <w:rsid w:val="004A3338"/>
    <w:rsid w:val="004A3427"/>
    <w:rsid w:val="004A35E0"/>
    <w:rsid w:val="004A3B43"/>
    <w:rsid w:val="004A4236"/>
    <w:rsid w:val="004A446A"/>
    <w:rsid w:val="004A44C5"/>
    <w:rsid w:val="004A47D8"/>
    <w:rsid w:val="004A4C8F"/>
    <w:rsid w:val="004A4D2F"/>
    <w:rsid w:val="004A4DBF"/>
    <w:rsid w:val="004A52D6"/>
    <w:rsid w:val="004A574E"/>
    <w:rsid w:val="004A5940"/>
    <w:rsid w:val="004A5A95"/>
    <w:rsid w:val="004A627E"/>
    <w:rsid w:val="004A6374"/>
    <w:rsid w:val="004A6626"/>
    <w:rsid w:val="004A6663"/>
    <w:rsid w:val="004A6853"/>
    <w:rsid w:val="004A68A5"/>
    <w:rsid w:val="004A6D0F"/>
    <w:rsid w:val="004A6FC8"/>
    <w:rsid w:val="004A7278"/>
    <w:rsid w:val="004A764F"/>
    <w:rsid w:val="004A7925"/>
    <w:rsid w:val="004A7B02"/>
    <w:rsid w:val="004A7B47"/>
    <w:rsid w:val="004A7B8D"/>
    <w:rsid w:val="004A7D51"/>
    <w:rsid w:val="004B00CD"/>
    <w:rsid w:val="004B0131"/>
    <w:rsid w:val="004B0161"/>
    <w:rsid w:val="004B022E"/>
    <w:rsid w:val="004B062D"/>
    <w:rsid w:val="004B07E8"/>
    <w:rsid w:val="004B0CFF"/>
    <w:rsid w:val="004B0EA3"/>
    <w:rsid w:val="004B10E6"/>
    <w:rsid w:val="004B111F"/>
    <w:rsid w:val="004B1211"/>
    <w:rsid w:val="004B2CA3"/>
    <w:rsid w:val="004B2E8B"/>
    <w:rsid w:val="004B2F86"/>
    <w:rsid w:val="004B2FCB"/>
    <w:rsid w:val="004B33E4"/>
    <w:rsid w:val="004B35E9"/>
    <w:rsid w:val="004B36DA"/>
    <w:rsid w:val="004B394D"/>
    <w:rsid w:val="004B3A98"/>
    <w:rsid w:val="004B3B7F"/>
    <w:rsid w:val="004B3BF8"/>
    <w:rsid w:val="004B4635"/>
    <w:rsid w:val="004B49EC"/>
    <w:rsid w:val="004B5039"/>
    <w:rsid w:val="004B561B"/>
    <w:rsid w:val="004B56A4"/>
    <w:rsid w:val="004B5792"/>
    <w:rsid w:val="004B5A24"/>
    <w:rsid w:val="004B5A8F"/>
    <w:rsid w:val="004B5EAA"/>
    <w:rsid w:val="004B60B9"/>
    <w:rsid w:val="004B6FB0"/>
    <w:rsid w:val="004B7047"/>
    <w:rsid w:val="004B71DC"/>
    <w:rsid w:val="004B722E"/>
    <w:rsid w:val="004B72C1"/>
    <w:rsid w:val="004B7751"/>
    <w:rsid w:val="004B781D"/>
    <w:rsid w:val="004C02F1"/>
    <w:rsid w:val="004C0362"/>
    <w:rsid w:val="004C0485"/>
    <w:rsid w:val="004C05D8"/>
    <w:rsid w:val="004C078D"/>
    <w:rsid w:val="004C0BCE"/>
    <w:rsid w:val="004C0C66"/>
    <w:rsid w:val="004C0D32"/>
    <w:rsid w:val="004C0F9B"/>
    <w:rsid w:val="004C11C0"/>
    <w:rsid w:val="004C11CD"/>
    <w:rsid w:val="004C120F"/>
    <w:rsid w:val="004C1282"/>
    <w:rsid w:val="004C1738"/>
    <w:rsid w:val="004C1AC5"/>
    <w:rsid w:val="004C1E26"/>
    <w:rsid w:val="004C1E5A"/>
    <w:rsid w:val="004C1FC2"/>
    <w:rsid w:val="004C2078"/>
    <w:rsid w:val="004C23A0"/>
    <w:rsid w:val="004C2741"/>
    <w:rsid w:val="004C278E"/>
    <w:rsid w:val="004C27F1"/>
    <w:rsid w:val="004C28FA"/>
    <w:rsid w:val="004C30CB"/>
    <w:rsid w:val="004C3A36"/>
    <w:rsid w:val="004C3D63"/>
    <w:rsid w:val="004C412C"/>
    <w:rsid w:val="004C4219"/>
    <w:rsid w:val="004C4796"/>
    <w:rsid w:val="004C4971"/>
    <w:rsid w:val="004C4AA7"/>
    <w:rsid w:val="004C4BCB"/>
    <w:rsid w:val="004C4BD8"/>
    <w:rsid w:val="004C4C21"/>
    <w:rsid w:val="004C4E18"/>
    <w:rsid w:val="004C4EFD"/>
    <w:rsid w:val="004C519E"/>
    <w:rsid w:val="004C525C"/>
    <w:rsid w:val="004C52E6"/>
    <w:rsid w:val="004C52F9"/>
    <w:rsid w:val="004C53B9"/>
    <w:rsid w:val="004C5581"/>
    <w:rsid w:val="004C5631"/>
    <w:rsid w:val="004C589A"/>
    <w:rsid w:val="004C5984"/>
    <w:rsid w:val="004C5BA2"/>
    <w:rsid w:val="004C5CE8"/>
    <w:rsid w:val="004C5F38"/>
    <w:rsid w:val="004C61A1"/>
    <w:rsid w:val="004C6290"/>
    <w:rsid w:val="004C66C7"/>
    <w:rsid w:val="004C6F2C"/>
    <w:rsid w:val="004C75F5"/>
    <w:rsid w:val="004C77EE"/>
    <w:rsid w:val="004C7F01"/>
    <w:rsid w:val="004D02BF"/>
    <w:rsid w:val="004D076E"/>
    <w:rsid w:val="004D07F6"/>
    <w:rsid w:val="004D0A7F"/>
    <w:rsid w:val="004D0D06"/>
    <w:rsid w:val="004D115F"/>
    <w:rsid w:val="004D11BC"/>
    <w:rsid w:val="004D18DA"/>
    <w:rsid w:val="004D18F6"/>
    <w:rsid w:val="004D1C40"/>
    <w:rsid w:val="004D1CBD"/>
    <w:rsid w:val="004D1ED3"/>
    <w:rsid w:val="004D1F46"/>
    <w:rsid w:val="004D202C"/>
    <w:rsid w:val="004D2489"/>
    <w:rsid w:val="004D2648"/>
    <w:rsid w:val="004D26FD"/>
    <w:rsid w:val="004D273F"/>
    <w:rsid w:val="004D291C"/>
    <w:rsid w:val="004D33C6"/>
    <w:rsid w:val="004D34CA"/>
    <w:rsid w:val="004D3724"/>
    <w:rsid w:val="004D395B"/>
    <w:rsid w:val="004D398B"/>
    <w:rsid w:val="004D3B11"/>
    <w:rsid w:val="004D3EF1"/>
    <w:rsid w:val="004D3FFC"/>
    <w:rsid w:val="004D4106"/>
    <w:rsid w:val="004D43DA"/>
    <w:rsid w:val="004D4529"/>
    <w:rsid w:val="004D487E"/>
    <w:rsid w:val="004D4A61"/>
    <w:rsid w:val="004D4ACB"/>
    <w:rsid w:val="004D51FA"/>
    <w:rsid w:val="004D55F2"/>
    <w:rsid w:val="004D5646"/>
    <w:rsid w:val="004D5803"/>
    <w:rsid w:val="004D5867"/>
    <w:rsid w:val="004D587F"/>
    <w:rsid w:val="004D5BB2"/>
    <w:rsid w:val="004D5D1A"/>
    <w:rsid w:val="004D5D2F"/>
    <w:rsid w:val="004D5D79"/>
    <w:rsid w:val="004D600D"/>
    <w:rsid w:val="004D6331"/>
    <w:rsid w:val="004D6A6F"/>
    <w:rsid w:val="004D6A7D"/>
    <w:rsid w:val="004D6AEA"/>
    <w:rsid w:val="004D6DDE"/>
    <w:rsid w:val="004D6F77"/>
    <w:rsid w:val="004D74EE"/>
    <w:rsid w:val="004D79B1"/>
    <w:rsid w:val="004D7B0F"/>
    <w:rsid w:val="004D7CFD"/>
    <w:rsid w:val="004D7D67"/>
    <w:rsid w:val="004E0343"/>
    <w:rsid w:val="004E0357"/>
    <w:rsid w:val="004E0770"/>
    <w:rsid w:val="004E0A8C"/>
    <w:rsid w:val="004E0EA4"/>
    <w:rsid w:val="004E111C"/>
    <w:rsid w:val="004E18AB"/>
    <w:rsid w:val="004E1A4C"/>
    <w:rsid w:val="004E22E5"/>
    <w:rsid w:val="004E2649"/>
    <w:rsid w:val="004E276C"/>
    <w:rsid w:val="004E27A6"/>
    <w:rsid w:val="004E2847"/>
    <w:rsid w:val="004E2ABD"/>
    <w:rsid w:val="004E2B7C"/>
    <w:rsid w:val="004E33B0"/>
    <w:rsid w:val="004E3515"/>
    <w:rsid w:val="004E3690"/>
    <w:rsid w:val="004E3A18"/>
    <w:rsid w:val="004E424E"/>
    <w:rsid w:val="004E4274"/>
    <w:rsid w:val="004E427E"/>
    <w:rsid w:val="004E4484"/>
    <w:rsid w:val="004E4626"/>
    <w:rsid w:val="004E46F6"/>
    <w:rsid w:val="004E4733"/>
    <w:rsid w:val="004E4797"/>
    <w:rsid w:val="004E49C7"/>
    <w:rsid w:val="004E4B1D"/>
    <w:rsid w:val="004E50E3"/>
    <w:rsid w:val="004E5180"/>
    <w:rsid w:val="004E5438"/>
    <w:rsid w:val="004E5688"/>
    <w:rsid w:val="004E5B05"/>
    <w:rsid w:val="004E5BE2"/>
    <w:rsid w:val="004E6097"/>
    <w:rsid w:val="004E6686"/>
    <w:rsid w:val="004E6C70"/>
    <w:rsid w:val="004E6D72"/>
    <w:rsid w:val="004E6F1C"/>
    <w:rsid w:val="004E70B8"/>
    <w:rsid w:val="004E71BF"/>
    <w:rsid w:val="004E72BE"/>
    <w:rsid w:val="004E74F2"/>
    <w:rsid w:val="004E7777"/>
    <w:rsid w:val="004E7A11"/>
    <w:rsid w:val="004E7BF9"/>
    <w:rsid w:val="004E7DDD"/>
    <w:rsid w:val="004E7E80"/>
    <w:rsid w:val="004F0402"/>
    <w:rsid w:val="004F0475"/>
    <w:rsid w:val="004F06A8"/>
    <w:rsid w:val="004F08A5"/>
    <w:rsid w:val="004F0C88"/>
    <w:rsid w:val="004F0EA3"/>
    <w:rsid w:val="004F0F5F"/>
    <w:rsid w:val="004F1036"/>
    <w:rsid w:val="004F153F"/>
    <w:rsid w:val="004F1721"/>
    <w:rsid w:val="004F1952"/>
    <w:rsid w:val="004F1B8E"/>
    <w:rsid w:val="004F1D9D"/>
    <w:rsid w:val="004F206D"/>
    <w:rsid w:val="004F2160"/>
    <w:rsid w:val="004F236E"/>
    <w:rsid w:val="004F26B0"/>
    <w:rsid w:val="004F275E"/>
    <w:rsid w:val="004F2B39"/>
    <w:rsid w:val="004F2CF6"/>
    <w:rsid w:val="004F2EEE"/>
    <w:rsid w:val="004F317D"/>
    <w:rsid w:val="004F34B8"/>
    <w:rsid w:val="004F362A"/>
    <w:rsid w:val="004F398E"/>
    <w:rsid w:val="004F3B0E"/>
    <w:rsid w:val="004F3C80"/>
    <w:rsid w:val="004F3DA3"/>
    <w:rsid w:val="004F425C"/>
    <w:rsid w:val="004F44F5"/>
    <w:rsid w:val="004F4635"/>
    <w:rsid w:val="004F466B"/>
    <w:rsid w:val="004F4778"/>
    <w:rsid w:val="004F47B9"/>
    <w:rsid w:val="004F48D3"/>
    <w:rsid w:val="004F4C5B"/>
    <w:rsid w:val="004F4FA5"/>
    <w:rsid w:val="004F4FEB"/>
    <w:rsid w:val="004F52EC"/>
    <w:rsid w:val="004F5506"/>
    <w:rsid w:val="004F555F"/>
    <w:rsid w:val="004F5B9D"/>
    <w:rsid w:val="004F5F3C"/>
    <w:rsid w:val="004F61B7"/>
    <w:rsid w:val="004F6307"/>
    <w:rsid w:val="004F680C"/>
    <w:rsid w:val="004F691C"/>
    <w:rsid w:val="004F69CF"/>
    <w:rsid w:val="004F6C18"/>
    <w:rsid w:val="004F6C98"/>
    <w:rsid w:val="004F6D60"/>
    <w:rsid w:val="004F6FE6"/>
    <w:rsid w:val="004F7180"/>
    <w:rsid w:val="004F7698"/>
    <w:rsid w:val="004F7832"/>
    <w:rsid w:val="004F78AC"/>
    <w:rsid w:val="004F7981"/>
    <w:rsid w:val="004F7AF8"/>
    <w:rsid w:val="004F7D13"/>
    <w:rsid w:val="004F7EE1"/>
    <w:rsid w:val="005001D7"/>
    <w:rsid w:val="0050046D"/>
    <w:rsid w:val="005005B2"/>
    <w:rsid w:val="0050077B"/>
    <w:rsid w:val="00500993"/>
    <w:rsid w:val="005009E7"/>
    <w:rsid w:val="00500A9D"/>
    <w:rsid w:val="00500AED"/>
    <w:rsid w:val="00500BCA"/>
    <w:rsid w:val="00500BD9"/>
    <w:rsid w:val="005010CE"/>
    <w:rsid w:val="005010D5"/>
    <w:rsid w:val="005019C1"/>
    <w:rsid w:val="00501A5B"/>
    <w:rsid w:val="00501C42"/>
    <w:rsid w:val="00501FAE"/>
    <w:rsid w:val="005020E4"/>
    <w:rsid w:val="005022DC"/>
    <w:rsid w:val="00502991"/>
    <w:rsid w:val="005029EA"/>
    <w:rsid w:val="00502B83"/>
    <w:rsid w:val="00502C39"/>
    <w:rsid w:val="00502CE8"/>
    <w:rsid w:val="00503304"/>
    <w:rsid w:val="00503461"/>
    <w:rsid w:val="0050352B"/>
    <w:rsid w:val="0050352D"/>
    <w:rsid w:val="00503C4F"/>
    <w:rsid w:val="005040AE"/>
    <w:rsid w:val="005046FC"/>
    <w:rsid w:val="00504CBF"/>
    <w:rsid w:val="00504D4B"/>
    <w:rsid w:val="005050EC"/>
    <w:rsid w:val="005052E6"/>
    <w:rsid w:val="005054CE"/>
    <w:rsid w:val="00505513"/>
    <w:rsid w:val="005055AD"/>
    <w:rsid w:val="005055E2"/>
    <w:rsid w:val="00505621"/>
    <w:rsid w:val="00505A02"/>
    <w:rsid w:val="00505A25"/>
    <w:rsid w:val="00505C93"/>
    <w:rsid w:val="005060C0"/>
    <w:rsid w:val="00506393"/>
    <w:rsid w:val="005066ED"/>
    <w:rsid w:val="00506809"/>
    <w:rsid w:val="00506C0D"/>
    <w:rsid w:val="005071B5"/>
    <w:rsid w:val="005072A3"/>
    <w:rsid w:val="005073BD"/>
    <w:rsid w:val="005074A1"/>
    <w:rsid w:val="005078A9"/>
    <w:rsid w:val="00507D67"/>
    <w:rsid w:val="00507DC8"/>
    <w:rsid w:val="00507EDF"/>
    <w:rsid w:val="00507F85"/>
    <w:rsid w:val="0051007C"/>
    <w:rsid w:val="005100B9"/>
    <w:rsid w:val="005104E5"/>
    <w:rsid w:val="00510624"/>
    <w:rsid w:val="0051063D"/>
    <w:rsid w:val="005107BD"/>
    <w:rsid w:val="005108FD"/>
    <w:rsid w:val="00510E9D"/>
    <w:rsid w:val="00510E9E"/>
    <w:rsid w:val="00511464"/>
    <w:rsid w:val="0051156A"/>
    <w:rsid w:val="0051168F"/>
    <w:rsid w:val="00511695"/>
    <w:rsid w:val="00511AA6"/>
    <w:rsid w:val="00511D35"/>
    <w:rsid w:val="00511D69"/>
    <w:rsid w:val="00512064"/>
    <w:rsid w:val="0051213E"/>
    <w:rsid w:val="00512229"/>
    <w:rsid w:val="00512C7E"/>
    <w:rsid w:val="00513571"/>
    <w:rsid w:val="00513F0E"/>
    <w:rsid w:val="005140DD"/>
    <w:rsid w:val="0051412A"/>
    <w:rsid w:val="005144CB"/>
    <w:rsid w:val="005145B1"/>
    <w:rsid w:val="005147EC"/>
    <w:rsid w:val="00514DE6"/>
    <w:rsid w:val="00515265"/>
    <w:rsid w:val="005153D7"/>
    <w:rsid w:val="0051575A"/>
    <w:rsid w:val="00515925"/>
    <w:rsid w:val="00515AA5"/>
    <w:rsid w:val="005161B0"/>
    <w:rsid w:val="00516615"/>
    <w:rsid w:val="00516959"/>
    <w:rsid w:val="005169FE"/>
    <w:rsid w:val="005171B2"/>
    <w:rsid w:val="00517372"/>
    <w:rsid w:val="0051756A"/>
    <w:rsid w:val="005177D9"/>
    <w:rsid w:val="00517E10"/>
    <w:rsid w:val="00517EB6"/>
    <w:rsid w:val="005203BD"/>
    <w:rsid w:val="005204C1"/>
    <w:rsid w:val="00520D81"/>
    <w:rsid w:val="00520EA3"/>
    <w:rsid w:val="00521000"/>
    <w:rsid w:val="005210BF"/>
    <w:rsid w:val="00521384"/>
    <w:rsid w:val="00521472"/>
    <w:rsid w:val="00521AA6"/>
    <w:rsid w:val="00521B0C"/>
    <w:rsid w:val="0052214D"/>
    <w:rsid w:val="005221BA"/>
    <w:rsid w:val="00522249"/>
    <w:rsid w:val="005226FB"/>
    <w:rsid w:val="00522C57"/>
    <w:rsid w:val="00522C59"/>
    <w:rsid w:val="00522E13"/>
    <w:rsid w:val="00522E54"/>
    <w:rsid w:val="005238BE"/>
    <w:rsid w:val="00523918"/>
    <w:rsid w:val="00523B67"/>
    <w:rsid w:val="00523EAB"/>
    <w:rsid w:val="005240D7"/>
    <w:rsid w:val="0052427A"/>
    <w:rsid w:val="005243CA"/>
    <w:rsid w:val="005247C6"/>
    <w:rsid w:val="00524881"/>
    <w:rsid w:val="00524BE4"/>
    <w:rsid w:val="00524D8B"/>
    <w:rsid w:val="00524EF6"/>
    <w:rsid w:val="00525A45"/>
    <w:rsid w:val="00526407"/>
    <w:rsid w:val="0052642A"/>
    <w:rsid w:val="005264A6"/>
    <w:rsid w:val="005266AC"/>
    <w:rsid w:val="005266D2"/>
    <w:rsid w:val="005268C0"/>
    <w:rsid w:val="00526A1C"/>
    <w:rsid w:val="00526ACD"/>
    <w:rsid w:val="00526D13"/>
    <w:rsid w:val="00526DCA"/>
    <w:rsid w:val="0052712B"/>
    <w:rsid w:val="00527567"/>
    <w:rsid w:val="0052770F"/>
    <w:rsid w:val="0053043D"/>
    <w:rsid w:val="0053046D"/>
    <w:rsid w:val="0053075E"/>
    <w:rsid w:val="0053079D"/>
    <w:rsid w:val="00530AB1"/>
    <w:rsid w:val="00530D11"/>
    <w:rsid w:val="00530E63"/>
    <w:rsid w:val="005310D4"/>
    <w:rsid w:val="0053193C"/>
    <w:rsid w:val="005319C7"/>
    <w:rsid w:val="00531B2A"/>
    <w:rsid w:val="00531E8E"/>
    <w:rsid w:val="0053250E"/>
    <w:rsid w:val="0053256F"/>
    <w:rsid w:val="00532943"/>
    <w:rsid w:val="00532AFA"/>
    <w:rsid w:val="00532C0D"/>
    <w:rsid w:val="00532E0C"/>
    <w:rsid w:val="00533225"/>
    <w:rsid w:val="00533351"/>
    <w:rsid w:val="005335A3"/>
    <w:rsid w:val="005337BB"/>
    <w:rsid w:val="00533828"/>
    <w:rsid w:val="005339F1"/>
    <w:rsid w:val="00533B78"/>
    <w:rsid w:val="00533FC9"/>
    <w:rsid w:val="0053411B"/>
    <w:rsid w:val="00534409"/>
    <w:rsid w:val="005344D2"/>
    <w:rsid w:val="005345DE"/>
    <w:rsid w:val="00534655"/>
    <w:rsid w:val="005346DF"/>
    <w:rsid w:val="00534A08"/>
    <w:rsid w:val="00534C93"/>
    <w:rsid w:val="0053517B"/>
    <w:rsid w:val="0053524F"/>
    <w:rsid w:val="005359C9"/>
    <w:rsid w:val="00535C8E"/>
    <w:rsid w:val="00536101"/>
    <w:rsid w:val="00536135"/>
    <w:rsid w:val="00536137"/>
    <w:rsid w:val="005362EC"/>
    <w:rsid w:val="00536602"/>
    <w:rsid w:val="00536755"/>
    <w:rsid w:val="00536978"/>
    <w:rsid w:val="00536992"/>
    <w:rsid w:val="005370CE"/>
    <w:rsid w:val="0053731C"/>
    <w:rsid w:val="0053731D"/>
    <w:rsid w:val="00537340"/>
    <w:rsid w:val="00537574"/>
    <w:rsid w:val="005377E2"/>
    <w:rsid w:val="00537D5D"/>
    <w:rsid w:val="0054029C"/>
    <w:rsid w:val="00540326"/>
    <w:rsid w:val="0054037E"/>
    <w:rsid w:val="00540397"/>
    <w:rsid w:val="0054066A"/>
    <w:rsid w:val="00540997"/>
    <w:rsid w:val="0054109F"/>
    <w:rsid w:val="00541120"/>
    <w:rsid w:val="00541314"/>
    <w:rsid w:val="005417C2"/>
    <w:rsid w:val="00541985"/>
    <w:rsid w:val="00541C8C"/>
    <w:rsid w:val="00541E30"/>
    <w:rsid w:val="00541EE6"/>
    <w:rsid w:val="00542102"/>
    <w:rsid w:val="005421FF"/>
    <w:rsid w:val="005428D9"/>
    <w:rsid w:val="00542C96"/>
    <w:rsid w:val="00542D7D"/>
    <w:rsid w:val="00542EAB"/>
    <w:rsid w:val="005431B2"/>
    <w:rsid w:val="00543451"/>
    <w:rsid w:val="005436DD"/>
    <w:rsid w:val="00543A24"/>
    <w:rsid w:val="00543A6E"/>
    <w:rsid w:val="005445B1"/>
    <w:rsid w:val="005445FE"/>
    <w:rsid w:val="0054464D"/>
    <w:rsid w:val="0054465F"/>
    <w:rsid w:val="00544853"/>
    <w:rsid w:val="00544980"/>
    <w:rsid w:val="00544C51"/>
    <w:rsid w:val="00544E14"/>
    <w:rsid w:val="0054520D"/>
    <w:rsid w:val="00545284"/>
    <w:rsid w:val="005453D3"/>
    <w:rsid w:val="005455AE"/>
    <w:rsid w:val="00545DA7"/>
    <w:rsid w:val="00545EF2"/>
    <w:rsid w:val="00545FB1"/>
    <w:rsid w:val="005460F4"/>
    <w:rsid w:val="005461DA"/>
    <w:rsid w:val="00546233"/>
    <w:rsid w:val="005462CD"/>
    <w:rsid w:val="00546304"/>
    <w:rsid w:val="005466E7"/>
    <w:rsid w:val="0054673E"/>
    <w:rsid w:val="00546778"/>
    <w:rsid w:val="005468A8"/>
    <w:rsid w:val="00546C96"/>
    <w:rsid w:val="00546D8B"/>
    <w:rsid w:val="00547374"/>
    <w:rsid w:val="00547470"/>
    <w:rsid w:val="00547531"/>
    <w:rsid w:val="0054762D"/>
    <w:rsid w:val="00547914"/>
    <w:rsid w:val="00547A40"/>
    <w:rsid w:val="00547BE3"/>
    <w:rsid w:val="00547CA8"/>
    <w:rsid w:val="00547CC6"/>
    <w:rsid w:val="00547DD7"/>
    <w:rsid w:val="00550236"/>
    <w:rsid w:val="0055059F"/>
    <w:rsid w:val="00550A00"/>
    <w:rsid w:val="00550E6B"/>
    <w:rsid w:val="00551195"/>
    <w:rsid w:val="005512C8"/>
    <w:rsid w:val="005514CC"/>
    <w:rsid w:val="0055179C"/>
    <w:rsid w:val="005518A0"/>
    <w:rsid w:val="00551954"/>
    <w:rsid w:val="005519AC"/>
    <w:rsid w:val="00551AAC"/>
    <w:rsid w:val="005526FE"/>
    <w:rsid w:val="0055270E"/>
    <w:rsid w:val="005528A9"/>
    <w:rsid w:val="00552FB7"/>
    <w:rsid w:val="005531E1"/>
    <w:rsid w:val="005539F0"/>
    <w:rsid w:val="00553A41"/>
    <w:rsid w:val="00553C86"/>
    <w:rsid w:val="00553F99"/>
    <w:rsid w:val="00554512"/>
    <w:rsid w:val="00554C9E"/>
    <w:rsid w:val="00554EF3"/>
    <w:rsid w:val="0055508A"/>
    <w:rsid w:val="00555476"/>
    <w:rsid w:val="005556C6"/>
    <w:rsid w:val="00555EF3"/>
    <w:rsid w:val="00555EF9"/>
    <w:rsid w:val="005561B1"/>
    <w:rsid w:val="00556490"/>
    <w:rsid w:val="00556572"/>
    <w:rsid w:val="00556714"/>
    <w:rsid w:val="00556E69"/>
    <w:rsid w:val="00557277"/>
    <w:rsid w:val="0055730B"/>
    <w:rsid w:val="005574A0"/>
    <w:rsid w:val="005574D5"/>
    <w:rsid w:val="00557931"/>
    <w:rsid w:val="00557C08"/>
    <w:rsid w:val="00557C0C"/>
    <w:rsid w:val="00557CC0"/>
    <w:rsid w:val="00557CC8"/>
    <w:rsid w:val="00557EDD"/>
    <w:rsid w:val="005601CC"/>
    <w:rsid w:val="005603C8"/>
    <w:rsid w:val="0056043D"/>
    <w:rsid w:val="00560461"/>
    <w:rsid w:val="005605B2"/>
    <w:rsid w:val="0056085A"/>
    <w:rsid w:val="00560CE7"/>
    <w:rsid w:val="005610F5"/>
    <w:rsid w:val="00561217"/>
    <w:rsid w:val="005614DB"/>
    <w:rsid w:val="00562072"/>
    <w:rsid w:val="0056233E"/>
    <w:rsid w:val="00562C3C"/>
    <w:rsid w:val="00562D1A"/>
    <w:rsid w:val="00562E86"/>
    <w:rsid w:val="0056316B"/>
    <w:rsid w:val="00563272"/>
    <w:rsid w:val="005633A1"/>
    <w:rsid w:val="00563469"/>
    <w:rsid w:val="0056369A"/>
    <w:rsid w:val="00563728"/>
    <w:rsid w:val="00563790"/>
    <w:rsid w:val="005637A4"/>
    <w:rsid w:val="005637CE"/>
    <w:rsid w:val="005639EE"/>
    <w:rsid w:val="00563A79"/>
    <w:rsid w:val="00563C1C"/>
    <w:rsid w:val="00563D5A"/>
    <w:rsid w:val="00563D88"/>
    <w:rsid w:val="00563EEA"/>
    <w:rsid w:val="0056404A"/>
    <w:rsid w:val="00564342"/>
    <w:rsid w:val="0056450E"/>
    <w:rsid w:val="0056464C"/>
    <w:rsid w:val="00564E6B"/>
    <w:rsid w:val="005654C9"/>
    <w:rsid w:val="0056555F"/>
    <w:rsid w:val="00565EE7"/>
    <w:rsid w:val="005661E3"/>
    <w:rsid w:val="0056632A"/>
    <w:rsid w:val="00566441"/>
    <w:rsid w:val="00566989"/>
    <w:rsid w:val="00566DFE"/>
    <w:rsid w:val="005673E1"/>
    <w:rsid w:val="005675A6"/>
    <w:rsid w:val="005675C6"/>
    <w:rsid w:val="0056768C"/>
    <w:rsid w:val="0056782D"/>
    <w:rsid w:val="00567852"/>
    <w:rsid w:val="005679BA"/>
    <w:rsid w:val="005679BE"/>
    <w:rsid w:val="00567F2B"/>
    <w:rsid w:val="00570020"/>
    <w:rsid w:val="005701C2"/>
    <w:rsid w:val="005704F0"/>
    <w:rsid w:val="00570B56"/>
    <w:rsid w:val="00570C7E"/>
    <w:rsid w:val="00571235"/>
    <w:rsid w:val="00571242"/>
    <w:rsid w:val="005713AA"/>
    <w:rsid w:val="0057158B"/>
    <w:rsid w:val="0057162B"/>
    <w:rsid w:val="005716D4"/>
    <w:rsid w:val="00571B2E"/>
    <w:rsid w:val="00572214"/>
    <w:rsid w:val="00572550"/>
    <w:rsid w:val="0057292F"/>
    <w:rsid w:val="005729FA"/>
    <w:rsid w:val="00572A47"/>
    <w:rsid w:val="00572A51"/>
    <w:rsid w:val="00572D62"/>
    <w:rsid w:val="00572D6D"/>
    <w:rsid w:val="00572E69"/>
    <w:rsid w:val="00572EA3"/>
    <w:rsid w:val="00573016"/>
    <w:rsid w:val="00573066"/>
    <w:rsid w:val="00573181"/>
    <w:rsid w:val="005737CF"/>
    <w:rsid w:val="00573BAC"/>
    <w:rsid w:val="00573E5F"/>
    <w:rsid w:val="00573F4E"/>
    <w:rsid w:val="00573F76"/>
    <w:rsid w:val="00573F90"/>
    <w:rsid w:val="005740EC"/>
    <w:rsid w:val="00574441"/>
    <w:rsid w:val="0057454F"/>
    <w:rsid w:val="005746AA"/>
    <w:rsid w:val="00574AB0"/>
    <w:rsid w:val="00574C3C"/>
    <w:rsid w:val="00575362"/>
    <w:rsid w:val="00575956"/>
    <w:rsid w:val="00575A26"/>
    <w:rsid w:val="00575F7E"/>
    <w:rsid w:val="00576354"/>
    <w:rsid w:val="00576693"/>
    <w:rsid w:val="00576826"/>
    <w:rsid w:val="00576895"/>
    <w:rsid w:val="00576A53"/>
    <w:rsid w:val="00576B3A"/>
    <w:rsid w:val="00576F67"/>
    <w:rsid w:val="005771E7"/>
    <w:rsid w:val="005779B1"/>
    <w:rsid w:val="00577ADB"/>
    <w:rsid w:val="00577B6E"/>
    <w:rsid w:val="005800AF"/>
    <w:rsid w:val="005801FE"/>
    <w:rsid w:val="00580416"/>
    <w:rsid w:val="00580D4A"/>
    <w:rsid w:val="00581193"/>
    <w:rsid w:val="00581337"/>
    <w:rsid w:val="005816BC"/>
    <w:rsid w:val="00581858"/>
    <w:rsid w:val="0058195D"/>
    <w:rsid w:val="00581DB5"/>
    <w:rsid w:val="00581F34"/>
    <w:rsid w:val="00582346"/>
    <w:rsid w:val="00582631"/>
    <w:rsid w:val="00582646"/>
    <w:rsid w:val="00582805"/>
    <w:rsid w:val="00582CFA"/>
    <w:rsid w:val="00582F15"/>
    <w:rsid w:val="005830D0"/>
    <w:rsid w:val="00583169"/>
    <w:rsid w:val="00583190"/>
    <w:rsid w:val="005833AB"/>
    <w:rsid w:val="005834D1"/>
    <w:rsid w:val="0058366E"/>
    <w:rsid w:val="005837E9"/>
    <w:rsid w:val="005838F8"/>
    <w:rsid w:val="00583C20"/>
    <w:rsid w:val="00583D76"/>
    <w:rsid w:val="00583D7F"/>
    <w:rsid w:val="00583DA9"/>
    <w:rsid w:val="00583EED"/>
    <w:rsid w:val="00584034"/>
    <w:rsid w:val="005842A7"/>
    <w:rsid w:val="00584391"/>
    <w:rsid w:val="00584585"/>
    <w:rsid w:val="00584985"/>
    <w:rsid w:val="0058509F"/>
    <w:rsid w:val="0058520D"/>
    <w:rsid w:val="005853DA"/>
    <w:rsid w:val="0058559D"/>
    <w:rsid w:val="00585A76"/>
    <w:rsid w:val="00585B3C"/>
    <w:rsid w:val="00585FB4"/>
    <w:rsid w:val="00586008"/>
    <w:rsid w:val="00586500"/>
    <w:rsid w:val="005867FE"/>
    <w:rsid w:val="00586C0D"/>
    <w:rsid w:val="00586C8D"/>
    <w:rsid w:val="0058705F"/>
    <w:rsid w:val="00587264"/>
    <w:rsid w:val="00587943"/>
    <w:rsid w:val="00587A4F"/>
    <w:rsid w:val="00587B52"/>
    <w:rsid w:val="00587BB0"/>
    <w:rsid w:val="00587CCF"/>
    <w:rsid w:val="00587E62"/>
    <w:rsid w:val="0059033A"/>
    <w:rsid w:val="005905D1"/>
    <w:rsid w:val="005905E0"/>
    <w:rsid w:val="005906A3"/>
    <w:rsid w:val="005908DD"/>
    <w:rsid w:val="00590D52"/>
    <w:rsid w:val="00590E4F"/>
    <w:rsid w:val="00590E74"/>
    <w:rsid w:val="005913E3"/>
    <w:rsid w:val="005913FC"/>
    <w:rsid w:val="00591818"/>
    <w:rsid w:val="00591881"/>
    <w:rsid w:val="0059195F"/>
    <w:rsid w:val="00591F9B"/>
    <w:rsid w:val="00592122"/>
    <w:rsid w:val="00592224"/>
    <w:rsid w:val="005923EC"/>
    <w:rsid w:val="00592801"/>
    <w:rsid w:val="00593095"/>
    <w:rsid w:val="005933C1"/>
    <w:rsid w:val="00593977"/>
    <w:rsid w:val="00593F10"/>
    <w:rsid w:val="005942FC"/>
    <w:rsid w:val="0059435E"/>
    <w:rsid w:val="00594AA5"/>
    <w:rsid w:val="00594B0B"/>
    <w:rsid w:val="00594D50"/>
    <w:rsid w:val="00595312"/>
    <w:rsid w:val="005959F0"/>
    <w:rsid w:val="00595A23"/>
    <w:rsid w:val="00595FB7"/>
    <w:rsid w:val="00596B31"/>
    <w:rsid w:val="00596E06"/>
    <w:rsid w:val="00597025"/>
    <w:rsid w:val="00597943"/>
    <w:rsid w:val="0059798F"/>
    <w:rsid w:val="00597A0D"/>
    <w:rsid w:val="00597A37"/>
    <w:rsid w:val="00597D46"/>
    <w:rsid w:val="00597F7B"/>
    <w:rsid w:val="005A023F"/>
    <w:rsid w:val="005A0734"/>
    <w:rsid w:val="005A08EA"/>
    <w:rsid w:val="005A0CCB"/>
    <w:rsid w:val="005A0F92"/>
    <w:rsid w:val="005A1000"/>
    <w:rsid w:val="005A11D4"/>
    <w:rsid w:val="005A11ED"/>
    <w:rsid w:val="005A1483"/>
    <w:rsid w:val="005A1603"/>
    <w:rsid w:val="005A173C"/>
    <w:rsid w:val="005A199A"/>
    <w:rsid w:val="005A1C99"/>
    <w:rsid w:val="005A1DE0"/>
    <w:rsid w:val="005A1DFE"/>
    <w:rsid w:val="005A2CBF"/>
    <w:rsid w:val="005A2D80"/>
    <w:rsid w:val="005A304D"/>
    <w:rsid w:val="005A312C"/>
    <w:rsid w:val="005A31E3"/>
    <w:rsid w:val="005A3318"/>
    <w:rsid w:val="005A3340"/>
    <w:rsid w:val="005A336F"/>
    <w:rsid w:val="005A36A9"/>
    <w:rsid w:val="005A3A5A"/>
    <w:rsid w:val="005A3C94"/>
    <w:rsid w:val="005A3F34"/>
    <w:rsid w:val="005A40D1"/>
    <w:rsid w:val="005A461E"/>
    <w:rsid w:val="005A4647"/>
    <w:rsid w:val="005A4D17"/>
    <w:rsid w:val="005A546D"/>
    <w:rsid w:val="005A5553"/>
    <w:rsid w:val="005A5619"/>
    <w:rsid w:val="005A5759"/>
    <w:rsid w:val="005A58B8"/>
    <w:rsid w:val="005A594C"/>
    <w:rsid w:val="005A5988"/>
    <w:rsid w:val="005A5A04"/>
    <w:rsid w:val="005A6164"/>
    <w:rsid w:val="005A6294"/>
    <w:rsid w:val="005A64A9"/>
    <w:rsid w:val="005A6733"/>
    <w:rsid w:val="005A6943"/>
    <w:rsid w:val="005A6A4A"/>
    <w:rsid w:val="005A6BE6"/>
    <w:rsid w:val="005A6F96"/>
    <w:rsid w:val="005A736D"/>
    <w:rsid w:val="005A73AC"/>
    <w:rsid w:val="005A73C1"/>
    <w:rsid w:val="005A7610"/>
    <w:rsid w:val="005A7622"/>
    <w:rsid w:val="005A766C"/>
    <w:rsid w:val="005A7678"/>
    <w:rsid w:val="005A77DE"/>
    <w:rsid w:val="005A77E4"/>
    <w:rsid w:val="005A785E"/>
    <w:rsid w:val="005A78F1"/>
    <w:rsid w:val="005A7BFA"/>
    <w:rsid w:val="005A7C12"/>
    <w:rsid w:val="005A7FD1"/>
    <w:rsid w:val="005B0566"/>
    <w:rsid w:val="005B057D"/>
    <w:rsid w:val="005B09CA"/>
    <w:rsid w:val="005B09DA"/>
    <w:rsid w:val="005B0AE5"/>
    <w:rsid w:val="005B1366"/>
    <w:rsid w:val="005B1397"/>
    <w:rsid w:val="005B1862"/>
    <w:rsid w:val="005B1978"/>
    <w:rsid w:val="005B1CEE"/>
    <w:rsid w:val="005B1E47"/>
    <w:rsid w:val="005B1EEB"/>
    <w:rsid w:val="005B2546"/>
    <w:rsid w:val="005B25A9"/>
    <w:rsid w:val="005B26D6"/>
    <w:rsid w:val="005B281E"/>
    <w:rsid w:val="005B2DE4"/>
    <w:rsid w:val="005B311B"/>
    <w:rsid w:val="005B3189"/>
    <w:rsid w:val="005B31E3"/>
    <w:rsid w:val="005B3850"/>
    <w:rsid w:val="005B3D92"/>
    <w:rsid w:val="005B3F48"/>
    <w:rsid w:val="005B4515"/>
    <w:rsid w:val="005B4972"/>
    <w:rsid w:val="005B4B35"/>
    <w:rsid w:val="005B4EE2"/>
    <w:rsid w:val="005B5222"/>
    <w:rsid w:val="005B548A"/>
    <w:rsid w:val="005B560D"/>
    <w:rsid w:val="005B5610"/>
    <w:rsid w:val="005B5731"/>
    <w:rsid w:val="005B58D2"/>
    <w:rsid w:val="005B59EE"/>
    <w:rsid w:val="005B5A68"/>
    <w:rsid w:val="005B5E13"/>
    <w:rsid w:val="005B62D5"/>
    <w:rsid w:val="005B67A9"/>
    <w:rsid w:val="005B6887"/>
    <w:rsid w:val="005B7489"/>
    <w:rsid w:val="005B7588"/>
    <w:rsid w:val="005B7645"/>
    <w:rsid w:val="005B77BB"/>
    <w:rsid w:val="005B79E3"/>
    <w:rsid w:val="005B7BD6"/>
    <w:rsid w:val="005B7C26"/>
    <w:rsid w:val="005B7DBB"/>
    <w:rsid w:val="005C0587"/>
    <w:rsid w:val="005C07A8"/>
    <w:rsid w:val="005C0EF3"/>
    <w:rsid w:val="005C148B"/>
    <w:rsid w:val="005C14CF"/>
    <w:rsid w:val="005C151F"/>
    <w:rsid w:val="005C165B"/>
    <w:rsid w:val="005C18C7"/>
    <w:rsid w:val="005C193F"/>
    <w:rsid w:val="005C1C27"/>
    <w:rsid w:val="005C1D57"/>
    <w:rsid w:val="005C1FB8"/>
    <w:rsid w:val="005C2014"/>
    <w:rsid w:val="005C214B"/>
    <w:rsid w:val="005C253F"/>
    <w:rsid w:val="005C2955"/>
    <w:rsid w:val="005C2A35"/>
    <w:rsid w:val="005C2CC3"/>
    <w:rsid w:val="005C305B"/>
    <w:rsid w:val="005C345A"/>
    <w:rsid w:val="005C37C2"/>
    <w:rsid w:val="005C3863"/>
    <w:rsid w:val="005C396B"/>
    <w:rsid w:val="005C3A64"/>
    <w:rsid w:val="005C3FDB"/>
    <w:rsid w:val="005C4361"/>
    <w:rsid w:val="005C4483"/>
    <w:rsid w:val="005C46FB"/>
    <w:rsid w:val="005C4912"/>
    <w:rsid w:val="005C506B"/>
    <w:rsid w:val="005C5284"/>
    <w:rsid w:val="005C53BC"/>
    <w:rsid w:val="005C54E7"/>
    <w:rsid w:val="005C55C4"/>
    <w:rsid w:val="005C5751"/>
    <w:rsid w:val="005C5C12"/>
    <w:rsid w:val="005C60B1"/>
    <w:rsid w:val="005C633E"/>
    <w:rsid w:val="005C656B"/>
    <w:rsid w:val="005C68D8"/>
    <w:rsid w:val="005C6B4B"/>
    <w:rsid w:val="005C6DAD"/>
    <w:rsid w:val="005C71BC"/>
    <w:rsid w:val="005C72B4"/>
    <w:rsid w:val="005C75E1"/>
    <w:rsid w:val="005C7771"/>
    <w:rsid w:val="005C7C1A"/>
    <w:rsid w:val="005C7CFD"/>
    <w:rsid w:val="005D0419"/>
    <w:rsid w:val="005D065E"/>
    <w:rsid w:val="005D06C7"/>
    <w:rsid w:val="005D073F"/>
    <w:rsid w:val="005D0926"/>
    <w:rsid w:val="005D0970"/>
    <w:rsid w:val="005D0B7A"/>
    <w:rsid w:val="005D0B9A"/>
    <w:rsid w:val="005D1014"/>
    <w:rsid w:val="005D1077"/>
    <w:rsid w:val="005D1145"/>
    <w:rsid w:val="005D1252"/>
    <w:rsid w:val="005D132E"/>
    <w:rsid w:val="005D1472"/>
    <w:rsid w:val="005D16BA"/>
    <w:rsid w:val="005D1A79"/>
    <w:rsid w:val="005D1A98"/>
    <w:rsid w:val="005D1B28"/>
    <w:rsid w:val="005D1B7A"/>
    <w:rsid w:val="005D2232"/>
    <w:rsid w:val="005D22C7"/>
    <w:rsid w:val="005D2366"/>
    <w:rsid w:val="005D2496"/>
    <w:rsid w:val="005D24FB"/>
    <w:rsid w:val="005D2525"/>
    <w:rsid w:val="005D2576"/>
    <w:rsid w:val="005D26B6"/>
    <w:rsid w:val="005D2A29"/>
    <w:rsid w:val="005D2A4D"/>
    <w:rsid w:val="005D2A67"/>
    <w:rsid w:val="005D2D0F"/>
    <w:rsid w:val="005D30AD"/>
    <w:rsid w:val="005D3150"/>
    <w:rsid w:val="005D3301"/>
    <w:rsid w:val="005D34F5"/>
    <w:rsid w:val="005D3CE2"/>
    <w:rsid w:val="005D3DA7"/>
    <w:rsid w:val="005D3FD1"/>
    <w:rsid w:val="005D4478"/>
    <w:rsid w:val="005D4811"/>
    <w:rsid w:val="005D4893"/>
    <w:rsid w:val="005D48D7"/>
    <w:rsid w:val="005D4DDA"/>
    <w:rsid w:val="005D4F94"/>
    <w:rsid w:val="005D542A"/>
    <w:rsid w:val="005D5661"/>
    <w:rsid w:val="005D5783"/>
    <w:rsid w:val="005D57C0"/>
    <w:rsid w:val="005D5828"/>
    <w:rsid w:val="005D5957"/>
    <w:rsid w:val="005D5B3C"/>
    <w:rsid w:val="005D5BCF"/>
    <w:rsid w:val="005D624A"/>
    <w:rsid w:val="005D6348"/>
    <w:rsid w:val="005D64E1"/>
    <w:rsid w:val="005D64F4"/>
    <w:rsid w:val="005D6600"/>
    <w:rsid w:val="005D6BBA"/>
    <w:rsid w:val="005D6E52"/>
    <w:rsid w:val="005D712C"/>
    <w:rsid w:val="005D73A5"/>
    <w:rsid w:val="005D73B5"/>
    <w:rsid w:val="005D7644"/>
    <w:rsid w:val="005D7699"/>
    <w:rsid w:val="005D7BC9"/>
    <w:rsid w:val="005D7C11"/>
    <w:rsid w:val="005D7DB8"/>
    <w:rsid w:val="005E0350"/>
    <w:rsid w:val="005E05F7"/>
    <w:rsid w:val="005E06D1"/>
    <w:rsid w:val="005E0E5F"/>
    <w:rsid w:val="005E11DE"/>
    <w:rsid w:val="005E11F9"/>
    <w:rsid w:val="005E128B"/>
    <w:rsid w:val="005E15F6"/>
    <w:rsid w:val="005E165E"/>
    <w:rsid w:val="005E16DE"/>
    <w:rsid w:val="005E19AF"/>
    <w:rsid w:val="005E19B2"/>
    <w:rsid w:val="005E1C03"/>
    <w:rsid w:val="005E1D39"/>
    <w:rsid w:val="005E1D46"/>
    <w:rsid w:val="005E1EC3"/>
    <w:rsid w:val="005E1F66"/>
    <w:rsid w:val="005E2222"/>
    <w:rsid w:val="005E2751"/>
    <w:rsid w:val="005E27E0"/>
    <w:rsid w:val="005E2863"/>
    <w:rsid w:val="005E2D34"/>
    <w:rsid w:val="005E2DD5"/>
    <w:rsid w:val="005E2FA8"/>
    <w:rsid w:val="005E30AB"/>
    <w:rsid w:val="005E336E"/>
    <w:rsid w:val="005E34B4"/>
    <w:rsid w:val="005E3537"/>
    <w:rsid w:val="005E36E1"/>
    <w:rsid w:val="005E3787"/>
    <w:rsid w:val="005E3947"/>
    <w:rsid w:val="005E3AF2"/>
    <w:rsid w:val="005E425C"/>
    <w:rsid w:val="005E45FC"/>
    <w:rsid w:val="005E46BE"/>
    <w:rsid w:val="005E493E"/>
    <w:rsid w:val="005E4A8B"/>
    <w:rsid w:val="005E4EAC"/>
    <w:rsid w:val="005E4F63"/>
    <w:rsid w:val="005E5093"/>
    <w:rsid w:val="005E51E7"/>
    <w:rsid w:val="005E524D"/>
    <w:rsid w:val="005E554C"/>
    <w:rsid w:val="005E5922"/>
    <w:rsid w:val="005E5B7E"/>
    <w:rsid w:val="005E5BC9"/>
    <w:rsid w:val="005E5E2C"/>
    <w:rsid w:val="005E601A"/>
    <w:rsid w:val="005E630D"/>
    <w:rsid w:val="005E64FE"/>
    <w:rsid w:val="005E6536"/>
    <w:rsid w:val="005E675A"/>
    <w:rsid w:val="005E6D16"/>
    <w:rsid w:val="005E70FC"/>
    <w:rsid w:val="005E712D"/>
    <w:rsid w:val="005E795F"/>
    <w:rsid w:val="005E7A42"/>
    <w:rsid w:val="005E7C60"/>
    <w:rsid w:val="005E7DD7"/>
    <w:rsid w:val="005E7E8E"/>
    <w:rsid w:val="005E7F3E"/>
    <w:rsid w:val="005F095B"/>
    <w:rsid w:val="005F0984"/>
    <w:rsid w:val="005F0A50"/>
    <w:rsid w:val="005F106A"/>
    <w:rsid w:val="005F1387"/>
    <w:rsid w:val="005F1683"/>
    <w:rsid w:val="005F1784"/>
    <w:rsid w:val="005F1862"/>
    <w:rsid w:val="005F191C"/>
    <w:rsid w:val="005F1A18"/>
    <w:rsid w:val="005F1D37"/>
    <w:rsid w:val="005F20C7"/>
    <w:rsid w:val="005F2322"/>
    <w:rsid w:val="005F24DF"/>
    <w:rsid w:val="005F29EE"/>
    <w:rsid w:val="005F35D0"/>
    <w:rsid w:val="005F35DA"/>
    <w:rsid w:val="005F39E0"/>
    <w:rsid w:val="005F3AF2"/>
    <w:rsid w:val="005F3BAB"/>
    <w:rsid w:val="005F3EAE"/>
    <w:rsid w:val="005F4065"/>
    <w:rsid w:val="005F40B5"/>
    <w:rsid w:val="005F40C8"/>
    <w:rsid w:val="005F427E"/>
    <w:rsid w:val="005F432C"/>
    <w:rsid w:val="005F4825"/>
    <w:rsid w:val="005F4C1D"/>
    <w:rsid w:val="005F4CB1"/>
    <w:rsid w:val="005F4E3A"/>
    <w:rsid w:val="005F50EA"/>
    <w:rsid w:val="005F51CE"/>
    <w:rsid w:val="005F5450"/>
    <w:rsid w:val="005F5915"/>
    <w:rsid w:val="005F59C3"/>
    <w:rsid w:val="005F5D0B"/>
    <w:rsid w:val="005F5E88"/>
    <w:rsid w:val="005F5EA8"/>
    <w:rsid w:val="005F6217"/>
    <w:rsid w:val="005F62C8"/>
    <w:rsid w:val="005F6703"/>
    <w:rsid w:val="005F67C0"/>
    <w:rsid w:val="005F690F"/>
    <w:rsid w:val="005F6AFE"/>
    <w:rsid w:val="005F6B06"/>
    <w:rsid w:val="005F6DC4"/>
    <w:rsid w:val="005F6DE3"/>
    <w:rsid w:val="005F7279"/>
    <w:rsid w:val="005F7519"/>
    <w:rsid w:val="005F7A00"/>
    <w:rsid w:val="005F7C4B"/>
    <w:rsid w:val="005F7CCD"/>
    <w:rsid w:val="0060000F"/>
    <w:rsid w:val="00600120"/>
    <w:rsid w:val="0060014F"/>
    <w:rsid w:val="006003AA"/>
    <w:rsid w:val="0060049D"/>
    <w:rsid w:val="00600636"/>
    <w:rsid w:val="00600895"/>
    <w:rsid w:val="00600913"/>
    <w:rsid w:val="00600C21"/>
    <w:rsid w:val="00600CDA"/>
    <w:rsid w:val="00600D05"/>
    <w:rsid w:val="00601018"/>
    <w:rsid w:val="00601386"/>
    <w:rsid w:val="006014B9"/>
    <w:rsid w:val="00601ACE"/>
    <w:rsid w:val="00601C56"/>
    <w:rsid w:val="00601E0F"/>
    <w:rsid w:val="006020BA"/>
    <w:rsid w:val="0060225F"/>
    <w:rsid w:val="0060243A"/>
    <w:rsid w:val="0060260E"/>
    <w:rsid w:val="0060265A"/>
    <w:rsid w:val="006028FB"/>
    <w:rsid w:val="00602A02"/>
    <w:rsid w:val="00602A4D"/>
    <w:rsid w:val="00602B41"/>
    <w:rsid w:val="00602BAC"/>
    <w:rsid w:val="0060323E"/>
    <w:rsid w:val="006032E7"/>
    <w:rsid w:val="006033D1"/>
    <w:rsid w:val="0060350B"/>
    <w:rsid w:val="0060362C"/>
    <w:rsid w:val="00603728"/>
    <w:rsid w:val="00603A07"/>
    <w:rsid w:val="00603C58"/>
    <w:rsid w:val="00603CEC"/>
    <w:rsid w:val="00603EA9"/>
    <w:rsid w:val="00604118"/>
    <w:rsid w:val="00604385"/>
    <w:rsid w:val="0060458B"/>
    <w:rsid w:val="0060485B"/>
    <w:rsid w:val="0060490E"/>
    <w:rsid w:val="00604A07"/>
    <w:rsid w:val="00604AE2"/>
    <w:rsid w:val="00604AF1"/>
    <w:rsid w:val="00604B99"/>
    <w:rsid w:val="00604C2B"/>
    <w:rsid w:val="00604DD8"/>
    <w:rsid w:val="00605678"/>
    <w:rsid w:val="006060DB"/>
    <w:rsid w:val="00606892"/>
    <w:rsid w:val="006068E8"/>
    <w:rsid w:val="00606B17"/>
    <w:rsid w:val="00606C87"/>
    <w:rsid w:val="00606CAD"/>
    <w:rsid w:val="00607564"/>
    <w:rsid w:val="0060788F"/>
    <w:rsid w:val="00607A72"/>
    <w:rsid w:val="00607AA7"/>
    <w:rsid w:val="00607B4B"/>
    <w:rsid w:val="00607B86"/>
    <w:rsid w:val="00607BDA"/>
    <w:rsid w:val="00607CA7"/>
    <w:rsid w:val="00607D5A"/>
    <w:rsid w:val="00607EDA"/>
    <w:rsid w:val="00607EFD"/>
    <w:rsid w:val="0061036C"/>
    <w:rsid w:val="0061043C"/>
    <w:rsid w:val="0061057D"/>
    <w:rsid w:val="00610C0E"/>
    <w:rsid w:val="00610C47"/>
    <w:rsid w:val="00610D3C"/>
    <w:rsid w:val="00611013"/>
    <w:rsid w:val="006113BD"/>
    <w:rsid w:val="006115F6"/>
    <w:rsid w:val="00611659"/>
    <w:rsid w:val="00611757"/>
    <w:rsid w:val="00611920"/>
    <w:rsid w:val="00611A2D"/>
    <w:rsid w:val="00611A69"/>
    <w:rsid w:val="00611BB3"/>
    <w:rsid w:val="00611D70"/>
    <w:rsid w:val="00611FCD"/>
    <w:rsid w:val="006124C9"/>
    <w:rsid w:val="00612588"/>
    <w:rsid w:val="006127E8"/>
    <w:rsid w:val="00612835"/>
    <w:rsid w:val="00612BC0"/>
    <w:rsid w:val="00612BD3"/>
    <w:rsid w:val="00612C6B"/>
    <w:rsid w:val="0061308D"/>
    <w:rsid w:val="0061309D"/>
    <w:rsid w:val="006137C7"/>
    <w:rsid w:val="00613926"/>
    <w:rsid w:val="00613DB9"/>
    <w:rsid w:val="00613DEC"/>
    <w:rsid w:val="00613E8C"/>
    <w:rsid w:val="00613F50"/>
    <w:rsid w:val="00613FEF"/>
    <w:rsid w:val="0061428F"/>
    <w:rsid w:val="006143A3"/>
    <w:rsid w:val="00614750"/>
    <w:rsid w:val="00614B97"/>
    <w:rsid w:val="00614BDC"/>
    <w:rsid w:val="00614CBE"/>
    <w:rsid w:val="00614DAD"/>
    <w:rsid w:val="00614E13"/>
    <w:rsid w:val="00615016"/>
    <w:rsid w:val="0061550A"/>
    <w:rsid w:val="0061551E"/>
    <w:rsid w:val="0061640F"/>
    <w:rsid w:val="00616538"/>
    <w:rsid w:val="006166D3"/>
    <w:rsid w:val="006169B4"/>
    <w:rsid w:val="00616B5C"/>
    <w:rsid w:val="00616CA3"/>
    <w:rsid w:val="00617183"/>
    <w:rsid w:val="006174DB"/>
    <w:rsid w:val="00617671"/>
    <w:rsid w:val="00617726"/>
    <w:rsid w:val="0061775C"/>
    <w:rsid w:val="00617CE5"/>
    <w:rsid w:val="00617E92"/>
    <w:rsid w:val="00617EFF"/>
    <w:rsid w:val="00620233"/>
    <w:rsid w:val="006202FD"/>
    <w:rsid w:val="006203BA"/>
    <w:rsid w:val="00620721"/>
    <w:rsid w:val="0062090C"/>
    <w:rsid w:val="00620BE8"/>
    <w:rsid w:val="00620C21"/>
    <w:rsid w:val="00620D18"/>
    <w:rsid w:val="00620E26"/>
    <w:rsid w:val="00620E54"/>
    <w:rsid w:val="00620EE5"/>
    <w:rsid w:val="0062108B"/>
    <w:rsid w:val="006211AB"/>
    <w:rsid w:val="00621257"/>
    <w:rsid w:val="0062130B"/>
    <w:rsid w:val="006217A7"/>
    <w:rsid w:val="00621A48"/>
    <w:rsid w:val="00621C3A"/>
    <w:rsid w:val="00622248"/>
    <w:rsid w:val="006222C2"/>
    <w:rsid w:val="00622700"/>
    <w:rsid w:val="00622A93"/>
    <w:rsid w:val="00622AF9"/>
    <w:rsid w:val="00622D1B"/>
    <w:rsid w:val="0062326C"/>
    <w:rsid w:val="00623676"/>
    <w:rsid w:val="00623679"/>
    <w:rsid w:val="00623B19"/>
    <w:rsid w:val="00623C79"/>
    <w:rsid w:val="00623E20"/>
    <w:rsid w:val="00623F14"/>
    <w:rsid w:val="00624425"/>
    <w:rsid w:val="00624B0B"/>
    <w:rsid w:val="00624B54"/>
    <w:rsid w:val="00625608"/>
    <w:rsid w:val="00625693"/>
    <w:rsid w:val="0062588E"/>
    <w:rsid w:val="00625F9C"/>
    <w:rsid w:val="00626B95"/>
    <w:rsid w:val="00626C4E"/>
    <w:rsid w:val="006272BF"/>
    <w:rsid w:val="00627403"/>
    <w:rsid w:val="00627936"/>
    <w:rsid w:val="00627DCC"/>
    <w:rsid w:val="00630122"/>
    <w:rsid w:val="00630242"/>
    <w:rsid w:val="00630475"/>
    <w:rsid w:val="006304A9"/>
    <w:rsid w:val="00630ABA"/>
    <w:rsid w:val="00630D26"/>
    <w:rsid w:val="00630FAC"/>
    <w:rsid w:val="006312AC"/>
    <w:rsid w:val="00631826"/>
    <w:rsid w:val="006318DC"/>
    <w:rsid w:val="00632120"/>
    <w:rsid w:val="006321A3"/>
    <w:rsid w:val="00632261"/>
    <w:rsid w:val="00632584"/>
    <w:rsid w:val="006325F8"/>
    <w:rsid w:val="006326A1"/>
    <w:rsid w:val="00632738"/>
    <w:rsid w:val="00632785"/>
    <w:rsid w:val="0063331B"/>
    <w:rsid w:val="00633463"/>
    <w:rsid w:val="006338B6"/>
    <w:rsid w:val="00633C81"/>
    <w:rsid w:val="006344FA"/>
    <w:rsid w:val="00634D42"/>
    <w:rsid w:val="00634DBF"/>
    <w:rsid w:val="00634DDA"/>
    <w:rsid w:val="00634F94"/>
    <w:rsid w:val="00635144"/>
    <w:rsid w:val="006353CE"/>
    <w:rsid w:val="00635ACA"/>
    <w:rsid w:val="00635B21"/>
    <w:rsid w:val="00635BB8"/>
    <w:rsid w:val="00635C6A"/>
    <w:rsid w:val="00636329"/>
    <w:rsid w:val="0063691E"/>
    <w:rsid w:val="00636B0C"/>
    <w:rsid w:val="00636B8B"/>
    <w:rsid w:val="00636D3E"/>
    <w:rsid w:val="0063761D"/>
    <w:rsid w:val="006377B6"/>
    <w:rsid w:val="006379AD"/>
    <w:rsid w:val="00637CBC"/>
    <w:rsid w:val="00637D45"/>
    <w:rsid w:val="00637FAC"/>
    <w:rsid w:val="00640465"/>
    <w:rsid w:val="0064062B"/>
    <w:rsid w:val="006407A2"/>
    <w:rsid w:val="00640DAB"/>
    <w:rsid w:val="00640EA5"/>
    <w:rsid w:val="006411F4"/>
    <w:rsid w:val="006417B1"/>
    <w:rsid w:val="00641A77"/>
    <w:rsid w:val="00641A9C"/>
    <w:rsid w:val="00641CA3"/>
    <w:rsid w:val="00641EE0"/>
    <w:rsid w:val="00641FBB"/>
    <w:rsid w:val="00642219"/>
    <w:rsid w:val="00642256"/>
    <w:rsid w:val="006423FD"/>
    <w:rsid w:val="006424C9"/>
    <w:rsid w:val="00642C42"/>
    <w:rsid w:val="00642D0C"/>
    <w:rsid w:val="00642D39"/>
    <w:rsid w:val="00642DB1"/>
    <w:rsid w:val="00642DBC"/>
    <w:rsid w:val="006430A2"/>
    <w:rsid w:val="006431A4"/>
    <w:rsid w:val="006433BF"/>
    <w:rsid w:val="00643520"/>
    <w:rsid w:val="006446F6"/>
    <w:rsid w:val="00644706"/>
    <w:rsid w:val="006448B6"/>
    <w:rsid w:val="00644CE0"/>
    <w:rsid w:val="00644DD4"/>
    <w:rsid w:val="00644E81"/>
    <w:rsid w:val="006451AA"/>
    <w:rsid w:val="0064576A"/>
    <w:rsid w:val="00645811"/>
    <w:rsid w:val="00645CC3"/>
    <w:rsid w:val="0064607F"/>
    <w:rsid w:val="006464B5"/>
    <w:rsid w:val="00646810"/>
    <w:rsid w:val="00646836"/>
    <w:rsid w:val="00646A01"/>
    <w:rsid w:val="00646C94"/>
    <w:rsid w:val="00646CE4"/>
    <w:rsid w:val="00646D2A"/>
    <w:rsid w:val="00646FBB"/>
    <w:rsid w:val="0064729B"/>
    <w:rsid w:val="00647448"/>
    <w:rsid w:val="00647558"/>
    <w:rsid w:val="0064782C"/>
    <w:rsid w:val="00647B83"/>
    <w:rsid w:val="00647ED2"/>
    <w:rsid w:val="0065006D"/>
    <w:rsid w:val="006500D7"/>
    <w:rsid w:val="00650140"/>
    <w:rsid w:val="006501BC"/>
    <w:rsid w:val="00650201"/>
    <w:rsid w:val="00650A10"/>
    <w:rsid w:val="00650AE3"/>
    <w:rsid w:val="00650CB5"/>
    <w:rsid w:val="00651564"/>
    <w:rsid w:val="0065175B"/>
    <w:rsid w:val="00651773"/>
    <w:rsid w:val="00651D79"/>
    <w:rsid w:val="00652056"/>
    <w:rsid w:val="00652520"/>
    <w:rsid w:val="00652A7D"/>
    <w:rsid w:val="00652C6C"/>
    <w:rsid w:val="00652F35"/>
    <w:rsid w:val="00653BA1"/>
    <w:rsid w:val="00653F80"/>
    <w:rsid w:val="00653FA3"/>
    <w:rsid w:val="00654083"/>
    <w:rsid w:val="00654311"/>
    <w:rsid w:val="00654534"/>
    <w:rsid w:val="00654AA3"/>
    <w:rsid w:val="00654B25"/>
    <w:rsid w:val="00654BC4"/>
    <w:rsid w:val="00654D75"/>
    <w:rsid w:val="00654E13"/>
    <w:rsid w:val="00654EE1"/>
    <w:rsid w:val="006553DC"/>
    <w:rsid w:val="006556B5"/>
    <w:rsid w:val="0065571D"/>
    <w:rsid w:val="00655C54"/>
    <w:rsid w:val="00655CE8"/>
    <w:rsid w:val="00655E22"/>
    <w:rsid w:val="00655F70"/>
    <w:rsid w:val="00655F96"/>
    <w:rsid w:val="006563EC"/>
    <w:rsid w:val="006565B0"/>
    <w:rsid w:val="0065667C"/>
    <w:rsid w:val="00656714"/>
    <w:rsid w:val="00656883"/>
    <w:rsid w:val="006569B7"/>
    <w:rsid w:val="00656BA7"/>
    <w:rsid w:val="00656CD0"/>
    <w:rsid w:val="00656CE5"/>
    <w:rsid w:val="00657586"/>
    <w:rsid w:val="0065794F"/>
    <w:rsid w:val="00657C87"/>
    <w:rsid w:val="00657E2A"/>
    <w:rsid w:val="00660477"/>
    <w:rsid w:val="006604BA"/>
    <w:rsid w:val="0066087F"/>
    <w:rsid w:val="0066099B"/>
    <w:rsid w:val="00660E58"/>
    <w:rsid w:val="00660E8B"/>
    <w:rsid w:val="00661005"/>
    <w:rsid w:val="006612EB"/>
    <w:rsid w:val="0066164E"/>
    <w:rsid w:val="0066198F"/>
    <w:rsid w:val="006619D1"/>
    <w:rsid w:val="00661C7B"/>
    <w:rsid w:val="00661FBD"/>
    <w:rsid w:val="00662710"/>
    <w:rsid w:val="00662B35"/>
    <w:rsid w:val="00662B94"/>
    <w:rsid w:val="00662F2B"/>
    <w:rsid w:val="006630CF"/>
    <w:rsid w:val="006634A5"/>
    <w:rsid w:val="0066351D"/>
    <w:rsid w:val="00663612"/>
    <w:rsid w:val="00663725"/>
    <w:rsid w:val="0066376C"/>
    <w:rsid w:val="00663C65"/>
    <w:rsid w:val="00663CDD"/>
    <w:rsid w:val="00663FB4"/>
    <w:rsid w:val="00664035"/>
    <w:rsid w:val="00664229"/>
    <w:rsid w:val="00664555"/>
    <w:rsid w:val="00664A6E"/>
    <w:rsid w:val="00664CF1"/>
    <w:rsid w:val="00664D05"/>
    <w:rsid w:val="00664F1A"/>
    <w:rsid w:val="0066519C"/>
    <w:rsid w:val="006651AB"/>
    <w:rsid w:val="00665413"/>
    <w:rsid w:val="006655F5"/>
    <w:rsid w:val="00665662"/>
    <w:rsid w:val="00665995"/>
    <w:rsid w:val="006659EB"/>
    <w:rsid w:val="00665A05"/>
    <w:rsid w:val="00665C10"/>
    <w:rsid w:val="00666309"/>
    <w:rsid w:val="00666490"/>
    <w:rsid w:val="006665DC"/>
    <w:rsid w:val="0066677D"/>
    <w:rsid w:val="00666C3D"/>
    <w:rsid w:val="00666D8F"/>
    <w:rsid w:val="00666DAA"/>
    <w:rsid w:val="00666E29"/>
    <w:rsid w:val="006670F1"/>
    <w:rsid w:val="006673E6"/>
    <w:rsid w:val="006675E5"/>
    <w:rsid w:val="00667805"/>
    <w:rsid w:val="00667837"/>
    <w:rsid w:val="00667863"/>
    <w:rsid w:val="00667A21"/>
    <w:rsid w:val="00667B96"/>
    <w:rsid w:val="00667BA2"/>
    <w:rsid w:val="00667BAB"/>
    <w:rsid w:val="00667CC3"/>
    <w:rsid w:val="00667ED9"/>
    <w:rsid w:val="00670787"/>
    <w:rsid w:val="0067099C"/>
    <w:rsid w:val="00670B97"/>
    <w:rsid w:val="00670CFF"/>
    <w:rsid w:val="00671020"/>
    <w:rsid w:val="006710B7"/>
    <w:rsid w:val="0067117C"/>
    <w:rsid w:val="00671281"/>
    <w:rsid w:val="0067160F"/>
    <w:rsid w:val="00671959"/>
    <w:rsid w:val="00671A8E"/>
    <w:rsid w:val="0067224B"/>
    <w:rsid w:val="00672B02"/>
    <w:rsid w:val="00672F08"/>
    <w:rsid w:val="006731A5"/>
    <w:rsid w:val="00673203"/>
    <w:rsid w:val="0067323D"/>
    <w:rsid w:val="0067339F"/>
    <w:rsid w:val="0067364D"/>
    <w:rsid w:val="00673668"/>
    <w:rsid w:val="0067380A"/>
    <w:rsid w:val="00673AA4"/>
    <w:rsid w:val="00673BC3"/>
    <w:rsid w:val="00673C33"/>
    <w:rsid w:val="00673CB8"/>
    <w:rsid w:val="00673E27"/>
    <w:rsid w:val="0067412F"/>
    <w:rsid w:val="0067415D"/>
    <w:rsid w:val="00674272"/>
    <w:rsid w:val="006744F2"/>
    <w:rsid w:val="006748BB"/>
    <w:rsid w:val="00674E3E"/>
    <w:rsid w:val="006753DD"/>
    <w:rsid w:val="006754EA"/>
    <w:rsid w:val="006756C6"/>
    <w:rsid w:val="00675739"/>
    <w:rsid w:val="00675786"/>
    <w:rsid w:val="006760D3"/>
    <w:rsid w:val="00676730"/>
    <w:rsid w:val="00676743"/>
    <w:rsid w:val="00676A30"/>
    <w:rsid w:val="00676ACF"/>
    <w:rsid w:val="00676B77"/>
    <w:rsid w:val="00676E00"/>
    <w:rsid w:val="00676F19"/>
    <w:rsid w:val="006770AC"/>
    <w:rsid w:val="00677365"/>
    <w:rsid w:val="00677473"/>
    <w:rsid w:val="00677689"/>
    <w:rsid w:val="00677862"/>
    <w:rsid w:val="00677F4D"/>
    <w:rsid w:val="00680393"/>
    <w:rsid w:val="006805CC"/>
    <w:rsid w:val="00680636"/>
    <w:rsid w:val="00680708"/>
    <w:rsid w:val="00680A5D"/>
    <w:rsid w:val="00680F82"/>
    <w:rsid w:val="006812A7"/>
    <w:rsid w:val="0068135F"/>
    <w:rsid w:val="006817BA"/>
    <w:rsid w:val="00681895"/>
    <w:rsid w:val="00681971"/>
    <w:rsid w:val="00681CCC"/>
    <w:rsid w:val="00681CD5"/>
    <w:rsid w:val="00681EF8"/>
    <w:rsid w:val="00681F07"/>
    <w:rsid w:val="00681F10"/>
    <w:rsid w:val="00682035"/>
    <w:rsid w:val="0068209B"/>
    <w:rsid w:val="006820B1"/>
    <w:rsid w:val="00682106"/>
    <w:rsid w:val="0068219F"/>
    <w:rsid w:val="00682349"/>
    <w:rsid w:val="00682897"/>
    <w:rsid w:val="00682B3E"/>
    <w:rsid w:val="00683452"/>
    <w:rsid w:val="00683482"/>
    <w:rsid w:val="00683604"/>
    <w:rsid w:val="006837DC"/>
    <w:rsid w:val="0068400B"/>
    <w:rsid w:val="006840E6"/>
    <w:rsid w:val="0068411F"/>
    <w:rsid w:val="006842A8"/>
    <w:rsid w:val="006842BF"/>
    <w:rsid w:val="006849BB"/>
    <w:rsid w:val="00684C5A"/>
    <w:rsid w:val="00685117"/>
    <w:rsid w:val="006851DD"/>
    <w:rsid w:val="0068525D"/>
    <w:rsid w:val="00685288"/>
    <w:rsid w:val="006854B8"/>
    <w:rsid w:val="00685950"/>
    <w:rsid w:val="00685BF8"/>
    <w:rsid w:val="00685CC7"/>
    <w:rsid w:val="00686135"/>
    <w:rsid w:val="0068616E"/>
    <w:rsid w:val="006862A6"/>
    <w:rsid w:val="00686307"/>
    <w:rsid w:val="00686323"/>
    <w:rsid w:val="0068662C"/>
    <w:rsid w:val="00686646"/>
    <w:rsid w:val="00686A19"/>
    <w:rsid w:val="00687192"/>
    <w:rsid w:val="006871B1"/>
    <w:rsid w:val="00687811"/>
    <w:rsid w:val="00687B7B"/>
    <w:rsid w:val="00690201"/>
    <w:rsid w:val="00690365"/>
    <w:rsid w:val="0069074D"/>
    <w:rsid w:val="00690755"/>
    <w:rsid w:val="00690829"/>
    <w:rsid w:val="00690DF3"/>
    <w:rsid w:val="00691344"/>
    <w:rsid w:val="006913A1"/>
    <w:rsid w:val="006914D2"/>
    <w:rsid w:val="00691502"/>
    <w:rsid w:val="00691523"/>
    <w:rsid w:val="00691A16"/>
    <w:rsid w:val="00691A76"/>
    <w:rsid w:val="00691B02"/>
    <w:rsid w:val="00691C21"/>
    <w:rsid w:val="00691CB9"/>
    <w:rsid w:val="00691D58"/>
    <w:rsid w:val="00691D7A"/>
    <w:rsid w:val="00692183"/>
    <w:rsid w:val="0069247B"/>
    <w:rsid w:val="00692FC4"/>
    <w:rsid w:val="0069370C"/>
    <w:rsid w:val="00693981"/>
    <w:rsid w:val="006939EC"/>
    <w:rsid w:val="00693F6D"/>
    <w:rsid w:val="0069454A"/>
    <w:rsid w:val="006946F8"/>
    <w:rsid w:val="00694DCE"/>
    <w:rsid w:val="00694EC6"/>
    <w:rsid w:val="00694F8F"/>
    <w:rsid w:val="0069550A"/>
    <w:rsid w:val="00695937"/>
    <w:rsid w:val="0069597C"/>
    <w:rsid w:val="006959D2"/>
    <w:rsid w:val="00695D95"/>
    <w:rsid w:val="00695F65"/>
    <w:rsid w:val="00696054"/>
    <w:rsid w:val="006960B9"/>
    <w:rsid w:val="00696258"/>
    <w:rsid w:val="00696326"/>
    <w:rsid w:val="00696406"/>
    <w:rsid w:val="006966F0"/>
    <w:rsid w:val="00696736"/>
    <w:rsid w:val="006968ED"/>
    <w:rsid w:val="00696E9D"/>
    <w:rsid w:val="006970D5"/>
    <w:rsid w:val="00697118"/>
    <w:rsid w:val="006972F7"/>
    <w:rsid w:val="0069739D"/>
    <w:rsid w:val="0069787B"/>
    <w:rsid w:val="00697CDE"/>
    <w:rsid w:val="00697D2B"/>
    <w:rsid w:val="00697D2F"/>
    <w:rsid w:val="006A01BF"/>
    <w:rsid w:val="006A0293"/>
    <w:rsid w:val="006A0669"/>
    <w:rsid w:val="006A06EB"/>
    <w:rsid w:val="006A08C1"/>
    <w:rsid w:val="006A09C3"/>
    <w:rsid w:val="006A0BE2"/>
    <w:rsid w:val="006A0D51"/>
    <w:rsid w:val="006A0DCB"/>
    <w:rsid w:val="006A1099"/>
    <w:rsid w:val="006A1186"/>
    <w:rsid w:val="006A1856"/>
    <w:rsid w:val="006A1E83"/>
    <w:rsid w:val="006A1EE1"/>
    <w:rsid w:val="006A1F2C"/>
    <w:rsid w:val="006A20C4"/>
    <w:rsid w:val="006A2159"/>
    <w:rsid w:val="006A249B"/>
    <w:rsid w:val="006A24E1"/>
    <w:rsid w:val="006A256F"/>
    <w:rsid w:val="006A27DD"/>
    <w:rsid w:val="006A2B00"/>
    <w:rsid w:val="006A3897"/>
    <w:rsid w:val="006A38F6"/>
    <w:rsid w:val="006A3D68"/>
    <w:rsid w:val="006A3F17"/>
    <w:rsid w:val="006A4211"/>
    <w:rsid w:val="006A4658"/>
    <w:rsid w:val="006A4AE2"/>
    <w:rsid w:val="006A4B09"/>
    <w:rsid w:val="006A4D54"/>
    <w:rsid w:val="006A4D8A"/>
    <w:rsid w:val="006A4F99"/>
    <w:rsid w:val="006A50C8"/>
    <w:rsid w:val="006A511A"/>
    <w:rsid w:val="006A520E"/>
    <w:rsid w:val="006A57B9"/>
    <w:rsid w:val="006A5AAE"/>
    <w:rsid w:val="006A5C1B"/>
    <w:rsid w:val="006A5EE5"/>
    <w:rsid w:val="006A5F9D"/>
    <w:rsid w:val="006A607B"/>
    <w:rsid w:val="006A625E"/>
    <w:rsid w:val="006A638E"/>
    <w:rsid w:val="006A64A9"/>
    <w:rsid w:val="006A661F"/>
    <w:rsid w:val="006A6AF9"/>
    <w:rsid w:val="006A6B52"/>
    <w:rsid w:val="006A743B"/>
    <w:rsid w:val="006A760B"/>
    <w:rsid w:val="006A796D"/>
    <w:rsid w:val="006A7AD0"/>
    <w:rsid w:val="006A7CBB"/>
    <w:rsid w:val="006A7D66"/>
    <w:rsid w:val="006A7DE9"/>
    <w:rsid w:val="006A7DFF"/>
    <w:rsid w:val="006A7F12"/>
    <w:rsid w:val="006B011B"/>
    <w:rsid w:val="006B01ED"/>
    <w:rsid w:val="006B0336"/>
    <w:rsid w:val="006B0469"/>
    <w:rsid w:val="006B04A8"/>
    <w:rsid w:val="006B0925"/>
    <w:rsid w:val="006B099B"/>
    <w:rsid w:val="006B0DA8"/>
    <w:rsid w:val="006B1012"/>
    <w:rsid w:val="006B118D"/>
    <w:rsid w:val="006B1710"/>
    <w:rsid w:val="006B1752"/>
    <w:rsid w:val="006B1C87"/>
    <w:rsid w:val="006B2331"/>
    <w:rsid w:val="006B2426"/>
    <w:rsid w:val="006B24E1"/>
    <w:rsid w:val="006B277A"/>
    <w:rsid w:val="006B27ED"/>
    <w:rsid w:val="006B2992"/>
    <w:rsid w:val="006B2C28"/>
    <w:rsid w:val="006B311C"/>
    <w:rsid w:val="006B385A"/>
    <w:rsid w:val="006B387F"/>
    <w:rsid w:val="006B38A8"/>
    <w:rsid w:val="006B3B09"/>
    <w:rsid w:val="006B3EA7"/>
    <w:rsid w:val="006B3F25"/>
    <w:rsid w:val="006B40DA"/>
    <w:rsid w:val="006B4595"/>
    <w:rsid w:val="006B4785"/>
    <w:rsid w:val="006B4949"/>
    <w:rsid w:val="006B4C57"/>
    <w:rsid w:val="006B5061"/>
    <w:rsid w:val="006B5125"/>
    <w:rsid w:val="006B52D9"/>
    <w:rsid w:val="006B556C"/>
    <w:rsid w:val="006B56EC"/>
    <w:rsid w:val="006B5A06"/>
    <w:rsid w:val="006B5ADB"/>
    <w:rsid w:val="006B69D2"/>
    <w:rsid w:val="006B6B5B"/>
    <w:rsid w:val="006B6BAF"/>
    <w:rsid w:val="006B6CB4"/>
    <w:rsid w:val="006B73B9"/>
    <w:rsid w:val="006B741B"/>
    <w:rsid w:val="006B7642"/>
    <w:rsid w:val="006B7800"/>
    <w:rsid w:val="006B7EFE"/>
    <w:rsid w:val="006C03DC"/>
    <w:rsid w:val="006C0522"/>
    <w:rsid w:val="006C06D7"/>
    <w:rsid w:val="006C0CF3"/>
    <w:rsid w:val="006C0DBD"/>
    <w:rsid w:val="006C1021"/>
    <w:rsid w:val="006C13CB"/>
    <w:rsid w:val="006C145B"/>
    <w:rsid w:val="006C14F8"/>
    <w:rsid w:val="006C19EA"/>
    <w:rsid w:val="006C1A1F"/>
    <w:rsid w:val="006C2060"/>
    <w:rsid w:val="006C207A"/>
    <w:rsid w:val="006C21A5"/>
    <w:rsid w:val="006C2203"/>
    <w:rsid w:val="006C241E"/>
    <w:rsid w:val="006C25F1"/>
    <w:rsid w:val="006C2626"/>
    <w:rsid w:val="006C2966"/>
    <w:rsid w:val="006C2A20"/>
    <w:rsid w:val="006C2B6F"/>
    <w:rsid w:val="006C2C29"/>
    <w:rsid w:val="006C2EF3"/>
    <w:rsid w:val="006C355C"/>
    <w:rsid w:val="006C3E91"/>
    <w:rsid w:val="006C43B4"/>
    <w:rsid w:val="006C44CD"/>
    <w:rsid w:val="006C4AFE"/>
    <w:rsid w:val="006C4EB9"/>
    <w:rsid w:val="006C4FD2"/>
    <w:rsid w:val="006C5048"/>
    <w:rsid w:val="006C50A4"/>
    <w:rsid w:val="006C5448"/>
    <w:rsid w:val="006C567D"/>
    <w:rsid w:val="006C56B8"/>
    <w:rsid w:val="006C5936"/>
    <w:rsid w:val="006C5A3B"/>
    <w:rsid w:val="006C5BC3"/>
    <w:rsid w:val="006C5F1A"/>
    <w:rsid w:val="006C619F"/>
    <w:rsid w:val="006C625C"/>
    <w:rsid w:val="006C6927"/>
    <w:rsid w:val="006C6D91"/>
    <w:rsid w:val="006C6FE4"/>
    <w:rsid w:val="006C746C"/>
    <w:rsid w:val="006C74B0"/>
    <w:rsid w:val="006C758D"/>
    <w:rsid w:val="006C7693"/>
    <w:rsid w:val="006D018F"/>
    <w:rsid w:val="006D01A7"/>
    <w:rsid w:val="006D04C5"/>
    <w:rsid w:val="006D0588"/>
    <w:rsid w:val="006D0DC3"/>
    <w:rsid w:val="006D103A"/>
    <w:rsid w:val="006D13BD"/>
    <w:rsid w:val="006D15F7"/>
    <w:rsid w:val="006D1DE1"/>
    <w:rsid w:val="006D20F4"/>
    <w:rsid w:val="006D228D"/>
    <w:rsid w:val="006D2317"/>
    <w:rsid w:val="006D2637"/>
    <w:rsid w:val="006D266D"/>
    <w:rsid w:val="006D2ACB"/>
    <w:rsid w:val="006D2BB0"/>
    <w:rsid w:val="006D2C7E"/>
    <w:rsid w:val="006D2F68"/>
    <w:rsid w:val="006D31EC"/>
    <w:rsid w:val="006D32CD"/>
    <w:rsid w:val="006D3749"/>
    <w:rsid w:val="006D37B0"/>
    <w:rsid w:val="006D37E6"/>
    <w:rsid w:val="006D3A92"/>
    <w:rsid w:val="006D4210"/>
    <w:rsid w:val="006D42BB"/>
    <w:rsid w:val="006D489D"/>
    <w:rsid w:val="006D4D7F"/>
    <w:rsid w:val="006D4E6C"/>
    <w:rsid w:val="006D4FAC"/>
    <w:rsid w:val="006D4FD3"/>
    <w:rsid w:val="006D517C"/>
    <w:rsid w:val="006D51B1"/>
    <w:rsid w:val="006D5A15"/>
    <w:rsid w:val="006D5D7E"/>
    <w:rsid w:val="006D5FF2"/>
    <w:rsid w:val="006D6048"/>
    <w:rsid w:val="006D625A"/>
    <w:rsid w:val="006D65CA"/>
    <w:rsid w:val="006D6748"/>
    <w:rsid w:val="006D6A10"/>
    <w:rsid w:val="006D6C3A"/>
    <w:rsid w:val="006D6F55"/>
    <w:rsid w:val="006D6F58"/>
    <w:rsid w:val="006D73BB"/>
    <w:rsid w:val="006D76B9"/>
    <w:rsid w:val="006D7B94"/>
    <w:rsid w:val="006D7ED0"/>
    <w:rsid w:val="006D7FD1"/>
    <w:rsid w:val="006E0285"/>
    <w:rsid w:val="006E0448"/>
    <w:rsid w:val="006E0875"/>
    <w:rsid w:val="006E08D9"/>
    <w:rsid w:val="006E090A"/>
    <w:rsid w:val="006E09DE"/>
    <w:rsid w:val="006E0BCD"/>
    <w:rsid w:val="006E0E91"/>
    <w:rsid w:val="006E0E9C"/>
    <w:rsid w:val="006E12B4"/>
    <w:rsid w:val="006E12BC"/>
    <w:rsid w:val="006E1377"/>
    <w:rsid w:val="006E143C"/>
    <w:rsid w:val="006E1582"/>
    <w:rsid w:val="006E1655"/>
    <w:rsid w:val="006E165D"/>
    <w:rsid w:val="006E171A"/>
    <w:rsid w:val="006E1938"/>
    <w:rsid w:val="006E1970"/>
    <w:rsid w:val="006E1DDE"/>
    <w:rsid w:val="006E2136"/>
    <w:rsid w:val="006E2191"/>
    <w:rsid w:val="006E2329"/>
    <w:rsid w:val="006E24B2"/>
    <w:rsid w:val="006E25C3"/>
    <w:rsid w:val="006E2816"/>
    <w:rsid w:val="006E2AF2"/>
    <w:rsid w:val="006E3189"/>
    <w:rsid w:val="006E3280"/>
    <w:rsid w:val="006E343B"/>
    <w:rsid w:val="006E3B0B"/>
    <w:rsid w:val="006E3C25"/>
    <w:rsid w:val="006E3C8E"/>
    <w:rsid w:val="006E449E"/>
    <w:rsid w:val="006E44D9"/>
    <w:rsid w:val="006E4737"/>
    <w:rsid w:val="006E47C7"/>
    <w:rsid w:val="006E4B84"/>
    <w:rsid w:val="006E4F9F"/>
    <w:rsid w:val="006E5032"/>
    <w:rsid w:val="006E50A3"/>
    <w:rsid w:val="006E51C2"/>
    <w:rsid w:val="006E53B4"/>
    <w:rsid w:val="006E555C"/>
    <w:rsid w:val="006E5721"/>
    <w:rsid w:val="006E5E48"/>
    <w:rsid w:val="006E6220"/>
    <w:rsid w:val="006E62EB"/>
    <w:rsid w:val="006E64C8"/>
    <w:rsid w:val="006E6607"/>
    <w:rsid w:val="006E6664"/>
    <w:rsid w:val="006E6A3A"/>
    <w:rsid w:val="006E6CFE"/>
    <w:rsid w:val="006E6D74"/>
    <w:rsid w:val="006E6E11"/>
    <w:rsid w:val="006E6F22"/>
    <w:rsid w:val="006E71C1"/>
    <w:rsid w:val="006E71F3"/>
    <w:rsid w:val="006E7410"/>
    <w:rsid w:val="006E7542"/>
    <w:rsid w:val="006E75EF"/>
    <w:rsid w:val="006E7742"/>
    <w:rsid w:val="006E778C"/>
    <w:rsid w:val="006E799B"/>
    <w:rsid w:val="006E7A46"/>
    <w:rsid w:val="006E7AC2"/>
    <w:rsid w:val="006E7B62"/>
    <w:rsid w:val="006F00FD"/>
    <w:rsid w:val="006F072E"/>
    <w:rsid w:val="006F0772"/>
    <w:rsid w:val="006F0854"/>
    <w:rsid w:val="006F0C20"/>
    <w:rsid w:val="006F0FC5"/>
    <w:rsid w:val="006F13A7"/>
    <w:rsid w:val="006F144F"/>
    <w:rsid w:val="006F155C"/>
    <w:rsid w:val="006F1A01"/>
    <w:rsid w:val="006F1E54"/>
    <w:rsid w:val="006F216E"/>
    <w:rsid w:val="006F2173"/>
    <w:rsid w:val="006F236E"/>
    <w:rsid w:val="006F2800"/>
    <w:rsid w:val="006F28B2"/>
    <w:rsid w:val="006F302E"/>
    <w:rsid w:val="006F3306"/>
    <w:rsid w:val="006F37B8"/>
    <w:rsid w:val="006F3BBA"/>
    <w:rsid w:val="006F3D0C"/>
    <w:rsid w:val="006F3DA0"/>
    <w:rsid w:val="006F432D"/>
    <w:rsid w:val="006F43CD"/>
    <w:rsid w:val="006F46D2"/>
    <w:rsid w:val="006F4737"/>
    <w:rsid w:val="006F49F3"/>
    <w:rsid w:val="006F50C8"/>
    <w:rsid w:val="006F513C"/>
    <w:rsid w:val="006F5727"/>
    <w:rsid w:val="006F5821"/>
    <w:rsid w:val="006F5E2D"/>
    <w:rsid w:val="006F5E70"/>
    <w:rsid w:val="006F5E76"/>
    <w:rsid w:val="006F5F39"/>
    <w:rsid w:val="006F61F8"/>
    <w:rsid w:val="006F6236"/>
    <w:rsid w:val="006F6789"/>
    <w:rsid w:val="006F68F6"/>
    <w:rsid w:val="006F7076"/>
    <w:rsid w:val="006F70DB"/>
    <w:rsid w:val="006F70F4"/>
    <w:rsid w:val="006F74EA"/>
    <w:rsid w:val="006F77E7"/>
    <w:rsid w:val="006F7D2B"/>
    <w:rsid w:val="00700017"/>
    <w:rsid w:val="00700038"/>
    <w:rsid w:val="0070022B"/>
    <w:rsid w:val="007004C2"/>
    <w:rsid w:val="00700714"/>
    <w:rsid w:val="007007E6"/>
    <w:rsid w:val="00700A01"/>
    <w:rsid w:val="00700B98"/>
    <w:rsid w:val="00700BD4"/>
    <w:rsid w:val="00700DD9"/>
    <w:rsid w:val="00701027"/>
    <w:rsid w:val="007012C0"/>
    <w:rsid w:val="007012CD"/>
    <w:rsid w:val="007015D5"/>
    <w:rsid w:val="007016AF"/>
    <w:rsid w:val="00701A74"/>
    <w:rsid w:val="00701D1F"/>
    <w:rsid w:val="00702372"/>
    <w:rsid w:val="007023B6"/>
    <w:rsid w:val="0070283F"/>
    <w:rsid w:val="00702B49"/>
    <w:rsid w:val="00702D3E"/>
    <w:rsid w:val="00702E7F"/>
    <w:rsid w:val="00703056"/>
    <w:rsid w:val="00703459"/>
    <w:rsid w:val="0070356E"/>
    <w:rsid w:val="00703A3A"/>
    <w:rsid w:val="00703BB5"/>
    <w:rsid w:val="00703C0D"/>
    <w:rsid w:val="00703E31"/>
    <w:rsid w:val="00704407"/>
    <w:rsid w:val="007045AF"/>
    <w:rsid w:val="00704676"/>
    <w:rsid w:val="007047E3"/>
    <w:rsid w:val="007048DC"/>
    <w:rsid w:val="00704935"/>
    <w:rsid w:val="00704CB9"/>
    <w:rsid w:val="00704CBD"/>
    <w:rsid w:val="00704D3A"/>
    <w:rsid w:val="00705121"/>
    <w:rsid w:val="00705250"/>
    <w:rsid w:val="00705322"/>
    <w:rsid w:val="0070558B"/>
    <w:rsid w:val="00705653"/>
    <w:rsid w:val="00705AD5"/>
    <w:rsid w:val="00705B0D"/>
    <w:rsid w:val="00705E62"/>
    <w:rsid w:val="00705EFC"/>
    <w:rsid w:val="00706033"/>
    <w:rsid w:val="00706065"/>
    <w:rsid w:val="0070608B"/>
    <w:rsid w:val="0070635D"/>
    <w:rsid w:val="00706390"/>
    <w:rsid w:val="0070676E"/>
    <w:rsid w:val="007067A8"/>
    <w:rsid w:val="00706A36"/>
    <w:rsid w:val="00706A8D"/>
    <w:rsid w:val="00706E83"/>
    <w:rsid w:val="00707489"/>
    <w:rsid w:val="007075CD"/>
    <w:rsid w:val="00707638"/>
    <w:rsid w:val="00707882"/>
    <w:rsid w:val="007078B4"/>
    <w:rsid w:val="0070791D"/>
    <w:rsid w:val="00707980"/>
    <w:rsid w:val="007079C2"/>
    <w:rsid w:val="007079E1"/>
    <w:rsid w:val="007079F8"/>
    <w:rsid w:val="00707AAA"/>
    <w:rsid w:val="00707B1D"/>
    <w:rsid w:val="00707B2B"/>
    <w:rsid w:val="00707CC9"/>
    <w:rsid w:val="00707FD6"/>
    <w:rsid w:val="0071037E"/>
    <w:rsid w:val="007105D2"/>
    <w:rsid w:val="0071073E"/>
    <w:rsid w:val="00710855"/>
    <w:rsid w:val="00710D1E"/>
    <w:rsid w:val="00711044"/>
    <w:rsid w:val="00711173"/>
    <w:rsid w:val="007112B3"/>
    <w:rsid w:val="007112C8"/>
    <w:rsid w:val="007113AF"/>
    <w:rsid w:val="00711462"/>
    <w:rsid w:val="007115BD"/>
    <w:rsid w:val="00711875"/>
    <w:rsid w:val="0071194C"/>
    <w:rsid w:val="00711B13"/>
    <w:rsid w:val="00711BA0"/>
    <w:rsid w:val="00711CB6"/>
    <w:rsid w:val="00711EEC"/>
    <w:rsid w:val="00712148"/>
    <w:rsid w:val="00712551"/>
    <w:rsid w:val="00712D58"/>
    <w:rsid w:val="00712FE6"/>
    <w:rsid w:val="00713110"/>
    <w:rsid w:val="007132FE"/>
    <w:rsid w:val="0071340D"/>
    <w:rsid w:val="007134AA"/>
    <w:rsid w:val="00713938"/>
    <w:rsid w:val="00713D54"/>
    <w:rsid w:val="00713EEF"/>
    <w:rsid w:val="007143E5"/>
    <w:rsid w:val="00714433"/>
    <w:rsid w:val="00714D5B"/>
    <w:rsid w:val="00714FEA"/>
    <w:rsid w:val="0071519F"/>
    <w:rsid w:val="007155F1"/>
    <w:rsid w:val="00715977"/>
    <w:rsid w:val="00715A2E"/>
    <w:rsid w:val="00715B06"/>
    <w:rsid w:val="00715CED"/>
    <w:rsid w:val="00715DED"/>
    <w:rsid w:val="00715E1D"/>
    <w:rsid w:val="0071637B"/>
    <w:rsid w:val="0071687A"/>
    <w:rsid w:val="0071690D"/>
    <w:rsid w:val="007169E8"/>
    <w:rsid w:val="007169EC"/>
    <w:rsid w:val="00716ADF"/>
    <w:rsid w:val="00716BB5"/>
    <w:rsid w:val="00716D12"/>
    <w:rsid w:val="00716E53"/>
    <w:rsid w:val="00717522"/>
    <w:rsid w:val="00720335"/>
    <w:rsid w:val="00720DE0"/>
    <w:rsid w:val="00720F78"/>
    <w:rsid w:val="00721178"/>
    <w:rsid w:val="00721194"/>
    <w:rsid w:val="00721627"/>
    <w:rsid w:val="0072176F"/>
    <w:rsid w:val="00721B54"/>
    <w:rsid w:val="00722188"/>
    <w:rsid w:val="00722509"/>
    <w:rsid w:val="00722834"/>
    <w:rsid w:val="00722986"/>
    <w:rsid w:val="00722A78"/>
    <w:rsid w:val="00722A94"/>
    <w:rsid w:val="00722E20"/>
    <w:rsid w:val="00722E6A"/>
    <w:rsid w:val="00722F2E"/>
    <w:rsid w:val="00723146"/>
    <w:rsid w:val="007232BF"/>
    <w:rsid w:val="0072347A"/>
    <w:rsid w:val="007236C8"/>
    <w:rsid w:val="00723718"/>
    <w:rsid w:val="00723918"/>
    <w:rsid w:val="00723961"/>
    <w:rsid w:val="00723E17"/>
    <w:rsid w:val="00723E8E"/>
    <w:rsid w:val="007240CE"/>
    <w:rsid w:val="00724186"/>
    <w:rsid w:val="0072437F"/>
    <w:rsid w:val="00724530"/>
    <w:rsid w:val="007245EF"/>
    <w:rsid w:val="007247D2"/>
    <w:rsid w:val="00724A15"/>
    <w:rsid w:val="00724E45"/>
    <w:rsid w:val="00724F70"/>
    <w:rsid w:val="007251C7"/>
    <w:rsid w:val="007258F9"/>
    <w:rsid w:val="0072598C"/>
    <w:rsid w:val="00725AE1"/>
    <w:rsid w:val="00725E66"/>
    <w:rsid w:val="00725E74"/>
    <w:rsid w:val="00725F82"/>
    <w:rsid w:val="007261DF"/>
    <w:rsid w:val="007263FE"/>
    <w:rsid w:val="00726714"/>
    <w:rsid w:val="00726CFE"/>
    <w:rsid w:val="007276AC"/>
    <w:rsid w:val="00727961"/>
    <w:rsid w:val="00727F13"/>
    <w:rsid w:val="00727FE6"/>
    <w:rsid w:val="00730237"/>
    <w:rsid w:val="00730257"/>
    <w:rsid w:val="0073050E"/>
    <w:rsid w:val="00730824"/>
    <w:rsid w:val="007309FE"/>
    <w:rsid w:val="00730BC5"/>
    <w:rsid w:val="00730CF2"/>
    <w:rsid w:val="00730F7E"/>
    <w:rsid w:val="00731069"/>
    <w:rsid w:val="00731273"/>
    <w:rsid w:val="0073150E"/>
    <w:rsid w:val="00731532"/>
    <w:rsid w:val="007315C2"/>
    <w:rsid w:val="007315FD"/>
    <w:rsid w:val="007316EF"/>
    <w:rsid w:val="007318E9"/>
    <w:rsid w:val="00731A34"/>
    <w:rsid w:val="00731CFE"/>
    <w:rsid w:val="00731DBC"/>
    <w:rsid w:val="00731E1E"/>
    <w:rsid w:val="00731E22"/>
    <w:rsid w:val="00731EE5"/>
    <w:rsid w:val="00732307"/>
    <w:rsid w:val="00732999"/>
    <w:rsid w:val="00732D49"/>
    <w:rsid w:val="00732E97"/>
    <w:rsid w:val="007333FC"/>
    <w:rsid w:val="0073358D"/>
    <w:rsid w:val="0073369D"/>
    <w:rsid w:val="00733B61"/>
    <w:rsid w:val="00733C11"/>
    <w:rsid w:val="00733F32"/>
    <w:rsid w:val="00733F93"/>
    <w:rsid w:val="007343B2"/>
    <w:rsid w:val="0073441B"/>
    <w:rsid w:val="007346A0"/>
    <w:rsid w:val="0073475F"/>
    <w:rsid w:val="007347FF"/>
    <w:rsid w:val="007348EF"/>
    <w:rsid w:val="00734BB4"/>
    <w:rsid w:val="007350D1"/>
    <w:rsid w:val="00735315"/>
    <w:rsid w:val="00735441"/>
    <w:rsid w:val="00735462"/>
    <w:rsid w:val="007355D3"/>
    <w:rsid w:val="007356E3"/>
    <w:rsid w:val="007358D2"/>
    <w:rsid w:val="007359FA"/>
    <w:rsid w:val="00735CCB"/>
    <w:rsid w:val="00735FC3"/>
    <w:rsid w:val="00736311"/>
    <w:rsid w:val="007368F9"/>
    <w:rsid w:val="00736BF9"/>
    <w:rsid w:val="00736F63"/>
    <w:rsid w:val="007370A6"/>
    <w:rsid w:val="007371A5"/>
    <w:rsid w:val="00737966"/>
    <w:rsid w:val="00737A30"/>
    <w:rsid w:val="00737B32"/>
    <w:rsid w:val="00737C75"/>
    <w:rsid w:val="00737E12"/>
    <w:rsid w:val="00737FE1"/>
    <w:rsid w:val="0074018D"/>
    <w:rsid w:val="00740295"/>
    <w:rsid w:val="00740662"/>
    <w:rsid w:val="007407D9"/>
    <w:rsid w:val="00740AA1"/>
    <w:rsid w:val="00740E78"/>
    <w:rsid w:val="0074107A"/>
    <w:rsid w:val="007410B0"/>
    <w:rsid w:val="007412F4"/>
    <w:rsid w:val="00741560"/>
    <w:rsid w:val="00741671"/>
    <w:rsid w:val="00741B9F"/>
    <w:rsid w:val="00741BCC"/>
    <w:rsid w:val="00741BF1"/>
    <w:rsid w:val="00742484"/>
    <w:rsid w:val="0074270A"/>
    <w:rsid w:val="0074295A"/>
    <w:rsid w:val="007429CA"/>
    <w:rsid w:val="00742A80"/>
    <w:rsid w:val="00742B36"/>
    <w:rsid w:val="00742B99"/>
    <w:rsid w:val="00742C38"/>
    <w:rsid w:val="00742DA3"/>
    <w:rsid w:val="0074315D"/>
    <w:rsid w:val="00743557"/>
    <w:rsid w:val="00743C6A"/>
    <w:rsid w:val="00743FF0"/>
    <w:rsid w:val="00744393"/>
    <w:rsid w:val="007448E2"/>
    <w:rsid w:val="00744DE8"/>
    <w:rsid w:val="00744F0A"/>
    <w:rsid w:val="007451C7"/>
    <w:rsid w:val="00745225"/>
    <w:rsid w:val="0074537E"/>
    <w:rsid w:val="0074547C"/>
    <w:rsid w:val="00745967"/>
    <w:rsid w:val="00745E6F"/>
    <w:rsid w:val="00746346"/>
    <w:rsid w:val="007466B6"/>
    <w:rsid w:val="00746716"/>
    <w:rsid w:val="007469B0"/>
    <w:rsid w:val="00746B93"/>
    <w:rsid w:val="00746EF0"/>
    <w:rsid w:val="00747392"/>
    <w:rsid w:val="0074771B"/>
    <w:rsid w:val="00747BD7"/>
    <w:rsid w:val="00747C06"/>
    <w:rsid w:val="0075013D"/>
    <w:rsid w:val="007502EB"/>
    <w:rsid w:val="007505FE"/>
    <w:rsid w:val="007507A7"/>
    <w:rsid w:val="007507CA"/>
    <w:rsid w:val="0075093C"/>
    <w:rsid w:val="00750C03"/>
    <w:rsid w:val="00750DD0"/>
    <w:rsid w:val="0075126E"/>
    <w:rsid w:val="007514D7"/>
    <w:rsid w:val="00751707"/>
    <w:rsid w:val="00751752"/>
    <w:rsid w:val="007517EE"/>
    <w:rsid w:val="007518B5"/>
    <w:rsid w:val="007519E5"/>
    <w:rsid w:val="0075201C"/>
    <w:rsid w:val="007520EF"/>
    <w:rsid w:val="007522C7"/>
    <w:rsid w:val="0075252C"/>
    <w:rsid w:val="00752767"/>
    <w:rsid w:val="0075295D"/>
    <w:rsid w:val="00752D88"/>
    <w:rsid w:val="00753027"/>
    <w:rsid w:val="0075319E"/>
    <w:rsid w:val="007533A4"/>
    <w:rsid w:val="007533FE"/>
    <w:rsid w:val="00753902"/>
    <w:rsid w:val="00753E3A"/>
    <w:rsid w:val="007544C3"/>
    <w:rsid w:val="00754993"/>
    <w:rsid w:val="00754D3F"/>
    <w:rsid w:val="00754D82"/>
    <w:rsid w:val="00754DE8"/>
    <w:rsid w:val="00754F4F"/>
    <w:rsid w:val="00754FB4"/>
    <w:rsid w:val="00755432"/>
    <w:rsid w:val="007556FD"/>
    <w:rsid w:val="00755C06"/>
    <w:rsid w:val="00755C89"/>
    <w:rsid w:val="00755DB0"/>
    <w:rsid w:val="00755E39"/>
    <w:rsid w:val="0075604F"/>
    <w:rsid w:val="00756547"/>
    <w:rsid w:val="00756B09"/>
    <w:rsid w:val="00756EEB"/>
    <w:rsid w:val="00756F1A"/>
    <w:rsid w:val="007571EA"/>
    <w:rsid w:val="007571FF"/>
    <w:rsid w:val="00757227"/>
    <w:rsid w:val="007572EC"/>
    <w:rsid w:val="00757388"/>
    <w:rsid w:val="007575C0"/>
    <w:rsid w:val="00757678"/>
    <w:rsid w:val="0075772A"/>
    <w:rsid w:val="007600F8"/>
    <w:rsid w:val="0076010A"/>
    <w:rsid w:val="0076020B"/>
    <w:rsid w:val="0076028F"/>
    <w:rsid w:val="007604C9"/>
    <w:rsid w:val="00760B48"/>
    <w:rsid w:val="00760C7B"/>
    <w:rsid w:val="00760F46"/>
    <w:rsid w:val="0076119C"/>
    <w:rsid w:val="007611B5"/>
    <w:rsid w:val="0076124F"/>
    <w:rsid w:val="007613B7"/>
    <w:rsid w:val="00761810"/>
    <w:rsid w:val="007619D0"/>
    <w:rsid w:val="00761AAD"/>
    <w:rsid w:val="00761CD9"/>
    <w:rsid w:val="00761D8A"/>
    <w:rsid w:val="00761E08"/>
    <w:rsid w:val="00761EDE"/>
    <w:rsid w:val="00762007"/>
    <w:rsid w:val="00762164"/>
    <w:rsid w:val="0076233F"/>
    <w:rsid w:val="00762442"/>
    <w:rsid w:val="0076249D"/>
    <w:rsid w:val="007627D3"/>
    <w:rsid w:val="00762BE7"/>
    <w:rsid w:val="00762D9F"/>
    <w:rsid w:val="00762FE0"/>
    <w:rsid w:val="007631AF"/>
    <w:rsid w:val="007631D2"/>
    <w:rsid w:val="007632A6"/>
    <w:rsid w:val="0076339A"/>
    <w:rsid w:val="00763658"/>
    <w:rsid w:val="007636ED"/>
    <w:rsid w:val="00763873"/>
    <w:rsid w:val="00763877"/>
    <w:rsid w:val="007638BD"/>
    <w:rsid w:val="0076392F"/>
    <w:rsid w:val="0076399F"/>
    <w:rsid w:val="00763EA4"/>
    <w:rsid w:val="00763F41"/>
    <w:rsid w:val="00764044"/>
    <w:rsid w:val="00764133"/>
    <w:rsid w:val="007646AF"/>
    <w:rsid w:val="00764908"/>
    <w:rsid w:val="00764A2E"/>
    <w:rsid w:val="00764A94"/>
    <w:rsid w:val="00764AA1"/>
    <w:rsid w:val="00764C51"/>
    <w:rsid w:val="00764E3D"/>
    <w:rsid w:val="00764E52"/>
    <w:rsid w:val="00765080"/>
    <w:rsid w:val="0076545E"/>
    <w:rsid w:val="00765530"/>
    <w:rsid w:val="0076565B"/>
    <w:rsid w:val="00765A47"/>
    <w:rsid w:val="00765BCF"/>
    <w:rsid w:val="0076609F"/>
    <w:rsid w:val="007663D2"/>
    <w:rsid w:val="007664A7"/>
    <w:rsid w:val="0076664B"/>
    <w:rsid w:val="007667E7"/>
    <w:rsid w:val="00766AF8"/>
    <w:rsid w:val="00766FA4"/>
    <w:rsid w:val="00766FB6"/>
    <w:rsid w:val="007670CA"/>
    <w:rsid w:val="00767202"/>
    <w:rsid w:val="00767710"/>
    <w:rsid w:val="007703D0"/>
    <w:rsid w:val="007705C7"/>
    <w:rsid w:val="00770A1C"/>
    <w:rsid w:val="00770AEA"/>
    <w:rsid w:val="00770EF9"/>
    <w:rsid w:val="00771694"/>
    <w:rsid w:val="00771A7F"/>
    <w:rsid w:val="00771B1C"/>
    <w:rsid w:val="00771B52"/>
    <w:rsid w:val="00771C84"/>
    <w:rsid w:val="00771E24"/>
    <w:rsid w:val="00771F4C"/>
    <w:rsid w:val="00772522"/>
    <w:rsid w:val="00772561"/>
    <w:rsid w:val="00772AD9"/>
    <w:rsid w:val="00772B65"/>
    <w:rsid w:val="00772E18"/>
    <w:rsid w:val="00773314"/>
    <w:rsid w:val="007734F4"/>
    <w:rsid w:val="00773A1C"/>
    <w:rsid w:val="00773B60"/>
    <w:rsid w:val="00773DA0"/>
    <w:rsid w:val="00773DD3"/>
    <w:rsid w:val="00774012"/>
    <w:rsid w:val="007742B8"/>
    <w:rsid w:val="00774504"/>
    <w:rsid w:val="00774DF7"/>
    <w:rsid w:val="00775433"/>
    <w:rsid w:val="0077553B"/>
    <w:rsid w:val="007758FD"/>
    <w:rsid w:val="00775BD6"/>
    <w:rsid w:val="007769CD"/>
    <w:rsid w:val="00776B2F"/>
    <w:rsid w:val="00777086"/>
    <w:rsid w:val="00777203"/>
    <w:rsid w:val="00777463"/>
    <w:rsid w:val="007775D7"/>
    <w:rsid w:val="007776E9"/>
    <w:rsid w:val="007778E4"/>
    <w:rsid w:val="00777BE0"/>
    <w:rsid w:val="00777D4F"/>
    <w:rsid w:val="00777DD0"/>
    <w:rsid w:val="0078001F"/>
    <w:rsid w:val="00780030"/>
    <w:rsid w:val="007801AC"/>
    <w:rsid w:val="00780314"/>
    <w:rsid w:val="0078034A"/>
    <w:rsid w:val="0078044D"/>
    <w:rsid w:val="007806A7"/>
    <w:rsid w:val="00780747"/>
    <w:rsid w:val="00780BA7"/>
    <w:rsid w:val="00780CA2"/>
    <w:rsid w:val="00780DAF"/>
    <w:rsid w:val="00781240"/>
    <w:rsid w:val="00781287"/>
    <w:rsid w:val="0078144F"/>
    <w:rsid w:val="007815A5"/>
    <w:rsid w:val="00781700"/>
    <w:rsid w:val="0078170C"/>
    <w:rsid w:val="0078173E"/>
    <w:rsid w:val="0078173F"/>
    <w:rsid w:val="007818CA"/>
    <w:rsid w:val="00781AC4"/>
    <w:rsid w:val="00781AF7"/>
    <w:rsid w:val="00781CFE"/>
    <w:rsid w:val="00781D1E"/>
    <w:rsid w:val="0078238E"/>
    <w:rsid w:val="007823F9"/>
    <w:rsid w:val="007824AA"/>
    <w:rsid w:val="007824C2"/>
    <w:rsid w:val="007825C1"/>
    <w:rsid w:val="007826EF"/>
    <w:rsid w:val="0078276C"/>
    <w:rsid w:val="007827A0"/>
    <w:rsid w:val="00782875"/>
    <w:rsid w:val="00782A52"/>
    <w:rsid w:val="00782B0E"/>
    <w:rsid w:val="00782F24"/>
    <w:rsid w:val="00782F78"/>
    <w:rsid w:val="00783331"/>
    <w:rsid w:val="00783366"/>
    <w:rsid w:val="0078366B"/>
    <w:rsid w:val="00783726"/>
    <w:rsid w:val="00783D4D"/>
    <w:rsid w:val="007841AA"/>
    <w:rsid w:val="00784630"/>
    <w:rsid w:val="0078468E"/>
    <w:rsid w:val="00784A6D"/>
    <w:rsid w:val="00784BB6"/>
    <w:rsid w:val="00784E90"/>
    <w:rsid w:val="007855CC"/>
    <w:rsid w:val="00785B6D"/>
    <w:rsid w:val="00785C47"/>
    <w:rsid w:val="0078649C"/>
    <w:rsid w:val="007865C5"/>
    <w:rsid w:val="00786789"/>
    <w:rsid w:val="0078689A"/>
    <w:rsid w:val="00786B2B"/>
    <w:rsid w:val="00786E0E"/>
    <w:rsid w:val="00786E65"/>
    <w:rsid w:val="00787ABC"/>
    <w:rsid w:val="00790083"/>
    <w:rsid w:val="00790436"/>
    <w:rsid w:val="00790754"/>
    <w:rsid w:val="00790D9E"/>
    <w:rsid w:val="00790E3B"/>
    <w:rsid w:val="007910CF"/>
    <w:rsid w:val="00791223"/>
    <w:rsid w:val="007913B5"/>
    <w:rsid w:val="007913D1"/>
    <w:rsid w:val="00791504"/>
    <w:rsid w:val="00791781"/>
    <w:rsid w:val="00791923"/>
    <w:rsid w:val="00791973"/>
    <w:rsid w:val="00791B34"/>
    <w:rsid w:val="00791C30"/>
    <w:rsid w:val="00791DB5"/>
    <w:rsid w:val="00792077"/>
    <w:rsid w:val="007928D6"/>
    <w:rsid w:val="00793099"/>
    <w:rsid w:val="007930EB"/>
    <w:rsid w:val="007932A5"/>
    <w:rsid w:val="007933EB"/>
    <w:rsid w:val="00793877"/>
    <w:rsid w:val="00793D17"/>
    <w:rsid w:val="00794217"/>
    <w:rsid w:val="00794A31"/>
    <w:rsid w:val="00794B7C"/>
    <w:rsid w:val="00794F54"/>
    <w:rsid w:val="007951C7"/>
    <w:rsid w:val="00795410"/>
    <w:rsid w:val="007954DA"/>
    <w:rsid w:val="00795726"/>
    <w:rsid w:val="00795B07"/>
    <w:rsid w:val="00795E10"/>
    <w:rsid w:val="00796150"/>
    <w:rsid w:val="007961C4"/>
    <w:rsid w:val="00796678"/>
    <w:rsid w:val="0079690E"/>
    <w:rsid w:val="00796A2B"/>
    <w:rsid w:val="00796B62"/>
    <w:rsid w:val="00796C04"/>
    <w:rsid w:val="00796CF4"/>
    <w:rsid w:val="00796E22"/>
    <w:rsid w:val="00797331"/>
    <w:rsid w:val="0079736B"/>
    <w:rsid w:val="0079748A"/>
    <w:rsid w:val="00797567"/>
    <w:rsid w:val="00797972"/>
    <w:rsid w:val="00797AE5"/>
    <w:rsid w:val="00797B5B"/>
    <w:rsid w:val="00797E37"/>
    <w:rsid w:val="007A00ED"/>
    <w:rsid w:val="007A05CB"/>
    <w:rsid w:val="007A06E6"/>
    <w:rsid w:val="007A06FB"/>
    <w:rsid w:val="007A083E"/>
    <w:rsid w:val="007A0AE9"/>
    <w:rsid w:val="007A0CBD"/>
    <w:rsid w:val="007A0CED"/>
    <w:rsid w:val="007A0E94"/>
    <w:rsid w:val="007A0EFB"/>
    <w:rsid w:val="007A11CE"/>
    <w:rsid w:val="007A1246"/>
    <w:rsid w:val="007A181C"/>
    <w:rsid w:val="007A1ADA"/>
    <w:rsid w:val="007A1D64"/>
    <w:rsid w:val="007A1F9C"/>
    <w:rsid w:val="007A205C"/>
    <w:rsid w:val="007A2192"/>
    <w:rsid w:val="007A2384"/>
    <w:rsid w:val="007A2AA3"/>
    <w:rsid w:val="007A2B61"/>
    <w:rsid w:val="007A2CF4"/>
    <w:rsid w:val="007A2F91"/>
    <w:rsid w:val="007A3104"/>
    <w:rsid w:val="007A31C0"/>
    <w:rsid w:val="007A31F5"/>
    <w:rsid w:val="007A3796"/>
    <w:rsid w:val="007A39CF"/>
    <w:rsid w:val="007A3D3B"/>
    <w:rsid w:val="007A3D56"/>
    <w:rsid w:val="007A4656"/>
    <w:rsid w:val="007A46EC"/>
    <w:rsid w:val="007A48DA"/>
    <w:rsid w:val="007A4A95"/>
    <w:rsid w:val="007A4D14"/>
    <w:rsid w:val="007A4FD8"/>
    <w:rsid w:val="007A5281"/>
    <w:rsid w:val="007A55DB"/>
    <w:rsid w:val="007A5834"/>
    <w:rsid w:val="007A5D16"/>
    <w:rsid w:val="007A62C1"/>
    <w:rsid w:val="007A6C81"/>
    <w:rsid w:val="007A6E7E"/>
    <w:rsid w:val="007A7172"/>
    <w:rsid w:val="007A71DC"/>
    <w:rsid w:val="007A721A"/>
    <w:rsid w:val="007A738A"/>
    <w:rsid w:val="007A77DA"/>
    <w:rsid w:val="007A7866"/>
    <w:rsid w:val="007A798D"/>
    <w:rsid w:val="007A7CC0"/>
    <w:rsid w:val="007B0447"/>
    <w:rsid w:val="007B052C"/>
    <w:rsid w:val="007B06F0"/>
    <w:rsid w:val="007B07D4"/>
    <w:rsid w:val="007B08EB"/>
    <w:rsid w:val="007B0A8F"/>
    <w:rsid w:val="007B0CA3"/>
    <w:rsid w:val="007B1355"/>
    <w:rsid w:val="007B136F"/>
    <w:rsid w:val="007B137E"/>
    <w:rsid w:val="007B1592"/>
    <w:rsid w:val="007B178A"/>
    <w:rsid w:val="007B192B"/>
    <w:rsid w:val="007B1D51"/>
    <w:rsid w:val="007B1E55"/>
    <w:rsid w:val="007B1F49"/>
    <w:rsid w:val="007B1F60"/>
    <w:rsid w:val="007B23C8"/>
    <w:rsid w:val="007B26CA"/>
    <w:rsid w:val="007B26FA"/>
    <w:rsid w:val="007B2752"/>
    <w:rsid w:val="007B27AB"/>
    <w:rsid w:val="007B2D58"/>
    <w:rsid w:val="007B30F3"/>
    <w:rsid w:val="007B3359"/>
    <w:rsid w:val="007B3586"/>
    <w:rsid w:val="007B37B2"/>
    <w:rsid w:val="007B3F29"/>
    <w:rsid w:val="007B4161"/>
    <w:rsid w:val="007B4B6A"/>
    <w:rsid w:val="007B4BC8"/>
    <w:rsid w:val="007B5543"/>
    <w:rsid w:val="007B5AA1"/>
    <w:rsid w:val="007B5C1D"/>
    <w:rsid w:val="007B6008"/>
    <w:rsid w:val="007B60D8"/>
    <w:rsid w:val="007B647A"/>
    <w:rsid w:val="007B663E"/>
    <w:rsid w:val="007B666C"/>
    <w:rsid w:val="007B6A7C"/>
    <w:rsid w:val="007B6A99"/>
    <w:rsid w:val="007B6CF6"/>
    <w:rsid w:val="007B755C"/>
    <w:rsid w:val="007B7860"/>
    <w:rsid w:val="007B78B7"/>
    <w:rsid w:val="007B792E"/>
    <w:rsid w:val="007B7C64"/>
    <w:rsid w:val="007B7D51"/>
    <w:rsid w:val="007B7D7F"/>
    <w:rsid w:val="007B7F77"/>
    <w:rsid w:val="007C0026"/>
    <w:rsid w:val="007C0730"/>
    <w:rsid w:val="007C096A"/>
    <w:rsid w:val="007C1068"/>
    <w:rsid w:val="007C11B8"/>
    <w:rsid w:val="007C1275"/>
    <w:rsid w:val="007C17A2"/>
    <w:rsid w:val="007C1905"/>
    <w:rsid w:val="007C19C0"/>
    <w:rsid w:val="007C1B9A"/>
    <w:rsid w:val="007C1E2B"/>
    <w:rsid w:val="007C229C"/>
    <w:rsid w:val="007C26A0"/>
    <w:rsid w:val="007C29C9"/>
    <w:rsid w:val="007C2A24"/>
    <w:rsid w:val="007C2AA1"/>
    <w:rsid w:val="007C30BD"/>
    <w:rsid w:val="007C335F"/>
    <w:rsid w:val="007C3A85"/>
    <w:rsid w:val="007C3CE7"/>
    <w:rsid w:val="007C3D44"/>
    <w:rsid w:val="007C3D9B"/>
    <w:rsid w:val="007C3E29"/>
    <w:rsid w:val="007C3E3C"/>
    <w:rsid w:val="007C4044"/>
    <w:rsid w:val="007C40BB"/>
    <w:rsid w:val="007C434A"/>
    <w:rsid w:val="007C4489"/>
    <w:rsid w:val="007C4751"/>
    <w:rsid w:val="007C4935"/>
    <w:rsid w:val="007C4C69"/>
    <w:rsid w:val="007C4CD1"/>
    <w:rsid w:val="007C4E52"/>
    <w:rsid w:val="007C51A5"/>
    <w:rsid w:val="007C58A8"/>
    <w:rsid w:val="007C5E69"/>
    <w:rsid w:val="007C600E"/>
    <w:rsid w:val="007C6105"/>
    <w:rsid w:val="007C6115"/>
    <w:rsid w:val="007C62BF"/>
    <w:rsid w:val="007C62DB"/>
    <w:rsid w:val="007C65CC"/>
    <w:rsid w:val="007C6E48"/>
    <w:rsid w:val="007C7077"/>
    <w:rsid w:val="007C751A"/>
    <w:rsid w:val="007C75ED"/>
    <w:rsid w:val="007C7B7F"/>
    <w:rsid w:val="007C7E63"/>
    <w:rsid w:val="007C7ED9"/>
    <w:rsid w:val="007C7F06"/>
    <w:rsid w:val="007D01EE"/>
    <w:rsid w:val="007D02AD"/>
    <w:rsid w:val="007D04F6"/>
    <w:rsid w:val="007D05FE"/>
    <w:rsid w:val="007D0D63"/>
    <w:rsid w:val="007D0DA2"/>
    <w:rsid w:val="007D1164"/>
    <w:rsid w:val="007D13D5"/>
    <w:rsid w:val="007D169A"/>
    <w:rsid w:val="007D16B5"/>
    <w:rsid w:val="007D174D"/>
    <w:rsid w:val="007D19F1"/>
    <w:rsid w:val="007D1B4F"/>
    <w:rsid w:val="007D1CF3"/>
    <w:rsid w:val="007D1E1D"/>
    <w:rsid w:val="007D1F52"/>
    <w:rsid w:val="007D1F8E"/>
    <w:rsid w:val="007D20EA"/>
    <w:rsid w:val="007D210C"/>
    <w:rsid w:val="007D23D9"/>
    <w:rsid w:val="007D23DB"/>
    <w:rsid w:val="007D251D"/>
    <w:rsid w:val="007D26A3"/>
    <w:rsid w:val="007D282C"/>
    <w:rsid w:val="007D2FC1"/>
    <w:rsid w:val="007D302F"/>
    <w:rsid w:val="007D34E9"/>
    <w:rsid w:val="007D358F"/>
    <w:rsid w:val="007D3A03"/>
    <w:rsid w:val="007D4221"/>
    <w:rsid w:val="007D4534"/>
    <w:rsid w:val="007D45D6"/>
    <w:rsid w:val="007D4ACB"/>
    <w:rsid w:val="007D4E3F"/>
    <w:rsid w:val="007D5319"/>
    <w:rsid w:val="007D5367"/>
    <w:rsid w:val="007D53D5"/>
    <w:rsid w:val="007D5406"/>
    <w:rsid w:val="007D5548"/>
    <w:rsid w:val="007D56E5"/>
    <w:rsid w:val="007D5722"/>
    <w:rsid w:val="007D575E"/>
    <w:rsid w:val="007D58AA"/>
    <w:rsid w:val="007D59B1"/>
    <w:rsid w:val="007D59D7"/>
    <w:rsid w:val="007D5B21"/>
    <w:rsid w:val="007D5B5A"/>
    <w:rsid w:val="007D5F07"/>
    <w:rsid w:val="007D5F5F"/>
    <w:rsid w:val="007D601C"/>
    <w:rsid w:val="007D675B"/>
    <w:rsid w:val="007D67C3"/>
    <w:rsid w:val="007D67ED"/>
    <w:rsid w:val="007D68F6"/>
    <w:rsid w:val="007D6C1C"/>
    <w:rsid w:val="007D70A1"/>
    <w:rsid w:val="007D71B8"/>
    <w:rsid w:val="007D740B"/>
    <w:rsid w:val="007D7590"/>
    <w:rsid w:val="007D7C37"/>
    <w:rsid w:val="007E0048"/>
    <w:rsid w:val="007E0285"/>
    <w:rsid w:val="007E0448"/>
    <w:rsid w:val="007E05D3"/>
    <w:rsid w:val="007E07EC"/>
    <w:rsid w:val="007E0BC3"/>
    <w:rsid w:val="007E0C17"/>
    <w:rsid w:val="007E105F"/>
    <w:rsid w:val="007E1335"/>
    <w:rsid w:val="007E1A7F"/>
    <w:rsid w:val="007E1B21"/>
    <w:rsid w:val="007E2275"/>
    <w:rsid w:val="007E2306"/>
    <w:rsid w:val="007E2956"/>
    <w:rsid w:val="007E2AB7"/>
    <w:rsid w:val="007E2C8E"/>
    <w:rsid w:val="007E3776"/>
    <w:rsid w:val="007E3896"/>
    <w:rsid w:val="007E395A"/>
    <w:rsid w:val="007E3B32"/>
    <w:rsid w:val="007E3B5F"/>
    <w:rsid w:val="007E3D1B"/>
    <w:rsid w:val="007E3DE9"/>
    <w:rsid w:val="007E3FED"/>
    <w:rsid w:val="007E45E1"/>
    <w:rsid w:val="007E48FE"/>
    <w:rsid w:val="007E4D23"/>
    <w:rsid w:val="007E4D46"/>
    <w:rsid w:val="007E4F49"/>
    <w:rsid w:val="007E5019"/>
    <w:rsid w:val="007E5235"/>
    <w:rsid w:val="007E5326"/>
    <w:rsid w:val="007E53F4"/>
    <w:rsid w:val="007E5513"/>
    <w:rsid w:val="007E55F6"/>
    <w:rsid w:val="007E5720"/>
    <w:rsid w:val="007E57BC"/>
    <w:rsid w:val="007E5AA7"/>
    <w:rsid w:val="007E5D4B"/>
    <w:rsid w:val="007E5DFD"/>
    <w:rsid w:val="007E5E8D"/>
    <w:rsid w:val="007E6A52"/>
    <w:rsid w:val="007E6AA0"/>
    <w:rsid w:val="007E6BAB"/>
    <w:rsid w:val="007E6D07"/>
    <w:rsid w:val="007E6E9F"/>
    <w:rsid w:val="007E705D"/>
    <w:rsid w:val="007E7329"/>
    <w:rsid w:val="007E738B"/>
    <w:rsid w:val="007E7445"/>
    <w:rsid w:val="007E751D"/>
    <w:rsid w:val="007E771A"/>
    <w:rsid w:val="007E7ABA"/>
    <w:rsid w:val="007E7D40"/>
    <w:rsid w:val="007E7EB1"/>
    <w:rsid w:val="007E7FBB"/>
    <w:rsid w:val="007F0233"/>
    <w:rsid w:val="007F040E"/>
    <w:rsid w:val="007F05E7"/>
    <w:rsid w:val="007F06D0"/>
    <w:rsid w:val="007F09C3"/>
    <w:rsid w:val="007F0E42"/>
    <w:rsid w:val="007F12FE"/>
    <w:rsid w:val="007F1306"/>
    <w:rsid w:val="007F154D"/>
    <w:rsid w:val="007F15F0"/>
    <w:rsid w:val="007F189B"/>
    <w:rsid w:val="007F1B83"/>
    <w:rsid w:val="007F1CD1"/>
    <w:rsid w:val="007F24E3"/>
    <w:rsid w:val="007F27BF"/>
    <w:rsid w:val="007F28F6"/>
    <w:rsid w:val="007F2A61"/>
    <w:rsid w:val="007F2ACE"/>
    <w:rsid w:val="007F2C5C"/>
    <w:rsid w:val="007F2CAD"/>
    <w:rsid w:val="007F2D5C"/>
    <w:rsid w:val="007F2F3D"/>
    <w:rsid w:val="007F3077"/>
    <w:rsid w:val="007F34E6"/>
    <w:rsid w:val="007F3764"/>
    <w:rsid w:val="007F3913"/>
    <w:rsid w:val="007F3BA4"/>
    <w:rsid w:val="007F3BE7"/>
    <w:rsid w:val="007F3F5A"/>
    <w:rsid w:val="007F40F2"/>
    <w:rsid w:val="007F4103"/>
    <w:rsid w:val="007F4318"/>
    <w:rsid w:val="007F4590"/>
    <w:rsid w:val="007F4E67"/>
    <w:rsid w:val="007F4EE1"/>
    <w:rsid w:val="007F5573"/>
    <w:rsid w:val="007F5A11"/>
    <w:rsid w:val="007F5A83"/>
    <w:rsid w:val="007F5B9A"/>
    <w:rsid w:val="007F5D8E"/>
    <w:rsid w:val="007F6477"/>
    <w:rsid w:val="007F64BC"/>
    <w:rsid w:val="007F69C8"/>
    <w:rsid w:val="007F69E3"/>
    <w:rsid w:val="007F6AE1"/>
    <w:rsid w:val="007F7081"/>
    <w:rsid w:val="007F723D"/>
    <w:rsid w:val="007F7269"/>
    <w:rsid w:val="007F74DE"/>
    <w:rsid w:val="007F7644"/>
    <w:rsid w:val="007F76F8"/>
    <w:rsid w:val="007F790C"/>
    <w:rsid w:val="007F7F94"/>
    <w:rsid w:val="008000A2"/>
    <w:rsid w:val="0080079C"/>
    <w:rsid w:val="008008FC"/>
    <w:rsid w:val="00801228"/>
    <w:rsid w:val="00801428"/>
    <w:rsid w:val="008014EA"/>
    <w:rsid w:val="00801512"/>
    <w:rsid w:val="00801680"/>
    <w:rsid w:val="008016AF"/>
    <w:rsid w:val="00801B15"/>
    <w:rsid w:val="00801D98"/>
    <w:rsid w:val="00801E4B"/>
    <w:rsid w:val="00802105"/>
    <w:rsid w:val="008026AC"/>
    <w:rsid w:val="00802752"/>
    <w:rsid w:val="0080283D"/>
    <w:rsid w:val="00802C86"/>
    <w:rsid w:val="00802E93"/>
    <w:rsid w:val="008030E7"/>
    <w:rsid w:val="0080316B"/>
    <w:rsid w:val="0080328F"/>
    <w:rsid w:val="008033EE"/>
    <w:rsid w:val="0080344A"/>
    <w:rsid w:val="0080348D"/>
    <w:rsid w:val="008036F4"/>
    <w:rsid w:val="00803791"/>
    <w:rsid w:val="00803DC4"/>
    <w:rsid w:val="00803E8C"/>
    <w:rsid w:val="00804111"/>
    <w:rsid w:val="008048A3"/>
    <w:rsid w:val="00804CAB"/>
    <w:rsid w:val="00804DCE"/>
    <w:rsid w:val="00805629"/>
    <w:rsid w:val="00805DEE"/>
    <w:rsid w:val="00805E86"/>
    <w:rsid w:val="00806291"/>
    <w:rsid w:val="008062CA"/>
    <w:rsid w:val="008065DF"/>
    <w:rsid w:val="008068C2"/>
    <w:rsid w:val="00807133"/>
    <w:rsid w:val="00807170"/>
    <w:rsid w:val="0080782C"/>
    <w:rsid w:val="00807F2F"/>
    <w:rsid w:val="00810093"/>
    <w:rsid w:val="008102AD"/>
    <w:rsid w:val="0081054C"/>
    <w:rsid w:val="00810933"/>
    <w:rsid w:val="00810A57"/>
    <w:rsid w:val="00810BA3"/>
    <w:rsid w:val="00810C38"/>
    <w:rsid w:val="00811265"/>
    <w:rsid w:val="00811316"/>
    <w:rsid w:val="00811528"/>
    <w:rsid w:val="0081163A"/>
    <w:rsid w:val="00811ADE"/>
    <w:rsid w:val="00811BAF"/>
    <w:rsid w:val="00811C85"/>
    <w:rsid w:val="00811DFD"/>
    <w:rsid w:val="0081217E"/>
    <w:rsid w:val="008121FF"/>
    <w:rsid w:val="008126AB"/>
    <w:rsid w:val="00812716"/>
    <w:rsid w:val="00812766"/>
    <w:rsid w:val="00812D90"/>
    <w:rsid w:val="00813448"/>
    <w:rsid w:val="0081354E"/>
    <w:rsid w:val="0081423A"/>
    <w:rsid w:val="00814313"/>
    <w:rsid w:val="0081474B"/>
    <w:rsid w:val="008147A3"/>
    <w:rsid w:val="008147EC"/>
    <w:rsid w:val="008148E1"/>
    <w:rsid w:val="00814990"/>
    <w:rsid w:val="00814C2B"/>
    <w:rsid w:val="00814D64"/>
    <w:rsid w:val="008152AC"/>
    <w:rsid w:val="008154D4"/>
    <w:rsid w:val="008158DF"/>
    <w:rsid w:val="00815AD3"/>
    <w:rsid w:val="00815B92"/>
    <w:rsid w:val="00815B9B"/>
    <w:rsid w:val="008168F9"/>
    <w:rsid w:val="00816AB7"/>
    <w:rsid w:val="00816E5D"/>
    <w:rsid w:val="00816FC6"/>
    <w:rsid w:val="00816FE6"/>
    <w:rsid w:val="00817259"/>
    <w:rsid w:val="00817414"/>
    <w:rsid w:val="00817562"/>
    <w:rsid w:val="00817744"/>
    <w:rsid w:val="00817B3F"/>
    <w:rsid w:val="00817C60"/>
    <w:rsid w:val="0082006A"/>
    <w:rsid w:val="0082014E"/>
    <w:rsid w:val="008201E3"/>
    <w:rsid w:val="0082055E"/>
    <w:rsid w:val="008205EF"/>
    <w:rsid w:val="0082060E"/>
    <w:rsid w:val="00820641"/>
    <w:rsid w:val="00820973"/>
    <w:rsid w:val="00820BAB"/>
    <w:rsid w:val="00820F26"/>
    <w:rsid w:val="00820FFE"/>
    <w:rsid w:val="0082123B"/>
    <w:rsid w:val="00821972"/>
    <w:rsid w:val="00821DC8"/>
    <w:rsid w:val="00821F62"/>
    <w:rsid w:val="00822071"/>
    <w:rsid w:val="0082217D"/>
    <w:rsid w:val="008221F9"/>
    <w:rsid w:val="00822251"/>
    <w:rsid w:val="00822322"/>
    <w:rsid w:val="00822ADD"/>
    <w:rsid w:val="00822C99"/>
    <w:rsid w:val="00822CAA"/>
    <w:rsid w:val="00822F4C"/>
    <w:rsid w:val="008235E5"/>
    <w:rsid w:val="00823682"/>
    <w:rsid w:val="008236DC"/>
    <w:rsid w:val="0082377A"/>
    <w:rsid w:val="00823E8A"/>
    <w:rsid w:val="00823F27"/>
    <w:rsid w:val="008240E4"/>
    <w:rsid w:val="0082412B"/>
    <w:rsid w:val="0082424A"/>
    <w:rsid w:val="008242B6"/>
    <w:rsid w:val="008243F6"/>
    <w:rsid w:val="0082445B"/>
    <w:rsid w:val="008249CC"/>
    <w:rsid w:val="00824F90"/>
    <w:rsid w:val="008259B7"/>
    <w:rsid w:val="00825F59"/>
    <w:rsid w:val="00825FDD"/>
    <w:rsid w:val="00826056"/>
    <w:rsid w:val="008268BB"/>
    <w:rsid w:val="00826917"/>
    <w:rsid w:val="00826B7A"/>
    <w:rsid w:val="00826BF3"/>
    <w:rsid w:val="00826C2D"/>
    <w:rsid w:val="00826F9A"/>
    <w:rsid w:val="00827005"/>
    <w:rsid w:val="00827330"/>
    <w:rsid w:val="00827837"/>
    <w:rsid w:val="0082793D"/>
    <w:rsid w:val="00827D73"/>
    <w:rsid w:val="008300F2"/>
    <w:rsid w:val="0083034E"/>
    <w:rsid w:val="00830385"/>
    <w:rsid w:val="00830526"/>
    <w:rsid w:val="008305F8"/>
    <w:rsid w:val="00830901"/>
    <w:rsid w:val="0083092E"/>
    <w:rsid w:val="00830979"/>
    <w:rsid w:val="00830B95"/>
    <w:rsid w:val="00830D58"/>
    <w:rsid w:val="00830FDA"/>
    <w:rsid w:val="0083121B"/>
    <w:rsid w:val="0083155A"/>
    <w:rsid w:val="008319E1"/>
    <w:rsid w:val="00831A85"/>
    <w:rsid w:val="00831BD1"/>
    <w:rsid w:val="00831C72"/>
    <w:rsid w:val="00832366"/>
    <w:rsid w:val="008323FF"/>
    <w:rsid w:val="008327B7"/>
    <w:rsid w:val="008327E9"/>
    <w:rsid w:val="00832A04"/>
    <w:rsid w:val="008331A8"/>
    <w:rsid w:val="008331EA"/>
    <w:rsid w:val="00833962"/>
    <w:rsid w:val="00833F0A"/>
    <w:rsid w:val="0083401E"/>
    <w:rsid w:val="00834467"/>
    <w:rsid w:val="0083457E"/>
    <w:rsid w:val="00834756"/>
    <w:rsid w:val="008349CC"/>
    <w:rsid w:val="00834B5B"/>
    <w:rsid w:val="00834D74"/>
    <w:rsid w:val="00834DFE"/>
    <w:rsid w:val="00834FB2"/>
    <w:rsid w:val="00834FBF"/>
    <w:rsid w:val="0083500B"/>
    <w:rsid w:val="0083511B"/>
    <w:rsid w:val="00835495"/>
    <w:rsid w:val="00835558"/>
    <w:rsid w:val="008357AE"/>
    <w:rsid w:val="00835F11"/>
    <w:rsid w:val="00835F33"/>
    <w:rsid w:val="00836447"/>
    <w:rsid w:val="008364A3"/>
    <w:rsid w:val="00836812"/>
    <w:rsid w:val="008368BB"/>
    <w:rsid w:val="00836B42"/>
    <w:rsid w:val="00836C3B"/>
    <w:rsid w:val="00836E07"/>
    <w:rsid w:val="00837477"/>
    <w:rsid w:val="00837B10"/>
    <w:rsid w:val="00837CD0"/>
    <w:rsid w:val="00837CD9"/>
    <w:rsid w:val="00837FD0"/>
    <w:rsid w:val="0084004E"/>
    <w:rsid w:val="0084015C"/>
    <w:rsid w:val="0084034D"/>
    <w:rsid w:val="008409FF"/>
    <w:rsid w:val="00840AB6"/>
    <w:rsid w:val="00840F84"/>
    <w:rsid w:val="00840FFD"/>
    <w:rsid w:val="00841055"/>
    <w:rsid w:val="00841063"/>
    <w:rsid w:val="00841094"/>
    <w:rsid w:val="0084116D"/>
    <w:rsid w:val="008411DE"/>
    <w:rsid w:val="00841349"/>
    <w:rsid w:val="008413E7"/>
    <w:rsid w:val="008415C9"/>
    <w:rsid w:val="00841A87"/>
    <w:rsid w:val="00841B0A"/>
    <w:rsid w:val="00841C68"/>
    <w:rsid w:val="00841FF9"/>
    <w:rsid w:val="008420F1"/>
    <w:rsid w:val="00842151"/>
    <w:rsid w:val="00842390"/>
    <w:rsid w:val="00842413"/>
    <w:rsid w:val="00842570"/>
    <w:rsid w:val="00842C26"/>
    <w:rsid w:val="00842F58"/>
    <w:rsid w:val="008431AE"/>
    <w:rsid w:val="008435F4"/>
    <w:rsid w:val="00843798"/>
    <w:rsid w:val="008438AD"/>
    <w:rsid w:val="00843BEA"/>
    <w:rsid w:val="00844178"/>
    <w:rsid w:val="00844390"/>
    <w:rsid w:val="00844498"/>
    <w:rsid w:val="0084457A"/>
    <w:rsid w:val="0084474F"/>
    <w:rsid w:val="00844A96"/>
    <w:rsid w:val="00844DE4"/>
    <w:rsid w:val="008451E7"/>
    <w:rsid w:val="0084534D"/>
    <w:rsid w:val="008457D7"/>
    <w:rsid w:val="008459B4"/>
    <w:rsid w:val="008459DC"/>
    <w:rsid w:val="00845A4B"/>
    <w:rsid w:val="00845D42"/>
    <w:rsid w:val="00845FE8"/>
    <w:rsid w:val="008461E0"/>
    <w:rsid w:val="008462DA"/>
    <w:rsid w:val="008463DD"/>
    <w:rsid w:val="008464B2"/>
    <w:rsid w:val="008464CA"/>
    <w:rsid w:val="008469C2"/>
    <w:rsid w:val="008474B9"/>
    <w:rsid w:val="0084751C"/>
    <w:rsid w:val="008477AF"/>
    <w:rsid w:val="00847D33"/>
    <w:rsid w:val="00847E69"/>
    <w:rsid w:val="00850148"/>
    <w:rsid w:val="008501F3"/>
    <w:rsid w:val="0085023E"/>
    <w:rsid w:val="008502F6"/>
    <w:rsid w:val="00850458"/>
    <w:rsid w:val="00850839"/>
    <w:rsid w:val="00850997"/>
    <w:rsid w:val="00850A76"/>
    <w:rsid w:val="00850C40"/>
    <w:rsid w:val="00850CB8"/>
    <w:rsid w:val="00851140"/>
    <w:rsid w:val="00851156"/>
    <w:rsid w:val="0085133B"/>
    <w:rsid w:val="008513DD"/>
    <w:rsid w:val="008516B7"/>
    <w:rsid w:val="0085190E"/>
    <w:rsid w:val="00851952"/>
    <w:rsid w:val="0085198C"/>
    <w:rsid w:val="008519AB"/>
    <w:rsid w:val="00851B2E"/>
    <w:rsid w:val="00851C06"/>
    <w:rsid w:val="00851D82"/>
    <w:rsid w:val="0085211A"/>
    <w:rsid w:val="008521EB"/>
    <w:rsid w:val="00852214"/>
    <w:rsid w:val="00852344"/>
    <w:rsid w:val="0085267B"/>
    <w:rsid w:val="0085281F"/>
    <w:rsid w:val="00852944"/>
    <w:rsid w:val="00852B35"/>
    <w:rsid w:val="00852DD4"/>
    <w:rsid w:val="00852E5C"/>
    <w:rsid w:val="00852F9D"/>
    <w:rsid w:val="00853373"/>
    <w:rsid w:val="00853B35"/>
    <w:rsid w:val="00853C96"/>
    <w:rsid w:val="00853E24"/>
    <w:rsid w:val="00854033"/>
    <w:rsid w:val="008542DD"/>
    <w:rsid w:val="008545D3"/>
    <w:rsid w:val="008547B0"/>
    <w:rsid w:val="008547BD"/>
    <w:rsid w:val="0085481E"/>
    <w:rsid w:val="00854B57"/>
    <w:rsid w:val="00854B7C"/>
    <w:rsid w:val="00854BB8"/>
    <w:rsid w:val="00854DB2"/>
    <w:rsid w:val="008555AA"/>
    <w:rsid w:val="0085583F"/>
    <w:rsid w:val="00855BDB"/>
    <w:rsid w:val="00855E2E"/>
    <w:rsid w:val="00856167"/>
    <w:rsid w:val="0085624E"/>
    <w:rsid w:val="008563A7"/>
    <w:rsid w:val="008563D4"/>
    <w:rsid w:val="0085640F"/>
    <w:rsid w:val="008567BC"/>
    <w:rsid w:val="0085689D"/>
    <w:rsid w:val="0085692D"/>
    <w:rsid w:val="00856A6B"/>
    <w:rsid w:val="00857024"/>
    <w:rsid w:val="00857184"/>
    <w:rsid w:val="0085782F"/>
    <w:rsid w:val="00857995"/>
    <w:rsid w:val="00857F60"/>
    <w:rsid w:val="0086011A"/>
    <w:rsid w:val="008607B6"/>
    <w:rsid w:val="008608B5"/>
    <w:rsid w:val="00860A42"/>
    <w:rsid w:val="00860C5C"/>
    <w:rsid w:val="00860EA3"/>
    <w:rsid w:val="008610C9"/>
    <w:rsid w:val="00861CAC"/>
    <w:rsid w:val="00861DF7"/>
    <w:rsid w:val="00861E55"/>
    <w:rsid w:val="00862220"/>
    <w:rsid w:val="0086266C"/>
    <w:rsid w:val="00862AFA"/>
    <w:rsid w:val="00862E66"/>
    <w:rsid w:val="00862F14"/>
    <w:rsid w:val="008634C3"/>
    <w:rsid w:val="00863517"/>
    <w:rsid w:val="008635F7"/>
    <w:rsid w:val="008639AC"/>
    <w:rsid w:val="00863AD9"/>
    <w:rsid w:val="00863BA8"/>
    <w:rsid w:val="00863D0A"/>
    <w:rsid w:val="00863DB5"/>
    <w:rsid w:val="00863E9C"/>
    <w:rsid w:val="008644AF"/>
    <w:rsid w:val="00864827"/>
    <w:rsid w:val="00864910"/>
    <w:rsid w:val="00864BFB"/>
    <w:rsid w:val="00864C62"/>
    <w:rsid w:val="00864F81"/>
    <w:rsid w:val="00865052"/>
    <w:rsid w:val="008654C5"/>
    <w:rsid w:val="00865594"/>
    <w:rsid w:val="00865753"/>
    <w:rsid w:val="00865A4D"/>
    <w:rsid w:val="00865CF8"/>
    <w:rsid w:val="00865ED9"/>
    <w:rsid w:val="00865F04"/>
    <w:rsid w:val="00865FEF"/>
    <w:rsid w:val="008671FE"/>
    <w:rsid w:val="008672C8"/>
    <w:rsid w:val="00867360"/>
    <w:rsid w:val="008673C5"/>
    <w:rsid w:val="0086747C"/>
    <w:rsid w:val="008675D9"/>
    <w:rsid w:val="008677C6"/>
    <w:rsid w:val="00867826"/>
    <w:rsid w:val="00867969"/>
    <w:rsid w:val="00867B5B"/>
    <w:rsid w:val="00867F2B"/>
    <w:rsid w:val="00867FF5"/>
    <w:rsid w:val="00870135"/>
    <w:rsid w:val="0087022F"/>
    <w:rsid w:val="008703DA"/>
    <w:rsid w:val="0087081C"/>
    <w:rsid w:val="008709E8"/>
    <w:rsid w:val="00870C02"/>
    <w:rsid w:val="00870DEA"/>
    <w:rsid w:val="008715C9"/>
    <w:rsid w:val="0087173D"/>
    <w:rsid w:val="00871817"/>
    <w:rsid w:val="00871849"/>
    <w:rsid w:val="00871A84"/>
    <w:rsid w:val="00871B53"/>
    <w:rsid w:val="00871C2E"/>
    <w:rsid w:val="008720CB"/>
    <w:rsid w:val="008723CD"/>
    <w:rsid w:val="008723F8"/>
    <w:rsid w:val="00872659"/>
    <w:rsid w:val="008726CC"/>
    <w:rsid w:val="00873034"/>
    <w:rsid w:val="008732B6"/>
    <w:rsid w:val="00873478"/>
    <w:rsid w:val="008736F2"/>
    <w:rsid w:val="0087392B"/>
    <w:rsid w:val="00873B25"/>
    <w:rsid w:val="00873D60"/>
    <w:rsid w:val="00873E09"/>
    <w:rsid w:val="00873EA2"/>
    <w:rsid w:val="00873EFF"/>
    <w:rsid w:val="00873FB5"/>
    <w:rsid w:val="00874056"/>
    <w:rsid w:val="00874331"/>
    <w:rsid w:val="00874457"/>
    <w:rsid w:val="008744EE"/>
    <w:rsid w:val="008748B0"/>
    <w:rsid w:val="00874BDC"/>
    <w:rsid w:val="00874C04"/>
    <w:rsid w:val="00874C3A"/>
    <w:rsid w:val="00874D11"/>
    <w:rsid w:val="00874FC3"/>
    <w:rsid w:val="0087507B"/>
    <w:rsid w:val="00875158"/>
    <w:rsid w:val="008752D8"/>
    <w:rsid w:val="00875714"/>
    <w:rsid w:val="00875BC5"/>
    <w:rsid w:val="00875DB1"/>
    <w:rsid w:val="00875DBE"/>
    <w:rsid w:val="00875E74"/>
    <w:rsid w:val="00875E91"/>
    <w:rsid w:val="00875F00"/>
    <w:rsid w:val="0087601F"/>
    <w:rsid w:val="0087616B"/>
    <w:rsid w:val="00876250"/>
    <w:rsid w:val="008762FE"/>
    <w:rsid w:val="008763CE"/>
    <w:rsid w:val="00876406"/>
    <w:rsid w:val="00876481"/>
    <w:rsid w:val="008766AE"/>
    <w:rsid w:val="00876C5D"/>
    <w:rsid w:val="008771C1"/>
    <w:rsid w:val="008774DE"/>
    <w:rsid w:val="0087763B"/>
    <w:rsid w:val="0087779E"/>
    <w:rsid w:val="00877937"/>
    <w:rsid w:val="00877972"/>
    <w:rsid w:val="00877B1A"/>
    <w:rsid w:val="00877B9E"/>
    <w:rsid w:val="00877DB6"/>
    <w:rsid w:val="00880262"/>
    <w:rsid w:val="0088027B"/>
    <w:rsid w:val="00880500"/>
    <w:rsid w:val="008805CA"/>
    <w:rsid w:val="008805FA"/>
    <w:rsid w:val="008810BE"/>
    <w:rsid w:val="0088111D"/>
    <w:rsid w:val="00881283"/>
    <w:rsid w:val="008812C6"/>
    <w:rsid w:val="0088154B"/>
    <w:rsid w:val="00881E49"/>
    <w:rsid w:val="008822D0"/>
    <w:rsid w:val="008822FA"/>
    <w:rsid w:val="008827D0"/>
    <w:rsid w:val="008829BA"/>
    <w:rsid w:val="00882C3A"/>
    <w:rsid w:val="00883B6D"/>
    <w:rsid w:val="00883DD7"/>
    <w:rsid w:val="00884207"/>
    <w:rsid w:val="0088435E"/>
    <w:rsid w:val="0088479D"/>
    <w:rsid w:val="00884E33"/>
    <w:rsid w:val="00884ED9"/>
    <w:rsid w:val="008851A5"/>
    <w:rsid w:val="00885284"/>
    <w:rsid w:val="0088537B"/>
    <w:rsid w:val="008853BC"/>
    <w:rsid w:val="00885527"/>
    <w:rsid w:val="008859F7"/>
    <w:rsid w:val="00885BD8"/>
    <w:rsid w:val="00885E0A"/>
    <w:rsid w:val="00885F5E"/>
    <w:rsid w:val="00886073"/>
    <w:rsid w:val="00886243"/>
    <w:rsid w:val="008864D5"/>
    <w:rsid w:val="00886607"/>
    <w:rsid w:val="00886611"/>
    <w:rsid w:val="00886657"/>
    <w:rsid w:val="00886916"/>
    <w:rsid w:val="00886D1F"/>
    <w:rsid w:val="008873A1"/>
    <w:rsid w:val="008877D1"/>
    <w:rsid w:val="008878CA"/>
    <w:rsid w:val="008878D6"/>
    <w:rsid w:val="00887A4F"/>
    <w:rsid w:val="00887D66"/>
    <w:rsid w:val="0089025D"/>
    <w:rsid w:val="00890672"/>
    <w:rsid w:val="00890762"/>
    <w:rsid w:val="00890F8E"/>
    <w:rsid w:val="0089176C"/>
    <w:rsid w:val="00891890"/>
    <w:rsid w:val="00891B0D"/>
    <w:rsid w:val="00891BF5"/>
    <w:rsid w:val="00891F05"/>
    <w:rsid w:val="00891FC0"/>
    <w:rsid w:val="00891FFD"/>
    <w:rsid w:val="00892450"/>
    <w:rsid w:val="008926F9"/>
    <w:rsid w:val="00892A8B"/>
    <w:rsid w:val="00892AB3"/>
    <w:rsid w:val="00892EFC"/>
    <w:rsid w:val="00893018"/>
    <w:rsid w:val="0089335D"/>
    <w:rsid w:val="0089338C"/>
    <w:rsid w:val="00893814"/>
    <w:rsid w:val="008939E8"/>
    <w:rsid w:val="00893E11"/>
    <w:rsid w:val="0089438A"/>
    <w:rsid w:val="00894398"/>
    <w:rsid w:val="00894684"/>
    <w:rsid w:val="00894A59"/>
    <w:rsid w:val="00894E81"/>
    <w:rsid w:val="008950FD"/>
    <w:rsid w:val="008956C6"/>
    <w:rsid w:val="008957F0"/>
    <w:rsid w:val="00895FEE"/>
    <w:rsid w:val="0089606E"/>
    <w:rsid w:val="0089616F"/>
    <w:rsid w:val="008963A2"/>
    <w:rsid w:val="00896424"/>
    <w:rsid w:val="00896887"/>
    <w:rsid w:val="00896B6B"/>
    <w:rsid w:val="00896DFD"/>
    <w:rsid w:val="00896E4E"/>
    <w:rsid w:val="00896F12"/>
    <w:rsid w:val="00896F82"/>
    <w:rsid w:val="00896FC8"/>
    <w:rsid w:val="00897193"/>
    <w:rsid w:val="008975A0"/>
    <w:rsid w:val="008A0204"/>
    <w:rsid w:val="008A0259"/>
    <w:rsid w:val="008A0341"/>
    <w:rsid w:val="008A03E5"/>
    <w:rsid w:val="008A0AB9"/>
    <w:rsid w:val="008A0B05"/>
    <w:rsid w:val="008A0B6E"/>
    <w:rsid w:val="008A107A"/>
    <w:rsid w:val="008A1621"/>
    <w:rsid w:val="008A1666"/>
    <w:rsid w:val="008A17F3"/>
    <w:rsid w:val="008A1B7E"/>
    <w:rsid w:val="008A1EB4"/>
    <w:rsid w:val="008A2249"/>
    <w:rsid w:val="008A2310"/>
    <w:rsid w:val="008A25A5"/>
    <w:rsid w:val="008A25B9"/>
    <w:rsid w:val="008A27B3"/>
    <w:rsid w:val="008A2C3C"/>
    <w:rsid w:val="008A2E14"/>
    <w:rsid w:val="008A2FE5"/>
    <w:rsid w:val="008A324A"/>
    <w:rsid w:val="008A35BC"/>
    <w:rsid w:val="008A38C3"/>
    <w:rsid w:val="008A38CF"/>
    <w:rsid w:val="008A3998"/>
    <w:rsid w:val="008A3AA8"/>
    <w:rsid w:val="008A3AE4"/>
    <w:rsid w:val="008A3B00"/>
    <w:rsid w:val="008A3B78"/>
    <w:rsid w:val="008A4105"/>
    <w:rsid w:val="008A4214"/>
    <w:rsid w:val="008A422E"/>
    <w:rsid w:val="008A4523"/>
    <w:rsid w:val="008A48B0"/>
    <w:rsid w:val="008A4A19"/>
    <w:rsid w:val="008A4CCF"/>
    <w:rsid w:val="008A51A7"/>
    <w:rsid w:val="008A5731"/>
    <w:rsid w:val="008A5ABA"/>
    <w:rsid w:val="008A5B79"/>
    <w:rsid w:val="008A5C12"/>
    <w:rsid w:val="008A5F6F"/>
    <w:rsid w:val="008A5F89"/>
    <w:rsid w:val="008A6271"/>
    <w:rsid w:val="008A6326"/>
    <w:rsid w:val="008A6408"/>
    <w:rsid w:val="008A6502"/>
    <w:rsid w:val="008A67C8"/>
    <w:rsid w:val="008A6A92"/>
    <w:rsid w:val="008A6AFA"/>
    <w:rsid w:val="008A6B74"/>
    <w:rsid w:val="008A6EB1"/>
    <w:rsid w:val="008A74F1"/>
    <w:rsid w:val="008A78EF"/>
    <w:rsid w:val="008A791D"/>
    <w:rsid w:val="008B01B0"/>
    <w:rsid w:val="008B01D4"/>
    <w:rsid w:val="008B0292"/>
    <w:rsid w:val="008B0348"/>
    <w:rsid w:val="008B0371"/>
    <w:rsid w:val="008B03C8"/>
    <w:rsid w:val="008B0463"/>
    <w:rsid w:val="008B049F"/>
    <w:rsid w:val="008B0660"/>
    <w:rsid w:val="008B0AB5"/>
    <w:rsid w:val="008B0C02"/>
    <w:rsid w:val="008B1285"/>
    <w:rsid w:val="008B1296"/>
    <w:rsid w:val="008B1311"/>
    <w:rsid w:val="008B1370"/>
    <w:rsid w:val="008B140B"/>
    <w:rsid w:val="008B15EE"/>
    <w:rsid w:val="008B1D08"/>
    <w:rsid w:val="008B1E63"/>
    <w:rsid w:val="008B1F50"/>
    <w:rsid w:val="008B2356"/>
    <w:rsid w:val="008B28CF"/>
    <w:rsid w:val="008B2903"/>
    <w:rsid w:val="008B2956"/>
    <w:rsid w:val="008B45BA"/>
    <w:rsid w:val="008B473A"/>
    <w:rsid w:val="008B51C0"/>
    <w:rsid w:val="008B5382"/>
    <w:rsid w:val="008B53F6"/>
    <w:rsid w:val="008B561D"/>
    <w:rsid w:val="008B568F"/>
    <w:rsid w:val="008B574C"/>
    <w:rsid w:val="008B5978"/>
    <w:rsid w:val="008B5C9A"/>
    <w:rsid w:val="008B5DD8"/>
    <w:rsid w:val="008B5EA3"/>
    <w:rsid w:val="008B621E"/>
    <w:rsid w:val="008B64E9"/>
    <w:rsid w:val="008B6663"/>
    <w:rsid w:val="008B6B0D"/>
    <w:rsid w:val="008B6CE1"/>
    <w:rsid w:val="008B6D4B"/>
    <w:rsid w:val="008B71E0"/>
    <w:rsid w:val="008B7302"/>
    <w:rsid w:val="008B7359"/>
    <w:rsid w:val="008B7D50"/>
    <w:rsid w:val="008B7FBF"/>
    <w:rsid w:val="008C0103"/>
    <w:rsid w:val="008C0182"/>
    <w:rsid w:val="008C04F2"/>
    <w:rsid w:val="008C0E73"/>
    <w:rsid w:val="008C122D"/>
    <w:rsid w:val="008C14C0"/>
    <w:rsid w:val="008C1567"/>
    <w:rsid w:val="008C1868"/>
    <w:rsid w:val="008C19D0"/>
    <w:rsid w:val="008C1CAB"/>
    <w:rsid w:val="008C1F4B"/>
    <w:rsid w:val="008C258F"/>
    <w:rsid w:val="008C275C"/>
    <w:rsid w:val="008C2B30"/>
    <w:rsid w:val="008C2BEA"/>
    <w:rsid w:val="008C2C61"/>
    <w:rsid w:val="008C2C81"/>
    <w:rsid w:val="008C2DF8"/>
    <w:rsid w:val="008C30D6"/>
    <w:rsid w:val="008C31F4"/>
    <w:rsid w:val="008C320F"/>
    <w:rsid w:val="008C324F"/>
    <w:rsid w:val="008C33A8"/>
    <w:rsid w:val="008C3475"/>
    <w:rsid w:val="008C3895"/>
    <w:rsid w:val="008C3E19"/>
    <w:rsid w:val="008C4196"/>
    <w:rsid w:val="008C465B"/>
    <w:rsid w:val="008C46DD"/>
    <w:rsid w:val="008C48D4"/>
    <w:rsid w:val="008C48DF"/>
    <w:rsid w:val="008C4B36"/>
    <w:rsid w:val="008C4E8A"/>
    <w:rsid w:val="008C56FC"/>
    <w:rsid w:val="008C580D"/>
    <w:rsid w:val="008C5818"/>
    <w:rsid w:val="008C6067"/>
    <w:rsid w:val="008C60AC"/>
    <w:rsid w:val="008C613C"/>
    <w:rsid w:val="008C66C4"/>
    <w:rsid w:val="008C6988"/>
    <w:rsid w:val="008C6EAA"/>
    <w:rsid w:val="008C6EBF"/>
    <w:rsid w:val="008C6F96"/>
    <w:rsid w:val="008C7112"/>
    <w:rsid w:val="008C7126"/>
    <w:rsid w:val="008C72C8"/>
    <w:rsid w:val="008C75F9"/>
    <w:rsid w:val="008C7653"/>
    <w:rsid w:val="008C7822"/>
    <w:rsid w:val="008C784F"/>
    <w:rsid w:val="008C7AAA"/>
    <w:rsid w:val="008C7C7C"/>
    <w:rsid w:val="008C7DAA"/>
    <w:rsid w:val="008C7DF9"/>
    <w:rsid w:val="008C7ECE"/>
    <w:rsid w:val="008D00AB"/>
    <w:rsid w:val="008D0501"/>
    <w:rsid w:val="008D057E"/>
    <w:rsid w:val="008D07A0"/>
    <w:rsid w:val="008D0B43"/>
    <w:rsid w:val="008D0F76"/>
    <w:rsid w:val="008D1628"/>
    <w:rsid w:val="008D18BF"/>
    <w:rsid w:val="008D1CBE"/>
    <w:rsid w:val="008D1DFE"/>
    <w:rsid w:val="008D1EDF"/>
    <w:rsid w:val="008D28F0"/>
    <w:rsid w:val="008D2C12"/>
    <w:rsid w:val="008D31EA"/>
    <w:rsid w:val="008D3504"/>
    <w:rsid w:val="008D3656"/>
    <w:rsid w:val="008D3833"/>
    <w:rsid w:val="008D3893"/>
    <w:rsid w:val="008D39A5"/>
    <w:rsid w:val="008D3FC9"/>
    <w:rsid w:val="008D4068"/>
    <w:rsid w:val="008D413B"/>
    <w:rsid w:val="008D4206"/>
    <w:rsid w:val="008D428A"/>
    <w:rsid w:val="008D42D2"/>
    <w:rsid w:val="008D4718"/>
    <w:rsid w:val="008D47A3"/>
    <w:rsid w:val="008D4B6E"/>
    <w:rsid w:val="008D4EAC"/>
    <w:rsid w:val="008D4EE3"/>
    <w:rsid w:val="008D51D5"/>
    <w:rsid w:val="008D531D"/>
    <w:rsid w:val="008D548C"/>
    <w:rsid w:val="008D55EA"/>
    <w:rsid w:val="008D5601"/>
    <w:rsid w:val="008D579A"/>
    <w:rsid w:val="008D618E"/>
    <w:rsid w:val="008D669E"/>
    <w:rsid w:val="008D66D1"/>
    <w:rsid w:val="008D6793"/>
    <w:rsid w:val="008D6842"/>
    <w:rsid w:val="008D6B5E"/>
    <w:rsid w:val="008D6CAC"/>
    <w:rsid w:val="008D73BF"/>
    <w:rsid w:val="008D7436"/>
    <w:rsid w:val="008D7437"/>
    <w:rsid w:val="008D74BD"/>
    <w:rsid w:val="008D75C5"/>
    <w:rsid w:val="008D79F7"/>
    <w:rsid w:val="008D7C94"/>
    <w:rsid w:val="008D7F8D"/>
    <w:rsid w:val="008E006C"/>
    <w:rsid w:val="008E021E"/>
    <w:rsid w:val="008E02F2"/>
    <w:rsid w:val="008E0925"/>
    <w:rsid w:val="008E0D52"/>
    <w:rsid w:val="008E0E12"/>
    <w:rsid w:val="008E0F35"/>
    <w:rsid w:val="008E100D"/>
    <w:rsid w:val="008E1194"/>
    <w:rsid w:val="008E1265"/>
    <w:rsid w:val="008E1301"/>
    <w:rsid w:val="008E1894"/>
    <w:rsid w:val="008E1998"/>
    <w:rsid w:val="008E1A18"/>
    <w:rsid w:val="008E1C4C"/>
    <w:rsid w:val="008E1CFF"/>
    <w:rsid w:val="008E1D3D"/>
    <w:rsid w:val="008E1FFA"/>
    <w:rsid w:val="008E2090"/>
    <w:rsid w:val="008E21CA"/>
    <w:rsid w:val="008E23B9"/>
    <w:rsid w:val="008E28F8"/>
    <w:rsid w:val="008E29E4"/>
    <w:rsid w:val="008E2A76"/>
    <w:rsid w:val="008E2AED"/>
    <w:rsid w:val="008E2D4E"/>
    <w:rsid w:val="008E3068"/>
    <w:rsid w:val="008E30EF"/>
    <w:rsid w:val="008E35C0"/>
    <w:rsid w:val="008E3971"/>
    <w:rsid w:val="008E39CE"/>
    <w:rsid w:val="008E3BE8"/>
    <w:rsid w:val="008E3CE4"/>
    <w:rsid w:val="008E3D7E"/>
    <w:rsid w:val="008E4238"/>
    <w:rsid w:val="008E42AF"/>
    <w:rsid w:val="008E4732"/>
    <w:rsid w:val="008E4CAA"/>
    <w:rsid w:val="008E4D8C"/>
    <w:rsid w:val="008E4DEA"/>
    <w:rsid w:val="008E4F22"/>
    <w:rsid w:val="008E519B"/>
    <w:rsid w:val="008E527F"/>
    <w:rsid w:val="008E52FD"/>
    <w:rsid w:val="008E53D2"/>
    <w:rsid w:val="008E5A93"/>
    <w:rsid w:val="008E5B17"/>
    <w:rsid w:val="008E5B64"/>
    <w:rsid w:val="008E5C20"/>
    <w:rsid w:val="008E5E59"/>
    <w:rsid w:val="008E5F71"/>
    <w:rsid w:val="008E6525"/>
    <w:rsid w:val="008E6A9A"/>
    <w:rsid w:val="008E6D97"/>
    <w:rsid w:val="008E715C"/>
    <w:rsid w:val="008E747F"/>
    <w:rsid w:val="008E779A"/>
    <w:rsid w:val="008E7E70"/>
    <w:rsid w:val="008E7FDB"/>
    <w:rsid w:val="008F000C"/>
    <w:rsid w:val="008F01F1"/>
    <w:rsid w:val="008F0202"/>
    <w:rsid w:val="008F05E2"/>
    <w:rsid w:val="008F07F5"/>
    <w:rsid w:val="008F1058"/>
    <w:rsid w:val="008F13F1"/>
    <w:rsid w:val="008F1D2A"/>
    <w:rsid w:val="008F213A"/>
    <w:rsid w:val="008F2167"/>
    <w:rsid w:val="008F238E"/>
    <w:rsid w:val="008F26C0"/>
    <w:rsid w:val="008F26C8"/>
    <w:rsid w:val="008F2818"/>
    <w:rsid w:val="008F298D"/>
    <w:rsid w:val="008F2B9B"/>
    <w:rsid w:val="008F3187"/>
    <w:rsid w:val="008F3611"/>
    <w:rsid w:val="008F3841"/>
    <w:rsid w:val="008F3999"/>
    <w:rsid w:val="008F3B1D"/>
    <w:rsid w:val="008F3B69"/>
    <w:rsid w:val="008F3DD1"/>
    <w:rsid w:val="008F41F7"/>
    <w:rsid w:val="008F420B"/>
    <w:rsid w:val="008F4416"/>
    <w:rsid w:val="008F453A"/>
    <w:rsid w:val="008F48FC"/>
    <w:rsid w:val="008F4959"/>
    <w:rsid w:val="008F4A15"/>
    <w:rsid w:val="008F4E0B"/>
    <w:rsid w:val="008F4F60"/>
    <w:rsid w:val="008F5197"/>
    <w:rsid w:val="008F51EF"/>
    <w:rsid w:val="008F5346"/>
    <w:rsid w:val="008F53E4"/>
    <w:rsid w:val="008F5901"/>
    <w:rsid w:val="008F5C8A"/>
    <w:rsid w:val="008F5D60"/>
    <w:rsid w:val="008F5E2A"/>
    <w:rsid w:val="008F5E6E"/>
    <w:rsid w:val="008F62F9"/>
    <w:rsid w:val="008F68B2"/>
    <w:rsid w:val="008F6B68"/>
    <w:rsid w:val="008F7518"/>
    <w:rsid w:val="009001DF"/>
    <w:rsid w:val="0090024F"/>
    <w:rsid w:val="009002D2"/>
    <w:rsid w:val="009002EC"/>
    <w:rsid w:val="0090070D"/>
    <w:rsid w:val="009008EB"/>
    <w:rsid w:val="00900FCF"/>
    <w:rsid w:val="009012E3"/>
    <w:rsid w:val="00901556"/>
    <w:rsid w:val="00901902"/>
    <w:rsid w:val="00901999"/>
    <w:rsid w:val="009019AA"/>
    <w:rsid w:val="00901D3C"/>
    <w:rsid w:val="009020B9"/>
    <w:rsid w:val="009020F5"/>
    <w:rsid w:val="00902525"/>
    <w:rsid w:val="0090273D"/>
    <w:rsid w:val="00902833"/>
    <w:rsid w:val="00903121"/>
    <w:rsid w:val="009032BD"/>
    <w:rsid w:val="009037B6"/>
    <w:rsid w:val="009037CC"/>
    <w:rsid w:val="00903B95"/>
    <w:rsid w:val="00903D50"/>
    <w:rsid w:val="00904556"/>
    <w:rsid w:val="00904564"/>
    <w:rsid w:val="00904703"/>
    <w:rsid w:val="00904A60"/>
    <w:rsid w:val="00904B9A"/>
    <w:rsid w:val="009050CE"/>
    <w:rsid w:val="00905A07"/>
    <w:rsid w:val="00905A7E"/>
    <w:rsid w:val="00905EBD"/>
    <w:rsid w:val="0090609A"/>
    <w:rsid w:val="00906113"/>
    <w:rsid w:val="00906116"/>
    <w:rsid w:val="009061F7"/>
    <w:rsid w:val="00906539"/>
    <w:rsid w:val="00906749"/>
    <w:rsid w:val="00906C67"/>
    <w:rsid w:val="00906D41"/>
    <w:rsid w:val="00906E7A"/>
    <w:rsid w:val="009070A6"/>
    <w:rsid w:val="00907516"/>
    <w:rsid w:val="009077E5"/>
    <w:rsid w:val="00907AD1"/>
    <w:rsid w:val="00907EB2"/>
    <w:rsid w:val="0091023A"/>
    <w:rsid w:val="00910498"/>
    <w:rsid w:val="0091081B"/>
    <w:rsid w:val="00910C10"/>
    <w:rsid w:val="00911081"/>
    <w:rsid w:val="00911691"/>
    <w:rsid w:val="00911899"/>
    <w:rsid w:val="009119DE"/>
    <w:rsid w:val="00911A87"/>
    <w:rsid w:val="00911ADD"/>
    <w:rsid w:val="00911E8C"/>
    <w:rsid w:val="00912157"/>
    <w:rsid w:val="009125BA"/>
    <w:rsid w:val="009126C8"/>
    <w:rsid w:val="00912B74"/>
    <w:rsid w:val="00912B86"/>
    <w:rsid w:val="00912C9E"/>
    <w:rsid w:val="00912DF8"/>
    <w:rsid w:val="00913081"/>
    <w:rsid w:val="009133F1"/>
    <w:rsid w:val="00913DF4"/>
    <w:rsid w:val="00914354"/>
    <w:rsid w:val="009143DE"/>
    <w:rsid w:val="00914596"/>
    <w:rsid w:val="009147E7"/>
    <w:rsid w:val="00914A6E"/>
    <w:rsid w:val="00914B20"/>
    <w:rsid w:val="00914D78"/>
    <w:rsid w:val="00914DC5"/>
    <w:rsid w:val="00914F0C"/>
    <w:rsid w:val="00914F72"/>
    <w:rsid w:val="00915408"/>
    <w:rsid w:val="009154B0"/>
    <w:rsid w:val="0091557B"/>
    <w:rsid w:val="0091583F"/>
    <w:rsid w:val="0091590A"/>
    <w:rsid w:val="00915B54"/>
    <w:rsid w:val="00915C93"/>
    <w:rsid w:val="00915E0E"/>
    <w:rsid w:val="00915F88"/>
    <w:rsid w:val="009166B7"/>
    <w:rsid w:val="00916886"/>
    <w:rsid w:val="00916B03"/>
    <w:rsid w:val="00916B9C"/>
    <w:rsid w:val="00916EBD"/>
    <w:rsid w:val="009170AD"/>
    <w:rsid w:val="009170CE"/>
    <w:rsid w:val="0091712F"/>
    <w:rsid w:val="009174EF"/>
    <w:rsid w:val="00917599"/>
    <w:rsid w:val="00917AA5"/>
    <w:rsid w:val="00917D89"/>
    <w:rsid w:val="00917DB1"/>
    <w:rsid w:val="00920004"/>
    <w:rsid w:val="00920031"/>
    <w:rsid w:val="00920793"/>
    <w:rsid w:val="009209B9"/>
    <w:rsid w:val="00920AF7"/>
    <w:rsid w:val="00921094"/>
    <w:rsid w:val="009211E8"/>
    <w:rsid w:val="009219CF"/>
    <w:rsid w:val="00921BEE"/>
    <w:rsid w:val="00921CE1"/>
    <w:rsid w:val="00921DCE"/>
    <w:rsid w:val="00922030"/>
    <w:rsid w:val="009221DB"/>
    <w:rsid w:val="00922622"/>
    <w:rsid w:val="00922837"/>
    <w:rsid w:val="00922EE2"/>
    <w:rsid w:val="00922F37"/>
    <w:rsid w:val="0092319A"/>
    <w:rsid w:val="00923328"/>
    <w:rsid w:val="009233C7"/>
    <w:rsid w:val="009233F6"/>
    <w:rsid w:val="009235DB"/>
    <w:rsid w:val="00923627"/>
    <w:rsid w:val="0092399F"/>
    <w:rsid w:val="00923C4C"/>
    <w:rsid w:val="00923D78"/>
    <w:rsid w:val="00923D8D"/>
    <w:rsid w:val="00923DE9"/>
    <w:rsid w:val="00923E45"/>
    <w:rsid w:val="00923EEE"/>
    <w:rsid w:val="0092432E"/>
    <w:rsid w:val="00924404"/>
    <w:rsid w:val="0092443F"/>
    <w:rsid w:val="0092444B"/>
    <w:rsid w:val="0092459C"/>
    <w:rsid w:val="009245D2"/>
    <w:rsid w:val="009247AD"/>
    <w:rsid w:val="009248AD"/>
    <w:rsid w:val="00924907"/>
    <w:rsid w:val="009249CE"/>
    <w:rsid w:val="00924C8F"/>
    <w:rsid w:val="00924EA8"/>
    <w:rsid w:val="009250C0"/>
    <w:rsid w:val="0092511E"/>
    <w:rsid w:val="00925521"/>
    <w:rsid w:val="009256D1"/>
    <w:rsid w:val="009257CF"/>
    <w:rsid w:val="009259FD"/>
    <w:rsid w:val="00925A92"/>
    <w:rsid w:val="00925E2D"/>
    <w:rsid w:val="00925EDA"/>
    <w:rsid w:val="00925F87"/>
    <w:rsid w:val="00926139"/>
    <w:rsid w:val="0092613D"/>
    <w:rsid w:val="009261E4"/>
    <w:rsid w:val="009263DD"/>
    <w:rsid w:val="0092695E"/>
    <w:rsid w:val="00926A6C"/>
    <w:rsid w:val="00926B7F"/>
    <w:rsid w:val="00926BAE"/>
    <w:rsid w:val="00927595"/>
    <w:rsid w:val="00927695"/>
    <w:rsid w:val="00927888"/>
    <w:rsid w:val="00927B2A"/>
    <w:rsid w:val="00927B80"/>
    <w:rsid w:val="00927DB5"/>
    <w:rsid w:val="00927E16"/>
    <w:rsid w:val="00927F2F"/>
    <w:rsid w:val="009303FB"/>
    <w:rsid w:val="00930407"/>
    <w:rsid w:val="00930419"/>
    <w:rsid w:val="009304C8"/>
    <w:rsid w:val="00930531"/>
    <w:rsid w:val="00930B54"/>
    <w:rsid w:val="00930BC0"/>
    <w:rsid w:val="00930F75"/>
    <w:rsid w:val="00931034"/>
    <w:rsid w:val="00931087"/>
    <w:rsid w:val="00931684"/>
    <w:rsid w:val="00931743"/>
    <w:rsid w:val="009319FC"/>
    <w:rsid w:val="00931AA8"/>
    <w:rsid w:val="00931C60"/>
    <w:rsid w:val="00931D75"/>
    <w:rsid w:val="00931F3E"/>
    <w:rsid w:val="00931F77"/>
    <w:rsid w:val="00931F87"/>
    <w:rsid w:val="009320E7"/>
    <w:rsid w:val="00932205"/>
    <w:rsid w:val="009326BF"/>
    <w:rsid w:val="00932883"/>
    <w:rsid w:val="009328F5"/>
    <w:rsid w:val="00932AA7"/>
    <w:rsid w:val="00932B09"/>
    <w:rsid w:val="00932D9C"/>
    <w:rsid w:val="00932DAD"/>
    <w:rsid w:val="00932E44"/>
    <w:rsid w:val="0093356A"/>
    <w:rsid w:val="00933616"/>
    <w:rsid w:val="0093381C"/>
    <w:rsid w:val="00933A7C"/>
    <w:rsid w:val="00933DD8"/>
    <w:rsid w:val="00934966"/>
    <w:rsid w:val="00934CC5"/>
    <w:rsid w:val="00935147"/>
    <w:rsid w:val="009359E3"/>
    <w:rsid w:val="00936382"/>
    <w:rsid w:val="009368A7"/>
    <w:rsid w:val="00936A09"/>
    <w:rsid w:val="00936CA8"/>
    <w:rsid w:val="00936DAE"/>
    <w:rsid w:val="00936FF1"/>
    <w:rsid w:val="00937002"/>
    <w:rsid w:val="0093743D"/>
    <w:rsid w:val="00937B84"/>
    <w:rsid w:val="00937C93"/>
    <w:rsid w:val="00937D55"/>
    <w:rsid w:val="00937DF0"/>
    <w:rsid w:val="00937EE0"/>
    <w:rsid w:val="0094047E"/>
    <w:rsid w:val="009405DC"/>
    <w:rsid w:val="0094089F"/>
    <w:rsid w:val="009408FE"/>
    <w:rsid w:val="00940B0F"/>
    <w:rsid w:val="00940F01"/>
    <w:rsid w:val="009410B5"/>
    <w:rsid w:val="009411CE"/>
    <w:rsid w:val="009415E8"/>
    <w:rsid w:val="00941639"/>
    <w:rsid w:val="00941690"/>
    <w:rsid w:val="009422A5"/>
    <w:rsid w:val="0094246A"/>
    <w:rsid w:val="00942620"/>
    <w:rsid w:val="00942B1B"/>
    <w:rsid w:val="00942EAA"/>
    <w:rsid w:val="00942EB2"/>
    <w:rsid w:val="0094301E"/>
    <w:rsid w:val="009431DE"/>
    <w:rsid w:val="00943262"/>
    <w:rsid w:val="00943853"/>
    <w:rsid w:val="009438F2"/>
    <w:rsid w:val="00943E55"/>
    <w:rsid w:val="00944989"/>
    <w:rsid w:val="00944DCC"/>
    <w:rsid w:val="00944F23"/>
    <w:rsid w:val="009450FE"/>
    <w:rsid w:val="00945157"/>
    <w:rsid w:val="0094525A"/>
    <w:rsid w:val="00945485"/>
    <w:rsid w:val="00945C32"/>
    <w:rsid w:val="00945C8F"/>
    <w:rsid w:val="00945F3A"/>
    <w:rsid w:val="00946201"/>
    <w:rsid w:val="009463BE"/>
    <w:rsid w:val="00946440"/>
    <w:rsid w:val="009466D3"/>
    <w:rsid w:val="00946AAD"/>
    <w:rsid w:val="00946FAD"/>
    <w:rsid w:val="00946FE4"/>
    <w:rsid w:val="00947981"/>
    <w:rsid w:val="00947BBB"/>
    <w:rsid w:val="00947BFA"/>
    <w:rsid w:val="009501A6"/>
    <w:rsid w:val="00950578"/>
    <w:rsid w:val="009506E2"/>
    <w:rsid w:val="00950A43"/>
    <w:rsid w:val="00950B2E"/>
    <w:rsid w:val="00950B4E"/>
    <w:rsid w:val="00950BBD"/>
    <w:rsid w:val="00951270"/>
    <w:rsid w:val="009512B8"/>
    <w:rsid w:val="0095148F"/>
    <w:rsid w:val="009515F3"/>
    <w:rsid w:val="009516F6"/>
    <w:rsid w:val="0095191E"/>
    <w:rsid w:val="00951D23"/>
    <w:rsid w:val="0095215B"/>
    <w:rsid w:val="00952223"/>
    <w:rsid w:val="00952429"/>
    <w:rsid w:val="0095297E"/>
    <w:rsid w:val="00952EAD"/>
    <w:rsid w:val="009530E5"/>
    <w:rsid w:val="0095328E"/>
    <w:rsid w:val="009536FC"/>
    <w:rsid w:val="00953724"/>
    <w:rsid w:val="009537AF"/>
    <w:rsid w:val="0095426A"/>
    <w:rsid w:val="009545C4"/>
    <w:rsid w:val="00954BD6"/>
    <w:rsid w:val="00954CEC"/>
    <w:rsid w:val="00954D87"/>
    <w:rsid w:val="00955BBD"/>
    <w:rsid w:val="00955CBA"/>
    <w:rsid w:val="00955E65"/>
    <w:rsid w:val="009560E5"/>
    <w:rsid w:val="0095617B"/>
    <w:rsid w:val="0095620E"/>
    <w:rsid w:val="009564C9"/>
    <w:rsid w:val="00956697"/>
    <w:rsid w:val="00956787"/>
    <w:rsid w:val="009575A0"/>
    <w:rsid w:val="0095773C"/>
    <w:rsid w:val="00957753"/>
    <w:rsid w:val="00957936"/>
    <w:rsid w:val="009579EE"/>
    <w:rsid w:val="009579F7"/>
    <w:rsid w:val="00957C1B"/>
    <w:rsid w:val="00957DA8"/>
    <w:rsid w:val="00957E8B"/>
    <w:rsid w:val="009604C4"/>
    <w:rsid w:val="009604F3"/>
    <w:rsid w:val="009606D0"/>
    <w:rsid w:val="0096093E"/>
    <w:rsid w:val="00960EE0"/>
    <w:rsid w:val="00961055"/>
    <w:rsid w:val="009612C2"/>
    <w:rsid w:val="00961306"/>
    <w:rsid w:val="009613A2"/>
    <w:rsid w:val="0096141C"/>
    <w:rsid w:val="009616FE"/>
    <w:rsid w:val="0096182C"/>
    <w:rsid w:val="009618CA"/>
    <w:rsid w:val="00961DE1"/>
    <w:rsid w:val="0096201E"/>
    <w:rsid w:val="009620D0"/>
    <w:rsid w:val="00962E14"/>
    <w:rsid w:val="00962EC1"/>
    <w:rsid w:val="00962F99"/>
    <w:rsid w:val="00963ACB"/>
    <w:rsid w:val="00963C00"/>
    <w:rsid w:val="00963D9E"/>
    <w:rsid w:val="00963E2D"/>
    <w:rsid w:val="00964089"/>
    <w:rsid w:val="0096410E"/>
    <w:rsid w:val="0096425F"/>
    <w:rsid w:val="009642B7"/>
    <w:rsid w:val="009645AC"/>
    <w:rsid w:val="00964682"/>
    <w:rsid w:val="00964A1F"/>
    <w:rsid w:val="00964A3D"/>
    <w:rsid w:val="00964ABF"/>
    <w:rsid w:val="00964AD7"/>
    <w:rsid w:val="00964F10"/>
    <w:rsid w:val="00965084"/>
    <w:rsid w:val="00965109"/>
    <w:rsid w:val="00965455"/>
    <w:rsid w:val="00965485"/>
    <w:rsid w:val="00965A1A"/>
    <w:rsid w:val="00965AAC"/>
    <w:rsid w:val="00965B0F"/>
    <w:rsid w:val="00965BEA"/>
    <w:rsid w:val="00965D73"/>
    <w:rsid w:val="00965EFD"/>
    <w:rsid w:val="0096602B"/>
    <w:rsid w:val="009661C9"/>
    <w:rsid w:val="0096632F"/>
    <w:rsid w:val="00966805"/>
    <w:rsid w:val="00966C2F"/>
    <w:rsid w:val="00966CDD"/>
    <w:rsid w:val="00966D86"/>
    <w:rsid w:val="00966E54"/>
    <w:rsid w:val="00966E58"/>
    <w:rsid w:val="009670AF"/>
    <w:rsid w:val="009675B5"/>
    <w:rsid w:val="00967A79"/>
    <w:rsid w:val="00967AAE"/>
    <w:rsid w:val="00967AF6"/>
    <w:rsid w:val="00967B9C"/>
    <w:rsid w:val="00967F54"/>
    <w:rsid w:val="009700C9"/>
    <w:rsid w:val="00970BD9"/>
    <w:rsid w:val="00970BEA"/>
    <w:rsid w:val="00970EA4"/>
    <w:rsid w:val="00970FBB"/>
    <w:rsid w:val="00971B9B"/>
    <w:rsid w:val="00971B9D"/>
    <w:rsid w:val="00971DF9"/>
    <w:rsid w:val="009720E3"/>
    <w:rsid w:val="00972CB8"/>
    <w:rsid w:val="00972DB1"/>
    <w:rsid w:val="00972F36"/>
    <w:rsid w:val="009737F5"/>
    <w:rsid w:val="00973CF9"/>
    <w:rsid w:val="00973D85"/>
    <w:rsid w:val="00973F66"/>
    <w:rsid w:val="0097400C"/>
    <w:rsid w:val="009741D8"/>
    <w:rsid w:val="009742F3"/>
    <w:rsid w:val="0097466B"/>
    <w:rsid w:val="00974A35"/>
    <w:rsid w:val="00975103"/>
    <w:rsid w:val="00975153"/>
    <w:rsid w:val="00975315"/>
    <w:rsid w:val="009753DA"/>
    <w:rsid w:val="00975679"/>
    <w:rsid w:val="00975838"/>
    <w:rsid w:val="00975A3C"/>
    <w:rsid w:val="00975A66"/>
    <w:rsid w:val="00975DD9"/>
    <w:rsid w:val="00975F13"/>
    <w:rsid w:val="00975F49"/>
    <w:rsid w:val="0097639A"/>
    <w:rsid w:val="0097670E"/>
    <w:rsid w:val="00976915"/>
    <w:rsid w:val="0097696C"/>
    <w:rsid w:val="00976A67"/>
    <w:rsid w:val="00977014"/>
    <w:rsid w:val="00977129"/>
    <w:rsid w:val="00977247"/>
    <w:rsid w:val="00977993"/>
    <w:rsid w:val="00977B1C"/>
    <w:rsid w:val="00977D8A"/>
    <w:rsid w:val="00977FA5"/>
    <w:rsid w:val="00977FDD"/>
    <w:rsid w:val="00980351"/>
    <w:rsid w:val="00980384"/>
    <w:rsid w:val="0098038E"/>
    <w:rsid w:val="009805A7"/>
    <w:rsid w:val="009806CA"/>
    <w:rsid w:val="00980935"/>
    <w:rsid w:val="00980EF8"/>
    <w:rsid w:val="00980F0D"/>
    <w:rsid w:val="0098158D"/>
    <w:rsid w:val="009819D9"/>
    <w:rsid w:val="00981CAE"/>
    <w:rsid w:val="00981FA8"/>
    <w:rsid w:val="00982088"/>
    <w:rsid w:val="00982125"/>
    <w:rsid w:val="00982F55"/>
    <w:rsid w:val="00983235"/>
    <w:rsid w:val="00983848"/>
    <w:rsid w:val="00983AB5"/>
    <w:rsid w:val="00983AFD"/>
    <w:rsid w:val="00983DCF"/>
    <w:rsid w:val="00983F4D"/>
    <w:rsid w:val="0098401B"/>
    <w:rsid w:val="0098429A"/>
    <w:rsid w:val="009845C8"/>
    <w:rsid w:val="00984682"/>
    <w:rsid w:val="009847AA"/>
    <w:rsid w:val="0098489E"/>
    <w:rsid w:val="00984A6C"/>
    <w:rsid w:val="00984D4C"/>
    <w:rsid w:val="00984F90"/>
    <w:rsid w:val="009850A0"/>
    <w:rsid w:val="0098514C"/>
    <w:rsid w:val="0098545B"/>
    <w:rsid w:val="009854F7"/>
    <w:rsid w:val="009857EF"/>
    <w:rsid w:val="00985AC6"/>
    <w:rsid w:val="00985D98"/>
    <w:rsid w:val="00985FC0"/>
    <w:rsid w:val="00986069"/>
    <w:rsid w:val="0098611D"/>
    <w:rsid w:val="009862FF"/>
    <w:rsid w:val="009863ED"/>
    <w:rsid w:val="00986400"/>
    <w:rsid w:val="009864AE"/>
    <w:rsid w:val="0098758E"/>
    <w:rsid w:val="0098777E"/>
    <w:rsid w:val="009877F7"/>
    <w:rsid w:val="0098785C"/>
    <w:rsid w:val="009878E1"/>
    <w:rsid w:val="00987A14"/>
    <w:rsid w:val="00987BD0"/>
    <w:rsid w:val="009904AC"/>
    <w:rsid w:val="009908F4"/>
    <w:rsid w:val="00990C98"/>
    <w:rsid w:val="00990DDE"/>
    <w:rsid w:val="00991222"/>
    <w:rsid w:val="00991247"/>
    <w:rsid w:val="0099158E"/>
    <w:rsid w:val="00991846"/>
    <w:rsid w:val="00991915"/>
    <w:rsid w:val="00991B1A"/>
    <w:rsid w:val="00991B48"/>
    <w:rsid w:val="00991D0E"/>
    <w:rsid w:val="00991F38"/>
    <w:rsid w:val="00992041"/>
    <w:rsid w:val="00992179"/>
    <w:rsid w:val="009921FA"/>
    <w:rsid w:val="00992802"/>
    <w:rsid w:val="009928C6"/>
    <w:rsid w:val="009928DC"/>
    <w:rsid w:val="0099298A"/>
    <w:rsid w:val="0099308D"/>
    <w:rsid w:val="00993203"/>
    <w:rsid w:val="00993387"/>
    <w:rsid w:val="00993B12"/>
    <w:rsid w:val="00993B80"/>
    <w:rsid w:val="0099409E"/>
    <w:rsid w:val="00994274"/>
    <w:rsid w:val="00994305"/>
    <w:rsid w:val="0099479A"/>
    <w:rsid w:val="009948F1"/>
    <w:rsid w:val="0099493B"/>
    <w:rsid w:val="00994E08"/>
    <w:rsid w:val="00994F80"/>
    <w:rsid w:val="00995306"/>
    <w:rsid w:val="009954E6"/>
    <w:rsid w:val="0099575D"/>
    <w:rsid w:val="00995A0A"/>
    <w:rsid w:val="00995A25"/>
    <w:rsid w:val="00995B8B"/>
    <w:rsid w:val="00995F1F"/>
    <w:rsid w:val="009960D5"/>
    <w:rsid w:val="0099612D"/>
    <w:rsid w:val="00996159"/>
    <w:rsid w:val="009966C8"/>
    <w:rsid w:val="009966F0"/>
    <w:rsid w:val="00996749"/>
    <w:rsid w:val="00996A58"/>
    <w:rsid w:val="00996B53"/>
    <w:rsid w:val="00996E7F"/>
    <w:rsid w:val="00997417"/>
    <w:rsid w:val="009975F5"/>
    <w:rsid w:val="00997B7E"/>
    <w:rsid w:val="00997D1D"/>
    <w:rsid w:val="00997FC7"/>
    <w:rsid w:val="009A0098"/>
    <w:rsid w:val="009A022A"/>
    <w:rsid w:val="009A02C5"/>
    <w:rsid w:val="009A04A6"/>
    <w:rsid w:val="009A0B64"/>
    <w:rsid w:val="009A0F84"/>
    <w:rsid w:val="009A110B"/>
    <w:rsid w:val="009A1563"/>
    <w:rsid w:val="009A15EC"/>
    <w:rsid w:val="009A1674"/>
    <w:rsid w:val="009A1E4F"/>
    <w:rsid w:val="009A20F3"/>
    <w:rsid w:val="009A21E2"/>
    <w:rsid w:val="009A21E3"/>
    <w:rsid w:val="009A24B3"/>
    <w:rsid w:val="009A268F"/>
    <w:rsid w:val="009A28D7"/>
    <w:rsid w:val="009A2D03"/>
    <w:rsid w:val="009A39DC"/>
    <w:rsid w:val="009A3B6A"/>
    <w:rsid w:val="009A3F27"/>
    <w:rsid w:val="009A43FC"/>
    <w:rsid w:val="009A459E"/>
    <w:rsid w:val="009A45C5"/>
    <w:rsid w:val="009A4CB4"/>
    <w:rsid w:val="009A4EE2"/>
    <w:rsid w:val="009A5138"/>
    <w:rsid w:val="009A52B5"/>
    <w:rsid w:val="009A531C"/>
    <w:rsid w:val="009A5715"/>
    <w:rsid w:val="009A5753"/>
    <w:rsid w:val="009A57EB"/>
    <w:rsid w:val="009A5967"/>
    <w:rsid w:val="009A5AB5"/>
    <w:rsid w:val="009A6437"/>
    <w:rsid w:val="009A6465"/>
    <w:rsid w:val="009A65B0"/>
    <w:rsid w:val="009A6612"/>
    <w:rsid w:val="009A667A"/>
    <w:rsid w:val="009A678E"/>
    <w:rsid w:val="009A67A3"/>
    <w:rsid w:val="009A68C8"/>
    <w:rsid w:val="009A699B"/>
    <w:rsid w:val="009A6CA4"/>
    <w:rsid w:val="009A7168"/>
    <w:rsid w:val="009A71BC"/>
    <w:rsid w:val="009A7439"/>
    <w:rsid w:val="009A7520"/>
    <w:rsid w:val="009A7BA5"/>
    <w:rsid w:val="009A7E7C"/>
    <w:rsid w:val="009A7FF0"/>
    <w:rsid w:val="009B018D"/>
    <w:rsid w:val="009B0729"/>
    <w:rsid w:val="009B07F8"/>
    <w:rsid w:val="009B103D"/>
    <w:rsid w:val="009B10E7"/>
    <w:rsid w:val="009B1313"/>
    <w:rsid w:val="009B1721"/>
    <w:rsid w:val="009B180C"/>
    <w:rsid w:val="009B2036"/>
    <w:rsid w:val="009B209D"/>
    <w:rsid w:val="009B21D0"/>
    <w:rsid w:val="009B25E9"/>
    <w:rsid w:val="009B2661"/>
    <w:rsid w:val="009B299C"/>
    <w:rsid w:val="009B29AB"/>
    <w:rsid w:val="009B2AB7"/>
    <w:rsid w:val="009B2C6E"/>
    <w:rsid w:val="009B3099"/>
    <w:rsid w:val="009B3624"/>
    <w:rsid w:val="009B37AD"/>
    <w:rsid w:val="009B3C70"/>
    <w:rsid w:val="009B3DE0"/>
    <w:rsid w:val="009B3EBA"/>
    <w:rsid w:val="009B3EFA"/>
    <w:rsid w:val="009B42F4"/>
    <w:rsid w:val="009B48BC"/>
    <w:rsid w:val="009B4A9B"/>
    <w:rsid w:val="009B51EA"/>
    <w:rsid w:val="009B54D2"/>
    <w:rsid w:val="009B585F"/>
    <w:rsid w:val="009B62F9"/>
    <w:rsid w:val="009B644B"/>
    <w:rsid w:val="009B68E6"/>
    <w:rsid w:val="009B6A52"/>
    <w:rsid w:val="009B6ACA"/>
    <w:rsid w:val="009B6DDA"/>
    <w:rsid w:val="009B6EBC"/>
    <w:rsid w:val="009B6FAE"/>
    <w:rsid w:val="009B73DE"/>
    <w:rsid w:val="009B7495"/>
    <w:rsid w:val="009B7A84"/>
    <w:rsid w:val="009B7A96"/>
    <w:rsid w:val="009B7ADB"/>
    <w:rsid w:val="009B7C85"/>
    <w:rsid w:val="009B7E02"/>
    <w:rsid w:val="009B7E22"/>
    <w:rsid w:val="009B7FD9"/>
    <w:rsid w:val="009C046D"/>
    <w:rsid w:val="009C04E9"/>
    <w:rsid w:val="009C0546"/>
    <w:rsid w:val="009C06AF"/>
    <w:rsid w:val="009C0871"/>
    <w:rsid w:val="009C089A"/>
    <w:rsid w:val="009C08B7"/>
    <w:rsid w:val="009C09B8"/>
    <w:rsid w:val="009C0B9A"/>
    <w:rsid w:val="009C0D95"/>
    <w:rsid w:val="009C0F42"/>
    <w:rsid w:val="009C163C"/>
    <w:rsid w:val="009C17C5"/>
    <w:rsid w:val="009C17E2"/>
    <w:rsid w:val="009C181F"/>
    <w:rsid w:val="009C1AD6"/>
    <w:rsid w:val="009C1CBC"/>
    <w:rsid w:val="009C2214"/>
    <w:rsid w:val="009C22E8"/>
    <w:rsid w:val="009C239A"/>
    <w:rsid w:val="009C2AFA"/>
    <w:rsid w:val="009C2B4F"/>
    <w:rsid w:val="009C2C84"/>
    <w:rsid w:val="009C2E14"/>
    <w:rsid w:val="009C3130"/>
    <w:rsid w:val="009C34BB"/>
    <w:rsid w:val="009C35F2"/>
    <w:rsid w:val="009C3668"/>
    <w:rsid w:val="009C36AB"/>
    <w:rsid w:val="009C387F"/>
    <w:rsid w:val="009C394D"/>
    <w:rsid w:val="009C3F9C"/>
    <w:rsid w:val="009C404D"/>
    <w:rsid w:val="009C42D6"/>
    <w:rsid w:val="009C43C2"/>
    <w:rsid w:val="009C4843"/>
    <w:rsid w:val="009C4A1B"/>
    <w:rsid w:val="009C4AE7"/>
    <w:rsid w:val="009C4CDB"/>
    <w:rsid w:val="009C4DC8"/>
    <w:rsid w:val="009C4ECF"/>
    <w:rsid w:val="009C5111"/>
    <w:rsid w:val="009C53E7"/>
    <w:rsid w:val="009C5699"/>
    <w:rsid w:val="009C56EB"/>
    <w:rsid w:val="009C5C83"/>
    <w:rsid w:val="009C5D63"/>
    <w:rsid w:val="009C5F04"/>
    <w:rsid w:val="009C610F"/>
    <w:rsid w:val="009C659F"/>
    <w:rsid w:val="009C65A2"/>
    <w:rsid w:val="009C6D0D"/>
    <w:rsid w:val="009C6D96"/>
    <w:rsid w:val="009C6DB8"/>
    <w:rsid w:val="009C6DCE"/>
    <w:rsid w:val="009C6EA2"/>
    <w:rsid w:val="009C7378"/>
    <w:rsid w:val="009C77BF"/>
    <w:rsid w:val="009C7B9D"/>
    <w:rsid w:val="009C7C12"/>
    <w:rsid w:val="009C7C37"/>
    <w:rsid w:val="009D0196"/>
    <w:rsid w:val="009D0201"/>
    <w:rsid w:val="009D03AA"/>
    <w:rsid w:val="009D0DB2"/>
    <w:rsid w:val="009D0EA9"/>
    <w:rsid w:val="009D0F6B"/>
    <w:rsid w:val="009D0FD1"/>
    <w:rsid w:val="009D1077"/>
    <w:rsid w:val="009D11E4"/>
    <w:rsid w:val="009D13FC"/>
    <w:rsid w:val="009D1AA9"/>
    <w:rsid w:val="009D1D04"/>
    <w:rsid w:val="009D2126"/>
    <w:rsid w:val="009D2210"/>
    <w:rsid w:val="009D23A2"/>
    <w:rsid w:val="009D2505"/>
    <w:rsid w:val="009D262A"/>
    <w:rsid w:val="009D262C"/>
    <w:rsid w:val="009D269B"/>
    <w:rsid w:val="009D28DB"/>
    <w:rsid w:val="009D29E0"/>
    <w:rsid w:val="009D2B03"/>
    <w:rsid w:val="009D2CBD"/>
    <w:rsid w:val="009D2F81"/>
    <w:rsid w:val="009D3C1A"/>
    <w:rsid w:val="009D3F07"/>
    <w:rsid w:val="009D4066"/>
    <w:rsid w:val="009D4169"/>
    <w:rsid w:val="009D4309"/>
    <w:rsid w:val="009D4C9F"/>
    <w:rsid w:val="009D4D90"/>
    <w:rsid w:val="009D4F4F"/>
    <w:rsid w:val="009D4F93"/>
    <w:rsid w:val="009D5054"/>
    <w:rsid w:val="009D5081"/>
    <w:rsid w:val="009D53F2"/>
    <w:rsid w:val="009D5402"/>
    <w:rsid w:val="009D5747"/>
    <w:rsid w:val="009D5F46"/>
    <w:rsid w:val="009D5F65"/>
    <w:rsid w:val="009D60C0"/>
    <w:rsid w:val="009D6407"/>
    <w:rsid w:val="009D649D"/>
    <w:rsid w:val="009D6576"/>
    <w:rsid w:val="009D65A0"/>
    <w:rsid w:val="009D65C9"/>
    <w:rsid w:val="009D6A08"/>
    <w:rsid w:val="009D6AC0"/>
    <w:rsid w:val="009D6C4B"/>
    <w:rsid w:val="009D6C65"/>
    <w:rsid w:val="009D6D69"/>
    <w:rsid w:val="009D7219"/>
    <w:rsid w:val="009D7226"/>
    <w:rsid w:val="009D72B3"/>
    <w:rsid w:val="009D73E3"/>
    <w:rsid w:val="009D78FA"/>
    <w:rsid w:val="009D7A5B"/>
    <w:rsid w:val="009D7DCA"/>
    <w:rsid w:val="009D7E2C"/>
    <w:rsid w:val="009E00F5"/>
    <w:rsid w:val="009E0103"/>
    <w:rsid w:val="009E05A1"/>
    <w:rsid w:val="009E0E64"/>
    <w:rsid w:val="009E1113"/>
    <w:rsid w:val="009E119E"/>
    <w:rsid w:val="009E1591"/>
    <w:rsid w:val="009E15BA"/>
    <w:rsid w:val="009E16E7"/>
    <w:rsid w:val="009E17D9"/>
    <w:rsid w:val="009E1A69"/>
    <w:rsid w:val="009E1B6C"/>
    <w:rsid w:val="009E24CA"/>
    <w:rsid w:val="009E25D4"/>
    <w:rsid w:val="009E2E92"/>
    <w:rsid w:val="009E3103"/>
    <w:rsid w:val="009E3284"/>
    <w:rsid w:val="009E3321"/>
    <w:rsid w:val="009E33BA"/>
    <w:rsid w:val="009E33D7"/>
    <w:rsid w:val="009E33EE"/>
    <w:rsid w:val="009E35D6"/>
    <w:rsid w:val="009E36CF"/>
    <w:rsid w:val="009E3CEB"/>
    <w:rsid w:val="009E3F71"/>
    <w:rsid w:val="009E3FF3"/>
    <w:rsid w:val="009E425A"/>
    <w:rsid w:val="009E4E20"/>
    <w:rsid w:val="009E4F6A"/>
    <w:rsid w:val="009E505F"/>
    <w:rsid w:val="009E51CA"/>
    <w:rsid w:val="009E5F03"/>
    <w:rsid w:val="009E6094"/>
    <w:rsid w:val="009E610F"/>
    <w:rsid w:val="009E61EB"/>
    <w:rsid w:val="009E6753"/>
    <w:rsid w:val="009E688A"/>
    <w:rsid w:val="009E692D"/>
    <w:rsid w:val="009E6972"/>
    <w:rsid w:val="009E6CD1"/>
    <w:rsid w:val="009E6DDC"/>
    <w:rsid w:val="009E6EA8"/>
    <w:rsid w:val="009E6F6E"/>
    <w:rsid w:val="009E6FCF"/>
    <w:rsid w:val="009E7068"/>
    <w:rsid w:val="009E72CB"/>
    <w:rsid w:val="009E73F1"/>
    <w:rsid w:val="009E77F0"/>
    <w:rsid w:val="009E7E26"/>
    <w:rsid w:val="009F059B"/>
    <w:rsid w:val="009F0C2B"/>
    <w:rsid w:val="009F1206"/>
    <w:rsid w:val="009F1255"/>
    <w:rsid w:val="009F12F9"/>
    <w:rsid w:val="009F142E"/>
    <w:rsid w:val="009F1435"/>
    <w:rsid w:val="009F17B9"/>
    <w:rsid w:val="009F1936"/>
    <w:rsid w:val="009F1ED1"/>
    <w:rsid w:val="009F2187"/>
    <w:rsid w:val="009F22CF"/>
    <w:rsid w:val="009F2A20"/>
    <w:rsid w:val="009F3089"/>
    <w:rsid w:val="009F3146"/>
    <w:rsid w:val="009F3357"/>
    <w:rsid w:val="009F3547"/>
    <w:rsid w:val="009F357F"/>
    <w:rsid w:val="009F364B"/>
    <w:rsid w:val="009F3787"/>
    <w:rsid w:val="009F384E"/>
    <w:rsid w:val="009F385A"/>
    <w:rsid w:val="009F3959"/>
    <w:rsid w:val="009F455F"/>
    <w:rsid w:val="009F456B"/>
    <w:rsid w:val="009F4C05"/>
    <w:rsid w:val="009F4D5A"/>
    <w:rsid w:val="009F50DF"/>
    <w:rsid w:val="009F5237"/>
    <w:rsid w:val="009F54F1"/>
    <w:rsid w:val="009F56AB"/>
    <w:rsid w:val="009F57AF"/>
    <w:rsid w:val="009F58DF"/>
    <w:rsid w:val="009F5D02"/>
    <w:rsid w:val="009F6117"/>
    <w:rsid w:val="009F6229"/>
    <w:rsid w:val="009F622D"/>
    <w:rsid w:val="009F6536"/>
    <w:rsid w:val="009F65D3"/>
    <w:rsid w:val="009F66E8"/>
    <w:rsid w:val="009F68F0"/>
    <w:rsid w:val="009F6A0B"/>
    <w:rsid w:val="009F6A3F"/>
    <w:rsid w:val="009F6AB8"/>
    <w:rsid w:val="009F6E86"/>
    <w:rsid w:val="009F7015"/>
    <w:rsid w:val="009F7293"/>
    <w:rsid w:val="009F7437"/>
    <w:rsid w:val="009F7512"/>
    <w:rsid w:val="009F7857"/>
    <w:rsid w:val="009F79EB"/>
    <w:rsid w:val="009F7CA2"/>
    <w:rsid w:val="00A0052B"/>
    <w:rsid w:val="00A00602"/>
    <w:rsid w:val="00A007F0"/>
    <w:rsid w:val="00A008B2"/>
    <w:rsid w:val="00A00923"/>
    <w:rsid w:val="00A00A47"/>
    <w:rsid w:val="00A00BEC"/>
    <w:rsid w:val="00A00FFC"/>
    <w:rsid w:val="00A0121D"/>
    <w:rsid w:val="00A013E7"/>
    <w:rsid w:val="00A0156B"/>
    <w:rsid w:val="00A0182E"/>
    <w:rsid w:val="00A018E6"/>
    <w:rsid w:val="00A01900"/>
    <w:rsid w:val="00A01AE7"/>
    <w:rsid w:val="00A02012"/>
    <w:rsid w:val="00A02024"/>
    <w:rsid w:val="00A02C02"/>
    <w:rsid w:val="00A02E24"/>
    <w:rsid w:val="00A02E7A"/>
    <w:rsid w:val="00A032DC"/>
    <w:rsid w:val="00A032EE"/>
    <w:rsid w:val="00A03357"/>
    <w:rsid w:val="00A03B4E"/>
    <w:rsid w:val="00A03DFB"/>
    <w:rsid w:val="00A03EBD"/>
    <w:rsid w:val="00A03EDD"/>
    <w:rsid w:val="00A04005"/>
    <w:rsid w:val="00A04374"/>
    <w:rsid w:val="00A04475"/>
    <w:rsid w:val="00A04ADC"/>
    <w:rsid w:val="00A04C02"/>
    <w:rsid w:val="00A04C27"/>
    <w:rsid w:val="00A04F2A"/>
    <w:rsid w:val="00A05612"/>
    <w:rsid w:val="00A05DBE"/>
    <w:rsid w:val="00A05F8B"/>
    <w:rsid w:val="00A063B1"/>
    <w:rsid w:val="00A06ABB"/>
    <w:rsid w:val="00A06AD0"/>
    <w:rsid w:val="00A06B15"/>
    <w:rsid w:val="00A06C25"/>
    <w:rsid w:val="00A06DAF"/>
    <w:rsid w:val="00A07088"/>
    <w:rsid w:val="00A07190"/>
    <w:rsid w:val="00A0751F"/>
    <w:rsid w:val="00A075DE"/>
    <w:rsid w:val="00A076CB"/>
    <w:rsid w:val="00A077BA"/>
    <w:rsid w:val="00A0794C"/>
    <w:rsid w:val="00A079E3"/>
    <w:rsid w:val="00A07AF7"/>
    <w:rsid w:val="00A07B61"/>
    <w:rsid w:val="00A07C9C"/>
    <w:rsid w:val="00A07F1E"/>
    <w:rsid w:val="00A1033B"/>
    <w:rsid w:val="00A10920"/>
    <w:rsid w:val="00A10D39"/>
    <w:rsid w:val="00A10FDB"/>
    <w:rsid w:val="00A11302"/>
    <w:rsid w:val="00A1156A"/>
    <w:rsid w:val="00A11573"/>
    <w:rsid w:val="00A11AD2"/>
    <w:rsid w:val="00A11B44"/>
    <w:rsid w:val="00A11B65"/>
    <w:rsid w:val="00A11F58"/>
    <w:rsid w:val="00A12016"/>
    <w:rsid w:val="00A1225D"/>
    <w:rsid w:val="00A122AA"/>
    <w:rsid w:val="00A1242F"/>
    <w:rsid w:val="00A1287A"/>
    <w:rsid w:val="00A12940"/>
    <w:rsid w:val="00A12AB7"/>
    <w:rsid w:val="00A12BB1"/>
    <w:rsid w:val="00A12C70"/>
    <w:rsid w:val="00A12CE4"/>
    <w:rsid w:val="00A1328C"/>
    <w:rsid w:val="00A13377"/>
    <w:rsid w:val="00A135B0"/>
    <w:rsid w:val="00A13671"/>
    <w:rsid w:val="00A1395E"/>
    <w:rsid w:val="00A1400A"/>
    <w:rsid w:val="00A141FA"/>
    <w:rsid w:val="00A146D1"/>
    <w:rsid w:val="00A147A9"/>
    <w:rsid w:val="00A14CC4"/>
    <w:rsid w:val="00A14E04"/>
    <w:rsid w:val="00A15012"/>
    <w:rsid w:val="00A1506E"/>
    <w:rsid w:val="00A150DF"/>
    <w:rsid w:val="00A150E9"/>
    <w:rsid w:val="00A1514F"/>
    <w:rsid w:val="00A152D9"/>
    <w:rsid w:val="00A15539"/>
    <w:rsid w:val="00A15544"/>
    <w:rsid w:val="00A1556E"/>
    <w:rsid w:val="00A15DBF"/>
    <w:rsid w:val="00A15E49"/>
    <w:rsid w:val="00A160D9"/>
    <w:rsid w:val="00A162F2"/>
    <w:rsid w:val="00A1665F"/>
    <w:rsid w:val="00A16818"/>
    <w:rsid w:val="00A168B4"/>
    <w:rsid w:val="00A168E1"/>
    <w:rsid w:val="00A16D1B"/>
    <w:rsid w:val="00A16F8A"/>
    <w:rsid w:val="00A170DD"/>
    <w:rsid w:val="00A1710E"/>
    <w:rsid w:val="00A17435"/>
    <w:rsid w:val="00A17883"/>
    <w:rsid w:val="00A179E2"/>
    <w:rsid w:val="00A200E6"/>
    <w:rsid w:val="00A20330"/>
    <w:rsid w:val="00A203B1"/>
    <w:rsid w:val="00A205F5"/>
    <w:rsid w:val="00A20624"/>
    <w:rsid w:val="00A20838"/>
    <w:rsid w:val="00A20857"/>
    <w:rsid w:val="00A20997"/>
    <w:rsid w:val="00A20CA8"/>
    <w:rsid w:val="00A20E39"/>
    <w:rsid w:val="00A20F03"/>
    <w:rsid w:val="00A20F23"/>
    <w:rsid w:val="00A20FD3"/>
    <w:rsid w:val="00A215A1"/>
    <w:rsid w:val="00A217A3"/>
    <w:rsid w:val="00A217AB"/>
    <w:rsid w:val="00A219C1"/>
    <w:rsid w:val="00A21AD8"/>
    <w:rsid w:val="00A21ADA"/>
    <w:rsid w:val="00A21B72"/>
    <w:rsid w:val="00A21B97"/>
    <w:rsid w:val="00A21BAC"/>
    <w:rsid w:val="00A21D55"/>
    <w:rsid w:val="00A21DAE"/>
    <w:rsid w:val="00A22051"/>
    <w:rsid w:val="00A221B4"/>
    <w:rsid w:val="00A2235E"/>
    <w:rsid w:val="00A22490"/>
    <w:rsid w:val="00A2275D"/>
    <w:rsid w:val="00A228E9"/>
    <w:rsid w:val="00A229FD"/>
    <w:rsid w:val="00A22A43"/>
    <w:rsid w:val="00A22EC6"/>
    <w:rsid w:val="00A22F5D"/>
    <w:rsid w:val="00A22F70"/>
    <w:rsid w:val="00A23137"/>
    <w:rsid w:val="00A231A1"/>
    <w:rsid w:val="00A23559"/>
    <w:rsid w:val="00A2356F"/>
    <w:rsid w:val="00A235C2"/>
    <w:rsid w:val="00A23644"/>
    <w:rsid w:val="00A237AC"/>
    <w:rsid w:val="00A23999"/>
    <w:rsid w:val="00A23C96"/>
    <w:rsid w:val="00A23DE3"/>
    <w:rsid w:val="00A23E9B"/>
    <w:rsid w:val="00A23F01"/>
    <w:rsid w:val="00A24133"/>
    <w:rsid w:val="00A243A3"/>
    <w:rsid w:val="00A2446F"/>
    <w:rsid w:val="00A245F3"/>
    <w:rsid w:val="00A2460A"/>
    <w:rsid w:val="00A246CA"/>
    <w:rsid w:val="00A24784"/>
    <w:rsid w:val="00A2492D"/>
    <w:rsid w:val="00A24BBB"/>
    <w:rsid w:val="00A24F53"/>
    <w:rsid w:val="00A24F6F"/>
    <w:rsid w:val="00A2514B"/>
    <w:rsid w:val="00A25189"/>
    <w:rsid w:val="00A25192"/>
    <w:rsid w:val="00A25247"/>
    <w:rsid w:val="00A255A1"/>
    <w:rsid w:val="00A25694"/>
    <w:rsid w:val="00A257FD"/>
    <w:rsid w:val="00A25ABE"/>
    <w:rsid w:val="00A25C56"/>
    <w:rsid w:val="00A25C82"/>
    <w:rsid w:val="00A2611F"/>
    <w:rsid w:val="00A26418"/>
    <w:rsid w:val="00A2645A"/>
    <w:rsid w:val="00A2661A"/>
    <w:rsid w:val="00A26A70"/>
    <w:rsid w:val="00A26CA1"/>
    <w:rsid w:val="00A26CE0"/>
    <w:rsid w:val="00A26E88"/>
    <w:rsid w:val="00A2716C"/>
    <w:rsid w:val="00A272A5"/>
    <w:rsid w:val="00A27384"/>
    <w:rsid w:val="00A274B1"/>
    <w:rsid w:val="00A27656"/>
    <w:rsid w:val="00A278C2"/>
    <w:rsid w:val="00A278ED"/>
    <w:rsid w:val="00A30214"/>
    <w:rsid w:val="00A306A3"/>
    <w:rsid w:val="00A308F7"/>
    <w:rsid w:val="00A30A4C"/>
    <w:rsid w:val="00A30B15"/>
    <w:rsid w:val="00A30CDE"/>
    <w:rsid w:val="00A30F44"/>
    <w:rsid w:val="00A31104"/>
    <w:rsid w:val="00A31230"/>
    <w:rsid w:val="00A313C7"/>
    <w:rsid w:val="00A31460"/>
    <w:rsid w:val="00A31569"/>
    <w:rsid w:val="00A316C7"/>
    <w:rsid w:val="00A318CD"/>
    <w:rsid w:val="00A31ACF"/>
    <w:rsid w:val="00A31C08"/>
    <w:rsid w:val="00A3201A"/>
    <w:rsid w:val="00A32110"/>
    <w:rsid w:val="00A323F8"/>
    <w:rsid w:val="00A32441"/>
    <w:rsid w:val="00A324E6"/>
    <w:rsid w:val="00A324E8"/>
    <w:rsid w:val="00A32976"/>
    <w:rsid w:val="00A335FB"/>
    <w:rsid w:val="00A33C06"/>
    <w:rsid w:val="00A340FA"/>
    <w:rsid w:val="00A344F5"/>
    <w:rsid w:val="00A3497D"/>
    <w:rsid w:val="00A35428"/>
    <w:rsid w:val="00A356D0"/>
    <w:rsid w:val="00A35A01"/>
    <w:rsid w:val="00A361FB"/>
    <w:rsid w:val="00A36275"/>
    <w:rsid w:val="00A36303"/>
    <w:rsid w:val="00A36550"/>
    <w:rsid w:val="00A367F4"/>
    <w:rsid w:val="00A3690C"/>
    <w:rsid w:val="00A36A27"/>
    <w:rsid w:val="00A36E14"/>
    <w:rsid w:val="00A36EFB"/>
    <w:rsid w:val="00A36F86"/>
    <w:rsid w:val="00A3718C"/>
    <w:rsid w:val="00A37C64"/>
    <w:rsid w:val="00A37DF2"/>
    <w:rsid w:val="00A37E34"/>
    <w:rsid w:val="00A37EB8"/>
    <w:rsid w:val="00A405F1"/>
    <w:rsid w:val="00A40BC5"/>
    <w:rsid w:val="00A40BEE"/>
    <w:rsid w:val="00A40CE5"/>
    <w:rsid w:val="00A4108A"/>
    <w:rsid w:val="00A410F6"/>
    <w:rsid w:val="00A413C3"/>
    <w:rsid w:val="00A41489"/>
    <w:rsid w:val="00A41628"/>
    <w:rsid w:val="00A41808"/>
    <w:rsid w:val="00A41944"/>
    <w:rsid w:val="00A41D28"/>
    <w:rsid w:val="00A423D0"/>
    <w:rsid w:val="00A42B04"/>
    <w:rsid w:val="00A42D01"/>
    <w:rsid w:val="00A42FA3"/>
    <w:rsid w:val="00A43277"/>
    <w:rsid w:val="00A43532"/>
    <w:rsid w:val="00A438FC"/>
    <w:rsid w:val="00A43911"/>
    <w:rsid w:val="00A43C72"/>
    <w:rsid w:val="00A43D37"/>
    <w:rsid w:val="00A4486E"/>
    <w:rsid w:val="00A44AE3"/>
    <w:rsid w:val="00A44C61"/>
    <w:rsid w:val="00A44F3C"/>
    <w:rsid w:val="00A45272"/>
    <w:rsid w:val="00A4562C"/>
    <w:rsid w:val="00A457FA"/>
    <w:rsid w:val="00A45AB8"/>
    <w:rsid w:val="00A45BA7"/>
    <w:rsid w:val="00A45BDF"/>
    <w:rsid w:val="00A45C4A"/>
    <w:rsid w:val="00A45E22"/>
    <w:rsid w:val="00A4683D"/>
    <w:rsid w:val="00A46A01"/>
    <w:rsid w:val="00A46ABD"/>
    <w:rsid w:val="00A46BF2"/>
    <w:rsid w:val="00A470DE"/>
    <w:rsid w:val="00A4785E"/>
    <w:rsid w:val="00A47B80"/>
    <w:rsid w:val="00A47EDC"/>
    <w:rsid w:val="00A47FC0"/>
    <w:rsid w:val="00A47FD4"/>
    <w:rsid w:val="00A502FA"/>
    <w:rsid w:val="00A502FB"/>
    <w:rsid w:val="00A505E6"/>
    <w:rsid w:val="00A509A8"/>
    <w:rsid w:val="00A509F6"/>
    <w:rsid w:val="00A50CD9"/>
    <w:rsid w:val="00A5107F"/>
    <w:rsid w:val="00A51251"/>
    <w:rsid w:val="00A5134B"/>
    <w:rsid w:val="00A514C5"/>
    <w:rsid w:val="00A515E5"/>
    <w:rsid w:val="00A51858"/>
    <w:rsid w:val="00A519AB"/>
    <w:rsid w:val="00A51A1B"/>
    <w:rsid w:val="00A51CEB"/>
    <w:rsid w:val="00A51DEF"/>
    <w:rsid w:val="00A51EDE"/>
    <w:rsid w:val="00A51F45"/>
    <w:rsid w:val="00A521C4"/>
    <w:rsid w:val="00A526A2"/>
    <w:rsid w:val="00A5278C"/>
    <w:rsid w:val="00A52967"/>
    <w:rsid w:val="00A52A7A"/>
    <w:rsid w:val="00A52D1B"/>
    <w:rsid w:val="00A52EAB"/>
    <w:rsid w:val="00A53293"/>
    <w:rsid w:val="00A536A6"/>
    <w:rsid w:val="00A53A2A"/>
    <w:rsid w:val="00A53D09"/>
    <w:rsid w:val="00A54023"/>
    <w:rsid w:val="00A540B7"/>
    <w:rsid w:val="00A5424A"/>
    <w:rsid w:val="00A543E0"/>
    <w:rsid w:val="00A54446"/>
    <w:rsid w:val="00A544E6"/>
    <w:rsid w:val="00A54745"/>
    <w:rsid w:val="00A54756"/>
    <w:rsid w:val="00A547A7"/>
    <w:rsid w:val="00A54D38"/>
    <w:rsid w:val="00A553B6"/>
    <w:rsid w:val="00A55655"/>
    <w:rsid w:val="00A5585F"/>
    <w:rsid w:val="00A55AB7"/>
    <w:rsid w:val="00A55ADD"/>
    <w:rsid w:val="00A55EB6"/>
    <w:rsid w:val="00A56513"/>
    <w:rsid w:val="00A5652D"/>
    <w:rsid w:val="00A5689F"/>
    <w:rsid w:val="00A5690B"/>
    <w:rsid w:val="00A5694D"/>
    <w:rsid w:val="00A56CE6"/>
    <w:rsid w:val="00A56DBB"/>
    <w:rsid w:val="00A57043"/>
    <w:rsid w:val="00A571D0"/>
    <w:rsid w:val="00A575BE"/>
    <w:rsid w:val="00A57A51"/>
    <w:rsid w:val="00A57C8F"/>
    <w:rsid w:val="00A57CCE"/>
    <w:rsid w:val="00A57D8F"/>
    <w:rsid w:val="00A57DC8"/>
    <w:rsid w:val="00A60085"/>
    <w:rsid w:val="00A60334"/>
    <w:rsid w:val="00A603AA"/>
    <w:rsid w:val="00A603D4"/>
    <w:rsid w:val="00A60684"/>
    <w:rsid w:val="00A607E6"/>
    <w:rsid w:val="00A60A04"/>
    <w:rsid w:val="00A60A8D"/>
    <w:rsid w:val="00A60BF3"/>
    <w:rsid w:val="00A60CD8"/>
    <w:rsid w:val="00A60D0E"/>
    <w:rsid w:val="00A60DCE"/>
    <w:rsid w:val="00A60E40"/>
    <w:rsid w:val="00A60E81"/>
    <w:rsid w:val="00A615DC"/>
    <w:rsid w:val="00A61621"/>
    <w:rsid w:val="00A61790"/>
    <w:rsid w:val="00A61BE6"/>
    <w:rsid w:val="00A61C57"/>
    <w:rsid w:val="00A61F6B"/>
    <w:rsid w:val="00A62077"/>
    <w:rsid w:val="00A623B3"/>
    <w:rsid w:val="00A6240E"/>
    <w:rsid w:val="00A624F3"/>
    <w:rsid w:val="00A624FF"/>
    <w:rsid w:val="00A62509"/>
    <w:rsid w:val="00A626B5"/>
    <w:rsid w:val="00A627D3"/>
    <w:rsid w:val="00A628F0"/>
    <w:rsid w:val="00A62C0A"/>
    <w:rsid w:val="00A62C8F"/>
    <w:rsid w:val="00A62C9F"/>
    <w:rsid w:val="00A62CFF"/>
    <w:rsid w:val="00A62E44"/>
    <w:rsid w:val="00A63157"/>
    <w:rsid w:val="00A63370"/>
    <w:rsid w:val="00A635D0"/>
    <w:rsid w:val="00A63748"/>
    <w:rsid w:val="00A63AED"/>
    <w:rsid w:val="00A63F11"/>
    <w:rsid w:val="00A63F61"/>
    <w:rsid w:val="00A6430D"/>
    <w:rsid w:val="00A64388"/>
    <w:rsid w:val="00A646A5"/>
    <w:rsid w:val="00A646C5"/>
    <w:rsid w:val="00A64700"/>
    <w:rsid w:val="00A6477A"/>
    <w:rsid w:val="00A64A4A"/>
    <w:rsid w:val="00A64AC4"/>
    <w:rsid w:val="00A65514"/>
    <w:rsid w:val="00A65794"/>
    <w:rsid w:val="00A65A52"/>
    <w:rsid w:val="00A65B54"/>
    <w:rsid w:val="00A6637E"/>
    <w:rsid w:val="00A6652B"/>
    <w:rsid w:val="00A666D2"/>
    <w:rsid w:val="00A668AB"/>
    <w:rsid w:val="00A66A52"/>
    <w:rsid w:val="00A66E3F"/>
    <w:rsid w:val="00A66EF9"/>
    <w:rsid w:val="00A670B9"/>
    <w:rsid w:val="00A67147"/>
    <w:rsid w:val="00A6761C"/>
    <w:rsid w:val="00A67A83"/>
    <w:rsid w:val="00A67AF5"/>
    <w:rsid w:val="00A67BD4"/>
    <w:rsid w:val="00A67F45"/>
    <w:rsid w:val="00A703E7"/>
    <w:rsid w:val="00A705B2"/>
    <w:rsid w:val="00A70689"/>
    <w:rsid w:val="00A70B4B"/>
    <w:rsid w:val="00A70E9D"/>
    <w:rsid w:val="00A71362"/>
    <w:rsid w:val="00A715AC"/>
    <w:rsid w:val="00A717D3"/>
    <w:rsid w:val="00A71860"/>
    <w:rsid w:val="00A71AED"/>
    <w:rsid w:val="00A71B84"/>
    <w:rsid w:val="00A721D9"/>
    <w:rsid w:val="00A722BF"/>
    <w:rsid w:val="00A7244B"/>
    <w:rsid w:val="00A727FB"/>
    <w:rsid w:val="00A7289E"/>
    <w:rsid w:val="00A72D20"/>
    <w:rsid w:val="00A72F8B"/>
    <w:rsid w:val="00A72FF7"/>
    <w:rsid w:val="00A73059"/>
    <w:rsid w:val="00A73121"/>
    <w:rsid w:val="00A73420"/>
    <w:rsid w:val="00A734C6"/>
    <w:rsid w:val="00A7387C"/>
    <w:rsid w:val="00A73AAD"/>
    <w:rsid w:val="00A73CAB"/>
    <w:rsid w:val="00A73D96"/>
    <w:rsid w:val="00A73EBE"/>
    <w:rsid w:val="00A7403D"/>
    <w:rsid w:val="00A74048"/>
    <w:rsid w:val="00A742E2"/>
    <w:rsid w:val="00A74528"/>
    <w:rsid w:val="00A74873"/>
    <w:rsid w:val="00A7495B"/>
    <w:rsid w:val="00A74E44"/>
    <w:rsid w:val="00A74F51"/>
    <w:rsid w:val="00A75133"/>
    <w:rsid w:val="00A75174"/>
    <w:rsid w:val="00A752D3"/>
    <w:rsid w:val="00A75482"/>
    <w:rsid w:val="00A7565B"/>
    <w:rsid w:val="00A758CC"/>
    <w:rsid w:val="00A75AFD"/>
    <w:rsid w:val="00A75C0A"/>
    <w:rsid w:val="00A75FA1"/>
    <w:rsid w:val="00A76359"/>
    <w:rsid w:val="00A763DA"/>
    <w:rsid w:val="00A764E7"/>
    <w:rsid w:val="00A76806"/>
    <w:rsid w:val="00A76973"/>
    <w:rsid w:val="00A769AA"/>
    <w:rsid w:val="00A769D2"/>
    <w:rsid w:val="00A76B07"/>
    <w:rsid w:val="00A76F97"/>
    <w:rsid w:val="00A76FAD"/>
    <w:rsid w:val="00A77187"/>
    <w:rsid w:val="00A7737D"/>
    <w:rsid w:val="00A77679"/>
    <w:rsid w:val="00A77789"/>
    <w:rsid w:val="00A778CE"/>
    <w:rsid w:val="00A77B09"/>
    <w:rsid w:val="00A77C7A"/>
    <w:rsid w:val="00A77EA0"/>
    <w:rsid w:val="00A77F42"/>
    <w:rsid w:val="00A800E8"/>
    <w:rsid w:val="00A80298"/>
    <w:rsid w:val="00A80459"/>
    <w:rsid w:val="00A8061D"/>
    <w:rsid w:val="00A80A52"/>
    <w:rsid w:val="00A80AF5"/>
    <w:rsid w:val="00A80BE4"/>
    <w:rsid w:val="00A81507"/>
    <w:rsid w:val="00A8165A"/>
    <w:rsid w:val="00A81A0C"/>
    <w:rsid w:val="00A81A2F"/>
    <w:rsid w:val="00A81B09"/>
    <w:rsid w:val="00A81BEB"/>
    <w:rsid w:val="00A8284D"/>
    <w:rsid w:val="00A82C1B"/>
    <w:rsid w:val="00A82E27"/>
    <w:rsid w:val="00A83744"/>
    <w:rsid w:val="00A83786"/>
    <w:rsid w:val="00A83E67"/>
    <w:rsid w:val="00A83EC4"/>
    <w:rsid w:val="00A84301"/>
    <w:rsid w:val="00A84396"/>
    <w:rsid w:val="00A8458C"/>
    <w:rsid w:val="00A84988"/>
    <w:rsid w:val="00A84B75"/>
    <w:rsid w:val="00A84D03"/>
    <w:rsid w:val="00A85470"/>
    <w:rsid w:val="00A85797"/>
    <w:rsid w:val="00A857D7"/>
    <w:rsid w:val="00A85BC3"/>
    <w:rsid w:val="00A8660D"/>
    <w:rsid w:val="00A867A3"/>
    <w:rsid w:val="00A86A7D"/>
    <w:rsid w:val="00A86B25"/>
    <w:rsid w:val="00A86EAA"/>
    <w:rsid w:val="00A8715A"/>
    <w:rsid w:val="00A87357"/>
    <w:rsid w:val="00A8771A"/>
    <w:rsid w:val="00A87763"/>
    <w:rsid w:val="00A8785A"/>
    <w:rsid w:val="00A87892"/>
    <w:rsid w:val="00A87A59"/>
    <w:rsid w:val="00A87AF7"/>
    <w:rsid w:val="00A87B6B"/>
    <w:rsid w:val="00A87D5F"/>
    <w:rsid w:val="00A87DD8"/>
    <w:rsid w:val="00A87F40"/>
    <w:rsid w:val="00A87F64"/>
    <w:rsid w:val="00A9018A"/>
    <w:rsid w:val="00A901E0"/>
    <w:rsid w:val="00A9047E"/>
    <w:rsid w:val="00A907A8"/>
    <w:rsid w:val="00A90F5C"/>
    <w:rsid w:val="00A90F74"/>
    <w:rsid w:val="00A9122B"/>
    <w:rsid w:val="00A917CE"/>
    <w:rsid w:val="00A9188E"/>
    <w:rsid w:val="00A91940"/>
    <w:rsid w:val="00A91B32"/>
    <w:rsid w:val="00A928E9"/>
    <w:rsid w:val="00A92969"/>
    <w:rsid w:val="00A92C30"/>
    <w:rsid w:val="00A92CCA"/>
    <w:rsid w:val="00A9346B"/>
    <w:rsid w:val="00A93584"/>
    <w:rsid w:val="00A935A7"/>
    <w:rsid w:val="00A93E6A"/>
    <w:rsid w:val="00A93F0E"/>
    <w:rsid w:val="00A94017"/>
    <w:rsid w:val="00A94149"/>
    <w:rsid w:val="00A942FF"/>
    <w:rsid w:val="00A943B4"/>
    <w:rsid w:val="00A944C6"/>
    <w:rsid w:val="00A95684"/>
    <w:rsid w:val="00A95938"/>
    <w:rsid w:val="00A95944"/>
    <w:rsid w:val="00A959E1"/>
    <w:rsid w:val="00A95BC4"/>
    <w:rsid w:val="00A95DE7"/>
    <w:rsid w:val="00A95FB3"/>
    <w:rsid w:val="00A960CE"/>
    <w:rsid w:val="00A96165"/>
    <w:rsid w:val="00A9629E"/>
    <w:rsid w:val="00A967DB"/>
    <w:rsid w:val="00A96A6F"/>
    <w:rsid w:val="00A96B46"/>
    <w:rsid w:val="00A96CBC"/>
    <w:rsid w:val="00A96D51"/>
    <w:rsid w:val="00A96E5F"/>
    <w:rsid w:val="00A96E87"/>
    <w:rsid w:val="00A9704E"/>
    <w:rsid w:val="00A970B0"/>
    <w:rsid w:val="00A97309"/>
    <w:rsid w:val="00A973F7"/>
    <w:rsid w:val="00A979F1"/>
    <w:rsid w:val="00A97E7A"/>
    <w:rsid w:val="00AA0264"/>
    <w:rsid w:val="00AA02ED"/>
    <w:rsid w:val="00AA0388"/>
    <w:rsid w:val="00AA0833"/>
    <w:rsid w:val="00AA0B41"/>
    <w:rsid w:val="00AA0BB9"/>
    <w:rsid w:val="00AA0CB5"/>
    <w:rsid w:val="00AA10C1"/>
    <w:rsid w:val="00AA111F"/>
    <w:rsid w:val="00AA1445"/>
    <w:rsid w:val="00AA171A"/>
    <w:rsid w:val="00AA23E4"/>
    <w:rsid w:val="00AA2478"/>
    <w:rsid w:val="00AA26F5"/>
    <w:rsid w:val="00AA2799"/>
    <w:rsid w:val="00AA2CC7"/>
    <w:rsid w:val="00AA3007"/>
    <w:rsid w:val="00AA30EC"/>
    <w:rsid w:val="00AA3325"/>
    <w:rsid w:val="00AA3350"/>
    <w:rsid w:val="00AA34B2"/>
    <w:rsid w:val="00AA35FE"/>
    <w:rsid w:val="00AA3734"/>
    <w:rsid w:val="00AA3917"/>
    <w:rsid w:val="00AA3E2F"/>
    <w:rsid w:val="00AA3EAF"/>
    <w:rsid w:val="00AA3EE1"/>
    <w:rsid w:val="00AA3F5F"/>
    <w:rsid w:val="00AA4119"/>
    <w:rsid w:val="00AA414C"/>
    <w:rsid w:val="00AA4157"/>
    <w:rsid w:val="00AA41C6"/>
    <w:rsid w:val="00AA47C9"/>
    <w:rsid w:val="00AA498D"/>
    <w:rsid w:val="00AA5249"/>
    <w:rsid w:val="00AA5510"/>
    <w:rsid w:val="00AA553F"/>
    <w:rsid w:val="00AA558B"/>
    <w:rsid w:val="00AA5BAB"/>
    <w:rsid w:val="00AA5EFD"/>
    <w:rsid w:val="00AA5FD2"/>
    <w:rsid w:val="00AA638C"/>
    <w:rsid w:val="00AA6646"/>
    <w:rsid w:val="00AA6DAF"/>
    <w:rsid w:val="00AA6EE1"/>
    <w:rsid w:val="00AA6FC3"/>
    <w:rsid w:val="00AA7131"/>
    <w:rsid w:val="00AA719D"/>
    <w:rsid w:val="00AA71CF"/>
    <w:rsid w:val="00AA72E7"/>
    <w:rsid w:val="00AA747B"/>
    <w:rsid w:val="00AA750F"/>
    <w:rsid w:val="00AA798E"/>
    <w:rsid w:val="00AA79AD"/>
    <w:rsid w:val="00AA79C5"/>
    <w:rsid w:val="00AA7C22"/>
    <w:rsid w:val="00AA7C9B"/>
    <w:rsid w:val="00AA7CD4"/>
    <w:rsid w:val="00AA7D3E"/>
    <w:rsid w:val="00AA7E34"/>
    <w:rsid w:val="00AB09A0"/>
    <w:rsid w:val="00AB130D"/>
    <w:rsid w:val="00AB13B9"/>
    <w:rsid w:val="00AB1401"/>
    <w:rsid w:val="00AB1476"/>
    <w:rsid w:val="00AB1D65"/>
    <w:rsid w:val="00AB207A"/>
    <w:rsid w:val="00AB259D"/>
    <w:rsid w:val="00AB264F"/>
    <w:rsid w:val="00AB2C2B"/>
    <w:rsid w:val="00AB2DD7"/>
    <w:rsid w:val="00AB2FA3"/>
    <w:rsid w:val="00AB2FA6"/>
    <w:rsid w:val="00AB3359"/>
    <w:rsid w:val="00AB3381"/>
    <w:rsid w:val="00AB35DD"/>
    <w:rsid w:val="00AB38F0"/>
    <w:rsid w:val="00AB392B"/>
    <w:rsid w:val="00AB49AA"/>
    <w:rsid w:val="00AB4A1B"/>
    <w:rsid w:val="00AB4D53"/>
    <w:rsid w:val="00AB4EEF"/>
    <w:rsid w:val="00AB5485"/>
    <w:rsid w:val="00AB5495"/>
    <w:rsid w:val="00AB5569"/>
    <w:rsid w:val="00AB5A9F"/>
    <w:rsid w:val="00AB5CDC"/>
    <w:rsid w:val="00AB5D23"/>
    <w:rsid w:val="00AB62F4"/>
    <w:rsid w:val="00AB63BC"/>
    <w:rsid w:val="00AB63DB"/>
    <w:rsid w:val="00AB63DD"/>
    <w:rsid w:val="00AB6479"/>
    <w:rsid w:val="00AB66C3"/>
    <w:rsid w:val="00AB71B1"/>
    <w:rsid w:val="00AB7534"/>
    <w:rsid w:val="00AB758A"/>
    <w:rsid w:val="00AB7E74"/>
    <w:rsid w:val="00AC0229"/>
    <w:rsid w:val="00AC056A"/>
    <w:rsid w:val="00AC07E2"/>
    <w:rsid w:val="00AC0A1B"/>
    <w:rsid w:val="00AC11AB"/>
    <w:rsid w:val="00AC1381"/>
    <w:rsid w:val="00AC1F48"/>
    <w:rsid w:val="00AC229E"/>
    <w:rsid w:val="00AC2985"/>
    <w:rsid w:val="00AC2A23"/>
    <w:rsid w:val="00AC2ACA"/>
    <w:rsid w:val="00AC2BB7"/>
    <w:rsid w:val="00AC2C7E"/>
    <w:rsid w:val="00AC2E9C"/>
    <w:rsid w:val="00AC2EE5"/>
    <w:rsid w:val="00AC314C"/>
    <w:rsid w:val="00AC33F6"/>
    <w:rsid w:val="00AC35AF"/>
    <w:rsid w:val="00AC35C9"/>
    <w:rsid w:val="00AC36A4"/>
    <w:rsid w:val="00AC39C2"/>
    <w:rsid w:val="00AC3FC7"/>
    <w:rsid w:val="00AC4327"/>
    <w:rsid w:val="00AC45A5"/>
    <w:rsid w:val="00AC46E1"/>
    <w:rsid w:val="00AC49D9"/>
    <w:rsid w:val="00AC4B96"/>
    <w:rsid w:val="00AC4D32"/>
    <w:rsid w:val="00AC4E3C"/>
    <w:rsid w:val="00AC4E64"/>
    <w:rsid w:val="00AC51C4"/>
    <w:rsid w:val="00AC5399"/>
    <w:rsid w:val="00AC5491"/>
    <w:rsid w:val="00AC56B6"/>
    <w:rsid w:val="00AC5700"/>
    <w:rsid w:val="00AC573D"/>
    <w:rsid w:val="00AC5E5B"/>
    <w:rsid w:val="00AC638C"/>
    <w:rsid w:val="00AC673A"/>
    <w:rsid w:val="00AC680F"/>
    <w:rsid w:val="00AC68A7"/>
    <w:rsid w:val="00AC6C64"/>
    <w:rsid w:val="00AC71A9"/>
    <w:rsid w:val="00AC77B9"/>
    <w:rsid w:val="00AC7A8E"/>
    <w:rsid w:val="00AC7CAC"/>
    <w:rsid w:val="00AC7D29"/>
    <w:rsid w:val="00AC7E98"/>
    <w:rsid w:val="00AD04AE"/>
    <w:rsid w:val="00AD05F0"/>
    <w:rsid w:val="00AD0E35"/>
    <w:rsid w:val="00AD1018"/>
    <w:rsid w:val="00AD109E"/>
    <w:rsid w:val="00AD1100"/>
    <w:rsid w:val="00AD169A"/>
    <w:rsid w:val="00AD190A"/>
    <w:rsid w:val="00AD1B0B"/>
    <w:rsid w:val="00AD1C67"/>
    <w:rsid w:val="00AD1DD8"/>
    <w:rsid w:val="00AD2000"/>
    <w:rsid w:val="00AD20B2"/>
    <w:rsid w:val="00AD20E2"/>
    <w:rsid w:val="00AD233F"/>
    <w:rsid w:val="00AD2773"/>
    <w:rsid w:val="00AD29B6"/>
    <w:rsid w:val="00AD2A00"/>
    <w:rsid w:val="00AD2F02"/>
    <w:rsid w:val="00AD2FB7"/>
    <w:rsid w:val="00AD336C"/>
    <w:rsid w:val="00AD368E"/>
    <w:rsid w:val="00AD37E1"/>
    <w:rsid w:val="00AD436F"/>
    <w:rsid w:val="00AD45D1"/>
    <w:rsid w:val="00AD4DA1"/>
    <w:rsid w:val="00AD4EFB"/>
    <w:rsid w:val="00AD500F"/>
    <w:rsid w:val="00AD505B"/>
    <w:rsid w:val="00AD52C3"/>
    <w:rsid w:val="00AD5417"/>
    <w:rsid w:val="00AD565B"/>
    <w:rsid w:val="00AD5740"/>
    <w:rsid w:val="00AD57FF"/>
    <w:rsid w:val="00AD5AB6"/>
    <w:rsid w:val="00AD5B7B"/>
    <w:rsid w:val="00AD5EEC"/>
    <w:rsid w:val="00AD681A"/>
    <w:rsid w:val="00AD6863"/>
    <w:rsid w:val="00AD6DF8"/>
    <w:rsid w:val="00AD6ECE"/>
    <w:rsid w:val="00AD6F53"/>
    <w:rsid w:val="00AD7002"/>
    <w:rsid w:val="00AD736F"/>
    <w:rsid w:val="00AD73BB"/>
    <w:rsid w:val="00AD73EA"/>
    <w:rsid w:val="00AD74E4"/>
    <w:rsid w:val="00AD7534"/>
    <w:rsid w:val="00AD7789"/>
    <w:rsid w:val="00AD78D4"/>
    <w:rsid w:val="00AD7C05"/>
    <w:rsid w:val="00AD7EB6"/>
    <w:rsid w:val="00AD7FE8"/>
    <w:rsid w:val="00AE0413"/>
    <w:rsid w:val="00AE0B82"/>
    <w:rsid w:val="00AE0BFA"/>
    <w:rsid w:val="00AE0DCF"/>
    <w:rsid w:val="00AE0DEF"/>
    <w:rsid w:val="00AE0F15"/>
    <w:rsid w:val="00AE13FA"/>
    <w:rsid w:val="00AE14BB"/>
    <w:rsid w:val="00AE1DD7"/>
    <w:rsid w:val="00AE1F86"/>
    <w:rsid w:val="00AE20D6"/>
    <w:rsid w:val="00AE226E"/>
    <w:rsid w:val="00AE245C"/>
    <w:rsid w:val="00AE28D8"/>
    <w:rsid w:val="00AE2D20"/>
    <w:rsid w:val="00AE2E35"/>
    <w:rsid w:val="00AE2F23"/>
    <w:rsid w:val="00AE2FB6"/>
    <w:rsid w:val="00AE342D"/>
    <w:rsid w:val="00AE356F"/>
    <w:rsid w:val="00AE3696"/>
    <w:rsid w:val="00AE3908"/>
    <w:rsid w:val="00AE391E"/>
    <w:rsid w:val="00AE3999"/>
    <w:rsid w:val="00AE39E1"/>
    <w:rsid w:val="00AE3BD3"/>
    <w:rsid w:val="00AE3ED8"/>
    <w:rsid w:val="00AE4002"/>
    <w:rsid w:val="00AE424E"/>
    <w:rsid w:val="00AE4273"/>
    <w:rsid w:val="00AE427A"/>
    <w:rsid w:val="00AE4283"/>
    <w:rsid w:val="00AE4A4B"/>
    <w:rsid w:val="00AE4B96"/>
    <w:rsid w:val="00AE4BF0"/>
    <w:rsid w:val="00AE4BF3"/>
    <w:rsid w:val="00AE4D17"/>
    <w:rsid w:val="00AE5023"/>
    <w:rsid w:val="00AE52C3"/>
    <w:rsid w:val="00AE53BB"/>
    <w:rsid w:val="00AE5552"/>
    <w:rsid w:val="00AE5925"/>
    <w:rsid w:val="00AE653E"/>
    <w:rsid w:val="00AE6731"/>
    <w:rsid w:val="00AE6D4B"/>
    <w:rsid w:val="00AE75D3"/>
    <w:rsid w:val="00AE75F9"/>
    <w:rsid w:val="00AE7666"/>
    <w:rsid w:val="00AE7805"/>
    <w:rsid w:val="00AE7B90"/>
    <w:rsid w:val="00AE7C98"/>
    <w:rsid w:val="00AE7E21"/>
    <w:rsid w:val="00AE7F5C"/>
    <w:rsid w:val="00AF01F7"/>
    <w:rsid w:val="00AF053D"/>
    <w:rsid w:val="00AF06E4"/>
    <w:rsid w:val="00AF0868"/>
    <w:rsid w:val="00AF08CA"/>
    <w:rsid w:val="00AF0AD2"/>
    <w:rsid w:val="00AF0B21"/>
    <w:rsid w:val="00AF135A"/>
    <w:rsid w:val="00AF1550"/>
    <w:rsid w:val="00AF1C82"/>
    <w:rsid w:val="00AF1D24"/>
    <w:rsid w:val="00AF2311"/>
    <w:rsid w:val="00AF25CC"/>
    <w:rsid w:val="00AF29EF"/>
    <w:rsid w:val="00AF2F58"/>
    <w:rsid w:val="00AF3468"/>
    <w:rsid w:val="00AF34CD"/>
    <w:rsid w:val="00AF35E0"/>
    <w:rsid w:val="00AF3AEF"/>
    <w:rsid w:val="00AF3BD5"/>
    <w:rsid w:val="00AF3C81"/>
    <w:rsid w:val="00AF3CC6"/>
    <w:rsid w:val="00AF3F3E"/>
    <w:rsid w:val="00AF3F9E"/>
    <w:rsid w:val="00AF430E"/>
    <w:rsid w:val="00AF4972"/>
    <w:rsid w:val="00AF4BEB"/>
    <w:rsid w:val="00AF4DA5"/>
    <w:rsid w:val="00AF5097"/>
    <w:rsid w:val="00AF525C"/>
    <w:rsid w:val="00AF5711"/>
    <w:rsid w:val="00AF57DD"/>
    <w:rsid w:val="00AF5833"/>
    <w:rsid w:val="00AF596A"/>
    <w:rsid w:val="00AF59B1"/>
    <w:rsid w:val="00AF5C54"/>
    <w:rsid w:val="00AF5C5A"/>
    <w:rsid w:val="00AF5C5B"/>
    <w:rsid w:val="00AF5D43"/>
    <w:rsid w:val="00AF5FF2"/>
    <w:rsid w:val="00AF606C"/>
    <w:rsid w:val="00AF60CF"/>
    <w:rsid w:val="00AF658C"/>
    <w:rsid w:val="00AF67B0"/>
    <w:rsid w:val="00AF6888"/>
    <w:rsid w:val="00AF699E"/>
    <w:rsid w:val="00AF6A67"/>
    <w:rsid w:val="00AF6C1F"/>
    <w:rsid w:val="00AF6CA5"/>
    <w:rsid w:val="00AF6D0C"/>
    <w:rsid w:val="00AF6E9D"/>
    <w:rsid w:val="00AF717F"/>
    <w:rsid w:val="00AF7301"/>
    <w:rsid w:val="00AF7508"/>
    <w:rsid w:val="00AF75DA"/>
    <w:rsid w:val="00AF7AF5"/>
    <w:rsid w:val="00AF7D33"/>
    <w:rsid w:val="00AF7F37"/>
    <w:rsid w:val="00B008AC"/>
    <w:rsid w:val="00B0092E"/>
    <w:rsid w:val="00B00AAB"/>
    <w:rsid w:val="00B00CA9"/>
    <w:rsid w:val="00B00F17"/>
    <w:rsid w:val="00B0125A"/>
    <w:rsid w:val="00B013A5"/>
    <w:rsid w:val="00B017EC"/>
    <w:rsid w:val="00B0183E"/>
    <w:rsid w:val="00B018CA"/>
    <w:rsid w:val="00B019F2"/>
    <w:rsid w:val="00B01CE9"/>
    <w:rsid w:val="00B021C8"/>
    <w:rsid w:val="00B025B0"/>
    <w:rsid w:val="00B027ED"/>
    <w:rsid w:val="00B02A25"/>
    <w:rsid w:val="00B02A63"/>
    <w:rsid w:val="00B02DC5"/>
    <w:rsid w:val="00B02E68"/>
    <w:rsid w:val="00B02EAF"/>
    <w:rsid w:val="00B02F6A"/>
    <w:rsid w:val="00B032A5"/>
    <w:rsid w:val="00B039F8"/>
    <w:rsid w:val="00B03BAF"/>
    <w:rsid w:val="00B03CB6"/>
    <w:rsid w:val="00B03E96"/>
    <w:rsid w:val="00B04368"/>
    <w:rsid w:val="00B0446F"/>
    <w:rsid w:val="00B0465C"/>
    <w:rsid w:val="00B047A4"/>
    <w:rsid w:val="00B04BA4"/>
    <w:rsid w:val="00B04E55"/>
    <w:rsid w:val="00B054E2"/>
    <w:rsid w:val="00B0590E"/>
    <w:rsid w:val="00B05DBF"/>
    <w:rsid w:val="00B05FAB"/>
    <w:rsid w:val="00B05FC8"/>
    <w:rsid w:val="00B06032"/>
    <w:rsid w:val="00B066BD"/>
    <w:rsid w:val="00B06740"/>
    <w:rsid w:val="00B06ABF"/>
    <w:rsid w:val="00B06AFD"/>
    <w:rsid w:val="00B06B97"/>
    <w:rsid w:val="00B06DFE"/>
    <w:rsid w:val="00B06FA3"/>
    <w:rsid w:val="00B07069"/>
    <w:rsid w:val="00B070F1"/>
    <w:rsid w:val="00B071CB"/>
    <w:rsid w:val="00B072E7"/>
    <w:rsid w:val="00B073B4"/>
    <w:rsid w:val="00B074F9"/>
    <w:rsid w:val="00B07813"/>
    <w:rsid w:val="00B078E6"/>
    <w:rsid w:val="00B100BE"/>
    <w:rsid w:val="00B1023A"/>
    <w:rsid w:val="00B10311"/>
    <w:rsid w:val="00B10340"/>
    <w:rsid w:val="00B10570"/>
    <w:rsid w:val="00B10AAB"/>
    <w:rsid w:val="00B10AD2"/>
    <w:rsid w:val="00B10B33"/>
    <w:rsid w:val="00B10E33"/>
    <w:rsid w:val="00B11008"/>
    <w:rsid w:val="00B110CD"/>
    <w:rsid w:val="00B11939"/>
    <w:rsid w:val="00B11B98"/>
    <w:rsid w:val="00B11D8B"/>
    <w:rsid w:val="00B1286F"/>
    <w:rsid w:val="00B12898"/>
    <w:rsid w:val="00B12AC4"/>
    <w:rsid w:val="00B130EA"/>
    <w:rsid w:val="00B13141"/>
    <w:rsid w:val="00B131C4"/>
    <w:rsid w:val="00B1324C"/>
    <w:rsid w:val="00B13D0A"/>
    <w:rsid w:val="00B13F30"/>
    <w:rsid w:val="00B13FD7"/>
    <w:rsid w:val="00B1512E"/>
    <w:rsid w:val="00B15377"/>
    <w:rsid w:val="00B15481"/>
    <w:rsid w:val="00B1558E"/>
    <w:rsid w:val="00B155C5"/>
    <w:rsid w:val="00B15810"/>
    <w:rsid w:val="00B15CC5"/>
    <w:rsid w:val="00B15D7F"/>
    <w:rsid w:val="00B15E8B"/>
    <w:rsid w:val="00B15F14"/>
    <w:rsid w:val="00B16557"/>
    <w:rsid w:val="00B16838"/>
    <w:rsid w:val="00B16924"/>
    <w:rsid w:val="00B16A9E"/>
    <w:rsid w:val="00B16AA9"/>
    <w:rsid w:val="00B16D99"/>
    <w:rsid w:val="00B16F91"/>
    <w:rsid w:val="00B17019"/>
    <w:rsid w:val="00B170E9"/>
    <w:rsid w:val="00B1710F"/>
    <w:rsid w:val="00B17169"/>
    <w:rsid w:val="00B17385"/>
    <w:rsid w:val="00B17899"/>
    <w:rsid w:val="00B17E62"/>
    <w:rsid w:val="00B20664"/>
    <w:rsid w:val="00B2077B"/>
    <w:rsid w:val="00B20BFA"/>
    <w:rsid w:val="00B20C11"/>
    <w:rsid w:val="00B20DF1"/>
    <w:rsid w:val="00B210A8"/>
    <w:rsid w:val="00B211AB"/>
    <w:rsid w:val="00B2147B"/>
    <w:rsid w:val="00B214D8"/>
    <w:rsid w:val="00B2150D"/>
    <w:rsid w:val="00B216C5"/>
    <w:rsid w:val="00B21CAF"/>
    <w:rsid w:val="00B21D68"/>
    <w:rsid w:val="00B21FC8"/>
    <w:rsid w:val="00B225D8"/>
    <w:rsid w:val="00B22A63"/>
    <w:rsid w:val="00B22D72"/>
    <w:rsid w:val="00B22DBD"/>
    <w:rsid w:val="00B22EA5"/>
    <w:rsid w:val="00B23279"/>
    <w:rsid w:val="00B23291"/>
    <w:rsid w:val="00B23292"/>
    <w:rsid w:val="00B234BD"/>
    <w:rsid w:val="00B235E2"/>
    <w:rsid w:val="00B2361F"/>
    <w:rsid w:val="00B23782"/>
    <w:rsid w:val="00B238C6"/>
    <w:rsid w:val="00B23CD9"/>
    <w:rsid w:val="00B23FB0"/>
    <w:rsid w:val="00B2406C"/>
    <w:rsid w:val="00B24812"/>
    <w:rsid w:val="00B249D0"/>
    <w:rsid w:val="00B24AD9"/>
    <w:rsid w:val="00B25002"/>
    <w:rsid w:val="00B250AF"/>
    <w:rsid w:val="00B251F0"/>
    <w:rsid w:val="00B25508"/>
    <w:rsid w:val="00B255AB"/>
    <w:rsid w:val="00B25C03"/>
    <w:rsid w:val="00B25F41"/>
    <w:rsid w:val="00B260F8"/>
    <w:rsid w:val="00B26592"/>
    <w:rsid w:val="00B2695F"/>
    <w:rsid w:val="00B26CC5"/>
    <w:rsid w:val="00B26CE3"/>
    <w:rsid w:val="00B26D2B"/>
    <w:rsid w:val="00B26D34"/>
    <w:rsid w:val="00B26FE2"/>
    <w:rsid w:val="00B2717C"/>
    <w:rsid w:val="00B273A9"/>
    <w:rsid w:val="00B277D5"/>
    <w:rsid w:val="00B277EB"/>
    <w:rsid w:val="00B279E5"/>
    <w:rsid w:val="00B27A3D"/>
    <w:rsid w:val="00B27CED"/>
    <w:rsid w:val="00B30216"/>
    <w:rsid w:val="00B307B2"/>
    <w:rsid w:val="00B30862"/>
    <w:rsid w:val="00B30BB2"/>
    <w:rsid w:val="00B3145D"/>
    <w:rsid w:val="00B3149B"/>
    <w:rsid w:val="00B31591"/>
    <w:rsid w:val="00B31771"/>
    <w:rsid w:val="00B31AD8"/>
    <w:rsid w:val="00B31D29"/>
    <w:rsid w:val="00B31D5F"/>
    <w:rsid w:val="00B31DED"/>
    <w:rsid w:val="00B31F56"/>
    <w:rsid w:val="00B3206C"/>
    <w:rsid w:val="00B32120"/>
    <w:rsid w:val="00B3248E"/>
    <w:rsid w:val="00B324EC"/>
    <w:rsid w:val="00B32868"/>
    <w:rsid w:val="00B32967"/>
    <w:rsid w:val="00B32C4A"/>
    <w:rsid w:val="00B32C69"/>
    <w:rsid w:val="00B32CDA"/>
    <w:rsid w:val="00B32E6A"/>
    <w:rsid w:val="00B32E96"/>
    <w:rsid w:val="00B32F53"/>
    <w:rsid w:val="00B33705"/>
    <w:rsid w:val="00B33A27"/>
    <w:rsid w:val="00B33ACC"/>
    <w:rsid w:val="00B33C41"/>
    <w:rsid w:val="00B34100"/>
    <w:rsid w:val="00B34308"/>
    <w:rsid w:val="00B3450E"/>
    <w:rsid w:val="00B3463A"/>
    <w:rsid w:val="00B349E4"/>
    <w:rsid w:val="00B34D8B"/>
    <w:rsid w:val="00B34E6E"/>
    <w:rsid w:val="00B35218"/>
    <w:rsid w:val="00B35835"/>
    <w:rsid w:val="00B359A0"/>
    <w:rsid w:val="00B35E3B"/>
    <w:rsid w:val="00B3607B"/>
    <w:rsid w:val="00B36135"/>
    <w:rsid w:val="00B362AF"/>
    <w:rsid w:val="00B36426"/>
    <w:rsid w:val="00B3652C"/>
    <w:rsid w:val="00B3673D"/>
    <w:rsid w:val="00B36741"/>
    <w:rsid w:val="00B36948"/>
    <w:rsid w:val="00B36BDB"/>
    <w:rsid w:val="00B36D04"/>
    <w:rsid w:val="00B36D22"/>
    <w:rsid w:val="00B3757A"/>
    <w:rsid w:val="00B37652"/>
    <w:rsid w:val="00B378E8"/>
    <w:rsid w:val="00B37B60"/>
    <w:rsid w:val="00B37EDE"/>
    <w:rsid w:val="00B40037"/>
    <w:rsid w:val="00B4011F"/>
    <w:rsid w:val="00B4026F"/>
    <w:rsid w:val="00B404CA"/>
    <w:rsid w:val="00B408E6"/>
    <w:rsid w:val="00B409E8"/>
    <w:rsid w:val="00B40B0D"/>
    <w:rsid w:val="00B40E43"/>
    <w:rsid w:val="00B41019"/>
    <w:rsid w:val="00B41034"/>
    <w:rsid w:val="00B4117E"/>
    <w:rsid w:val="00B4139C"/>
    <w:rsid w:val="00B41A81"/>
    <w:rsid w:val="00B41EBD"/>
    <w:rsid w:val="00B41F7E"/>
    <w:rsid w:val="00B42359"/>
    <w:rsid w:val="00B4236A"/>
    <w:rsid w:val="00B4255B"/>
    <w:rsid w:val="00B42663"/>
    <w:rsid w:val="00B426B6"/>
    <w:rsid w:val="00B42757"/>
    <w:rsid w:val="00B429E5"/>
    <w:rsid w:val="00B42C5A"/>
    <w:rsid w:val="00B4334D"/>
    <w:rsid w:val="00B435B7"/>
    <w:rsid w:val="00B43678"/>
    <w:rsid w:val="00B436AE"/>
    <w:rsid w:val="00B4390E"/>
    <w:rsid w:val="00B43930"/>
    <w:rsid w:val="00B4397E"/>
    <w:rsid w:val="00B439F7"/>
    <w:rsid w:val="00B43BE1"/>
    <w:rsid w:val="00B43CA0"/>
    <w:rsid w:val="00B44595"/>
    <w:rsid w:val="00B448A0"/>
    <w:rsid w:val="00B448EC"/>
    <w:rsid w:val="00B44D42"/>
    <w:rsid w:val="00B44D64"/>
    <w:rsid w:val="00B4509F"/>
    <w:rsid w:val="00B45567"/>
    <w:rsid w:val="00B455A4"/>
    <w:rsid w:val="00B4584C"/>
    <w:rsid w:val="00B45C6D"/>
    <w:rsid w:val="00B45D9A"/>
    <w:rsid w:val="00B45FC1"/>
    <w:rsid w:val="00B462C6"/>
    <w:rsid w:val="00B46390"/>
    <w:rsid w:val="00B46433"/>
    <w:rsid w:val="00B465E7"/>
    <w:rsid w:val="00B466A4"/>
    <w:rsid w:val="00B46811"/>
    <w:rsid w:val="00B46846"/>
    <w:rsid w:val="00B46859"/>
    <w:rsid w:val="00B46D59"/>
    <w:rsid w:val="00B46E3B"/>
    <w:rsid w:val="00B46FBE"/>
    <w:rsid w:val="00B46FD9"/>
    <w:rsid w:val="00B47296"/>
    <w:rsid w:val="00B47667"/>
    <w:rsid w:val="00B47B6A"/>
    <w:rsid w:val="00B47C3D"/>
    <w:rsid w:val="00B47D5C"/>
    <w:rsid w:val="00B47DA7"/>
    <w:rsid w:val="00B47E7F"/>
    <w:rsid w:val="00B47E94"/>
    <w:rsid w:val="00B50251"/>
    <w:rsid w:val="00B504B9"/>
    <w:rsid w:val="00B5078E"/>
    <w:rsid w:val="00B50EBB"/>
    <w:rsid w:val="00B5101D"/>
    <w:rsid w:val="00B511A8"/>
    <w:rsid w:val="00B512CA"/>
    <w:rsid w:val="00B51303"/>
    <w:rsid w:val="00B51342"/>
    <w:rsid w:val="00B51403"/>
    <w:rsid w:val="00B51519"/>
    <w:rsid w:val="00B515B9"/>
    <w:rsid w:val="00B516D3"/>
    <w:rsid w:val="00B5187B"/>
    <w:rsid w:val="00B519DC"/>
    <w:rsid w:val="00B51FC3"/>
    <w:rsid w:val="00B52337"/>
    <w:rsid w:val="00B524FD"/>
    <w:rsid w:val="00B526C3"/>
    <w:rsid w:val="00B52CE0"/>
    <w:rsid w:val="00B52F4C"/>
    <w:rsid w:val="00B530A8"/>
    <w:rsid w:val="00B532B2"/>
    <w:rsid w:val="00B533EE"/>
    <w:rsid w:val="00B53512"/>
    <w:rsid w:val="00B53631"/>
    <w:rsid w:val="00B53813"/>
    <w:rsid w:val="00B53A04"/>
    <w:rsid w:val="00B53AF9"/>
    <w:rsid w:val="00B53DE9"/>
    <w:rsid w:val="00B53E79"/>
    <w:rsid w:val="00B53F0B"/>
    <w:rsid w:val="00B53FA4"/>
    <w:rsid w:val="00B546B5"/>
    <w:rsid w:val="00B5497C"/>
    <w:rsid w:val="00B54AFB"/>
    <w:rsid w:val="00B54C97"/>
    <w:rsid w:val="00B54E35"/>
    <w:rsid w:val="00B55245"/>
    <w:rsid w:val="00B5546B"/>
    <w:rsid w:val="00B554BA"/>
    <w:rsid w:val="00B55A00"/>
    <w:rsid w:val="00B564C3"/>
    <w:rsid w:val="00B56584"/>
    <w:rsid w:val="00B567FE"/>
    <w:rsid w:val="00B56CD4"/>
    <w:rsid w:val="00B56D3D"/>
    <w:rsid w:val="00B56D7F"/>
    <w:rsid w:val="00B57409"/>
    <w:rsid w:val="00B576B6"/>
    <w:rsid w:val="00B57BA8"/>
    <w:rsid w:val="00B57C45"/>
    <w:rsid w:val="00B57D10"/>
    <w:rsid w:val="00B57F11"/>
    <w:rsid w:val="00B60418"/>
    <w:rsid w:val="00B60628"/>
    <w:rsid w:val="00B6066E"/>
    <w:rsid w:val="00B60A7A"/>
    <w:rsid w:val="00B60B20"/>
    <w:rsid w:val="00B611B7"/>
    <w:rsid w:val="00B614FF"/>
    <w:rsid w:val="00B61D56"/>
    <w:rsid w:val="00B62111"/>
    <w:rsid w:val="00B621ED"/>
    <w:rsid w:val="00B62236"/>
    <w:rsid w:val="00B6237B"/>
    <w:rsid w:val="00B626F3"/>
    <w:rsid w:val="00B628A0"/>
    <w:rsid w:val="00B62BC2"/>
    <w:rsid w:val="00B62C1D"/>
    <w:rsid w:val="00B62C50"/>
    <w:rsid w:val="00B62DF9"/>
    <w:rsid w:val="00B632E9"/>
    <w:rsid w:val="00B6356C"/>
    <w:rsid w:val="00B637CF"/>
    <w:rsid w:val="00B63819"/>
    <w:rsid w:val="00B63915"/>
    <w:rsid w:val="00B63AB2"/>
    <w:rsid w:val="00B63BA0"/>
    <w:rsid w:val="00B63E65"/>
    <w:rsid w:val="00B63FB4"/>
    <w:rsid w:val="00B6440F"/>
    <w:rsid w:val="00B646F0"/>
    <w:rsid w:val="00B651B4"/>
    <w:rsid w:val="00B65828"/>
    <w:rsid w:val="00B65833"/>
    <w:rsid w:val="00B6585E"/>
    <w:rsid w:val="00B66241"/>
    <w:rsid w:val="00B6649C"/>
    <w:rsid w:val="00B66550"/>
    <w:rsid w:val="00B6674E"/>
    <w:rsid w:val="00B669FC"/>
    <w:rsid w:val="00B66A89"/>
    <w:rsid w:val="00B673C0"/>
    <w:rsid w:val="00B679D2"/>
    <w:rsid w:val="00B67C59"/>
    <w:rsid w:val="00B700C9"/>
    <w:rsid w:val="00B70164"/>
    <w:rsid w:val="00B7038A"/>
    <w:rsid w:val="00B704A5"/>
    <w:rsid w:val="00B70DB5"/>
    <w:rsid w:val="00B70FB3"/>
    <w:rsid w:val="00B7120B"/>
    <w:rsid w:val="00B712B9"/>
    <w:rsid w:val="00B718CC"/>
    <w:rsid w:val="00B71921"/>
    <w:rsid w:val="00B71ABE"/>
    <w:rsid w:val="00B7342B"/>
    <w:rsid w:val="00B735C8"/>
    <w:rsid w:val="00B73718"/>
    <w:rsid w:val="00B73A3D"/>
    <w:rsid w:val="00B73A55"/>
    <w:rsid w:val="00B73EFD"/>
    <w:rsid w:val="00B740CE"/>
    <w:rsid w:val="00B74169"/>
    <w:rsid w:val="00B7431C"/>
    <w:rsid w:val="00B74324"/>
    <w:rsid w:val="00B744C5"/>
    <w:rsid w:val="00B74772"/>
    <w:rsid w:val="00B7496C"/>
    <w:rsid w:val="00B749AB"/>
    <w:rsid w:val="00B74CA0"/>
    <w:rsid w:val="00B74F01"/>
    <w:rsid w:val="00B74F10"/>
    <w:rsid w:val="00B74FC4"/>
    <w:rsid w:val="00B7504E"/>
    <w:rsid w:val="00B750B2"/>
    <w:rsid w:val="00B75161"/>
    <w:rsid w:val="00B7563F"/>
    <w:rsid w:val="00B756E4"/>
    <w:rsid w:val="00B757AA"/>
    <w:rsid w:val="00B75AAE"/>
    <w:rsid w:val="00B75D48"/>
    <w:rsid w:val="00B75FD0"/>
    <w:rsid w:val="00B763F0"/>
    <w:rsid w:val="00B76712"/>
    <w:rsid w:val="00B7686B"/>
    <w:rsid w:val="00B76A33"/>
    <w:rsid w:val="00B76F15"/>
    <w:rsid w:val="00B76F4E"/>
    <w:rsid w:val="00B77315"/>
    <w:rsid w:val="00B77551"/>
    <w:rsid w:val="00B775C7"/>
    <w:rsid w:val="00B77834"/>
    <w:rsid w:val="00B77A36"/>
    <w:rsid w:val="00B77B4D"/>
    <w:rsid w:val="00B80444"/>
    <w:rsid w:val="00B80BD6"/>
    <w:rsid w:val="00B80C3B"/>
    <w:rsid w:val="00B80D92"/>
    <w:rsid w:val="00B80F3E"/>
    <w:rsid w:val="00B81040"/>
    <w:rsid w:val="00B81060"/>
    <w:rsid w:val="00B810B8"/>
    <w:rsid w:val="00B812CE"/>
    <w:rsid w:val="00B81E47"/>
    <w:rsid w:val="00B8222B"/>
    <w:rsid w:val="00B82264"/>
    <w:rsid w:val="00B82938"/>
    <w:rsid w:val="00B829D9"/>
    <w:rsid w:val="00B82C93"/>
    <w:rsid w:val="00B82D53"/>
    <w:rsid w:val="00B82E48"/>
    <w:rsid w:val="00B83136"/>
    <w:rsid w:val="00B8319B"/>
    <w:rsid w:val="00B832D8"/>
    <w:rsid w:val="00B8374D"/>
    <w:rsid w:val="00B83ECB"/>
    <w:rsid w:val="00B83F4B"/>
    <w:rsid w:val="00B8404E"/>
    <w:rsid w:val="00B84618"/>
    <w:rsid w:val="00B84887"/>
    <w:rsid w:val="00B849BD"/>
    <w:rsid w:val="00B84E07"/>
    <w:rsid w:val="00B851F2"/>
    <w:rsid w:val="00B8534A"/>
    <w:rsid w:val="00B8574E"/>
    <w:rsid w:val="00B85CAF"/>
    <w:rsid w:val="00B85FE2"/>
    <w:rsid w:val="00B863D2"/>
    <w:rsid w:val="00B86573"/>
    <w:rsid w:val="00B86732"/>
    <w:rsid w:val="00B86B5E"/>
    <w:rsid w:val="00B86C85"/>
    <w:rsid w:val="00B87271"/>
    <w:rsid w:val="00B875A4"/>
    <w:rsid w:val="00B877F4"/>
    <w:rsid w:val="00B8797F"/>
    <w:rsid w:val="00B879DC"/>
    <w:rsid w:val="00B87D6D"/>
    <w:rsid w:val="00B902AB"/>
    <w:rsid w:val="00B90E19"/>
    <w:rsid w:val="00B90F08"/>
    <w:rsid w:val="00B91025"/>
    <w:rsid w:val="00B91390"/>
    <w:rsid w:val="00B915D4"/>
    <w:rsid w:val="00B9203A"/>
    <w:rsid w:val="00B9207A"/>
    <w:rsid w:val="00B920CA"/>
    <w:rsid w:val="00B92123"/>
    <w:rsid w:val="00B926AD"/>
    <w:rsid w:val="00B9279D"/>
    <w:rsid w:val="00B929EC"/>
    <w:rsid w:val="00B92C64"/>
    <w:rsid w:val="00B92DCB"/>
    <w:rsid w:val="00B939BA"/>
    <w:rsid w:val="00B93D00"/>
    <w:rsid w:val="00B93DA8"/>
    <w:rsid w:val="00B9405C"/>
    <w:rsid w:val="00B940DF"/>
    <w:rsid w:val="00B940E7"/>
    <w:rsid w:val="00B9429C"/>
    <w:rsid w:val="00B9454B"/>
    <w:rsid w:val="00B94A3D"/>
    <w:rsid w:val="00B9523A"/>
    <w:rsid w:val="00B961BC"/>
    <w:rsid w:val="00B9633D"/>
    <w:rsid w:val="00B96353"/>
    <w:rsid w:val="00B96D48"/>
    <w:rsid w:val="00B96EAE"/>
    <w:rsid w:val="00B97465"/>
    <w:rsid w:val="00B9778B"/>
    <w:rsid w:val="00B9787D"/>
    <w:rsid w:val="00B9788D"/>
    <w:rsid w:val="00B97CD9"/>
    <w:rsid w:val="00B97F80"/>
    <w:rsid w:val="00BA004D"/>
    <w:rsid w:val="00BA0580"/>
    <w:rsid w:val="00BA058B"/>
    <w:rsid w:val="00BA0C4C"/>
    <w:rsid w:val="00BA0DA6"/>
    <w:rsid w:val="00BA1094"/>
    <w:rsid w:val="00BA1103"/>
    <w:rsid w:val="00BA12A5"/>
    <w:rsid w:val="00BA138D"/>
    <w:rsid w:val="00BA18B0"/>
    <w:rsid w:val="00BA1965"/>
    <w:rsid w:val="00BA1976"/>
    <w:rsid w:val="00BA1BDA"/>
    <w:rsid w:val="00BA1C9F"/>
    <w:rsid w:val="00BA1D94"/>
    <w:rsid w:val="00BA22CB"/>
    <w:rsid w:val="00BA24AC"/>
    <w:rsid w:val="00BA2532"/>
    <w:rsid w:val="00BA2932"/>
    <w:rsid w:val="00BA2D9D"/>
    <w:rsid w:val="00BA334C"/>
    <w:rsid w:val="00BA3404"/>
    <w:rsid w:val="00BA3659"/>
    <w:rsid w:val="00BA39F7"/>
    <w:rsid w:val="00BA4029"/>
    <w:rsid w:val="00BA43F7"/>
    <w:rsid w:val="00BA4420"/>
    <w:rsid w:val="00BA459C"/>
    <w:rsid w:val="00BA4809"/>
    <w:rsid w:val="00BA48D4"/>
    <w:rsid w:val="00BA4959"/>
    <w:rsid w:val="00BA4B71"/>
    <w:rsid w:val="00BA4D1E"/>
    <w:rsid w:val="00BA4E63"/>
    <w:rsid w:val="00BA4E72"/>
    <w:rsid w:val="00BA5444"/>
    <w:rsid w:val="00BA5499"/>
    <w:rsid w:val="00BA5629"/>
    <w:rsid w:val="00BA57B2"/>
    <w:rsid w:val="00BA57B7"/>
    <w:rsid w:val="00BA585E"/>
    <w:rsid w:val="00BA5862"/>
    <w:rsid w:val="00BA5A5C"/>
    <w:rsid w:val="00BA5BA4"/>
    <w:rsid w:val="00BA5D78"/>
    <w:rsid w:val="00BA6385"/>
    <w:rsid w:val="00BA67F1"/>
    <w:rsid w:val="00BA68E1"/>
    <w:rsid w:val="00BA69FD"/>
    <w:rsid w:val="00BA6E60"/>
    <w:rsid w:val="00BA6FB5"/>
    <w:rsid w:val="00BA76DF"/>
    <w:rsid w:val="00BA7842"/>
    <w:rsid w:val="00BA7B60"/>
    <w:rsid w:val="00BA7CBF"/>
    <w:rsid w:val="00BA7F96"/>
    <w:rsid w:val="00BB01EB"/>
    <w:rsid w:val="00BB061C"/>
    <w:rsid w:val="00BB119E"/>
    <w:rsid w:val="00BB12B3"/>
    <w:rsid w:val="00BB1900"/>
    <w:rsid w:val="00BB1A63"/>
    <w:rsid w:val="00BB1DB4"/>
    <w:rsid w:val="00BB1E50"/>
    <w:rsid w:val="00BB2087"/>
    <w:rsid w:val="00BB216B"/>
    <w:rsid w:val="00BB22F7"/>
    <w:rsid w:val="00BB2B45"/>
    <w:rsid w:val="00BB2C25"/>
    <w:rsid w:val="00BB2CF5"/>
    <w:rsid w:val="00BB36D8"/>
    <w:rsid w:val="00BB37E6"/>
    <w:rsid w:val="00BB3A4A"/>
    <w:rsid w:val="00BB3AC4"/>
    <w:rsid w:val="00BB3AC7"/>
    <w:rsid w:val="00BB3D8E"/>
    <w:rsid w:val="00BB4A08"/>
    <w:rsid w:val="00BB509C"/>
    <w:rsid w:val="00BB5173"/>
    <w:rsid w:val="00BB51D4"/>
    <w:rsid w:val="00BB5C41"/>
    <w:rsid w:val="00BB61CE"/>
    <w:rsid w:val="00BB67D7"/>
    <w:rsid w:val="00BB67EC"/>
    <w:rsid w:val="00BB6868"/>
    <w:rsid w:val="00BB6948"/>
    <w:rsid w:val="00BB69C2"/>
    <w:rsid w:val="00BB69EA"/>
    <w:rsid w:val="00BB6AE9"/>
    <w:rsid w:val="00BB6B02"/>
    <w:rsid w:val="00BB6C81"/>
    <w:rsid w:val="00BB6C8A"/>
    <w:rsid w:val="00BB7180"/>
    <w:rsid w:val="00BB71E5"/>
    <w:rsid w:val="00BB71FB"/>
    <w:rsid w:val="00BB7516"/>
    <w:rsid w:val="00BB7727"/>
    <w:rsid w:val="00BB7AEC"/>
    <w:rsid w:val="00BB7EF5"/>
    <w:rsid w:val="00BC012C"/>
    <w:rsid w:val="00BC03CF"/>
    <w:rsid w:val="00BC0438"/>
    <w:rsid w:val="00BC0463"/>
    <w:rsid w:val="00BC0703"/>
    <w:rsid w:val="00BC0AAF"/>
    <w:rsid w:val="00BC0B4A"/>
    <w:rsid w:val="00BC0B55"/>
    <w:rsid w:val="00BC0BC4"/>
    <w:rsid w:val="00BC0C63"/>
    <w:rsid w:val="00BC0CEE"/>
    <w:rsid w:val="00BC0FCA"/>
    <w:rsid w:val="00BC14BE"/>
    <w:rsid w:val="00BC17DF"/>
    <w:rsid w:val="00BC1B8F"/>
    <w:rsid w:val="00BC1DBF"/>
    <w:rsid w:val="00BC1EE9"/>
    <w:rsid w:val="00BC1FC8"/>
    <w:rsid w:val="00BC2283"/>
    <w:rsid w:val="00BC22F5"/>
    <w:rsid w:val="00BC2504"/>
    <w:rsid w:val="00BC2941"/>
    <w:rsid w:val="00BC2BAA"/>
    <w:rsid w:val="00BC2BB0"/>
    <w:rsid w:val="00BC2D2D"/>
    <w:rsid w:val="00BC2EB2"/>
    <w:rsid w:val="00BC2F1E"/>
    <w:rsid w:val="00BC31CC"/>
    <w:rsid w:val="00BC322F"/>
    <w:rsid w:val="00BC35AC"/>
    <w:rsid w:val="00BC3791"/>
    <w:rsid w:val="00BC3BBE"/>
    <w:rsid w:val="00BC3C36"/>
    <w:rsid w:val="00BC3DB8"/>
    <w:rsid w:val="00BC3F17"/>
    <w:rsid w:val="00BC3F78"/>
    <w:rsid w:val="00BC3FE3"/>
    <w:rsid w:val="00BC3FFD"/>
    <w:rsid w:val="00BC428D"/>
    <w:rsid w:val="00BC42D6"/>
    <w:rsid w:val="00BC4542"/>
    <w:rsid w:val="00BC489D"/>
    <w:rsid w:val="00BC48AB"/>
    <w:rsid w:val="00BC48C6"/>
    <w:rsid w:val="00BC4C26"/>
    <w:rsid w:val="00BC4DD4"/>
    <w:rsid w:val="00BC4E16"/>
    <w:rsid w:val="00BC4E91"/>
    <w:rsid w:val="00BC4FCA"/>
    <w:rsid w:val="00BC51BC"/>
    <w:rsid w:val="00BC5219"/>
    <w:rsid w:val="00BC5C85"/>
    <w:rsid w:val="00BC613A"/>
    <w:rsid w:val="00BC6184"/>
    <w:rsid w:val="00BC6378"/>
    <w:rsid w:val="00BC64BF"/>
    <w:rsid w:val="00BC6A08"/>
    <w:rsid w:val="00BC6AEB"/>
    <w:rsid w:val="00BC6BE1"/>
    <w:rsid w:val="00BC74AD"/>
    <w:rsid w:val="00BC768B"/>
    <w:rsid w:val="00BC772A"/>
    <w:rsid w:val="00BC7829"/>
    <w:rsid w:val="00BC788D"/>
    <w:rsid w:val="00BC794F"/>
    <w:rsid w:val="00BC7AF5"/>
    <w:rsid w:val="00BC7BAB"/>
    <w:rsid w:val="00BC7C6D"/>
    <w:rsid w:val="00BC7D08"/>
    <w:rsid w:val="00BD0042"/>
    <w:rsid w:val="00BD023F"/>
    <w:rsid w:val="00BD03BA"/>
    <w:rsid w:val="00BD0487"/>
    <w:rsid w:val="00BD0687"/>
    <w:rsid w:val="00BD072F"/>
    <w:rsid w:val="00BD088E"/>
    <w:rsid w:val="00BD08A8"/>
    <w:rsid w:val="00BD0B76"/>
    <w:rsid w:val="00BD0BBB"/>
    <w:rsid w:val="00BD0BD5"/>
    <w:rsid w:val="00BD0D2A"/>
    <w:rsid w:val="00BD0D94"/>
    <w:rsid w:val="00BD0FE9"/>
    <w:rsid w:val="00BD1019"/>
    <w:rsid w:val="00BD1301"/>
    <w:rsid w:val="00BD18A7"/>
    <w:rsid w:val="00BD1907"/>
    <w:rsid w:val="00BD1A65"/>
    <w:rsid w:val="00BD1B0C"/>
    <w:rsid w:val="00BD1B94"/>
    <w:rsid w:val="00BD1CC3"/>
    <w:rsid w:val="00BD209D"/>
    <w:rsid w:val="00BD2180"/>
    <w:rsid w:val="00BD2400"/>
    <w:rsid w:val="00BD2493"/>
    <w:rsid w:val="00BD2972"/>
    <w:rsid w:val="00BD2980"/>
    <w:rsid w:val="00BD2C18"/>
    <w:rsid w:val="00BD2E0F"/>
    <w:rsid w:val="00BD318F"/>
    <w:rsid w:val="00BD383D"/>
    <w:rsid w:val="00BD3C61"/>
    <w:rsid w:val="00BD4556"/>
    <w:rsid w:val="00BD4710"/>
    <w:rsid w:val="00BD4844"/>
    <w:rsid w:val="00BD484C"/>
    <w:rsid w:val="00BD490C"/>
    <w:rsid w:val="00BD4B0C"/>
    <w:rsid w:val="00BD4C15"/>
    <w:rsid w:val="00BD4EC9"/>
    <w:rsid w:val="00BD50C8"/>
    <w:rsid w:val="00BD5627"/>
    <w:rsid w:val="00BD5631"/>
    <w:rsid w:val="00BD5702"/>
    <w:rsid w:val="00BD579A"/>
    <w:rsid w:val="00BD582A"/>
    <w:rsid w:val="00BD5954"/>
    <w:rsid w:val="00BD5A9B"/>
    <w:rsid w:val="00BD5FF9"/>
    <w:rsid w:val="00BD6143"/>
    <w:rsid w:val="00BD61C4"/>
    <w:rsid w:val="00BD621B"/>
    <w:rsid w:val="00BD6517"/>
    <w:rsid w:val="00BD651A"/>
    <w:rsid w:val="00BD6533"/>
    <w:rsid w:val="00BD677D"/>
    <w:rsid w:val="00BD67B1"/>
    <w:rsid w:val="00BD6CE8"/>
    <w:rsid w:val="00BD74D3"/>
    <w:rsid w:val="00BD7657"/>
    <w:rsid w:val="00BD766F"/>
    <w:rsid w:val="00BD7731"/>
    <w:rsid w:val="00BD79EB"/>
    <w:rsid w:val="00BD7CA0"/>
    <w:rsid w:val="00BD7E9E"/>
    <w:rsid w:val="00BE0272"/>
    <w:rsid w:val="00BE0297"/>
    <w:rsid w:val="00BE0A0D"/>
    <w:rsid w:val="00BE0C16"/>
    <w:rsid w:val="00BE0C8F"/>
    <w:rsid w:val="00BE0D14"/>
    <w:rsid w:val="00BE1215"/>
    <w:rsid w:val="00BE1487"/>
    <w:rsid w:val="00BE1855"/>
    <w:rsid w:val="00BE18AD"/>
    <w:rsid w:val="00BE18E0"/>
    <w:rsid w:val="00BE1AE5"/>
    <w:rsid w:val="00BE1DB3"/>
    <w:rsid w:val="00BE1EA8"/>
    <w:rsid w:val="00BE1EAE"/>
    <w:rsid w:val="00BE1FDE"/>
    <w:rsid w:val="00BE29EB"/>
    <w:rsid w:val="00BE2B98"/>
    <w:rsid w:val="00BE300B"/>
    <w:rsid w:val="00BE31B4"/>
    <w:rsid w:val="00BE33BD"/>
    <w:rsid w:val="00BE3508"/>
    <w:rsid w:val="00BE35BD"/>
    <w:rsid w:val="00BE3677"/>
    <w:rsid w:val="00BE3EA4"/>
    <w:rsid w:val="00BE41BD"/>
    <w:rsid w:val="00BE46BD"/>
    <w:rsid w:val="00BE4A44"/>
    <w:rsid w:val="00BE4D42"/>
    <w:rsid w:val="00BE4E1D"/>
    <w:rsid w:val="00BE5542"/>
    <w:rsid w:val="00BE57CE"/>
    <w:rsid w:val="00BE5BB8"/>
    <w:rsid w:val="00BE5C3F"/>
    <w:rsid w:val="00BE5D61"/>
    <w:rsid w:val="00BE5FB1"/>
    <w:rsid w:val="00BE6206"/>
    <w:rsid w:val="00BE63A0"/>
    <w:rsid w:val="00BE6579"/>
    <w:rsid w:val="00BE6B7C"/>
    <w:rsid w:val="00BE6C2A"/>
    <w:rsid w:val="00BE6F7E"/>
    <w:rsid w:val="00BE7008"/>
    <w:rsid w:val="00BE7364"/>
    <w:rsid w:val="00BE7423"/>
    <w:rsid w:val="00BE7503"/>
    <w:rsid w:val="00BE7771"/>
    <w:rsid w:val="00BE7879"/>
    <w:rsid w:val="00BE7ED9"/>
    <w:rsid w:val="00BF0322"/>
    <w:rsid w:val="00BF06A7"/>
    <w:rsid w:val="00BF08EE"/>
    <w:rsid w:val="00BF0BD8"/>
    <w:rsid w:val="00BF14A4"/>
    <w:rsid w:val="00BF14CF"/>
    <w:rsid w:val="00BF158D"/>
    <w:rsid w:val="00BF1771"/>
    <w:rsid w:val="00BF1986"/>
    <w:rsid w:val="00BF1BBE"/>
    <w:rsid w:val="00BF1CB1"/>
    <w:rsid w:val="00BF1D2B"/>
    <w:rsid w:val="00BF1DE9"/>
    <w:rsid w:val="00BF1FEA"/>
    <w:rsid w:val="00BF2002"/>
    <w:rsid w:val="00BF2354"/>
    <w:rsid w:val="00BF2378"/>
    <w:rsid w:val="00BF2556"/>
    <w:rsid w:val="00BF2A78"/>
    <w:rsid w:val="00BF2C5B"/>
    <w:rsid w:val="00BF2F0E"/>
    <w:rsid w:val="00BF2F5F"/>
    <w:rsid w:val="00BF2FC1"/>
    <w:rsid w:val="00BF3216"/>
    <w:rsid w:val="00BF3E3B"/>
    <w:rsid w:val="00BF3F2E"/>
    <w:rsid w:val="00BF4078"/>
    <w:rsid w:val="00BF479A"/>
    <w:rsid w:val="00BF4CA2"/>
    <w:rsid w:val="00BF4DFB"/>
    <w:rsid w:val="00BF4F01"/>
    <w:rsid w:val="00BF4F81"/>
    <w:rsid w:val="00BF5066"/>
    <w:rsid w:val="00BF5170"/>
    <w:rsid w:val="00BF5368"/>
    <w:rsid w:val="00BF55FF"/>
    <w:rsid w:val="00BF56CC"/>
    <w:rsid w:val="00BF5739"/>
    <w:rsid w:val="00BF594E"/>
    <w:rsid w:val="00BF59B6"/>
    <w:rsid w:val="00BF59CD"/>
    <w:rsid w:val="00BF62EB"/>
    <w:rsid w:val="00BF63DC"/>
    <w:rsid w:val="00BF6871"/>
    <w:rsid w:val="00BF68E0"/>
    <w:rsid w:val="00BF6A2C"/>
    <w:rsid w:val="00BF6BB4"/>
    <w:rsid w:val="00BF6E99"/>
    <w:rsid w:val="00BF6EF2"/>
    <w:rsid w:val="00BF701B"/>
    <w:rsid w:val="00BF7041"/>
    <w:rsid w:val="00BF75FE"/>
    <w:rsid w:val="00BF7792"/>
    <w:rsid w:val="00BF7A34"/>
    <w:rsid w:val="00BF7A48"/>
    <w:rsid w:val="00BF7A9B"/>
    <w:rsid w:val="00BF7BDB"/>
    <w:rsid w:val="00BF7C13"/>
    <w:rsid w:val="00BF7C9B"/>
    <w:rsid w:val="00BF7EF9"/>
    <w:rsid w:val="00BF7F48"/>
    <w:rsid w:val="00BF7FF1"/>
    <w:rsid w:val="00C000DA"/>
    <w:rsid w:val="00C006C5"/>
    <w:rsid w:val="00C009AF"/>
    <w:rsid w:val="00C00A57"/>
    <w:rsid w:val="00C0144E"/>
    <w:rsid w:val="00C01F5F"/>
    <w:rsid w:val="00C02065"/>
    <w:rsid w:val="00C021AE"/>
    <w:rsid w:val="00C02416"/>
    <w:rsid w:val="00C02585"/>
    <w:rsid w:val="00C028A0"/>
    <w:rsid w:val="00C0317B"/>
    <w:rsid w:val="00C031D2"/>
    <w:rsid w:val="00C0320C"/>
    <w:rsid w:val="00C03372"/>
    <w:rsid w:val="00C034E3"/>
    <w:rsid w:val="00C03812"/>
    <w:rsid w:val="00C03A1C"/>
    <w:rsid w:val="00C03E26"/>
    <w:rsid w:val="00C04470"/>
    <w:rsid w:val="00C0472F"/>
    <w:rsid w:val="00C04B8A"/>
    <w:rsid w:val="00C04C64"/>
    <w:rsid w:val="00C04DAA"/>
    <w:rsid w:val="00C0529C"/>
    <w:rsid w:val="00C05430"/>
    <w:rsid w:val="00C05483"/>
    <w:rsid w:val="00C055E0"/>
    <w:rsid w:val="00C0563C"/>
    <w:rsid w:val="00C05650"/>
    <w:rsid w:val="00C056AC"/>
    <w:rsid w:val="00C0581A"/>
    <w:rsid w:val="00C05BE0"/>
    <w:rsid w:val="00C05CB0"/>
    <w:rsid w:val="00C05E4D"/>
    <w:rsid w:val="00C05EE3"/>
    <w:rsid w:val="00C05FE2"/>
    <w:rsid w:val="00C06160"/>
    <w:rsid w:val="00C061A2"/>
    <w:rsid w:val="00C062D4"/>
    <w:rsid w:val="00C063EB"/>
    <w:rsid w:val="00C06425"/>
    <w:rsid w:val="00C064CB"/>
    <w:rsid w:val="00C0657B"/>
    <w:rsid w:val="00C066EF"/>
    <w:rsid w:val="00C06818"/>
    <w:rsid w:val="00C068D7"/>
    <w:rsid w:val="00C068F8"/>
    <w:rsid w:val="00C06A42"/>
    <w:rsid w:val="00C06B56"/>
    <w:rsid w:val="00C06C17"/>
    <w:rsid w:val="00C06CA1"/>
    <w:rsid w:val="00C06CAB"/>
    <w:rsid w:val="00C06F54"/>
    <w:rsid w:val="00C06FDC"/>
    <w:rsid w:val="00C0701B"/>
    <w:rsid w:val="00C07233"/>
    <w:rsid w:val="00C073F4"/>
    <w:rsid w:val="00C078D5"/>
    <w:rsid w:val="00C079F7"/>
    <w:rsid w:val="00C07B22"/>
    <w:rsid w:val="00C07EF2"/>
    <w:rsid w:val="00C102A1"/>
    <w:rsid w:val="00C10516"/>
    <w:rsid w:val="00C10536"/>
    <w:rsid w:val="00C10567"/>
    <w:rsid w:val="00C1076D"/>
    <w:rsid w:val="00C1079E"/>
    <w:rsid w:val="00C108C2"/>
    <w:rsid w:val="00C10B10"/>
    <w:rsid w:val="00C10B1E"/>
    <w:rsid w:val="00C10C02"/>
    <w:rsid w:val="00C11084"/>
    <w:rsid w:val="00C1158D"/>
    <w:rsid w:val="00C1177B"/>
    <w:rsid w:val="00C11A66"/>
    <w:rsid w:val="00C11ABD"/>
    <w:rsid w:val="00C11BC4"/>
    <w:rsid w:val="00C11C13"/>
    <w:rsid w:val="00C11D13"/>
    <w:rsid w:val="00C11DC3"/>
    <w:rsid w:val="00C11E93"/>
    <w:rsid w:val="00C11ECD"/>
    <w:rsid w:val="00C121ED"/>
    <w:rsid w:val="00C122F7"/>
    <w:rsid w:val="00C12357"/>
    <w:rsid w:val="00C12901"/>
    <w:rsid w:val="00C12AFA"/>
    <w:rsid w:val="00C12B69"/>
    <w:rsid w:val="00C12C26"/>
    <w:rsid w:val="00C12F4C"/>
    <w:rsid w:val="00C12F60"/>
    <w:rsid w:val="00C1309A"/>
    <w:rsid w:val="00C133CF"/>
    <w:rsid w:val="00C13402"/>
    <w:rsid w:val="00C1344F"/>
    <w:rsid w:val="00C13496"/>
    <w:rsid w:val="00C13563"/>
    <w:rsid w:val="00C135C7"/>
    <w:rsid w:val="00C1363A"/>
    <w:rsid w:val="00C13959"/>
    <w:rsid w:val="00C13E94"/>
    <w:rsid w:val="00C14120"/>
    <w:rsid w:val="00C142CD"/>
    <w:rsid w:val="00C14306"/>
    <w:rsid w:val="00C14677"/>
    <w:rsid w:val="00C148E6"/>
    <w:rsid w:val="00C14917"/>
    <w:rsid w:val="00C1498C"/>
    <w:rsid w:val="00C14A6B"/>
    <w:rsid w:val="00C14B33"/>
    <w:rsid w:val="00C14DA6"/>
    <w:rsid w:val="00C1564D"/>
    <w:rsid w:val="00C15977"/>
    <w:rsid w:val="00C159E5"/>
    <w:rsid w:val="00C15B87"/>
    <w:rsid w:val="00C15BE5"/>
    <w:rsid w:val="00C15CF5"/>
    <w:rsid w:val="00C15E87"/>
    <w:rsid w:val="00C15FEE"/>
    <w:rsid w:val="00C15FFB"/>
    <w:rsid w:val="00C162F0"/>
    <w:rsid w:val="00C162FF"/>
    <w:rsid w:val="00C16311"/>
    <w:rsid w:val="00C163CB"/>
    <w:rsid w:val="00C1644D"/>
    <w:rsid w:val="00C1652B"/>
    <w:rsid w:val="00C167AF"/>
    <w:rsid w:val="00C16C9A"/>
    <w:rsid w:val="00C16CE6"/>
    <w:rsid w:val="00C16E9B"/>
    <w:rsid w:val="00C17053"/>
    <w:rsid w:val="00C17131"/>
    <w:rsid w:val="00C17464"/>
    <w:rsid w:val="00C17DFF"/>
    <w:rsid w:val="00C17F53"/>
    <w:rsid w:val="00C207DF"/>
    <w:rsid w:val="00C20E78"/>
    <w:rsid w:val="00C20EDE"/>
    <w:rsid w:val="00C20F84"/>
    <w:rsid w:val="00C21274"/>
    <w:rsid w:val="00C213CC"/>
    <w:rsid w:val="00C214A0"/>
    <w:rsid w:val="00C21602"/>
    <w:rsid w:val="00C21996"/>
    <w:rsid w:val="00C219D2"/>
    <w:rsid w:val="00C21DCE"/>
    <w:rsid w:val="00C21E26"/>
    <w:rsid w:val="00C21E84"/>
    <w:rsid w:val="00C21F99"/>
    <w:rsid w:val="00C2227E"/>
    <w:rsid w:val="00C222A0"/>
    <w:rsid w:val="00C22643"/>
    <w:rsid w:val="00C226FA"/>
    <w:rsid w:val="00C22817"/>
    <w:rsid w:val="00C228F3"/>
    <w:rsid w:val="00C22A24"/>
    <w:rsid w:val="00C22CF9"/>
    <w:rsid w:val="00C22DF9"/>
    <w:rsid w:val="00C2356E"/>
    <w:rsid w:val="00C237B9"/>
    <w:rsid w:val="00C23AB3"/>
    <w:rsid w:val="00C24338"/>
    <w:rsid w:val="00C24A59"/>
    <w:rsid w:val="00C2546A"/>
    <w:rsid w:val="00C255B8"/>
    <w:rsid w:val="00C25714"/>
    <w:rsid w:val="00C2576E"/>
    <w:rsid w:val="00C25A29"/>
    <w:rsid w:val="00C263FD"/>
    <w:rsid w:val="00C26B8B"/>
    <w:rsid w:val="00C26CC1"/>
    <w:rsid w:val="00C26D1C"/>
    <w:rsid w:val="00C26F5E"/>
    <w:rsid w:val="00C2703C"/>
    <w:rsid w:val="00C27118"/>
    <w:rsid w:val="00C2713C"/>
    <w:rsid w:val="00C2735D"/>
    <w:rsid w:val="00C27460"/>
    <w:rsid w:val="00C27561"/>
    <w:rsid w:val="00C27A9F"/>
    <w:rsid w:val="00C27B1D"/>
    <w:rsid w:val="00C27C99"/>
    <w:rsid w:val="00C27D3A"/>
    <w:rsid w:val="00C27D5B"/>
    <w:rsid w:val="00C27DF1"/>
    <w:rsid w:val="00C27E47"/>
    <w:rsid w:val="00C30199"/>
    <w:rsid w:val="00C302D1"/>
    <w:rsid w:val="00C305BF"/>
    <w:rsid w:val="00C30BAB"/>
    <w:rsid w:val="00C30CFD"/>
    <w:rsid w:val="00C3106A"/>
    <w:rsid w:val="00C31077"/>
    <w:rsid w:val="00C311C6"/>
    <w:rsid w:val="00C31224"/>
    <w:rsid w:val="00C3165F"/>
    <w:rsid w:val="00C31947"/>
    <w:rsid w:val="00C31AED"/>
    <w:rsid w:val="00C31C37"/>
    <w:rsid w:val="00C31C40"/>
    <w:rsid w:val="00C31C49"/>
    <w:rsid w:val="00C31C99"/>
    <w:rsid w:val="00C31DE0"/>
    <w:rsid w:val="00C31F96"/>
    <w:rsid w:val="00C3202C"/>
    <w:rsid w:val="00C32332"/>
    <w:rsid w:val="00C32450"/>
    <w:rsid w:val="00C327FB"/>
    <w:rsid w:val="00C32C69"/>
    <w:rsid w:val="00C32D48"/>
    <w:rsid w:val="00C32E74"/>
    <w:rsid w:val="00C33175"/>
    <w:rsid w:val="00C332D7"/>
    <w:rsid w:val="00C33354"/>
    <w:rsid w:val="00C33405"/>
    <w:rsid w:val="00C33524"/>
    <w:rsid w:val="00C33557"/>
    <w:rsid w:val="00C336E1"/>
    <w:rsid w:val="00C337DF"/>
    <w:rsid w:val="00C3384D"/>
    <w:rsid w:val="00C33C2A"/>
    <w:rsid w:val="00C33D23"/>
    <w:rsid w:val="00C3462B"/>
    <w:rsid w:val="00C3462F"/>
    <w:rsid w:val="00C34C36"/>
    <w:rsid w:val="00C34C86"/>
    <w:rsid w:val="00C34FBD"/>
    <w:rsid w:val="00C3507D"/>
    <w:rsid w:val="00C35309"/>
    <w:rsid w:val="00C35819"/>
    <w:rsid w:val="00C35A87"/>
    <w:rsid w:val="00C35BC6"/>
    <w:rsid w:val="00C35D41"/>
    <w:rsid w:val="00C35EB1"/>
    <w:rsid w:val="00C36121"/>
    <w:rsid w:val="00C36244"/>
    <w:rsid w:val="00C36266"/>
    <w:rsid w:val="00C36402"/>
    <w:rsid w:val="00C36471"/>
    <w:rsid w:val="00C364BD"/>
    <w:rsid w:val="00C36567"/>
    <w:rsid w:val="00C36A26"/>
    <w:rsid w:val="00C36C95"/>
    <w:rsid w:val="00C36EDB"/>
    <w:rsid w:val="00C36FEA"/>
    <w:rsid w:val="00C36FED"/>
    <w:rsid w:val="00C370BC"/>
    <w:rsid w:val="00C3739A"/>
    <w:rsid w:val="00C373C8"/>
    <w:rsid w:val="00C37806"/>
    <w:rsid w:val="00C37963"/>
    <w:rsid w:val="00C37A84"/>
    <w:rsid w:val="00C37AB4"/>
    <w:rsid w:val="00C4005E"/>
    <w:rsid w:val="00C408AA"/>
    <w:rsid w:val="00C40C47"/>
    <w:rsid w:val="00C40CF8"/>
    <w:rsid w:val="00C41204"/>
    <w:rsid w:val="00C41370"/>
    <w:rsid w:val="00C4164C"/>
    <w:rsid w:val="00C41693"/>
    <w:rsid w:val="00C419B0"/>
    <w:rsid w:val="00C41A9E"/>
    <w:rsid w:val="00C41BDE"/>
    <w:rsid w:val="00C41E8C"/>
    <w:rsid w:val="00C41F5E"/>
    <w:rsid w:val="00C42002"/>
    <w:rsid w:val="00C422AC"/>
    <w:rsid w:val="00C42360"/>
    <w:rsid w:val="00C423C7"/>
    <w:rsid w:val="00C423DB"/>
    <w:rsid w:val="00C4279E"/>
    <w:rsid w:val="00C42A14"/>
    <w:rsid w:val="00C42A7B"/>
    <w:rsid w:val="00C42E37"/>
    <w:rsid w:val="00C42EEF"/>
    <w:rsid w:val="00C43422"/>
    <w:rsid w:val="00C435DF"/>
    <w:rsid w:val="00C436BB"/>
    <w:rsid w:val="00C436C3"/>
    <w:rsid w:val="00C4376C"/>
    <w:rsid w:val="00C43778"/>
    <w:rsid w:val="00C438A8"/>
    <w:rsid w:val="00C439B7"/>
    <w:rsid w:val="00C43C9A"/>
    <w:rsid w:val="00C43F30"/>
    <w:rsid w:val="00C43F9B"/>
    <w:rsid w:val="00C43FE6"/>
    <w:rsid w:val="00C440C3"/>
    <w:rsid w:val="00C44247"/>
    <w:rsid w:val="00C44555"/>
    <w:rsid w:val="00C445CA"/>
    <w:rsid w:val="00C446DF"/>
    <w:rsid w:val="00C44C91"/>
    <w:rsid w:val="00C44EFD"/>
    <w:rsid w:val="00C451C8"/>
    <w:rsid w:val="00C45237"/>
    <w:rsid w:val="00C45312"/>
    <w:rsid w:val="00C45385"/>
    <w:rsid w:val="00C4539B"/>
    <w:rsid w:val="00C453DB"/>
    <w:rsid w:val="00C45964"/>
    <w:rsid w:val="00C45B63"/>
    <w:rsid w:val="00C45C2E"/>
    <w:rsid w:val="00C45DF5"/>
    <w:rsid w:val="00C46139"/>
    <w:rsid w:val="00C46558"/>
    <w:rsid w:val="00C46C46"/>
    <w:rsid w:val="00C46F21"/>
    <w:rsid w:val="00C47040"/>
    <w:rsid w:val="00C4733A"/>
    <w:rsid w:val="00C473E2"/>
    <w:rsid w:val="00C473F0"/>
    <w:rsid w:val="00C47413"/>
    <w:rsid w:val="00C474DC"/>
    <w:rsid w:val="00C4755F"/>
    <w:rsid w:val="00C47672"/>
    <w:rsid w:val="00C47A91"/>
    <w:rsid w:val="00C47D06"/>
    <w:rsid w:val="00C47DA2"/>
    <w:rsid w:val="00C5018E"/>
    <w:rsid w:val="00C50366"/>
    <w:rsid w:val="00C50621"/>
    <w:rsid w:val="00C508A8"/>
    <w:rsid w:val="00C5096E"/>
    <w:rsid w:val="00C50987"/>
    <w:rsid w:val="00C50C2A"/>
    <w:rsid w:val="00C50C67"/>
    <w:rsid w:val="00C50D17"/>
    <w:rsid w:val="00C50D22"/>
    <w:rsid w:val="00C50D63"/>
    <w:rsid w:val="00C51262"/>
    <w:rsid w:val="00C51951"/>
    <w:rsid w:val="00C51D67"/>
    <w:rsid w:val="00C52019"/>
    <w:rsid w:val="00C5205D"/>
    <w:rsid w:val="00C52486"/>
    <w:rsid w:val="00C524F3"/>
    <w:rsid w:val="00C52725"/>
    <w:rsid w:val="00C52950"/>
    <w:rsid w:val="00C52EC1"/>
    <w:rsid w:val="00C537C7"/>
    <w:rsid w:val="00C537E2"/>
    <w:rsid w:val="00C53AE1"/>
    <w:rsid w:val="00C540D1"/>
    <w:rsid w:val="00C542ED"/>
    <w:rsid w:val="00C54330"/>
    <w:rsid w:val="00C5438E"/>
    <w:rsid w:val="00C544B7"/>
    <w:rsid w:val="00C54563"/>
    <w:rsid w:val="00C545FF"/>
    <w:rsid w:val="00C54CAB"/>
    <w:rsid w:val="00C550D6"/>
    <w:rsid w:val="00C5516C"/>
    <w:rsid w:val="00C55368"/>
    <w:rsid w:val="00C556AA"/>
    <w:rsid w:val="00C55998"/>
    <w:rsid w:val="00C55AC7"/>
    <w:rsid w:val="00C55B4B"/>
    <w:rsid w:val="00C55FAD"/>
    <w:rsid w:val="00C560D6"/>
    <w:rsid w:val="00C56171"/>
    <w:rsid w:val="00C563AA"/>
    <w:rsid w:val="00C565E6"/>
    <w:rsid w:val="00C567A2"/>
    <w:rsid w:val="00C567B7"/>
    <w:rsid w:val="00C56873"/>
    <w:rsid w:val="00C5690E"/>
    <w:rsid w:val="00C56B58"/>
    <w:rsid w:val="00C56C39"/>
    <w:rsid w:val="00C56C71"/>
    <w:rsid w:val="00C56CCE"/>
    <w:rsid w:val="00C56F38"/>
    <w:rsid w:val="00C56F42"/>
    <w:rsid w:val="00C57340"/>
    <w:rsid w:val="00C57524"/>
    <w:rsid w:val="00C576DA"/>
    <w:rsid w:val="00C5786F"/>
    <w:rsid w:val="00C578EE"/>
    <w:rsid w:val="00C57A96"/>
    <w:rsid w:val="00C57C28"/>
    <w:rsid w:val="00C57D0B"/>
    <w:rsid w:val="00C57F91"/>
    <w:rsid w:val="00C6043A"/>
    <w:rsid w:val="00C60446"/>
    <w:rsid w:val="00C60509"/>
    <w:rsid w:val="00C60563"/>
    <w:rsid w:val="00C60596"/>
    <w:rsid w:val="00C60821"/>
    <w:rsid w:val="00C60A0B"/>
    <w:rsid w:val="00C60A3E"/>
    <w:rsid w:val="00C60E00"/>
    <w:rsid w:val="00C616E5"/>
    <w:rsid w:val="00C617BE"/>
    <w:rsid w:val="00C618E6"/>
    <w:rsid w:val="00C61938"/>
    <w:rsid w:val="00C61DCB"/>
    <w:rsid w:val="00C62261"/>
    <w:rsid w:val="00C6260D"/>
    <w:rsid w:val="00C62868"/>
    <w:rsid w:val="00C62BC6"/>
    <w:rsid w:val="00C62F59"/>
    <w:rsid w:val="00C63367"/>
    <w:rsid w:val="00C6345F"/>
    <w:rsid w:val="00C63489"/>
    <w:rsid w:val="00C637A0"/>
    <w:rsid w:val="00C63B43"/>
    <w:rsid w:val="00C644F1"/>
    <w:rsid w:val="00C648BC"/>
    <w:rsid w:val="00C652EE"/>
    <w:rsid w:val="00C65466"/>
    <w:rsid w:val="00C65A3A"/>
    <w:rsid w:val="00C65CF2"/>
    <w:rsid w:val="00C65D62"/>
    <w:rsid w:val="00C65D64"/>
    <w:rsid w:val="00C65ED9"/>
    <w:rsid w:val="00C65F75"/>
    <w:rsid w:val="00C6607D"/>
    <w:rsid w:val="00C6619F"/>
    <w:rsid w:val="00C66474"/>
    <w:rsid w:val="00C664E7"/>
    <w:rsid w:val="00C665DB"/>
    <w:rsid w:val="00C667E2"/>
    <w:rsid w:val="00C668BD"/>
    <w:rsid w:val="00C668D5"/>
    <w:rsid w:val="00C66B33"/>
    <w:rsid w:val="00C66BA4"/>
    <w:rsid w:val="00C67260"/>
    <w:rsid w:val="00C6774D"/>
    <w:rsid w:val="00C67CCA"/>
    <w:rsid w:val="00C70004"/>
    <w:rsid w:val="00C7029E"/>
    <w:rsid w:val="00C70BCF"/>
    <w:rsid w:val="00C70DEA"/>
    <w:rsid w:val="00C70E3C"/>
    <w:rsid w:val="00C711FC"/>
    <w:rsid w:val="00C712AA"/>
    <w:rsid w:val="00C71912"/>
    <w:rsid w:val="00C71AD3"/>
    <w:rsid w:val="00C71C7C"/>
    <w:rsid w:val="00C71D36"/>
    <w:rsid w:val="00C72020"/>
    <w:rsid w:val="00C72062"/>
    <w:rsid w:val="00C72106"/>
    <w:rsid w:val="00C72166"/>
    <w:rsid w:val="00C723F1"/>
    <w:rsid w:val="00C7241D"/>
    <w:rsid w:val="00C72681"/>
    <w:rsid w:val="00C726B6"/>
    <w:rsid w:val="00C72820"/>
    <w:rsid w:val="00C72CA8"/>
    <w:rsid w:val="00C7326D"/>
    <w:rsid w:val="00C73788"/>
    <w:rsid w:val="00C73D1F"/>
    <w:rsid w:val="00C743F8"/>
    <w:rsid w:val="00C749B3"/>
    <w:rsid w:val="00C74A4A"/>
    <w:rsid w:val="00C74A86"/>
    <w:rsid w:val="00C7504C"/>
    <w:rsid w:val="00C75168"/>
    <w:rsid w:val="00C75253"/>
    <w:rsid w:val="00C75974"/>
    <w:rsid w:val="00C7599F"/>
    <w:rsid w:val="00C75E03"/>
    <w:rsid w:val="00C75EDF"/>
    <w:rsid w:val="00C76004"/>
    <w:rsid w:val="00C76356"/>
    <w:rsid w:val="00C7637A"/>
    <w:rsid w:val="00C76734"/>
    <w:rsid w:val="00C769E2"/>
    <w:rsid w:val="00C76BC0"/>
    <w:rsid w:val="00C76E83"/>
    <w:rsid w:val="00C77036"/>
    <w:rsid w:val="00C77503"/>
    <w:rsid w:val="00C7790A"/>
    <w:rsid w:val="00C77BA6"/>
    <w:rsid w:val="00C77BE5"/>
    <w:rsid w:val="00C77E4C"/>
    <w:rsid w:val="00C77F93"/>
    <w:rsid w:val="00C80072"/>
    <w:rsid w:val="00C801C3"/>
    <w:rsid w:val="00C802B3"/>
    <w:rsid w:val="00C8092C"/>
    <w:rsid w:val="00C80E20"/>
    <w:rsid w:val="00C80FB4"/>
    <w:rsid w:val="00C81106"/>
    <w:rsid w:val="00C81180"/>
    <w:rsid w:val="00C816F1"/>
    <w:rsid w:val="00C81AC1"/>
    <w:rsid w:val="00C826EE"/>
    <w:rsid w:val="00C82AB5"/>
    <w:rsid w:val="00C82D7E"/>
    <w:rsid w:val="00C82DCA"/>
    <w:rsid w:val="00C82E03"/>
    <w:rsid w:val="00C82E80"/>
    <w:rsid w:val="00C82F60"/>
    <w:rsid w:val="00C831DF"/>
    <w:rsid w:val="00C8329F"/>
    <w:rsid w:val="00C83603"/>
    <w:rsid w:val="00C83674"/>
    <w:rsid w:val="00C837D2"/>
    <w:rsid w:val="00C83861"/>
    <w:rsid w:val="00C838BD"/>
    <w:rsid w:val="00C83A0F"/>
    <w:rsid w:val="00C83D3B"/>
    <w:rsid w:val="00C83DC4"/>
    <w:rsid w:val="00C8411E"/>
    <w:rsid w:val="00C8423D"/>
    <w:rsid w:val="00C8447F"/>
    <w:rsid w:val="00C847BF"/>
    <w:rsid w:val="00C8496E"/>
    <w:rsid w:val="00C84AC5"/>
    <w:rsid w:val="00C8504B"/>
    <w:rsid w:val="00C85270"/>
    <w:rsid w:val="00C85490"/>
    <w:rsid w:val="00C858C8"/>
    <w:rsid w:val="00C859BA"/>
    <w:rsid w:val="00C85C22"/>
    <w:rsid w:val="00C85C69"/>
    <w:rsid w:val="00C85DD4"/>
    <w:rsid w:val="00C86003"/>
    <w:rsid w:val="00C860FF"/>
    <w:rsid w:val="00C86583"/>
    <w:rsid w:val="00C86678"/>
    <w:rsid w:val="00C867DF"/>
    <w:rsid w:val="00C86BC2"/>
    <w:rsid w:val="00C86BE3"/>
    <w:rsid w:val="00C86ED7"/>
    <w:rsid w:val="00C87256"/>
    <w:rsid w:val="00C8747B"/>
    <w:rsid w:val="00C90102"/>
    <w:rsid w:val="00C90103"/>
    <w:rsid w:val="00C9022C"/>
    <w:rsid w:val="00C90322"/>
    <w:rsid w:val="00C90B59"/>
    <w:rsid w:val="00C90BE1"/>
    <w:rsid w:val="00C90E80"/>
    <w:rsid w:val="00C91209"/>
    <w:rsid w:val="00C91328"/>
    <w:rsid w:val="00C91552"/>
    <w:rsid w:val="00C91991"/>
    <w:rsid w:val="00C91D01"/>
    <w:rsid w:val="00C91F9A"/>
    <w:rsid w:val="00C9235E"/>
    <w:rsid w:val="00C923B8"/>
    <w:rsid w:val="00C92481"/>
    <w:rsid w:val="00C92578"/>
    <w:rsid w:val="00C92CC6"/>
    <w:rsid w:val="00C92D75"/>
    <w:rsid w:val="00C932FA"/>
    <w:rsid w:val="00C93513"/>
    <w:rsid w:val="00C935BF"/>
    <w:rsid w:val="00C9389F"/>
    <w:rsid w:val="00C94152"/>
    <w:rsid w:val="00C9451D"/>
    <w:rsid w:val="00C948D6"/>
    <w:rsid w:val="00C949D7"/>
    <w:rsid w:val="00C94BFF"/>
    <w:rsid w:val="00C94DB0"/>
    <w:rsid w:val="00C94EFE"/>
    <w:rsid w:val="00C94F1A"/>
    <w:rsid w:val="00C954F6"/>
    <w:rsid w:val="00C9568B"/>
    <w:rsid w:val="00C95CC2"/>
    <w:rsid w:val="00C95E0F"/>
    <w:rsid w:val="00C96343"/>
    <w:rsid w:val="00C9638C"/>
    <w:rsid w:val="00C969C6"/>
    <w:rsid w:val="00C96A28"/>
    <w:rsid w:val="00C96ACC"/>
    <w:rsid w:val="00C96C40"/>
    <w:rsid w:val="00C96D03"/>
    <w:rsid w:val="00C96DB7"/>
    <w:rsid w:val="00C974AC"/>
    <w:rsid w:val="00C97C4B"/>
    <w:rsid w:val="00C97DB0"/>
    <w:rsid w:val="00C97E49"/>
    <w:rsid w:val="00C97F38"/>
    <w:rsid w:val="00C97FB7"/>
    <w:rsid w:val="00CA0538"/>
    <w:rsid w:val="00CA05FC"/>
    <w:rsid w:val="00CA096B"/>
    <w:rsid w:val="00CA0B1B"/>
    <w:rsid w:val="00CA0BF4"/>
    <w:rsid w:val="00CA14D6"/>
    <w:rsid w:val="00CA1622"/>
    <w:rsid w:val="00CA1858"/>
    <w:rsid w:val="00CA18A1"/>
    <w:rsid w:val="00CA1C43"/>
    <w:rsid w:val="00CA211D"/>
    <w:rsid w:val="00CA21C2"/>
    <w:rsid w:val="00CA22DE"/>
    <w:rsid w:val="00CA232B"/>
    <w:rsid w:val="00CA2348"/>
    <w:rsid w:val="00CA240C"/>
    <w:rsid w:val="00CA259B"/>
    <w:rsid w:val="00CA264E"/>
    <w:rsid w:val="00CA26DE"/>
    <w:rsid w:val="00CA32D8"/>
    <w:rsid w:val="00CA332E"/>
    <w:rsid w:val="00CA33C6"/>
    <w:rsid w:val="00CA345A"/>
    <w:rsid w:val="00CA390A"/>
    <w:rsid w:val="00CA390C"/>
    <w:rsid w:val="00CA393D"/>
    <w:rsid w:val="00CA3D16"/>
    <w:rsid w:val="00CA3F6B"/>
    <w:rsid w:val="00CA4213"/>
    <w:rsid w:val="00CA47D3"/>
    <w:rsid w:val="00CA4E24"/>
    <w:rsid w:val="00CA50C9"/>
    <w:rsid w:val="00CA54F2"/>
    <w:rsid w:val="00CA55BA"/>
    <w:rsid w:val="00CA56C1"/>
    <w:rsid w:val="00CA599A"/>
    <w:rsid w:val="00CA5B03"/>
    <w:rsid w:val="00CA5C7E"/>
    <w:rsid w:val="00CA5D56"/>
    <w:rsid w:val="00CA60EC"/>
    <w:rsid w:val="00CA61DA"/>
    <w:rsid w:val="00CA6323"/>
    <w:rsid w:val="00CA64D4"/>
    <w:rsid w:val="00CA66DB"/>
    <w:rsid w:val="00CA6A23"/>
    <w:rsid w:val="00CA6D85"/>
    <w:rsid w:val="00CA6F13"/>
    <w:rsid w:val="00CA7608"/>
    <w:rsid w:val="00CA7B79"/>
    <w:rsid w:val="00CA7CB5"/>
    <w:rsid w:val="00CB0363"/>
    <w:rsid w:val="00CB0665"/>
    <w:rsid w:val="00CB06CB"/>
    <w:rsid w:val="00CB0759"/>
    <w:rsid w:val="00CB08B0"/>
    <w:rsid w:val="00CB0CAD"/>
    <w:rsid w:val="00CB0E0F"/>
    <w:rsid w:val="00CB0E70"/>
    <w:rsid w:val="00CB0EF1"/>
    <w:rsid w:val="00CB1025"/>
    <w:rsid w:val="00CB105F"/>
    <w:rsid w:val="00CB13D7"/>
    <w:rsid w:val="00CB1995"/>
    <w:rsid w:val="00CB1B2B"/>
    <w:rsid w:val="00CB1F62"/>
    <w:rsid w:val="00CB2017"/>
    <w:rsid w:val="00CB23E4"/>
    <w:rsid w:val="00CB2500"/>
    <w:rsid w:val="00CB257F"/>
    <w:rsid w:val="00CB2964"/>
    <w:rsid w:val="00CB2A31"/>
    <w:rsid w:val="00CB2BAB"/>
    <w:rsid w:val="00CB2CD9"/>
    <w:rsid w:val="00CB2FC2"/>
    <w:rsid w:val="00CB325B"/>
    <w:rsid w:val="00CB3286"/>
    <w:rsid w:val="00CB3359"/>
    <w:rsid w:val="00CB33BF"/>
    <w:rsid w:val="00CB3676"/>
    <w:rsid w:val="00CB387C"/>
    <w:rsid w:val="00CB3996"/>
    <w:rsid w:val="00CB3A7C"/>
    <w:rsid w:val="00CB3BCA"/>
    <w:rsid w:val="00CB3D51"/>
    <w:rsid w:val="00CB3DC2"/>
    <w:rsid w:val="00CB3F2E"/>
    <w:rsid w:val="00CB4468"/>
    <w:rsid w:val="00CB46A9"/>
    <w:rsid w:val="00CB4E07"/>
    <w:rsid w:val="00CB4F35"/>
    <w:rsid w:val="00CB5000"/>
    <w:rsid w:val="00CB53AF"/>
    <w:rsid w:val="00CB53E6"/>
    <w:rsid w:val="00CB55C4"/>
    <w:rsid w:val="00CB572D"/>
    <w:rsid w:val="00CB5731"/>
    <w:rsid w:val="00CB5803"/>
    <w:rsid w:val="00CB585E"/>
    <w:rsid w:val="00CB5C5E"/>
    <w:rsid w:val="00CB63DB"/>
    <w:rsid w:val="00CB667E"/>
    <w:rsid w:val="00CB68B3"/>
    <w:rsid w:val="00CB6AE7"/>
    <w:rsid w:val="00CB71DF"/>
    <w:rsid w:val="00CB741B"/>
    <w:rsid w:val="00CB7656"/>
    <w:rsid w:val="00CB78CD"/>
    <w:rsid w:val="00CC00BB"/>
    <w:rsid w:val="00CC0473"/>
    <w:rsid w:val="00CC0681"/>
    <w:rsid w:val="00CC0849"/>
    <w:rsid w:val="00CC0BEA"/>
    <w:rsid w:val="00CC0C43"/>
    <w:rsid w:val="00CC0DCA"/>
    <w:rsid w:val="00CC0EF3"/>
    <w:rsid w:val="00CC128F"/>
    <w:rsid w:val="00CC148B"/>
    <w:rsid w:val="00CC14A5"/>
    <w:rsid w:val="00CC1642"/>
    <w:rsid w:val="00CC18DC"/>
    <w:rsid w:val="00CC1991"/>
    <w:rsid w:val="00CC1BC5"/>
    <w:rsid w:val="00CC1C4D"/>
    <w:rsid w:val="00CC1C94"/>
    <w:rsid w:val="00CC1D5D"/>
    <w:rsid w:val="00CC1FB5"/>
    <w:rsid w:val="00CC2304"/>
    <w:rsid w:val="00CC2576"/>
    <w:rsid w:val="00CC2800"/>
    <w:rsid w:val="00CC2838"/>
    <w:rsid w:val="00CC2A96"/>
    <w:rsid w:val="00CC33DC"/>
    <w:rsid w:val="00CC3A23"/>
    <w:rsid w:val="00CC3AF9"/>
    <w:rsid w:val="00CC3B76"/>
    <w:rsid w:val="00CC4222"/>
    <w:rsid w:val="00CC48BD"/>
    <w:rsid w:val="00CC48FC"/>
    <w:rsid w:val="00CC4C1B"/>
    <w:rsid w:val="00CC4F94"/>
    <w:rsid w:val="00CC50B1"/>
    <w:rsid w:val="00CC5330"/>
    <w:rsid w:val="00CC540A"/>
    <w:rsid w:val="00CC565C"/>
    <w:rsid w:val="00CC5E07"/>
    <w:rsid w:val="00CC609D"/>
    <w:rsid w:val="00CC60B2"/>
    <w:rsid w:val="00CC6175"/>
    <w:rsid w:val="00CC61D8"/>
    <w:rsid w:val="00CC62EB"/>
    <w:rsid w:val="00CC63C1"/>
    <w:rsid w:val="00CC6995"/>
    <w:rsid w:val="00CC7039"/>
    <w:rsid w:val="00CC72E5"/>
    <w:rsid w:val="00CC7559"/>
    <w:rsid w:val="00CC78DB"/>
    <w:rsid w:val="00CC79D0"/>
    <w:rsid w:val="00CC7AA3"/>
    <w:rsid w:val="00CC7BC0"/>
    <w:rsid w:val="00CC7F48"/>
    <w:rsid w:val="00CD0238"/>
    <w:rsid w:val="00CD0432"/>
    <w:rsid w:val="00CD0866"/>
    <w:rsid w:val="00CD09CE"/>
    <w:rsid w:val="00CD0A13"/>
    <w:rsid w:val="00CD0A2E"/>
    <w:rsid w:val="00CD0D19"/>
    <w:rsid w:val="00CD0F85"/>
    <w:rsid w:val="00CD1081"/>
    <w:rsid w:val="00CD1128"/>
    <w:rsid w:val="00CD1408"/>
    <w:rsid w:val="00CD15E0"/>
    <w:rsid w:val="00CD169F"/>
    <w:rsid w:val="00CD177C"/>
    <w:rsid w:val="00CD17F5"/>
    <w:rsid w:val="00CD1879"/>
    <w:rsid w:val="00CD18CC"/>
    <w:rsid w:val="00CD1E15"/>
    <w:rsid w:val="00CD1E2F"/>
    <w:rsid w:val="00CD2017"/>
    <w:rsid w:val="00CD202B"/>
    <w:rsid w:val="00CD22DF"/>
    <w:rsid w:val="00CD246B"/>
    <w:rsid w:val="00CD281C"/>
    <w:rsid w:val="00CD2A44"/>
    <w:rsid w:val="00CD2C52"/>
    <w:rsid w:val="00CD2C81"/>
    <w:rsid w:val="00CD3389"/>
    <w:rsid w:val="00CD3882"/>
    <w:rsid w:val="00CD3BFE"/>
    <w:rsid w:val="00CD3C4D"/>
    <w:rsid w:val="00CD3D74"/>
    <w:rsid w:val="00CD3DBF"/>
    <w:rsid w:val="00CD3E93"/>
    <w:rsid w:val="00CD44A5"/>
    <w:rsid w:val="00CD4A08"/>
    <w:rsid w:val="00CD4C92"/>
    <w:rsid w:val="00CD4CCD"/>
    <w:rsid w:val="00CD510D"/>
    <w:rsid w:val="00CD5365"/>
    <w:rsid w:val="00CD5570"/>
    <w:rsid w:val="00CD5853"/>
    <w:rsid w:val="00CD5998"/>
    <w:rsid w:val="00CD5B7C"/>
    <w:rsid w:val="00CD5DAD"/>
    <w:rsid w:val="00CD6233"/>
    <w:rsid w:val="00CD6427"/>
    <w:rsid w:val="00CD648F"/>
    <w:rsid w:val="00CD6BBC"/>
    <w:rsid w:val="00CD6D15"/>
    <w:rsid w:val="00CD6E28"/>
    <w:rsid w:val="00CD6FD8"/>
    <w:rsid w:val="00CD736B"/>
    <w:rsid w:val="00CD797E"/>
    <w:rsid w:val="00CD7D27"/>
    <w:rsid w:val="00CE02C8"/>
    <w:rsid w:val="00CE0404"/>
    <w:rsid w:val="00CE0608"/>
    <w:rsid w:val="00CE09D1"/>
    <w:rsid w:val="00CE0AAB"/>
    <w:rsid w:val="00CE0C04"/>
    <w:rsid w:val="00CE0D45"/>
    <w:rsid w:val="00CE0E5C"/>
    <w:rsid w:val="00CE100F"/>
    <w:rsid w:val="00CE11DD"/>
    <w:rsid w:val="00CE126E"/>
    <w:rsid w:val="00CE1374"/>
    <w:rsid w:val="00CE1966"/>
    <w:rsid w:val="00CE19D4"/>
    <w:rsid w:val="00CE2117"/>
    <w:rsid w:val="00CE2278"/>
    <w:rsid w:val="00CE2318"/>
    <w:rsid w:val="00CE242F"/>
    <w:rsid w:val="00CE2502"/>
    <w:rsid w:val="00CE25A4"/>
    <w:rsid w:val="00CE2652"/>
    <w:rsid w:val="00CE302F"/>
    <w:rsid w:val="00CE3250"/>
    <w:rsid w:val="00CE34E9"/>
    <w:rsid w:val="00CE37C4"/>
    <w:rsid w:val="00CE3817"/>
    <w:rsid w:val="00CE3867"/>
    <w:rsid w:val="00CE3F54"/>
    <w:rsid w:val="00CE4046"/>
    <w:rsid w:val="00CE4659"/>
    <w:rsid w:val="00CE4786"/>
    <w:rsid w:val="00CE4DD8"/>
    <w:rsid w:val="00CE52B9"/>
    <w:rsid w:val="00CE5401"/>
    <w:rsid w:val="00CE56D4"/>
    <w:rsid w:val="00CE573A"/>
    <w:rsid w:val="00CE57BC"/>
    <w:rsid w:val="00CE5929"/>
    <w:rsid w:val="00CE5C37"/>
    <w:rsid w:val="00CE5D8B"/>
    <w:rsid w:val="00CE5DAE"/>
    <w:rsid w:val="00CE5FCA"/>
    <w:rsid w:val="00CE6457"/>
    <w:rsid w:val="00CE6496"/>
    <w:rsid w:val="00CE64E4"/>
    <w:rsid w:val="00CE652E"/>
    <w:rsid w:val="00CE66CF"/>
    <w:rsid w:val="00CE67D6"/>
    <w:rsid w:val="00CE6E1B"/>
    <w:rsid w:val="00CE7092"/>
    <w:rsid w:val="00CE72C4"/>
    <w:rsid w:val="00CE73C2"/>
    <w:rsid w:val="00CE744F"/>
    <w:rsid w:val="00CE74DB"/>
    <w:rsid w:val="00CE752D"/>
    <w:rsid w:val="00CE7807"/>
    <w:rsid w:val="00CE78CA"/>
    <w:rsid w:val="00CE7A48"/>
    <w:rsid w:val="00CE7B50"/>
    <w:rsid w:val="00CE7C73"/>
    <w:rsid w:val="00CE7EC3"/>
    <w:rsid w:val="00CF03DC"/>
    <w:rsid w:val="00CF06BA"/>
    <w:rsid w:val="00CF0807"/>
    <w:rsid w:val="00CF0943"/>
    <w:rsid w:val="00CF0E53"/>
    <w:rsid w:val="00CF103C"/>
    <w:rsid w:val="00CF111E"/>
    <w:rsid w:val="00CF1251"/>
    <w:rsid w:val="00CF14DF"/>
    <w:rsid w:val="00CF16EF"/>
    <w:rsid w:val="00CF1F3E"/>
    <w:rsid w:val="00CF1F6B"/>
    <w:rsid w:val="00CF2247"/>
    <w:rsid w:val="00CF2A64"/>
    <w:rsid w:val="00CF2AC7"/>
    <w:rsid w:val="00CF2D79"/>
    <w:rsid w:val="00CF2DC1"/>
    <w:rsid w:val="00CF31C1"/>
    <w:rsid w:val="00CF32DC"/>
    <w:rsid w:val="00CF335C"/>
    <w:rsid w:val="00CF346E"/>
    <w:rsid w:val="00CF38F9"/>
    <w:rsid w:val="00CF3C1A"/>
    <w:rsid w:val="00CF3F06"/>
    <w:rsid w:val="00CF3F36"/>
    <w:rsid w:val="00CF42B8"/>
    <w:rsid w:val="00CF42C3"/>
    <w:rsid w:val="00CF4729"/>
    <w:rsid w:val="00CF4763"/>
    <w:rsid w:val="00CF4B04"/>
    <w:rsid w:val="00CF4B56"/>
    <w:rsid w:val="00CF4DFD"/>
    <w:rsid w:val="00CF508A"/>
    <w:rsid w:val="00CF52C7"/>
    <w:rsid w:val="00CF57AA"/>
    <w:rsid w:val="00CF5932"/>
    <w:rsid w:val="00CF5CFD"/>
    <w:rsid w:val="00CF62D1"/>
    <w:rsid w:val="00CF62D9"/>
    <w:rsid w:val="00CF62EF"/>
    <w:rsid w:val="00CF6371"/>
    <w:rsid w:val="00CF6756"/>
    <w:rsid w:val="00CF680C"/>
    <w:rsid w:val="00CF6ACB"/>
    <w:rsid w:val="00CF6BC3"/>
    <w:rsid w:val="00CF6D4D"/>
    <w:rsid w:val="00CF6E2E"/>
    <w:rsid w:val="00CF71C2"/>
    <w:rsid w:val="00CF744F"/>
    <w:rsid w:val="00CF7655"/>
    <w:rsid w:val="00CF7DE7"/>
    <w:rsid w:val="00D002A3"/>
    <w:rsid w:val="00D00D86"/>
    <w:rsid w:val="00D017EF"/>
    <w:rsid w:val="00D01C1B"/>
    <w:rsid w:val="00D01D45"/>
    <w:rsid w:val="00D01E56"/>
    <w:rsid w:val="00D02286"/>
    <w:rsid w:val="00D0253A"/>
    <w:rsid w:val="00D02840"/>
    <w:rsid w:val="00D02C7F"/>
    <w:rsid w:val="00D02DCC"/>
    <w:rsid w:val="00D02F55"/>
    <w:rsid w:val="00D03299"/>
    <w:rsid w:val="00D048C7"/>
    <w:rsid w:val="00D04D5E"/>
    <w:rsid w:val="00D04E20"/>
    <w:rsid w:val="00D04E53"/>
    <w:rsid w:val="00D04E71"/>
    <w:rsid w:val="00D05AAE"/>
    <w:rsid w:val="00D05C37"/>
    <w:rsid w:val="00D05F07"/>
    <w:rsid w:val="00D05F84"/>
    <w:rsid w:val="00D06460"/>
    <w:rsid w:val="00D0686D"/>
    <w:rsid w:val="00D069C9"/>
    <w:rsid w:val="00D06A49"/>
    <w:rsid w:val="00D06A4C"/>
    <w:rsid w:val="00D06C78"/>
    <w:rsid w:val="00D06F47"/>
    <w:rsid w:val="00D07440"/>
    <w:rsid w:val="00D076F3"/>
    <w:rsid w:val="00D078CE"/>
    <w:rsid w:val="00D07A72"/>
    <w:rsid w:val="00D07B32"/>
    <w:rsid w:val="00D07B67"/>
    <w:rsid w:val="00D07D71"/>
    <w:rsid w:val="00D1043D"/>
    <w:rsid w:val="00D10C26"/>
    <w:rsid w:val="00D10DF7"/>
    <w:rsid w:val="00D112F4"/>
    <w:rsid w:val="00D1155C"/>
    <w:rsid w:val="00D11586"/>
    <w:rsid w:val="00D11594"/>
    <w:rsid w:val="00D11983"/>
    <w:rsid w:val="00D11AFB"/>
    <w:rsid w:val="00D1217E"/>
    <w:rsid w:val="00D12A33"/>
    <w:rsid w:val="00D12D22"/>
    <w:rsid w:val="00D12F3D"/>
    <w:rsid w:val="00D13044"/>
    <w:rsid w:val="00D13169"/>
    <w:rsid w:val="00D131D2"/>
    <w:rsid w:val="00D132DF"/>
    <w:rsid w:val="00D13842"/>
    <w:rsid w:val="00D13C6E"/>
    <w:rsid w:val="00D13DF4"/>
    <w:rsid w:val="00D140C6"/>
    <w:rsid w:val="00D141BC"/>
    <w:rsid w:val="00D14511"/>
    <w:rsid w:val="00D14538"/>
    <w:rsid w:val="00D14D42"/>
    <w:rsid w:val="00D14D4B"/>
    <w:rsid w:val="00D14D8C"/>
    <w:rsid w:val="00D14DA5"/>
    <w:rsid w:val="00D150B1"/>
    <w:rsid w:val="00D158D5"/>
    <w:rsid w:val="00D1595F"/>
    <w:rsid w:val="00D15BCB"/>
    <w:rsid w:val="00D162D7"/>
    <w:rsid w:val="00D169A5"/>
    <w:rsid w:val="00D1705F"/>
    <w:rsid w:val="00D17104"/>
    <w:rsid w:val="00D17742"/>
    <w:rsid w:val="00D177E4"/>
    <w:rsid w:val="00D17808"/>
    <w:rsid w:val="00D178B7"/>
    <w:rsid w:val="00D17F4E"/>
    <w:rsid w:val="00D207C9"/>
    <w:rsid w:val="00D208D4"/>
    <w:rsid w:val="00D209F3"/>
    <w:rsid w:val="00D20B8E"/>
    <w:rsid w:val="00D20C73"/>
    <w:rsid w:val="00D20C89"/>
    <w:rsid w:val="00D20E16"/>
    <w:rsid w:val="00D21177"/>
    <w:rsid w:val="00D21849"/>
    <w:rsid w:val="00D21D6E"/>
    <w:rsid w:val="00D21FA2"/>
    <w:rsid w:val="00D22224"/>
    <w:rsid w:val="00D227A5"/>
    <w:rsid w:val="00D228EE"/>
    <w:rsid w:val="00D2303E"/>
    <w:rsid w:val="00D2316F"/>
    <w:rsid w:val="00D234E4"/>
    <w:rsid w:val="00D238C0"/>
    <w:rsid w:val="00D23E01"/>
    <w:rsid w:val="00D23EA1"/>
    <w:rsid w:val="00D24118"/>
    <w:rsid w:val="00D2413E"/>
    <w:rsid w:val="00D2415E"/>
    <w:rsid w:val="00D24568"/>
    <w:rsid w:val="00D247DF"/>
    <w:rsid w:val="00D248A2"/>
    <w:rsid w:val="00D24B2D"/>
    <w:rsid w:val="00D24B71"/>
    <w:rsid w:val="00D24F67"/>
    <w:rsid w:val="00D250EA"/>
    <w:rsid w:val="00D25106"/>
    <w:rsid w:val="00D25B07"/>
    <w:rsid w:val="00D25B10"/>
    <w:rsid w:val="00D25BC6"/>
    <w:rsid w:val="00D25D9F"/>
    <w:rsid w:val="00D2616D"/>
    <w:rsid w:val="00D26A13"/>
    <w:rsid w:val="00D26B52"/>
    <w:rsid w:val="00D26B74"/>
    <w:rsid w:val="00D26C91"/>
    <w:rsid w:val="00D26E66"/>
    <w:rsid w:val="00D27218"/>
    <w:rsid w:val="00D27425"/>
    <w:rsid w:val="00D27578"/>
    <w:rsid w:val="00D275E5"/>
    <w:rsid w:val="00D275EF"/>
    <w:rsid w:val="00D27755"/>
    <w:rsid w:val="00D27888"/>
    <w:rsid w:val="00D27A7F"/>
    <w:rsid w:val="00D27FA9"/>
    <w:rsid w:val="00D302C9"/>
    <w:rsid w:val="00D305BC"/>
    <w:rsid w:val="00D3083E"/>
    <w:rsid w:val="00D30AF0"/>
    <w:rsid w:val="00D30CAC"/>
    <w:rsid w:val="00D30ED3"/>
    <w:rsid w:val="00D310E0"/>
    <w:rsid w:val="00D31684"/>
    <w:rsid w:val="00D31CA7"/>
    <w:rsid w:val="00D31E0E"/>
    <w:rsid w:val="00D3205A"/>
    <w:rsid w:val="00D322C8"/>
    <w:rsid w:val="00D3243B"/>
    <w:rsid w:val="00D32585"/>
    <w:rsid w:val="00D3284F"/>
    <w:rsid w:val="00D328C5"/>
    <w:rsid w:val="00D3293D"/>
    <w:rsid w:val="00D32AD1"/>
    <w:rsid w:val="00D32D9A"/>
    <w:rsid w:val="00D32E91"/>
    <w:rsid w:val="00D3321A"/>
    <w:rsid w:val="00D33422"/>
    <w:rsid w:val="00D3360A"/>
    <w:rsid w:val="00D337E3"/>
    <w:rsid w:val="00D33BBE"/>
    <w:rsid w:val="00D33ED1"/>
    <w:rsid w:val="00D342A2"/>
    <w:rsid w:val="00D343F1"/>
    <w:rsid w:val="00D34506"/>
    <w:rsid w:val="00D346A5"/>
    <w:rsid w:val="00D347BC"/>
    <w:rsid w:val="00D34A46"/>
    <w:rsid w:val="00D34B50"/>
    <w:rsid w:val="00D34CCB"/>
    <w:rsid w:val="00D351E4"/>
    <w:rsid w:val="00D352BF"/>
    <w:rsid w:val="00D35326"/>
    <w:rsid w:val="00D35454"/>
    <w:rsid w:val="00D3558A"/>
    <w:rsid w:val="00D35659"/>
    <w:rsid w:val="00D3576B"/>
    <w:rsid w:val="00D35A42"/>
    <w:rsid w:val="00D35B63"/>
    <w:rsid w:val="00D35B9F"/>
    <w:rsid w:val="00D35DFF"/>
    <w:rsid w:val="00D35EAA"/>
    <w:rsid w:val="00D35EC4"/>
    <w:rsid w:val="00D36373"/>
    <w:rsid w:val="00D36423"/>
    <w:rsid w:val="00D36699"/>
    <w:rsid w:val="00D36A50"/>
    <w:rsid w:val="00D371B2"/>
    <w:rsid w:val="00D37258"/>
    <w:rsid w:val="00D374E9"/>
    <w:rsid w:val="00D378F6"/>
    <w:rsid w:val="00D37C80"/>
    <w:rsid w:val="00D37CDF"/>
    <w:rsid w:val="00D400CA"/>
    <w:rsid w:val="00D4028C"/>
    <w:rsid w:val="00D40383"/>
    <w:rsid w:val="00D404A4"/>
    <w:rsid w:val="00D40789"/>
    <w:rsid w:val="00D408AB"/>
    <w:rsid w:val="00D40B90"/>
    <w:rsid w:val="00D40BA9"/>
    <w:rsid w:val="00D40CC0"/>
    <w:rsid w:val="00D40E27"/>
    <w:rsid w:val="00D4121D"/>
    <w:rsid w:val="00D41230"/>
    <w:rsid w:val="00D4124A"/>
    <w:rsid w:val="00D41526"/>
    <w:rsid w:val="00D416AB"/>
    <w:rsid w:val="00D41A3B"/>
    <w:rsid w:val="00D41BAE"/>
    <w:rsid w:val="00D41BF8"/>
    <w:rsid w:val="00D41CDF"/>
    <w:rsid w:val="00D41DC3"/>
    <w:rsid w:val="00D41FB6"/>
    <w:rsid w:val="00D42381"/>
    <w:rsid w:val="00D42595"/>
    <w:rsid w:val="00D426BF"/>
    <w:rsid w:val="00D427E3"/>
    <w:rsid w:val="00D42937"/>
    <w:rsid w:val="00D42B7B"/>
    <w:rsid w:val="00D42FCF"/>
    <w:rsid w:val="00D43081"/>
    <w:rsid w:val="00D43132"/>
    <w:rsid w:val="00D4313B"/>
    <w:rsid w:val="00D431CB"/>
    <w:rsid w:val="00D4331A"/>
    <w:rsid w:val="00D4345D"/>
    <w:rsid w:val="00D435C2"/>
    <w:rsid w:val="00D435EC"/>
    <w:rsid w:val="00D43BF2"/>
    <w:rsid w:val="00D43DA9"/>
    <w:rsid w:val="00D43EEA"/>
    <w:rsid w:val="00D4426B"/>
    <w:rsid w:val="00D443BF"/>
    <w:rsid w:val="00D448EC"/>
    <w:rsid w:val="00D44B4E"/>
    <w:rsid w:val="00D44FCC"/>
    <w:rsid w:val="00D453D8"/>
    <w:rsid w:val="00D456A7"/>
    <w:rsid w:val="00D4576A"/>
    <w:rsid w:val="00D4576B"/>
    <w:rsid w:val="00D45778"/>
    <w:rsid w:val="00D45B67"/>
    <w:rsid w:val="00D45FF8"/>
    <w:rsid w:val="00D460B5"/>
    <w:rsid w:val="00D46348"/>
    <w:rsid w:val="00D4660B"/>
    <w:rsid w:val="00D46A32"/>
    <w:rsid w:val="00D47171"/>
    <w:rsid w:val="00D472CC"/>
    <w:rsid w:val="00D47820"/>
    <w:rsid w:val="00D47998"/>
    <w:rsid w:val="00D47D34"/>
    <w:rsid w:val="00D502CD"/>
    <w:rsid w:val="00D50458"/>
    <w:rsid w:val="00D50615"/>
    <w:rsid w:val="00D508EC"/>
    <w:rsid w:val="00D50C09"/>
    <w:rsid w:val="00D50E00"/>
    <w:rsid w:val="00D5103F"/>
    <w:rsid w:val="00D5104B"/>
    <w:rsid w:val="00D511B8"/>
    <w:rsid w:val="00D51551"/>
    <w:rsid w:val="00D515DF"/>
    <w:rsid w:val="00D516DB"/>
    <w:rsid w:val="00D517E5"/>
    <w:rsid w:val="00D51966"/>
    <w:rsid w:val="00D51998"/>
    <w:rsid w:val="00D51B85"/>
    <w:rsid w:val="00D51D5A"/>
    <w:rsid w:val="00D51E1A"/>
    <w:rsid w:val="00D51FB2"/>
    <w:rsid w:val="00D5245B"/>
    <w:rsid w:val="00D52508"/>
    <w:rsid w:val="00D52D97"/>
    <w:rsid w:val="00D52EA5"/>
    <w:rsid w:val="00D53053"/>
    <w:rsid w:val="00D530DA"/>
    <w:rsid w:val="00D530FC"/>
    <w:rsid w:val="00D53189"/>
    <w:rsid w:val="00D532A0"/>
    <w:rsid w:val="00D53668"/>
    <w:rsid w:val="00D536B6"/>
    <w:rsid w:val="00D53779"/>
    <w:rsid w:val="00D54020"/>
    <w:rsid w:val="00D545AB"/>
    <w:rsid w:val="00D5462F"/>
    <w:rsid w:val="00D5470A"/>
    <w:rsid w:val="00D54B2A"/>
    <w:rsid w:val="00D54BED"/>
    <w:rsid w:val="00D54C95"/>
    <w:rsid w:val="00D54CFA"/>
    <w:rsid w:val="00D5515E"/>
    <w:rsid w:val="00D5548E"/>
    <w:rsid w:val="00D55B27"/>
    <w:rsid w:val="00D55D77"/>
    <w:rsid w:val="00D5637E"/>
    <w:rsid w:val="00D56570"/>
    <w:rsid w:val="00D568BB"/>
    <w:rsid w:val="00D56C39"/>
    <w:rsid w:val="00D56D5D"/>
    <w:rsid w:val="00D56E8D"/>
    <w:rsid w:val="00D57019"/>
    <w:rsid w:val="00D57110"/>
    <w:rsid w:val="00D5729A"/>
    <w:rsid w:val="00D572C6"/>
    <w:rsid w:val="00D5790B"/>
    <w:rsid w:val="00D57A78"/>
    <w:rsid w:val="00D57ABE"/>
    <w:rsid w:val="00D57B9B"/>
    <w:rsid w:val="00D57BD1"/>
    <w:rsid w:val="00D57D8C"/>
    <w:rsid w:val="00D57D95"/>
    <w:rsid w:val="00D57E92"/>
    <w:rsid w:val="00D60358"/>
    <w:rsid w:val="00D60411"/>
    <w:rsid w:val="00D605ED"/>
    <w:rsid w:val="00D60677"/>
    <w:rsid w:val="00D607AE"/>
    <w:rsid w:val="00D60A0E"/>
    <w:rsid w:val="00D60B62"/>
    <w:rsid w:val="00D61046"/>
    <w:rsid w:val="00D6119E"/>
    <w:rsid w:val="00D615E0"/>
    <w:rsid w:val="00D61676"/>
    <w:rsid w:val="00D6172B"/>
    <w:rsid w:val="00D61CB6"/>
    <w:rsid w:val="00D61CC4"/>
    <w:rsid w:val="00D62406"/>
    <w:rsid w:val="00D62782"/>
    <w:rsid w:val="00D62903"/>
    <w:rsid w:val="00D6299A"/>
    <w:rsid w:val="00D62AAB"/>
    <w:rsid w:val="00D62B0F"/>
    <w:rsid w:val="00D62B93"/>
    <w:rsid w:val="00D62C06"/>
    <w:rsid w:val="00D62C9B"/>
    <w:rsid w:val="00D6325B"/>
    <w:rsid w:val="00D63399"/>
    <w:rsid w:val="00D633CC"/>
    <w:rsid w:val="00D634BE"/>
    <w:rsid w:val="00D63533"/>
    <w:rsid w:val="00D636CE"/>
    <w:rsid w:val="00D63757"/>
    <w:rsid w:val="00D63B87"/>
    <w:rsid w:val="00D63CBC"/>
    <w:rsid w:val="00D6406B"/>
    <w:rsid w:val="00D640ED"/>
    <w:rsid w:val="00D6456E"/>
    <w:rsid w:val="00D648CB"/>
    <w:rsid w:val="00D64913"/>
    <w:rsid w:val="00D64BAD"/>
    <w:rsid w:val="00D65555"/>
    <w:rsid w:val="00D65649"/>
    <w:rsid w:val="00D657D6"/>
    <w:rsid w:val="00D667E7"/>
    <w:rsid w:val="00D667F6"/>
    <w:rsid w:val="00D6680B"/>
    <w:rsid w:val="00D669CB"/>
    <w:rsid w:val="00D66EF2"/>
    <w:rsid w:val="00D67065"/>
    <w:rsid w:val="00D67371"/>
    <w:rsid w:val="00D67A93"/>
    <w:rsid w:val="00D702B8"/>
    <w:rsid w:val="00D7039D"/>
    <w:rsid w:val="00D703E5"/>
    <w:rsid w:val="00D71000"/>
    <w:rsid w:val="00D71005"/>
    <w:rsid w:val="00D710D3"/>
    <w:rsid w:val="00D71148"/>
    <w:rsid w:val="00D711AA"/>
    <w:rsid w:val="00D712B0"/>
    <w:rsid w:val="00D714D0"/>
    <w:rsid w:val="00D715F9"/>
    <w:rsid w:val="00D716D3"/>
    <w:rsid w:val="00D71849"/>
    <w:rsid w:val="00D71A6B"/>
    <w:rsid w:val="00D71C0E"/>
    <w:rsid w:val="00D7240E"/>
    <w:rsid w:val="00D72A03"/>
    <w:rsid w:val="00D72C6D"/>
    <w:rsid w:val="00D72F92"/>
    <w:rsid w:val="00D730F3"/>
    <w:rsid w:val="00D736E0"/>
    <w:rsid w:val="00D73776"/>
    <w:rsid w:val="00D73892"/>
    <w:rsid w:val="00D73B16"/>
    <w:rsid w:val="00D73D8A"/>
    <w:rsid w:val="00D7406F"/>
    <w:rsid w:val="00D740E6"/>
    <w:rsid w:val="00D74165"/>
    <w:rsid w:val="00D7432A"/>
    <w:rsid w:val="00D746AC"/>
    <w:rsid w:val="00D74B73"/>
    <w:rsid w:val="00D74BCE"/>
    <w:rsid w:val="00D75014"/>
    <w:rsid w:val="00D75025"/>
    <w:rsid w:val="00D75107"/>
    <w:rsid w:val="00D755FF"/>
    <w:rsid w:val="00D756BC"/>
    <w:rsid w:val="00D757D9"/>
    <w:rsid w:val="00D76635"/>
    <w:rsid w:val="00D76D1E"/>
    <w:rsid w:val="00D770F6"/>
    <w:rsid w:val="00D772A8"/>
    <w:rsid w:val="00D775D9"/>
    <w:rsid w:val="00D77C5C"/>
    <w:rsid w:val="00D8013C"/>
    <w:rsid w:val="00D802FE"/>
    <w:rsid w:val="00D80528"/>
    <w:rsid w:val="00D8053C"/>
    <w:rsid w:val="00D80A54"/>
    <w:rsid w:val="00D80CBD"/>
    <w:rsid w:val="00D80D1B"/>
    <w:rsid w:val="00D80E91"/>
    <w:rsid w:val="00D815E5"/>
    <w:rsid w:val="00D818E9"/>
    <w:rsid w:val="00D81F78"/>
    <w:rsid w:val="00D821A6"/>
    <w:rsid w:val="00D82545"/>
    <w:rsid w:val="00D828CC"/>
    <w:rsid w:val="00D82A11"/>
    <w:rsid w:val="00D82A98"/>
    <w:rsid w:val="00D8306B"/>
    <w:rsid w:val="00D83D6A"/>
    <w:rsid w:val="00D83E21"/>
    <w:rsid w:val="00D84487"/>
    <w:rsid w:val="00D844E5"/>
    <w:rsid w:val="00D848F9"/>
    <w:rsid w:val="00D849F2"/>
    <w:rsid w:val="00D84B4A"/>
    <w:rsid w:val="00D84BAA"/>
    <w:rsid w:val="00D84F9A"/>
    <w:rsid w:val="00D8521A"/>
    <w:rsid w:val="00D86038"/>
    <w:rsid w:val="00D86102"/>
    <w:rsid w:val="00D86180"/>
    <w:rsid w:val="00D863FD"/>
    <w:rsid w:val="00D8657E"/>
    <w:rsid w:val="00D865D0"/>
    <w:rsid w:val="00D866BA"/>
    <w:rsid w:val="00D86780"/>
    <w:rsid w:val="00D868C9"/>
    <w:rsid w:val="00D86B20"/>
    <w:rsid w:val="00D86BE4"/>
    <w:rsid w:val="00D86C64"/>
    <w:rsid w:val="00D86DAB"/>
    <w:rsid w:val="00D8700E"/>
    <w:rsid w:val="00D871C2"/>
    <w:rsid w:val="00D875C2"/>
    <w:rsid w:val="00D87761"/>
    <w:rsid w:val="00D87A74"/>
    <w:rsid w:val="00D87AF9"/>
    <w:rsid w:val="00D87DCC"/>
    <w:rsid w:val="00D87DFD"/>
    <w:rsid w:val="00D87F27"/>
    <w:rsid w:val="00D900AC"/>
    <w:rsid w:val="00D907E9"/>
    <w:rsid w:val="00D908C9"/>
    <w:rsid w:val="00D909E9"/>
    <w:rsid w:val="00D90DC6"/>
    <w:rsid w:val="00D911A4"/>
    <w:rsid w:val="00D9130F"/>
    <w:rsid w:val="00D9188B"/>
    <w:rsid w:val="00D91931"/>
    <w:rsid w:val="00D91948"/>
    <w:rsid w:val="00D91F15"/>
    <w:rsid w:val="00D920F5"/>
    <w:rsid w:val="00D9230B"/>
    <w:rsid w:val="00D926C0"/>
    <w:rsid w:val="00D92922"/>
    <w:rsid w:val="00D92A46"/>
    <w:rsid w:val="00D92AD7"/>
    <w:rsid w:val="00D931E7"/>
    <w:rsid w:val="00D932A5"/>
    <w:rsid w:val="00D935FF"/>
    <w:rsid w:val="00D93793"/>
    <w:rsid w:val="00D93850"/>
    <w:rsid w:val="00D93855"/>
    <w:rsid w:val="00D93BCF"/>
    <w:rsid w:val="00D93C4C"/>
    <w:rsid w:val="00D93C82"/>
    <w:rsid w:val="00D94050"/>
    <w:rsid w:val="00D94139"/>
    <w:rsid w:val="00D941A8"/>
    <w:rsid w:val="00D941B8"/>
    <w:rsid w:val="00D942F5"/>
    <w:rsid w:val="00D944B6"/>
    <w:rsid w:val="00D944D5"/>
    <w:rsid w:val="00D9492C"/>
    <w:rsid w:val="00D94A6D"/>
    <w:rsid w:val="00D94D85"/>
    <w:rsid w:val="00D9520B"/>
    <w:rsid w:val="00D957C4"/>
    <w:rsid w:val="00D958DF"/>
    <w:rsid w:val="00D95902"/>
    <w:rsid w:val="00D95955"/>
    <w:rsid w:val="00D95EE7"/>
    <w:rsid w:val="00D95F90"/>
    <w:rsid w:val="00D9600A"/>
    <w:rsid w:val="00D9632B"/>
    <w:rsid w:val="00D9635E"/>
    <w:rsid w:val="00D96474"/>
    <w:rsid w:val="00D96618"/>
    <w:rsid w:val="00D96818"/>
    <w:rsid w:val="00D96877"/>
    <w:rsid w:val="00D968A3"/>
    <w:rsid w:val="00D968BB"/>
    <w:rsid w:val="00D96AA6"/>
    <w:rsid w:val="00D96AAC"/>
    <w:rsid w:val="00D96B2F"/>
    <w:rsid w:val="00D96EDA"/>
    <w:rsid w:val="00D97411"/>
    <w:rsid w:val="00D9746B"/>
    <w:rsid w:val="00D977FF"/>
    <w:rsid w:val="00D978CE"/>
    <w:rsid w:val="00D97958"/>
    <w:rsid w:val="00D97AA2"/>
    <w:rsid w:val="00D97BC8"/>
    <w:rsid w:val="00D97EC4"/>
    <w:rsid w:val="00DA07FC"/>
    <w:rsid w:val="00DA0BBB"/>
    <w:rsid w:val="00DA0E70"/>
    <w:rsid w:val="00DA10FE"/>
    <w:rsid w:val="00DA111A"/>
    <w:rsid w:val="00DA15AF"/>
    <w:rsid w:val="00DA1795"/>
    <w:rsid w:val="00DA205D"/>
    <w:rsid w:val="00DA20DA"/>
    <w:rsid w:val="00DA22CE"/>
    <w:rsid w:val="00DA25D2"/>
    <w:rsid w:val="00DA27F1"/>
    <w:rsid w:val="00DA27FB"/>
    <w:rsid w:val="00DA2A87"/>
    <w:rsid w:val="00DA2BAD"/>
    <w:rsid w:val="00DA2DC5"/>
    <w:rsid w:val="00DA2E25"/>
    <w:rsid w:val="00DA32BB"/>
    <w:rsid w:val="00DA331D"/>
    <w:rsid w:val="00DA33B4"/>
    <w:rsid w:val="00DA37AC"/>
    <w:rsid w:val="00DA3878"/>
    <w:rsid w:val="00DA3B1B"/>
    <w:rsid w:val="00DA45A6"/>
    <w:rsid w:val="00DA484A"/>
    <w:rsid w:val="00DA4C61"/>
    <w:rsid w:val="00DA4D1E"/>
    <w:rsid w:val="00DA5B53"/>
    <w:rsid w:val="00DA5CB9"/>
    <w:rsid w:val="00DA5D37"/>
    <w:rsid w:val="00DA5F28"/>
    <w:rsid w:val="00DA62C9"/>
    <w:rsid w:val="00DA659B"/>
    <w:rsid w:val="00DA6AAF"/>
    <w:rsid w:val="00DA6BAD"/>
    <w:rsid w:val="00DA6C9B"/>
    <w:rsid w:val="00DA6D13"/>
    <w:rsid w:val="00DA6EB7"/>
    <w:rsid w:val="00DA73BB"/>
    <w:rsid w:val="00DA7492"/>
    <w:rsid w:val="00DA74A5"/>
    <w:rsid w:val="00DA7605"/>
    <w:rsid w:val="00DA7706"/>
    <w:rsid w:val="00DA7849"/>
    <w:rsid w:val="00DA78A0"/>
    <w:rsid w:val="00DA7A0E"/>
    <w:rsid w:val="00DA7A68"/>
    <w:rsid w:val="00DA7C64"/>
    <w:rsid w:val="00DA7D63"/>
    <w:rsid w:val="00DA7ECB"/>
    <w:rsid w:val="00DB0066"/>
    <w:rsid w:val="00DB03C6"/>
    <w:rsid w:val="00DB05C3"/>
    <w:rsid w:val="00DB07E8"/>
    <w:rsid w:val="00DB09ED"/>
    <w:rsid w:val="00DB0B8D"/>
    <w:rsid w:val="00DB10B8"/>
    <w:rsid w:val="00DB1281"/>
    <w:rsid w:val="00DB1437"/>
    <w:rsid w:val="00DB144B"/>
    <w:rsid w:val="00DB153C"/>
    <w:rsid w:val="00DB15CA"/>
    <w:rsid w:val="00DB17CC"/>
    <w:rsid w:val="00DB1913"/>
    <w:rsid w:val="00DB1DA3"/>
    <w:rsid w:val="00DB1FB7"/>
    <w:rsid w:val="00DB2106"/>
    <w:rsid w:val="00DB2519"/>
    <w:rsid w:val="00DB28A7"/>
    <w:rsid w:val="00DB28CE"/>
    <w:rsid w:val="00DB2B2F"/>
    <w:rsid w:val="00DB3122"/>
    <w:rsid w:val="00DB33B5"/>
    <w:rsid w:val="00DB3461"/>
    <w:rsid w:val="00DB3491"/>
    <w:rsid w:val="00DB35FB"/>
    <w:rsid w:val="00DB36FD"/>
    <w:rsid w:val="00DB3ADB"/>
    <w:rsid w:val="00DB3F7E"/>
    <w:rsid w:val="00DB430E"/>
    <w:rsid w:val="00DB4649"/>
    <w:rsid w:val="00DB48AB"/>
    <w:rsid w:val="00DB4B0B"/>
    <w:rsid w:val="00DB4B18"/>
    <w:rsid w:val="00DB4B2A"/>
    <w:rsid w:val="00DB4B2C"/>
    <w:rsid w:val="00DB4C7F"/>
    <w:rsid w:val="00DB4D1D"/>
    <w:rsid w:val="00DB5199"/>
    <w:rsid w:val="00DB532F"/>
    <w:rsid w:val="00DB56A2"/>
    <w:rsid w:val="00DB580D"/>
    <w:rsid w:val="00DB585B"/>
    <w:rsid w:val="00DB59E1"/>
    <w:rsid w:val="00DB5A88"/>
    <w:rsid w:val="00DB5A8F"/>
    <w:rsid w:val="00DB5DA0"/>
    <w:rsid w:val="00DB60C9"/>
    <w:rsid w:val="00DB6126"/>
    <w:rsid w:val="00DB676C"/>
    <w:rsid w:val="00DB6884"/>
    <w:rsid w:val="00DB6895"/>
    <w:rsid w:val="00DB6A9E"/>
    <w:rsid w:val="00DB6E79"/>
    <w:rsid w:val="00DB6F46"/>
    <w:rsid w:val="00DB7B60"/>
    <w:rsid w:val="00DB7CC1"/>
    <w:rsid w:val="00DC05CC"/>
    <w:rsid w:val="00DC0697"/>
    <w:rsid w:val="00DC0BCB"/>
    <w:rsid w:val="00DC1172"/>
    <w:rsid w:val="00DC1786"/>
    <w:rsid w:val="00DC17FE"/>
    <w:rsid w:val="00DC1B54"/>
    <w:rsid w:val="00DC1BA5"/>
    <w:rsid w:val="00DC1CDF"/>
    <w:rsid w:val="00DC2100"/>
    <w:rsid w:val="00DC237C"/>
    <w:rsid w:val="00DC2527"/>
    <w:rsid w:val="00DC284F"/>
    <w:rsid w:val="00DC2971"/>
    <w:rsid w:val="00DC2E2A"/>
    <w:rsid w:val="00DC337F"/>
    <w:rsid w:val="00DC339F"/>
    <w:rsid w:val="00DC34DE"/>
    <w:rsid w:val="00DC3586"/>
    <w:rsid w:val="00DC40FC"/>
    <w:rsid w:val="00DC415F"/>
    <w:rsid w:val="00DC42A2"/>
    <w:rsid w:val="00DC4536"/>
    <w:rsid w:val="00DC45D3"/>
    <w:rsid w:val="00DC4815"/>
    <w:rsid w:val="00DC4963"/>
    <w:rsid w:val="00DC4F1E"/>
    <w:rsid w:val="00DC5122"/>
    <w:rsid w:val="00DC51A7"/>
    <w:rsid w:val="00DC53B8"/>
    <w:rsid w:val="00DC5488"/>
    <w:rsid w:val="00DC5499"/>
    <w:rsid w:val="00DC55F4"/>
    <w:rsid w:val="00DC58E9"/>
    <w:rsid w:val="00DC5B23"/>
    <w:rsid w:val="00DC5F18"/>
    <w:rsid w:val="00DC60A4"/>
    <w:rsid w:val="00DC62EA"/>
    <w:rsid w:val="00DC640F"/>
    <w:rsid w:val="00DC6945"/>
    <w:rsid w:val="00DC6BA3"/>
    <w:rsid w:val="00DC6C2D"/>
    <w:rsid w:val="00DC6DCD"/>
    <w:rsid w:val="00DC740F"/>
    <w:rsid w:val="00DC7453"/>
    <w:rsid w:val="00DC74C1"/>
    <w:rsid w:val="00DC760D"/>
    <w:rsid w:val="00DC7678"/>
    <w:rsid w:val="00DC7DC5"/>
    <w:rsid w:val="00DC7E8A"/>
    <w:rsid w:val="00DC7F84"/>
    <w:rsid w:val="00DC7FC2"/>
    <w:rsid w:val="00DD0167"/>
    <w:rsid w:val="00DD021B"/>
    <w:rsid w:val="00DD056D"/>
    <w:rsid w:val="00DD0585"/>
    <w:rsid w:val="00DD05B4"/>
    <w:rsid w:val="00DD0ADD"/>
    <w:rsid w:val="00DD0DC5"/>
    <w:rsid w:val="00DD1167"/>
    <w:rsid w:val="00DD122C"/>
    <w:rsid w:val="00DD16E0"/>
    <w:rsid w:val="00DD16EF"/>
    <w:rsid w:val="00DD179D"/>
    <w:rsid w:val="00DD1837"/>
    <w:rsid w:val="00DD1905"/>
    <w:rsid w:val="00DD194E"/>
    <w:rsid w:val="00DD1B0C"/>
    <w:rsid w:val="00DD1C93"/>
    <w:rsid w:val="00DD1E0F"/>
    <w:rsid w:val="00DD1F16"/>
    <w:rsid w:val="00DD20C1"/>
    <w:rsid w:val="00DD217C"/>
    <w:rsid w:val="00DD233B"/>
    <w:rsid w:val="00DD2370"/>
    <w:rsid w:val="00DD2404"/>
    <w:rsid w:val="00DD26ED"/>
    <w:rsid w:val="00DD2F84"/>
    <w:rsid w:val="00DD3536"/>
    <w:rsid w:val="00DD3DB1"/>
    <w:rsid w:val="00DD3F10"/>
    <w:rsid w:val="00DD41ED"/>
    <w:rsid w:val="00DD4356"/>
    <w:rsid w:val="00DD45EC"/>
    <w:rsid w:val="00DD470C"/>
    <w:rsid w:val="00DD483A"/>
    <w:rsid w:val="00DD4C71"/>
    <w:rsid w:val="00DD4E75"/>
    <w:rsid w:val="00DD4EF9"/>
    <w:rsid w:val="00DD519B"/>
    <w:rsid w:val="00DD5246"/>
    <w:rsid w:val="00DD58C8"/>
    <w:rsid w:val="00DD58ED"/>
    <w:rsid w:val="00DD58F5"/>
    <w:rsid w:val="00DD59AB"/>
    <w:rsid w:val="00DD5A61"/>
    <w:rsid w:val="00DD5A91"/>
    <w:rsid w:val="00DD5B7A"/>
    <w:rsid w:val="00DD5C06"/>
    <w:rsid w:val="00DD5ED6"/>
    <w:rsid w:val="00DD6120"/>
    <w:rsid w:val="00DD629D"/>
    <w:rsid w:val="00DD6343"/>
    <w:rsid w:val="00DD6386"/>
    <w:rsid w:val="00DD63BB"/>
    <w:rsid w:val="00DD63D5"/>
    <w:rsid w:val="00DD6562"/>
    <w:rsid w:val="00DD656A"/>
    <w:rsid w:val="00DD6AB3"/>
    <w:rsid w:val="00DD6B16"/>
    <w:rsid w:val="00DD6C21"/>
    <w:rsid w:val="00DD6EE5"/>
    <w:rsid w:val="00DD7053"/>
    <w:rsid w:val="00DD74AD"/>
    <w:rsid w:val="00DD789A"/>
    <w:rsid w:val="00DD7A63"/>
    <w:rsid w:val="00DD7EAC"/>
    <w:rsid w:val="00DE0005"/>
    <w:rsid w:val="00DE0049"/>
    <w:rsid w:val="00DE01CF"/>
    <w:rsid w:val="00DE033B"/>
    <w:rsid w:val="00DE04B2"/>
    <w:rsid w:val="00DE06CD"/>
    <w:rsid w:val="00DE0947"/>
    <w:rsid w:val="00DE09F5"/>
    <w:rsid w:val="00DE0A8C"/>
    <w:rsid w:val="00DE0BA0"/>
    <w:rsid w:val="00DE0ED8"/>
    <w:rsid w:val="00DE0FFF"/>
    <w:rsid w:val="00DE1368"/>
    <w:rsid w:val="00DE14E5"/>
    <w:rsid w:val="00DE169D"/>
    <w:rsid w:val="00DE184C"/>
    <w:rsid w:val="00DE1D12"/>
    <w:rsid w:val="00DE1D7F"/>
    <w:rsid w:val="00DE1DBE"/>
    <w:rsid w:val="00DE1EA3"/>
    <w:rsid w:val="00DE1F43"/>
    <w:rsid w:val="00DE2227"/>
    <w:rsid w:val="00DE22D9"/>
    <w:rsid w:val="00DE24D5"/>
    <w:rsid w:val="00DE265E"/>
    <w:rsid w:val="00DE2EDA"/>
    <w:rsid w:val="00DE2F88"/>
    <w:rsid w:val="00DE3059"/>
    <w:rsid w:val="00DE36CA"/>
    <w:rsid w:val="00DE39E4"/>
    <w:rsid w:val="00DE39F0"/>
    <w:rsid w:val="00DE3CEE"/>
    <w:rsid w:val="00DE4289"/>
    <w:rsid w:val="00DE43FC"/>
    <w:rsid w:val="00DE4758"/>
    <w:rsid w:val="00DE47E7"/>
    <w:rsid w:val="00DE47EA"/>
    <w:rsid w:val="00DE4A05"/>
    <w:rsid w:val="00DE4E07"/>
    <w:rsid w:val="00DE4F03"/>
    <w:rsid w:val="00DE4FA9"/>
    <w:rsid w:val="00DE500E"/>
    <w:rsid w:val="00DE5550"/>
    <w:rsid w:val="00DE5663"/>
    <w:rsid w:val="00DE56D8"/>
    <w:rsid w:val="00DE601A"/>
    <w:rsid w:val="00DE60EE"/>
    <w:rsid w:val="00DE6223"/>
    <w:rsid w:val="00DE6278"/>
    <w:rsid w:val="00DE684F"/>
    <w:rsid w:val="00DE6A3D"/>
    <w:rsid w:val="00DE6F16"/>
    <w:rsid w:val="00DE718A"/>
    <w:rsid w:val="00DE719E"/>
    <w:rsid w:val="00DE72F2"/>
    <w:rsid w:val="00DE7657"/>
    <w:rsid w:val="00DE7DB7"/>
    <w:rsid w:val="00DF0100"/>
    <w:rsid w:val="00DF0684"/>
    <w:rsid w:val="00DF0872"/>
    <w:rsid w:val="00DF0A22"/>
    <w:rsid w:val="00DF139D"/>
    <w:rsid w:val="00DF168B"/>
    <w:rsid w:val="00DF1D2E"/>
    <w:rsid w:val="00DF2646"/>
    <w:rsid w:val="00DF27EF"/>
    <w:rsid w:val="00DF286D"/>
    <w:rsid w:val="00DF29C9"/>
    <w:rsid w:val="00DF2BD5"/>
    <w:rsid w:val="00DF2C68"/>
    <w:rsid w:val="00DF2D9C"/>
    <w:rsid w:val="00DF33A9"/>
    <w:rsid w:val="00DF3655"/>
    <w:rsid w:val="00DF36A7"/>
    <w:rsid w:val="00DF3C0C"/>
    <w:rsid w:val="00DF3E7E"/>
    <w:rsid w:val="00DF3FE8"/>
    <w:rsid w:val="00DF43B3"/>
    <w:rsid w:val="00DF4576"/>
    <w:rsid w:val="00DF4840"/>
    <w:rsid w:val="00DF4AF7"/>
    <w:rsid w:val="00DF4C6A"/>
    <w:rsid w:val="00DF4E43"/>
    <w:rsid w:val="00DF53FE"/>
    <w:rsid w:val="00DF55B6"/>
    <w:rsid w:val="00DF560F"/>
    <w:rsid w:val="00DF5A99"/>
    <w:rsid w:val="00DF5BC0"/>
    <w:rsid w:val="00DF5BF6"/>
    <w:rsid w:val="00DF5D98"/>
    <w:rsid w:val="00DF63D2"/>
    <w:rsid w:val="00DF647E"/>
    <w:rsid w:val="00DF6758"/>
    <w:rsid w:val="00DF6778"/>
    <w:rsid w:val="00DF6862"/>
    <w:rsid w:val="00DF68BD"/>
    <w:rsid w:val="00DF6CB1"/>
    <w:rsid w:val="00DF6CF2"/>
    <w:rsid w:val="00DF7365"/>
    <w:rsid w:val="00DF75E8"/>
    <w:rsid w:val="00DF7674"/>
    <w:rsid w:val="00DF7741"/>
    <w:rsid w:val="00DF797F"/>
    <w:rsid w:val="00DF7A37"/>
    <w:rsid w:val="00DF7E94"/>
    <w:rsid w:val="00DF7F92"/>
    <w:rsid w:val="00E00390"/>
    <w:rsid w:val="00E003A7"/>
    <w:rsid w:val="00E004F7"/>
    <w:rsid w:val="00E00654"/>
    <w:rsid w:val="00E00670"/>
    <w:rsid w:val="00E006B4"/>
    <w:rsid w:val="00E0073B"/>
    <w:rsid w:val="00E00DAA"/>
    <w:rsid w:val="00E00DD2"/>
    <w:rsid w:val="00E00FC1"/>
    <w:rsid w:val="00E01037"/>
    <w:rsid w:val="00E010D6"/>
    <w:rsid w:val="00E01110"/>
    <w:rsid w:val="00E01B13"/>
    <w:rsid w:val="00E01B5E"/>
    <w:rsid w:val="00E026A1"/>
    <w:rsid w:val="00E02715"/>
    <w:rsid w:val="00E02A26"/>
    <w:rsid w:val="00E0316C"/>
    <w:rsid w:val="00E031C8"/>
    <w:rsid w:val="00E03495"/>
    <w:rsid w:val="00E03577"/>
    <w:rsid w:val="00E038A8"/>
    <w:rsid w:val="00E03A29"/>
    <w:rsid w:val="00E041F3"/>
    <w:rsid w:val="00E04474"/>
    <w:rsid w:val="00E0473F"/>
    <w:rsid w:val="00E04761"/>
    <w:rsid w:val="00E048E2"/>
    <w:rsid w:val="00E04A11"/>
    <w:rsid w:val="00E04D63"/>
    <w:rsid w:val="00E04F60"/>
    <w:rsid w:val="00E05387"/>
    <w:rsid w:val="00E053EF"/>
    <w:rsid w:val="00E054D8"/>
    <w:rsid w:val="00E05529"/>
    <w:rsid w:val="00E05609"/>
    <w:rsid w:val="00E05777"/>
    <w:rsid w:val="00E05FB4"/>
    <w:rsid w:val="00E06432"/>
    <w:rsid w:val="00E06C6C"/>
    <w:rsid w:val="00E06CEA"/>
    <w:rsid w:val="00E074A5"/>
    <w:rsid w:val="00E0778E"/>
    <w:rsid w:val="00E07D42"/>
    <w:rsid w:val="00E07F77"/>
    <w:rsid w:val="00E07F9C"/>
    <w:rsid w:val="00E10652"/>
    <w:rsid w:val="00E108B0"/>
    <w:rsid w:val="00E10C35"/>
    <w:rsid w:val="00E10E2F"/>
    <w:rsid w:val="00E11418"/>
    <w:rsid w:val="00E1159D"/>
    <w:rsid w:val="00E118E2"/>
    <w:rsid w:val="00E11A65"/>
    <w:rsid w:val="00E11B3E"/>
    <w:rsid w:val="00E11B5A"/>
    <w:rsid w:val="00E11B74"/>
    <w:rsid w:val="00E11DB4"/>
    <w:rsid w:val="00E11E54"/>
    <w:rsid w:val="00E1200F"/>
    <w:rsid w:val="00E12080"/>
    <w:rsid w:val="00E12237"/>
    <w:rsid w:val="00E12861"/>
    <w:rsid w:val="00E12882"/>
    <w:rsid w:val="00E12B6B"/>
    <w:rsid w:val="00E12EF5"/>
    <w:rsid w:val="00E12FA0"/>
    <w:rsid w:val="00E13525"/>
    <w:rsid w:val="00E13658"/>
    <w:rsid w:val="00E1392A"/>
    <w:rsid w:val="00E139FC"/>
    <w:rsid w:val="00E13A61"/>
    <w:rsid w:val="00E13C63"/>
    <w:rsid w:val="00E13C95"/>
    <w:rsid w:val="00E13D4F"/>
    <w:rsid w:val="00E13EB2"/>
    <w:rsid w:val="00E15136"/>
    <w:rsid w:val="00E156F0"/>
    <w:rsid w:val="00E158A3"/>
    <w:rsid w:val="00E162DD"/>
    <w:rsid w:val="00E16312"/>
    <w:rsid w:val="00E164F0"/>
    <w:rsid w:val="00E1651B"/>
    <w:rsid w:val="00E16697"/>
    <w:rsid w:val="00E169CE"/>
    <w:rsid w:val="00E16C56"/>
    <w:rsid w:val="00E16F61"/>
    <w:rsid w:val="00E17043"/>
    <w:rsid w:val="00E171A2"/>
    <w:rsid w:val="00E1722D"/>
    <w:rsid w:val="00E17658"/>
    <w:rsid w:val="00E179E0"/>
    <w:rsid w:val="00E17F1B"/>
    <w:rsid w:val="00E20072"/>
    <w:rsid w:val="00E201F9"/>
    <w:rsid w:val="00E205D5"/>
    <w:rsid w:val="00E2068D"/>
    <w:rsid w:val="00E2071F"/>
    <w:rsid w:val="00E2078F"/>
    <w:rsid w:val="00E20987"/>
    <w:rsid w:val="00E21446"/>
    <w:rsid w:val="00E2150C"/>
    <w:rsid w:val="00E2168A"/>
    <w:rsid w:val="00E219AA"/>
    <w:rsid w:val="00E21D41"/>
    <w:rsid w:val="00E21F48"/>
    <w:rsid w:val="00E2231C"/>
    <w:rsid w:val="00E2280E"/>
    <w:rsid w:val="00E228A4"/>
    <w:rsid w:val="00E22AE4"/>
    <w:rsid w:val="00E22C33"/>
    <w:rsid w:val="00E22DF3"/>
    <w:rsid w:val="00E23074"/>
    <w:rsid w:val="00E23187"/>
    <w:rsid w:val="00E232A2"/>
    <w:rsid w:val="00E233F7"/>
    <w:rsid w:val="00E23909"/>
    <w:rsid w:val="00E239D0"/>
    <w:rsid w:val="00E23A28"/>
    <w:rsid w:val="00E23A4A"/>
    <w:rsid w:val="00E23CAD"/>
    <w:rsid w:val="00E24113"/>
    <w:rsid w:val="00E24384"/>
    <w:rsid w:val="00E2444C"/>
    <w:rsid w:val="00E244D1"/>
    <w:rsid w:val="00E2461B"/>
    <w:rsid w:val="00E25060"/>
    <w:rsid w:val="00E252FF"/>
    <w:rsid w:val="00E2530E"/>
    <w:rsid w:val="00E2547E"/>
    <w:rsid w:val="00E25558"/>
    <w:rsid w:val="00E255E9"/>
    <w:rsid w:val="00E258AE"/>
    <w:rsid w:val="00E25CA6"/>
    <w:rsid w:val="00E25E1C"/>
    <w:rsid w:val="00E26268"/>
    <w:rsid w:val="00E265AC"/>
    <w:rsid w:val="00E26602"/>
    <w:rsid w:val="00E26DB7"/>
    <w:rsid w:val="00E26E72"/>
    <w:rsid w:val="00E27127"/>
    <w:rsid w:val="00E2719F"/>
    <w:rsid w:val="00E272CD"/>
    <w:rsid w:val="00E273E3"/>
    <w:rsid w:val="00E27609"/>
    <w:rsid w:val="00E2797E"/>
    <w:rsid w:val="00E2799C"/>
    <w:rsid w:val="00E27D03"/>
    <w:rsid w:val="00E30879"/>
    <w:rsid w:val="00E30C06"/>
    <w:rsid w:val="00E30F38"/>
    <w:rsid w:val="00E3100F"/>
    <w:rsid w:val="00E3105C"/>
    <w:rsid w:val="00E31063"/>
    <w:rsid w:val="00E312BA"/>
    <w:rsid w:val="00E31321"/>
    <w:rsid w:val="00E313D5"/>
    <w:rsid w:val="00E313F7"/>
    <w:rsid w:val="00E31451"/>
    <w:rsid w:val="00E31685"/>
    <w:rsid w:val="00E31700"/>
    <w:rsid w:val="00E3170C"/>
    <w:rsid w:val="00E3181D"/>
    <w:rsid w:val="00E31852"/>
    <w:rsid w:val="00E318D6"/>
    <w:rsid w:val="00E31943"/>
    <w:rsid w:val="00E31C73"/>
    <w:rsid w:val="00E31CBD"/>
    <w:rsid w:val="00E31D1E"/>
    <w:rsid w:val="00E31D4E"/>
    <w:rsid w:val="00E31F10"/>
    <w:rsid w:val="00E327CB"/>
    <w:rsid w:val="00E3288A"/>
    <w:rsid w:val="00E32A37"/>
    <w:rsid w:val="00E32C2C"/>
    <w:rsid w:val="00E32C6C"/>
    <w:rsid w:val="00E32FFF"/>
    <w:rsid w:val="00E332AB"/>
    <w:rsid w:val="00E33682"/>
    <w:rsid w:val="00E33DF7"/>
    <w:rsid w:val="00E33F44"/>
    <w:rsid w:val="00E34044"/>
    <w:rsid w:val="00E349B1"/>
    <w:rsid w:val="00E34D43"/>
    <w:rsid w:val="00E35694"/>
    <w:rsid w:val="00E35A90"/>
    <w:rsid w:val="00E36256"/>
    <w:rsid w:val="00E362F9"/>
    <w:rsid w:val="00E36481"/>
    <w:rsid w:val="00E36AD4"/>
    <w:rsid w:val="00E36AF7"/>
    <w:rsid w:val="00E36C62"/>
    <w:rsid w:val="00E36DC7"/>
    <w:rsid w:val="00E370E7"/>
    <w:rsid w:val="00E3733D"/>
    <w:rsid w:val="00E37947"/>
    <w:rsid w:val="00E37C21"/>
    <w:rsid w:val="00E37C61"/>
    <w:rsid w:val="00E37C69"/>
    <w:rsid w:val="00E37EE1"/>
    <w:rsid w:val="00E401E9"/>
    <w:rsid w:val="00E40369"/>
    <w:rsid w:val="00E40545"/>
    <w:rsid w:val="00E40565"/>
    <w:rsid w:val="00E408BF"/>
    <w:rsid w:val="00E4115D"/>
    <w:rsid w:val="00E413A5"/>
    <w:rsid w:val="00E4152B"/>
    <w:rsid w:val="00E41F3E"/>
    <w:rsid w:val="00E4213A"/>
    <w:rsid w:val="00E42630"/>
    <w:rsid w:val="00E426D7"/>
    <w:rsid w:val="00E427B8"/>
    <w:rsid w:val="00E428AB"/>
    <w:rsid w:val="00E428E0"/>
    <w:rsid w:val="00E42A95"/>
    <w:rsid w:val="00E42C47"/>
    <w:rsid w:val="00E42D72"/>
    <w:rsid w:val="00E42E25"/>
    <w:rsid w:val="00E42E3C"/>
    <w:rsid w:val="00E432B1"/>
    <w:rsid w:val="00E43383"/>
    <w:rsid w:val="00E43550"/>
    <w:rsid w:val="00E43721"/>
    <w:rsid w:val="00E4385B"/>
    <w:rsid w:val="00E43AD5"/>
    <w:rsid w:val="00E44075"/>
    <w:rsid w:val="00E44C7A"/>
    <w:rsid w:val="00E44C99"/>
    <w:rsid w:val="00E44C9D"/>
    <w:rsid w:val="00E44D64"/>
    <w:rsid w:val="00E4525D"/>
    <w:rsid w:val="00E452DF"/>
    <w:rsid w:val="00E4577B"/>
    <w:rsid w:val="00E45DCC"/>
    <w:rsid w:val="00E45EC9"/>
    <w:rsid w:val="00E4650F"/>
    <w:rsid w:val="00E46775"/>
    <w:rsid w:val="00E46926"/>
    <w:rsid w:val="00E46ACD"/>
    <w:rsid w:val="00E46C32"/>
    <w:rsid w:val="00E474A1"/>
    <w:rsid w:val="00E47505"/>
    <w:rsid w:val="00E475C7"/>
    <w:rsid w:val="00E479EA"/>
    <w:rsid w:val="00E47D3F"/>
    <w:rsid w:val="00E50074"/>
    <w:rsid w:val="00E501E8"/>
    <w:rsid w:val="00E502E4"/>
    <w:rsid w:val="00E50311"/>
    <w:rsid w:val="00E50640"/>
    <w:rsid w:val="00E51675"/>
    <w:rsid w:val="00E5188D"/>
    <w:rsid w:val="00E51A27"/>
    <w:rsid w:val="00E51AA2"/>
    <w:rsid w:val="00E51AB0"/>
    <w:rsid w:val="00E5213B"/>
    <w:rsid w:val="00E521BE"/>
    <w:rsid w:val="00E5225C"/>
    <w:rsid w:val="00E52711"/>
    <w:rsid w:val="00E52805"/>
    <w:rsid w:val="00E52816"/>
    <w:rsid w:val="00E52ABD"/>
    <w:rsid w:val="00E52B7F"/>
    <w:rsid w:val="00E5334A"/>
    <w:rsid w:val="00E534EF"/>
    <w:rsid w:val="00E53642"/>
    <w:rsid w:val="00E536DE"/>
    <w:rsid w:val="00E53976"/>
    <w:rsid w:val="00E540FB"/>
    <w:rsid w:val="00E54181"/>
    <w:rsid w:val="00E54184"/>
    <w:rsid w:val="00E54335"/>
    <w:rsid w:val="00E544B1"/>
    <w:rsid w:val="00E544C9"/>
    <w:rsid w:val="00E546A9"/>
    <w:rsid w:val="00E546BE"/>
    <w:rsid w:val="00E546D4"/>
    <w:rsid w:val="00E54A55"/>
    <w:rsid w:val="00E54B55"/>
    <w:rsid w:val="00E54D4D"/>
    <w:rsid w:val="00E54EBC"/>
    <w:rsid w:val="00E54EC8"/>
    <w:rsid w:val="00E5509A"/>
    <w:rsid w:val="00E553A8"/>
    <w:rsid w:val="00E55437"/>
    <w:rsid w:val="00E55DA6"/>
    <w:rsid w:val="00E56042"/>
    <w:rsid w:val="00E561AF"/>
    <w:rsid w:val="00E56283"/>
    <w:rsid w:val="00E565F3"/>
    <w:rsid w:val="00E56B69"/>
    <w:rsid w:val="00E56CE1"/>
    <w:rsid w:val="00E56F37"/>
    <w:rsid w:val="00E5724E"/>
    <w:rsid w:val="00E5726C"/>
    <w:rsid w:val="00E57423"/>
    <w:rsid w:val="00E575AC"/>
    <w:rsid w:val="00E576C4"/>
    <w:rsid w:val="00E579E6"/>
    <w:rsid w:val="00E57AFF"/>
    <w:rsid w:val="00E57E51"/>
    <w:rsid w:val="00E6008A"/>
    <w:rsid w:val="00E60258"/>
    <w:rsid w:val="00E6034B"/>
    <w:rsid w:val="00E60754"/>
    <w:rsid w:val="00E60BDA"/>
    <w:rsid w:val="00E60C74"/>
    <w:rsid w:val="00E61070"/>
    <w:rsid w:val="00E610CC"/>
    <w:rsid w:val="00E61184"/>
    <w:rsid w:val="00E6126A"/>
    <w:rsid w:val="00E6130B"/>
    <w:rsid w:val="00E615A0"/>
    <w:rsid w:val="00E6171F"/>
    <w:rsid w:val="00E61920"/>
    <w:rsid w:val="00E61DB6"/>
    <w:rsid w:val="00E61E21"/>
    <w:rsid w:val="00E61ECE"/>
    <w:rsid w:val="00E61F58"/>
    <w:rsid w:val="00E625ED"/>
    <w:rsid w:val="00E62FA7"/>
    <w:rsid w:val="00E631BE"/>
    <w:rsid w:val="00E63232"/>
    <w:rsid w:val="00E633F1"/>
    <w:rsid w:val="00E634D9"/>
    <w:rsid w:val="00E6359F"/>
    <w:rsid w:val="00E6369C"/>
    <w:rsid w:val="00E638C6"/>
    <w:rsid w:val="00E63B4F"/>
    <w:rsid w:val="00E64426"/>
    <w:rsid w:val="00E644F3"/>
    <w:rsid w:val="00E644F5"/>
    <w:rsid w:val="00E64513"/>
    <w:rsid w:val="00E6459D"/>
    <w:rsid w:val="00E64727"/>
    <w:rsid w:val="00E647F1"/>
    <w:rsid w:val="00E6487E"/>
    <w:rsid w:val="00E649CB"/>
    <w:rsid w:val="00E64A8C"/>
    <w:rsid w:val="00E64DA4"/>
    <w:rsid w:val="00E64E7C"/>
    <w:rsid w:val="00E6506B"/>
    <w:rsid w:val="00E65112"/>
    <w:rsid w:val="00E65141"/>
    <w:rsid w:val="00E65453"/>
    <w:rsid w:val="00E654D2"/>
    <w:rsid w:val="00E655AD"/>
    <w:rsid w:val="00E65BC3"/>
    <w:rsid w:val="00E65E66"/>
    <w:rsid w:val="00E66150"/>
    <w:rsid w:val="00E66A4E"/>
    <w:rsid w:val="00E66BC8"/>
    <w:rsid w:val="00E66DAC"/>
    <w:rsid w:val="00E66E95"/>
    <w:rsid w:val="00E670D5"/>
    <w:rsid w:val="00E6711D"/>
    <w:rsid w:val="00E672AF"/>
    <w:rsid w:val="00E677B9"/>
    <w:rsid w:val="00E67928"/>
    <w:rsid w:val="00E67B8D"/>
    <w:rsid w:val="00E67D52"/>
    <w:rsid w:val="00E67EB1"/>
    <w:rsid w:val="00E704FA"/>
    <w:rsid w:val="00E7054A"/>
    <w:rsid w:val="00E70800"/>
    <w:rsid w:val="00E7120D"/>
    <w:rsid w:val="00E71247"/>
    <w:rsid w:val="00E71955"/>
    <w:rsid w:val="00E71CCA"/>
    <w:rsid w:val="00E71E77"/>
    <w:rsid w:val="00E722B2"/>
    <w:rsid w:val="00E7237D"/>
    <w:rsid w:val="00E723C1"/>
    <w:rsid w:val="00E72750"/>
    <w:rsid w:val="00E728F1"/>
    <w:rsid w:val="00E72918"/>
    <w:rsid w:val="00E72938"/>
    <w:rsid w:val="00E72949"/>
    <w:rsid w:val="00E72A3A"/>
    <w:rsid w:val="00E72BCF"/>
    <w:rsid w:val="00E730DF"/>
    <w:rsid w:val="00E73112"/>
    <w:rsid w:val="00E732E6"/>
    <w:rsid w:val="00E73750"/>
    <w:rsid w:val="00E73985"/>
    <w:rsid w:val="00E73B58"/>
    <w:rsid w:val="00E73DDF"/>
    <w:rsid w:val="00E74158"/>
    <w:rsid w:val="00E74197"/>
    <w:rsid w:val="00E742B2"/>
    <w:rsid w:val="00E74676"/>
    <w:rsid w:val="00E74721"/>
    <w:rsid w:val="00E74A35"/>
    <w:rsid w:val="00E74B11"/>
    <w:rsid w:val="00E74DE8"/>
    <w:rsid w:val="00E74E7A"/>
    <w:rsid w:val="00E75416"/>
    <w:rsid w:val="00E758DE"/>
    <w:rsid w:val="00E759F4"/>
    <w:rsid w:val="00E75DCC"/>
    <w:rsid w:val="00E75EBD"/>
    <w:rsid w:val="00E7628B"/>
    <w:rsid w:val="00E76514"/>
    <w:rsid w:val="00E768EF"/>
    <w:rsid w:val="00E76915"/>
    <w:rsid w:val="00E76AF5"/>
    <w:rsid w:val="00E76B30"/>
    <w:rsid w:val="00E76C05"/>
    <w:rsid w:val="00E76CE2"/>
    <w:rsid w:val="00E76D14"/>
    <w:rsid w:val="00E7700E"/>
    <w:rsid w:val="00E778C7"/>
    <w:rsid w:val="00E8018C"/>
    <w:rsid w:val="00E8024C"/>
    <w:rsid w:val="00E8042C"/>
    <w:rsid w:val="00E8047B"/>
    <w:rsid w:val="00E80556"/>
    <w:rsid w:val="00E80666"/>
    <w:rsid w:val="00E80F5A"/>
    <w:rsid w:val="00E80F61"/>
    <w:rsid w:val="00E80FB8"/>
    <w:rsid w:val="00E81308"/>
    <w:rsid w:val="00E8132B"/>
    <w:rsid w:val="00E81B72"/>
    <w:rsid w:val="00E81CB8"/>
    <w:rsid w:val="00E81CEC"/>
    <w:rsid w:val="00E82E2A"/>
    <w:rsid w:val="00E82E66"/>
    <w:rsid w:val="00E8338C"/>
    <w:rsid w:val="00E833B9"/>
    <w:rsid w:val="00E83421"/>
    <w:rsid w:val="00E834AA"/>
    <w:rsid w:val="00E83699"/>
    <w:rsid w:val="00E836AA"/>
    <w:rsid w:val="00E83747"/>
    <w:rsid w:val="00E839AB"/>
    <w:rsid w:val="00E83B57"/>
    <w:rsid w:val="00E83CF2"/>
    <w:rsid w:val="00E83DCA"/>
    <w:rsid w:val="00E83F30"/>
    <w:rsid w:val="00E8442C"/>
    <w:rsid w:val="00E848D1"/>
    <w:rsid w:val="00E84930"/>
    <w:rsid w:val="00E84AC5"/>
    <w:rsid w:val="00E84D32"/>
    <w:rsid w:val="00E84E06"/>
    <w:rsid w:val="00E84EFE"/>
    <w:rsid w:val="00E85012"/>
    <w:rsid w:val="00E85629"/>
    <w:rsid w:val="00E856EB"/>
    <w:rsid w:val="00E85786"/>
    <w:rsid w:val="00E8582D"/>
    <w:rsid w:val="00E8589C"/>
    <w:rsid w:val="00E85DE1"/>
    <w:rsid w:val="00E85EAB"/>
    <w:rsid w:val="00E860AB"/>
    <w:rsid w:val="00E8621B"/>
    <w:rsid w:val="00E86285"/>
    <w:rsid w:val="00E8628A"/>
    <w:rsid w:val="00E86326"/>
    <w:rsid w:val="00E863C1"/>
    <w:rsid w:val="00E86AF0"/>
    <w:rsid w:val="00E86B0F"/>
    <w:rsid w:val="00E86D5B"/>
    <w:rsid w:val="00E87049"/>
    <w:rsid w:val="00E8704F"/>
    <w:rsid w:val="00E871E7"/>
    <w:rsid w:val="00E875DC"/>
    <w:rsid w:val="00E87927"/>
    <w:rsid w:val="00E87A81"/>
    <w:rsid w:val="00E87AB0"/>
    <w:rsid w:val="00E87D0A"/>
    <w:rsid w:val="00E902E6"/>
    <w:rsid w:val="00E902EB"/>
    <w:rsid w:val="00E909FD"/>
    <w:rsid w:val="00E90B2B"/>
    <w:rsid w:val="00E90E34"/>
    <w:rsid w:val="00E90F7E"/>
    <w:rsid w:val="00E910EA"/>
    <w:rsid w:val="00E91180"/>
    <w:rsid w:val="00E91408"/>
    <w:rsid w:val="00E91459"/>
    <w:rsid w:val="00E914E0"/>
    <w:rsid w:val="00E914EE"/>
    <w:rsid w:val="00E91C6A"/>
    <w:rsid w:val="00E92020"/>
    <w:rsid w:val="00E920D4"/>
    <w:rsid w:val="00E924AB"/>
    <w:rsid w:val="00E9256C"/>
    <w:rsid w:val="00E925C5"/>
    <w:rsid w:val="00E92779"/>
    <w:rsid w:val="00E92809"/>
    <w:rsid w:val="00E92B04"/>
    <w:rsid w:val="00E930D2"/>
    <w:rsid w:val="00E936E1"/>
    <w:rsid w:val="00E93C4A"/>
    <w:rsid w:val="00E93DA2"/>
    <w:rsid w:val="00E95076"/>
    <w:rsid w:val="00E950D3"/>
    <w:rsid w:val="00E9543D"/>
    <w:rsid w:val="00E9564F"/>
    <w:rsid w:val="00E9584F"/>
    <w:rsid w:val="00E95D57"/>
    <w:rsid w:val="00E96010"/>
    <w:rsid w:val="00E960F9"/>
    <w:rsid w:val="00E961AC"/>
    <w:rsid w:val="00E961B9"/>
    <w:rsid w:val="00E96482"/>
    <w:rsid w:val="00E96568"/>
    <w:rsid w:val="00E968F3"/>
    <w:rsid w:val="00E9714F"/>
    <w:rsid w:val="00E971DD"/>
    <w:rsid w:val="00E9738A"/>
    <w:rsid w:val="00E974AA"/>
    <w:rsid w:val="00E97A6A"/>
    <w:rsid w:val="00E97A6B"/>
    <w:rsid w:val="00EA0093"/>
    <w:rsid w:val="00EA036C"/>
    <w:rsid w:val="00EA03DD"/>
    <w:rsid w:val="00EA0885"/>
    <w:rsid w:val="00EA0964"/>
    <w:rsid w:val="00EA0A64"/>
    <w:rsid w:val="00EA0A8A"/>
    <w:rsid w:val="00EA0B0A"/>
    <w:rsid w:val="00EA0E6D"/>
    <w:rsid w:val="00EA0F53"/>
    <w:rsid w:val="00EA102B"/>
    <w:rsid w:val="00EA116A"/>
    <w:rsid w:val="00EA116C"/>
    <w:rsid w:val="00EA1395"/>
    <w:rsid w:val="00EA1435"/>
    <w:rsid w:val="00EA1737"/>
    <w:rsid w:val="00EA179A"/>
    <w:rsid w:val="00EA17E6"/>
    <w:rsid w:val="00EA1B2B"/>
    <w:rsid w:val="00EA1BE1"/>
    <w:rsid w:val="00EA1E72"/>
    <w:rsid w:val="00EA2113"/>
    <w:rsid w:val="00EA212B"/>
    <w:rsid w:val="00EA226D"/>
    <w:rsid w:val="00EA25BB"/>
    <w:rsid w:val="00EA26DD"/>
    <w:rsid w:val="00EA26E6"/>
    <w:rsid w:val="00EA276C"/>
    <w:rsid w:val="00EA289D"/>
    <w:rsid w:val="00EA29A8"/>
    <w:rsid w:val="00EA30A4"/>
    <w:rsid w:val="00EA30DA"/>
    <w:rsid w:val="00EA316C"/>
    <w:rsid w:val="00EA33E4"/>
    <w:rsid w:val="00EA368B"/>
    <w:rsid w:val="00EA3708"/>
    <w:rsid w:val="00EA385D"/>
    <w:rsid w:val="00EA3B6D"/>
    <w:rsid w:val="00EA3D28"/>
    <w:rsid w:val="00EA401A"/>
    <w:rsid w:val="00EA40FF"/>
    <w:rsid w:val="00EA41A0"/>
    <w:rsid w:val="00EA41AE"/>
    <w:rsid w:val="00EA4456"/>
    <w:rsid w:val="00EA4806"/>
    <w:rsid w:val="00EA4D16"/>
    <w:rsid w:val="00EA4E81"/>
    <w:rsid w:val="00EA5301"/>
    <w:rsid w:val="00EA5413"/>
    <w:rsid w:val="00EA5515"/>
    <w:rsid w:val="00EA55E1"/>
    <w:rsid w:val="00EA6077"/>
    <w:rsid w:val="00EA6167"/>
    <w:rsid w:val="00EA6263"/>
    <w:rsid w:val="00EA6765"/>
    <w:rsid w:val="00EA67D5"/>
    <w:rsid w:val="00EA683C"/>
    <w:rsid w:val="00EA6B48"/>
    <w:rsid w:val="00EA6D8A"/>
    <w:rsid w:val="00EA6ED9"/>
    <w:rsid w:val="00EA7279"/>
    <w:rsid w:val="00EA7387"/>
    <w:rsid w:val="00EA73E3"/>
    <w:rsid w:val="00EA7476"/>
    <w:rsid w:val="00EA74F8"/>
    <w:rsid w:val="00EA75EB"/>
    <w:rsid w:val="00EA75EF"/>
    <w:rsid w:val="00EA7738"/>
    <w:rsid w:val="00EA7829"/>
    <w:rsid w:val="00EB0573"/>
    <w:rsid w:val="00EB07B6"/>
    <w:rsid w:val="00EB1003"/>
    <w:rsid w:val="00EB1300"/>
    <w:rsid w:val="00EB1574"/>
    <w:rsid w:val="00EB158F"/>
    <w:rsid w:val="00EB1906"/>
    <w:rsid w:val="00EB1926"/>
    <w:rsid w:val="00EB1C99"/>
    <w:rsid w:val="00EB1EAB"/>
    <w:rsid w:val="00EB214E"/>
    <w:rsid w:val="00EB2288"/>
    <w:rsid w:val="00EB2356"/>
    <w:rsid w:val="00EB24CF"/>
    <w:rsid w:val="00EB27D5"/>
    <w:rsid w:val="00EB2895"/>
    <w:rsid w:val="00EB2990"/>
    <w:rsid w:val="00EB2A65"/>
    <w:rsid w:val="00EB2E77"/>
    <w:rsid w:val="00EB2E89"/>
    <w:rsid w:val="00EB3159"/>
    <w:rsid w:val="00EB3559"/>
    <w:rsid w:val="00EB371D"/>
    <w:rsid w:val="00EB3C8D"/>
    <w:rsid w:val="00EB41D2"/>
    <w:rsid w:val="00EB429C"/>
    <w:rsid w:val="00EB430D"/>
    <w:rsid w:val="00EB4465"/>
    <w:rsid w:val="00EB46BF"/>
    <w:rsid w:val="00EB4785"/>
    <w:rsid w:val="00EB4ABE"/>
    <w:rsid w:val="00EB5107"/>
    <w:rsid w:val="00EB51C6"/>
    <w:rsid w:val="00EB5658"/>
    <w:rsid w:val="00EB57EB"/>
    <w:rsid w:val="00EB5B11"/>
    <w:rsid w:val="00EB5C24"/>
    <w:rsid w:val="00EB5CA0"/>
    <w:rsid w:val="00EB62DF"/>
    <w:rsid w:val="00EB6894"/>
    <w:rsid w:val="00EB68F3"/>
    <w:rsid w:val="00EB68FB"/>
    <w:rsid w:val="00EB6C2A"/>
    <w:rsid w:val="00EB6CD0"/>
    <w:rsid w:val="00EB7191"/>
    <w:rsid w:val="00EB71CB"/>
    <w:rsid w:val="00EB7281"/>
    <w:rsid w:val="00EB76BC"/>
    <w:rsid w:val="00EB7CC9"/>
    <w:rsid w:val="00EC02A1"/>
    <w:rsid w:val="00EC0317"/>
    <w:rsid w:val="00EC0497"/>
    <w:rsid w:val="00EC06BD"/>
    <w:rsid w:val="00EC0ACE"/>
    <w:rsid w:val="00EC0B82"/>
    <w:rsid w:val="00EC0CE0"/>
    <w:rsid w:val="00EC0D5E"/>
    <w:rsid w:val="00EC0DD9"/>
    <w:rsid w:val="00EC0E6A"/>
    <w:rsid w:val="00EC1118"/>
    <w:rsid w:val="00EC11DE"/>
    <w:rsid w:val="00EC1344"/>
    <w:rsid w:val="00EC1484"/>
    <w:rsid w:val="00EC157B"/>
    <w:rsid w:val="00EC17C0"/>
    <w:rsid w:val="00EC21E1"/>
    <w:rsid w:val="00EC21F4"/>
    <w:rsid w:val="00EC2262"/>
    <w:rsid w:val="00EC22F9"/>
    <w:rsid w:val="00EC2326"/>
    <w:rsid w:val="00EC237A"/>
    <w:rsid w:val="00EC24C1"/>
    <w:rsid w:val="00EC2786"/>
    <w:rsid w:val="00EC2D42"/>
    <w:rsid w:val="00EC2D86"/>
    <w:rsid w:val="00EC2FDE"/>
    <w:rsid w:val="00EC3261"/>
    <w:rsid w:val="00EC35CD"/>
    <w:rsid w:val="00EC38DA"/>
    <w:rsid w:val="00EC39FB"/>
    <w:rsid w:val="00EC3EA2"/>
    <w:rsid w:val="00EC3F42"/>
    <w:rsid w:val="00EC3FD6"/>
    <w:rsid w:val="00EC3FE2"/>
    <w:rsid w:val="00EC429F"/>
    <w:rsid w:val="00EC436A"/>
    <w:rsid w:val="00EC43D3"/>
    <w:rsid w:val="00EC48D5"/>
    <w:rsid w:val="00EC4AFE"/>
    <w:rsid w:val="00EC4D5F"/>
    <w:rsid w:val="00EC4EED"/>
    <w:rsid w:val="00EC5538"/>
    <w:rsid w:val="00EC5594"/>
    <w:rsid w:val="00EC597D"/>
    <w:rsid w:val="00EC5D0C"/>
    <w:rsid w:val="00EC5EF1"/>
    <w:rsid w:val="00EC6103"/>
    <w:rsid w:val="00EC66CA"/>
    <w:rsid w:val="00EC67E6"/>
    <w:rsid w:val="00EC6933"/>
    <w:rsid w:val="00EC6B3F"/>
    <w:rsid w:val="00EC6CC3"/>
    <w:rsid w:val="00EC71A5"/>
    <w:rsid w:val="00EC7222"/>
    <w:rsid w:val="00EC750C"/>
    <w:rsid w:val="00EC7697"/>
    <w:rsid w:val="00EC7EC8"/>
    <w:rsid w:val="00EC7FF6"/>
    <w:rsid w:val="00ED00B1"/>
    <w:rsid w:val="00ED02E1"/>
    <w:rsid w:val="00ED052A"/>
    <w:rsid w:val="00ED0572"/>
    <w:rsid w:val="00ED0B78"/>
    <w:rsid w:val="00ED135C"/>
    <w:rsid w:val="00ED1755"/>
    <w:rsid w:val="00ED1AEA"/>
    <w:rsid w:val="00ED1E37"/>
    <w:rsid w:val="00ED1F47"/>
    <w:rsid w:val="00ED20FB"/>
    <w:rsid w:val="00ED2157"/>
    <w:rsid w:val="00ED24C0"/>
    <w:rsid w:val="00ED268C"/>
    <w:rsid w:val="00ED273A"/>
    <w:rsid w:val="00ED27F3"/>
    <w:rsid w:val="00ED280E"/>
    <w:rsid w:val="00ED2906"/>
    <w:rsid w:val="00ED295B"/>
    <w:rsid w:val="00ED2B63"/>
    <w:rsid w:val="00ED2B91"/>
    <w:rsid w:val="00ED2DA2"/>
    <w:rsid w:val="00ED300B"/>
    <w:rsid w:val="00ED30FD"/>
    <w:rsid w:val="00ED337F"/>
    <w:rsid w:val="00ED3750"/>
    <w:rsid w:val="00ED38CC"/>
    <w:rsid w:val="00ED3B12"/>
    <w:rsid w:val="00ED3C1A"/>
    <w:rsid w:val="00ED3CD3"/>
    <w:rsid w:val="00ED3EA4"/>
    <w:rsid w:val="00ED4481"/>
    <w:rsid w:val="00ED4657"/>
    <w:rsid w:val="00ED46D2"/>
    <w:rsid w:val="00ED4CE5"/>
    <w:rsid w:val="00ED4DCF"/>
    <w:rsid w:val="00ED53A0"/>
    <w:rsid w:val="00ED548B"/>
    <w:rsid w:val="00ED5C52"/>
    <w:rsid w:val="00ED5E25"/>
    <w:rsid w:val="00ED5E35"/>
    <w:rsid w:val="00ED623B"/>
    <w:rsid w:val="00ED640E"/>
    <w:rsid w:val="00ED67E2"/>
    <w:rsid w:val="00ED6A05"/>
    <w:rsid w:val="00ED6A0A"/>
    <w:rsid w:val="00ED6CDF"/>
    <w:rsid w:val="00ED70FA"/>
    <w:rsid w:val="00ED7473"/>
    <w:rsid w:val="00ED7AAB"/>
    <w:rsid w:val="00ED7B45"/>
    <w:rsid w:val="00ED7DE6"/>
    <w:rsid w:val="00EE0072"/>
    <w:rsid w:val="00EE00C8"/>
    <w:rsid w:val="00EE01A5"/>
    <w:rsid w:val="00EE0462"/>
    <w:rsid w:val="00EE04C8"/>
    <w:rsid w:val="00EE0F6D"/>
    <w:rsid w:val="00EE1173"/>
    <w:rsid w:val="00EE135F"/>
    <w:rsid w:val="00EE17D0"/>
    <w:rsid w:val="00EE1823"/>
    <w:rsid w:val="00EE1ADF"/>
    <w:rsid w:val="00EE1C4C"/>
    <w:rsid w:val="00EE1F79"/>
    <w:rsid w:val="00EE20DF"/>
    <w:rsid w:val="00EE2474"/>
    <w:rsid w:val="00EE25CA"/>
    <w:rsid w:val="00EE26AF"/>
    <w:rsid w:val="00EE2814"/>
    <w:rsid w:val="00EE285F"/>
    <w:rsid w:val="00EE28F0"/>
    <w:rsid w:val="00EE2951"/>
    <w:rsid w:val="00EE2965"/>
    <w:rsid w:val="00EE2B0F"/>
    <w:rsid w:val="00EE2E32"/>
    <w:rsid w:val="00EE2EA6"/>
    <w:rsid w:val="00EE329E"/>
    <w:rsid w:val="00EE3754"/>
    <w:rsid w:val="00EE3B92"/>
    <w:rsid w:val="00EE3BC6"/>
    <w:rsid w:val="00EE3CC8"/>
    <w:rsid w:val="00EE3CD1"/>
    <w:rsid w:val="00EE421F"/>
    <w:rsid w:val="00EE42DD"/>
    <w:rsid w:val="00EE4697"/>
    <w:rsid w:val="00EE46F1"/>
    <w:rsid w:val="00EE486E"/>
    <w:rsid w:val="00EE493D"/>
    <w:rsid w:val="00EE4A0F"/>
    <w:rsid w:val="00EE4A85"/>
    <w:rsid w:val="00EE4B19"/>
    <w:rsid w:val="00EE50DD"/>
    <w:rsid w:val="00EE50EA"/>
    <w:rsid w:val="00EE5133"/>
    <w:rsid w:val="00EE5409"/>
    <w:rsid w:val="00EE549A"/>
    <w:rsid w:val="00EE54A2"/>
    <w:rsid w:val="00EE55FB"/>
    <w:rsid w:val="00EE5A17"/>
    <w:rsid w:val="00EE5C44"/>
    <w:rsid w:val="00EE5D19"/>
    <w:rsid w:val="00EE5E8D"/>
    <w:rsid w:val="00EE62E8"/>
    <w:rsid w:val="00EE6618"/>
    <w:rsid w:val="00EE680E"/>
    <w:rsid w:val="00EE68D0"/>
    <w:rsid w:val="00EE6939"/>
    <w:rsid w:val="00EE6FAB"/>
    <w:rsid w:val="00EE71F0"/>
    <w:rsid w:val="00EE74F5"/>
    <w:rsid w:val="00EE7AF5"/>
    <w:rsid w:val="00EF00BC"/>
    <w:rsid w:val="00EF00E1"/>
    <w:rsid w:val="00EF02AD"/>
    <w:rsid w:val="00EF0393"/>
    <w:rsid w:val="00EF0B15"/>
    <w:rsid w:val="00EF0B50"/>
    <w:rsid w:val="00EF0C17"/>
    <w:rsid w:val="00EF11C4"/>
    <w:rsid w:val="00EF120E"/>
    <w:rsid w:val="00EF1351"/>
    <w:rsid w:val="00EF18AF"/>
    <w:rsid w:val="00EF1A5A"/>
    <w:rsid w:val="00EF1C6D"/>
    <w:rsid w:val="00EF1EB2"/>
    <w:rsid w:val="00EF228A"/>
    <w:rsid w:val="00EF293E"/>
    <w:rsid w:val="00EF2A72"/>
    <w:rsid w:val="00EF2BC0"/>
    <w:rsid w:val="00EF2FD1"/>
    <w:rsid w:val="00EF31E3"/>
    <w:rsid w:val="00EF322A"/>
    <w:rsid w:val="00EF35A0"/>
    <w:rsid w:val="00EF3B65"/>
    <w:rsid w:val="00EF4176"/>
    <w:rsid w:val="00EF42D4"/>
    <w:rsid w:val="00EF4431"/>
    <w:rsid w:val="00EF44C3"/>
    <w:rsid w:val="00EF46E4"/>
    <w:rsid w:val="00EF47BD"/>
    <w:rsid w:val="00EF4EF0"/>
    <w:rsid w:val="00EF4F2D"/>
    <w:rsid w:val="00EF4FD4"/>
    <w:rsid w:val="00EF508B"/>
    <w:rsid w:val="00EF51DE"/>
    <w:rsid w:val="00EF5412"/>
    <w:rsid w:val="00EF575B"/>
    <w:rsid w:val="00EF57CD"/>
    <w:rsid w:val="00EF57E4"/>
    <w:rsid w:val="00EF5BEA"/>
    <w:rsid w:val="00EF5DC4"/>
    <w:rsid w:val="00EF611D"/>
    <w:rsid w:val="00EF632F"/>
    <w:rsid w:val="00EF65C4"/>
    <w:rsid w:val="00EF66C5"/>
    <w:rsid w:val="00EF79C0"/>
    <w:rsid w:val="00F00261"/>
    <w:rsid w:val="00F002B6"/>
    <w:rsid w:val="00F00397"/>
    <w:rsid w:val="00F008B9"/>
    <w:rsid w:val="00F008D1"/>
    <w:rsid w:val="00F0111E"/>
    <w:rsid w:val="00F015E6"/>
    <w:rsid w:val="00F01885"/>
    <w:rsid w:val="00F01C1A"/>
    <w:rsid w:val="00F01DA9"/>
    <w:rsid w:val="00F0225B"/>
    <w:rsid w:val="00F0225C"/>
    <w:rsid w:val="00F023E7"/>
    <w:rsid w:val="00F024CC"/>
    <w:rsid w:val="00F02A5D"/>
    <w:rsid w:val="00F02E79"/>
    <w:rsid w:val="00F02E7A"/>
    <w:rsid w:val="00F02FB2"/>
    <w:rsid w:val="00F0317B"/>
    <w:rsid w:val="00F0341B"/>
    <w:rsid w:val="00F036E3"/>
    <w:rsid w:val="00F0380D"/>
    <w:rsid w:val="00F04052"/>
    <w:rsid w:val="00F04081"/>
    <w:rsid w:val="00F0452C"/>
    <w:rsid w:val="00F0453D"/>
    <w:rsid w:val="00F046C9"/>
    <w:rsid w:val="00F046E2"/>
    <w:rsid w:val="00F047FA"/>
    <w:rsid w:val="00F04FB0"/>
    <w:rsid w:val="00F0519D"/>
    <w:rsid w:val="00F051E7"/>
    <w:rsid w:val="00F05B63"/>
    <w:rsid w:val="00F05FF9"/>
    <w:rsid w:val="00F063B1"/>
    <w:rsid w:val="00F0670C"/>
    <w:rsid w:val="00F06D46"/>
    <w:rsid w:val="00F06E0F"/>
    <w:rsid w:val="00F06E9B"/>
    <w:rsid w:val="00F0737A"/>
    <w:rsid w:val="00F073DF"/>
    <w:rsid w:val="00F0747B"/>
    <w:rsid w:val="00F07766"/>
    <w:rsid w:val="00F07F71"/>
    <w:rsid w:val="00F1033E"/>
    <w:rsid w:val="00F10431"/>
    <w:rsid w:val="00F10929"/>
    <w:rsid w:val="00F10F1C"/>
    <w:rsid w:val="00F1159B"/>
    <w:rsid w:val="00F116D4"/>
    <w:rsid w:val="00F12172"/>
    <w:rsid w:val="00F12207"/>
    <w:rsid w:val="00F1278E"/>
    <w:rsid w:val="00F12903"/>
    <w:rsid w:val="00F12AEF"/>
    <w:rsid w:val="00F12E44"/>
    <w:rsid w:val="00F13045"/>
    <w:rsid w:val="00F1317F"/>
    <w:rsid w:val="00F131F2"/>
    <w:rsid w:val="00F13355"/>
    <w:rsid w:val="00F139C1"/>
    <w:rsid w:val="00F13B57"/>
    <w:rsid w:val="00F13C06"/>
    <w:rsid w:val="00F13E84"/>
    <w:rsid w:val="00F140DF"/>
    <w:rsid w:val="00F142E1"/>
    <w:rsid w:val="00F143C7"/>
    <w:rsid w:val="00F143E9"/>
    <w:rsid w:val="00F1440E"/>
    <w:rsid w:val="00F14546"/>
    <w:rsid w:val="00F148A0"/>
    <w:rsid w:val="00F14949"/>
    <w:rsid w:val="00F14BC0"/>
    <w:rsid w:val="00F14C52"/>
    <w:rsid w:val="00F14DD5"/>
    <w:rsid w:val="00F15033"/>
    <w:rsid w:val="00F150B0"/>
    <w:rsid w:val="00F156A9"/>
    <w:rsid w:val="00F15884"/>
    <w:rsid w:val="00F15B29"/>
    <w:rsid w:val="00F15F00"/>
    <w:rsid w:val="00F161E1"/>
    <w:rsid w:val="00F16828"/>
    <w:rsid w:val="00F16A91"/>
    <w:rsid w:val="00F16E4A"/>
    <w:rsid w:val="00F17209"/>
    <w:rsid w:val="00F173D1"/>
    <w:rsid w:val="00F17668"/>
    <w:rsid w:val="00F17911"/>
    <w:rsid w:val="00F17A9C"/>
    <w:rsid w:val="00F17F7A"/>
    <w:rsid w:val="00F20120"/>
    <w:rsid w:val="00F20203"/>
    <w:rsid w:val="00F20209"/>
    <w:rsid w:val="00F20359"/>
    <w:rsid w:val="00F209E2"/>
    <w:rsid w:val="00F20C15"/>
    <w:rsid w:val="00F20C37"/>
    <w:rsid w:val="00F20D82"/>
    <w:rsid w:val="00F20FF1"/>
    <w:rsid w:val="00F21116"/>
    <w:rsid w:val="00F2147C"/>
    <w:rsid w:val="00F215D6"/>
    <w:rsid w:val="00F21925"/>
    <w:rsid w:val="00F224A3"/>
    <w:rsid w:val="00F226F7"/>
    <w:rsid w:val="00F22705"/>
    <w:rsid w:val="00F22919"/>
    <w:rsid w:val="00F22AD5"/>
    <w:rsid w:val="00F22E44"/>
    <w:rsid w:val="00F22E59"/>
    <w:rsid w:val="00F22FE2"/>
    <w:rsid w:val="00F23299"/>
    <w:rsid w:val="00F234FD"/>
    <w:rsid w:val="00F2351E"/>
    <w:rsid w:val="00F23681"/>
    <w:rsid w:val="00F23793"/>
    <w:rsid w:val="00F237CF"/>
    <w:rsid w:val="00F23C6D"/>
    <w:rsid w:val="00F24676"/>
    <w:rsid w:val="00F24C05"/>
    <w:rsid w:val="00F24CBD"/>
    <w:rsid w:val="00F25001"/>
    <w:rsid w:val="00F25104"/>
    <w:rsid w:val="00F2515F"/>
    <w:rsid w:val="00F2528F"/>
    <w:rsid w:val="00F256FB"/>
    <w:rsid w:val="00F2591B"/>
    <w:rsid w:val="00F25B65"/>
    <w:rsid w:val="00F25BCD"/>
    <w:rsid w:val="00F2601D"/>
    <w:rsid w:val="00F261B8"/>
    <w:rsid w:val="00F2631E"/>
    <w:rsid w:val="00F26577"/>
    <w:rsid w:val="00F269AB"/>
    <w:rsid w:val="00F26CE9"/>
    <w:rsid w:val="00F26D78"/>
    <w:rsid w:val="00F26EF9"/>
    <w:rsid w:val="00F27107"/>
    <w:rsid w:val="00F2730E"/>
    <w:rsid w:val="00F2733D"/>
    <w:rsid w:val="00F273E2"/>
    <w:rsid w:val="00F2762E"/>
    <w:rsid w:val="00F27674"/>
    <w:rsid w:val="00F276AD"/>
    <w:rsid w:val="00F279A8"/>
    <w:rsid w:val="00F27AA6"/>
    <w:rsid w:val="00F27C6A"/>
    <w:rsid w:val="00F27D3B"/>
    <w:rsid w:val="00F27F12"/>
    <w:rsid w:val="00F302F3"/>
    <w:rsid w:val="00F30635"/>
    <w:rsid w:val="00F311A8"/>
    <w:rsid w:val="00F314F8"/>
    <w:rsid w:val="00F31652"/>
    <w:rsid w:val="00F31785"/>
    <w:rsid w:val="00F317A6"/>
    <w:rsid w:val="00F31834"/>
    <w:rsid w:val="00F3205F"/>
    <w:rsid w:val="00F322E2"/>
    <w:rsid w:val="00F3234A"/>
    <w:rsid w:val="00F3276F"/>
    <w:rsid w:val="00F329A4"/>
    <w:rsid w:val="00F32AC8"/>
    <w:rsid w:val="00F32CB4"/>
    <w:rsid w:val="00F330D4"/>
    <w:rsid w:val="00F335DC"/>
    <w:rsid w:val="00F33731"/>
    <w:rsid w:val="00F33B24"/>
    <w:rsid w:val="00F33B32"/>
    <w:rsid w:val="00F33F21"/>
    <w:rsid w:val="00F34245"/>
    <w:rsid w:val="00F34459"/>
    <w:rsid w:val="00F34524"/>
    <w:rsid w:val="00F34852"/>
    <w:rsid w:val="00F349BA"/>
    <w:rsid w:val="00F34B5D"/>
    <w:rsid w:val="00F34BB8"/>
    <w:rsid w:val="00F34C75"/>
    <w:rsid w:val="00F34D41"/>
    <w:rsid w:val="00F350A4"/>
    <w:rsid w:val="00F35394"/>
    <w:rsid w:val="00F35467"/>
    <w:rsid w:val="00F35583"/>
    <w:rsid w:val="00F356F4"/>
    <w:rsid w:val="00F357A4"/>
    <w:rsid w:val="00F35C4F"/>
    <w:rsid w:val="00F35CA1"/>
    <w:rsid w:val="00F36511"/>
    <w:rsid w:val="00F36543"/>
    <w:rsid w:val="00F366D2"/>
    <w:rsid w:val="00F368DB"/>
    <w:rsid w:val="00F36B21"/>
    <w:rsid w:val="00F36DEC"/>
    <w:rsid w:val="00F3708C"/>
    <w:rsid w:val="00F3714A"/>
    <w:rsid w:val="00F37447"/>
    <w:rsid w:val="00F3746F"/>
    <w:rsid w:val="00F37481"/>
    <w:rsid w:val="00F37585"/>
    <w:rsid w:val="00F37771"/>
    <w:rsid w:val="00F37821"/>
    <w:rsid w:val="00F37837"/>
    <w:rsid w:val="00F37923"/>
    <w:rsid w:val="00F379DD"/>
    <w:rsid w:val="00F37BA0"/>
    <w:rsid w:val="00F4031C"/>
    <w:rsid w:val="00F4037A"/>
    <w:rsid w:val="00F404CF"/>
    <w:rsid w:val="00F404F5"/>
    <w:rsid w:val="00F40B67"/>
    <w:rsid w:val="00F40BF3"/>
    <w:rsid w:val="00F40EFA"/>
    <w:rsid w:val="00F40F0E"/>
    <w:rsid w:val="00F410D0"/>
    <w:rsid w:val="00F411A5"/>
    <w:rsid w:val="00F411DE"/>
    <w:rsid w:val="00F41429"/>
    <w:rsid w:val="00F41502"/>
    <w:rsid w:val="00F4167D"/>
    <w:rsid w:val="00F4176A"/>
    <w:rsid w:val="00F41791"/>
    <w:rsid w:val="00F41A99"/>
    <w:rsid w:val="00F41AA2"/>
    <w:rsid w:val="00F41AAD"/>
    <w:rsid w:val="00F41B71"/>
    <w:rsid w:val="00F41C7D"/>
    <w:rsid w:val="00F41CF3"/>
    <w:rsid w:val="00F41E8C"/>
    <w:rsid w:val="00F41EC4"/>
    <w:rsid w:val="00F41F8E"/>
    <w:rsid w:val="00F41FE5"/>
    <w:rsid w:val="00F42072"/>
    <w:rsid w:val="00F4216D"/>
    <w:rsid w:val="00F423FD"/>
    <w:rsid w:val="00F429AC"/>
    <w:rsid w:val="00F42D56"/>
    <w:rsid w:val="00F431FC"/>
    <w:rsid w:val="00F4368F"/>
    <w:rsid w:val="00F43732"/>
    <w:rsid w:val="00F437E1"/>
    <w:rsid w:val="00F43864"/>
    <w:rsid w:val="00F43960"/>
    <w:rsid w:val="00F43C50"/>
    <w:rsid w:val="00F43CC2"/>
    <w:rsid w:val="00F43DE1"/>
    <w:rsid w:val="00F441BD"/>
    <w:rsid w:val="00F44399"/>
    <w:rsid w:val="00F447ED"/>
    <w:rsid w:val="00F44F05"/>
    <w:rsid w:val="00F44FC6"/>
    <w:rsid w:val="00F45194"/>
    <w:rsid w:val="00F45242"/>
    <w:rsid w:val="00F457BA"/>
    <w:rsid w:val="00F45A91"/>
    <w:rsid w:val="00F45EC3"/>
    <w:rsid w:val="00F460F1"/>
    <w:rsid w:val="00F4633F"/>
    <w:rsid w:val="00F464E2"/>
    <w:rsid w:val="00F4665B"/>
    <w:rsid w:val="00F466D8"/>
    <w:rsid w:val="00F46B97"/>
    <w:rsid w:val="00F46CD4"/>
    <w:rsid w:val="00F46ED5"/>
    <w:rsid w:val="00F46FF9"/>
    <w:rsid w:val="00F47292"/>
    <w:rsid w:val="00F47530"/>
    <w:rsid w:val="00F476F5"/>
    <w:rsid w:val="00F4787B"/>
    <w:rsid w:val="00F47B38"/>
    <w:rsid w:val="00F47C1E"/>
    <w:rsid w:val="00F47C22"/>
    <w:rsid w:val="00F501AE"/>
    <w:rsid w:val="00F503E7"/>
    <w:rsid w:val="00F50783"/>
    <w:rsid w:val="00F50869"/>
    <w:rsid w:val="00F5086C"/>
    <w:rsid w:val="00F50A01"/>
    <w:rsid w:val="00F50DAE"/>
    <w:rsid w:val="00F50EC0"/>
    <w:rsid w:val="00F5122D"/>
    <w:rsid w:val="00F51433"/>
    <w:rsid w:val="00F5193D"/>
    <w:rsid w:val="00F52195"/>
    <w:rsid w:val="00F524E0"/>
    <w:rsid w:val="00F526C3"/>
    <w:rsid w:val="00F52AD0"/>
    <w:rsid w:val="00F52E5B"/>
    <w:rsid w:val="00F52F78"/>
    <w:rsid w:val="00F53290"/>
    <w:rsid w:val="00F53362"/>
    <w:rsid w:val="00F533CE"/>
    <w:rsid w:val="00F53591"/>
    <w:rsid w:val="00F535C4"/>
    <w:rsid w:val="00F53928"/>
    <w:rsid w:val="00F53995"/>
    <w:rsid w:val="00F53ACC"/>
    <w:rsid w:val="00F53BCB"/>
    <w:rsid w:val="00F53D26"/>
    <w:rsid w:val="00F53E65"/>
    <w:rsid w:val="00F53F98"/>
    <w:rsid w:val="00F53FFB"/>
    <w:rsid w:val="00F545A8"/>
    <w:rsid w:val="00F54973"/>
    <w:rsid w:val="00F54997"/>
    <w:rsid w:val="00F54AE4"/>
    <w:rsid w:val="00F54BB3"/>
    <w:rsid w:val="00F54D41"/>
    <w:rsid w:val="00F54F87"/>
    <w:rsid w:val="00F55144"/>
    <w:rsid w:val="00F551DB"/>
    <w:rsid w:val="00F55226"/>
    <w:rsid w:val="00F55379"/>
    <w:rsid w:val="00F55467"/>
    <w:rsid w:val="00F556F4"/>
    <w:rsid w:val="00F55A98"/>
    <w:rsid w:val="00F55B87"/>
    <w:rsid w:val="00F56136"/>
    <w:rsid w:val="00F5627F"/>
    <w:rsid w:val="00F563C7"/>
    <w:rsid w:val="00F5685F"/>
    <w:rsid w:val="00F56A0A"/>
    <w:rsid w:val="00F56D63"/>
    <w:rsid w:val="00F576A4"/>
    <w:rsid w:val="00F576C9"/>
    <w:rsid w:val="00F57DF9"/>
    <w:rsid w:val="00F60485"/>
    <w:rsid w:val="00F60771"/>
    <w:rsid w:val="00F60C9C"/>
    <w:rsid w:val="00F60EE6"/>
    <w:rsid w:val="00F6131D"/>
    <w:rsid w:val="00F61326"/>
    <w:rsid w:val="00F61399"/>
    <w:rsid w:val="00F61730"/>
    <w:rsid w:val="00F61913"/>
    <w:rsid w:val="00F61F02"/>
    <w:rsid w:val="00F621BA"/>
    <w:rsid w:val="00F624E1"/>
    <w:rsid w:val="00F62D33"/>
    <w:rsid w:val="00F62F80"/>
    <w:rsid w:val="00F632C4"/>
    <w:rsid w:val="00F6339B"/>
    <w:rsid w:val="00F63712"/>
    <w:rsid w:val="00F639C2"/>
    <w:rsid w:val="00F63A87"/>
    <w:rsid w:val="00F64197"/>
    <w:rsid w:val="00F6422F"/>
    <w:rsid w:val="00F64280"/>
    <w:rsid w:val="00F64427"/>
    <w:rsid w:val="00F644E2"/>
    <w:rsid w:val="00F6461E"/>
    <w:rsid w:val="00F64AEC"/>
    <w:rsid w:val="00F64ECC"/>
    <w:rsid w:val="00F65327"/>
    <w:rsid w:val="00F6544A"/>
    <w:rsid w:val="00F65E13"/>
    <w:rsid w:val="00F66199"/>
    <w:rsid w:val="00F66290"/>
    <w:rsid w:val="00F662A5"/>
    <w:rsid w:val="00F6645F"/>
    <w:rsid w:val="00F66523"/>
    <w:rsid w:val="00F6663E"/>
    <w:rsid w:val="00F667D5"/>
    <w:rsid w:val="00F6685A"/>
    <w:rsid w:val="00F669BB"/>
    <w:rsid w:val="00F66C18"/>
    <w:rsid w:val="00F66D4F"/>
    <w:rsid w:val="00F670F5"/>
    <w:rsid w:val="00F67308"/>
    <w:rsid w:val="00F674ED"/>
    <w:rsid w:val="00F674FD"/>
    <w:rsid w:val="00F675AF"/>
    <w:rsid w:val="00F67A3E"/>
    <w:rsid w:val="00F67BB9"/>
    <w:rsid w:val="00F70706"/>
    <w:rsid w:val="00F70719"/>
    <w:rsid w:val="00F70778"/>
    <w:rsid w:val="00F707E1"/>
    <w:rsid w:val="00F70C09"/>
    <w:rsid w:val="00F71508"/>
    <w:rsid w:val="00F71509"/>
    <w:rsid w:val="00F71623"/>
    <w:rsid w:val="00F7166D"/>
    <w:rsid w:val="00F7176C"/>
    <w:rsid w:val="00F717EB"/>
    <w:rsid w:val="00F71986"/>
    <w:rsid w:val="00F71C57"/>
    <w:rsid w:val="00F71CEF"/>
    <w:rsid w:val="00F720CC"/>
    <w:rsid w:val="00F72538"/>
    <w:rsid w:val="00F725C3"/>
    <w:rsid w:val="00F72679"/>
    <w:rsid w:val="00F726C3"/>
    <w:rsid w:val="00F7270F"/>
    <w:rsid w:val="00F7273D"/>
    <w:rsid w:val="00F72805"/>
    <w:rsid w:val="00F72A48"/>
    <w:rsid w:val="00F72B90"/>
    <w:rsid w:val="00F72F8D"/>
    <w:rsid w:val="00F730ED"/>
    <w:rsid w:val="00F7317C"/>
    <w:rsid w:val="00F736F1"/>
    <w:rsid w:val="00F73AFF"/>
    <w:rsid w:val="00F73C8F"/>
    <w:rsid w:val="00F73E85"/>
    <w:rsid w:val="00F73EC7"/>
    <w:rsid w:val="00F73F05"/>
    <w:rsid w:val="00F74009"/>
    <w:rsid w:val="00F74084"/>
    <w:rsid w:val="00F743C2"/>
    <w:rsid w:val="00F74599"/>
    <w:rsid w:val="00F74601"/>
    <w:rsid w:val="00F74678"/>
    <w:rsid w:val="00F7484E"/>
    <w:rsid w:val="00F74993"/>
    <w:rsid w:val="00F74BD3"/>
    <w:rsid w:val="00F75A40"/>
    <w:rsid w:val="00F7608F"/>
    <w:rsid w:val="00F760E8"/>
    <w:rsid w:val="00F763CD"/>
    <w:rsid w:val="00F765BB"/>
    <w:rsid w:val="00F7667B"/>
    <w:rsid w:val="00F766F9"/>
    <w:rsid w:val="00F76B04"/>
    <w:rsid w:val="00F76C16"/>
    <w:rsid w:val="00F76EDA"/>
    <w:rsid w:val="00F77403"/>
    <w:rsid w:val="00F7747D"/>
    <w:rsid w:val="00F7776E"/>
    <w:rsid w:val="00F77C79"/>
    <w:rsid w:val="00F77E07"/>
    <w:rsid w:val="00F80082"/>
    <w:rsid w:val="00F800C4"/>
    <w:rsid w:val="00F80180"/>
    <w:rsid w:val="00F802FF"/>
    <w:rsid w:val="00F8051A"/>
    <w:rsid w:val="00F805A4"/>
    <w:rsid w:val="00F80C59"/>
    <w:rsid w:val="00F81468"/>
    <w:rsid w:val="00F81551"/>
    <w:rsid w:val="00F81B60"/>
    <w:rsid w:val="00F81D20"/>
    <w:rsid w:val="00F827B1"/>
    <w:rsid w:val="00F82906"/>
    <w:rsid w:val="00F82B4B"/>
    <w:rsid w:val="00F82CBA"/>
    <w:rsid w:val="00F82D40"/>
    <w:rsid w:val="00F82D48"/>
    <w:rsid w:val="00F8314A"/>
    <w:rsid w:val="00F831C4"/>
    <w:rsid w:val="00F832CF"/>
    <w:rsid w:val="00F8344E"/>
    <w:rsid w:val="00F83728"/>
    <w:rsid w:val="00F838E5"/>
    <w:rsid w:val="00F84108"/>
    <w:rsid w:val="00F841B5"/>
    <w:rsid w:val="00F84290"/>
    <w:rsid w:val="00F8429D"/>
    <w:rsid w:val="00F84992"/>
    <w:rsid w:val="00F84CCF"/>
    <w:rsid w:val="00F84F62"/>
    <w:rsid w:val="00F85299"/>
    <w:rsid w:val="00F85363"/>
    <w:rsid w:val="00F854D5"/>
    <w:rsid w:val="00F85700"/>
    <w:rsid w:val="00F85A92"/>
    <w:rsid w:val="00F85AAC"/>
    <w:rsid w:val="00F85E18"/>
    <w:rsid w:val="00F86295"/>
    <w:rsid w:val="00F863F9"/>
    <w:rsid w:val="00F864E0"/>
    <w:rsid w:val="00F8694F"/>
    <w:rsid w:val="00F86C1F"/>
    <w:rsid w:val="00F86CA5"/>
    <w:rsid w:val="00F8743A"/>
    <w:rsid w:val="00F874E8"/>
    <w:rsid w:val="00F87B84"/>
    <w:rsid w:val="00F87CC2"/>
    <w:rsid w:val="00F90148"/>
    <w:rsid w:val="00F901C7"/>
    <w:rsid w:val="00F9041C"/>
    <w:rsid w:val="00F908B6"/>
    <w:rsid w:val="00F908C1"/>
    <w:rsid w:val="00F90945"/>
    <w:rsid w:val="00F90DD7"/>
    <w:rsid w:val="00F911C5"/>
    <w:rsid w:val="00F914EB"/>
    <w:rsid w:val="00F9154F"/>
    <w:rsid w:val="00F91930"/>
    <w:rsid w:val="00F91ABB"/>
    <w:rsid w:val="00F91E07"/>
    <w:rsid w:val="00F91EBE"/>
    <w:rsid w:val="00F92010"/>
    <w:rsid w:val="00F921DB"/>
    <w:rsid w:val="00F92772"/>
    <w:rsid w:val="00F92C0E"/>
    <w:rsid w:val="00F92C84"/>
    <w:rsid w:val="00F92DB2"/>
    <w:rsid w:val="00F938CF"/>
    <w:rsid w:val="00F93915"/>
    <w:rsid w:val="00F93AA5"/>
    <w:rsid w:val="00F93CBE"/>
    <w:rsid w:val="00F93E50"/>
    <w:rsid w:val="00F93E95"/>
    <w:rsid w:val="00F9420C"/>
    <w:rsid w:val="00F94932"/>
    <w:rsid w:val="00F950D1"/>
    <w:rsid w:val="00F95374"/>
    <w:rsid w:val="00F953C9"/>
    <w:rsid w:val="00F955B2"/>
    <w:rsid w:val="00F957F3"/>
    <w:rsid w:val="00F95833"/>
    <w:rsid w:val="00F958DF"/>
    <w:rsid w:val="00F9592B"/>
    <w:rsid w:val="00F959C8"/>
    <w:rsid w:val="00F95BB5"/>
    <w:rsid w:val="00F95E29"/>
    <w:rsid w:val="00F9607B"/>
    <w:rsid w:val="00F962B0"/>
    <w:rsid w:val="00F969A9"/>
    <w:rsid w:val="00F96B62"/>
    <w:rsid w:val="00F96E28"/>
    <w:rsid w:val="00F96EC9"/>
    <w:rsid w:val="00F970BE"/>
    <w:rsid w:val="00F973BE"/>
    <w:rsid w:val="00F97511"/>
    <w:rsid w:val="00F9792E"/>
    <w:rsid w:val="00F979BF"/>
    <w:rsid w:val="00F97B48"/>
    <w:rsid w:val="00F97CB5"/>
    <w:rsid w:val="00FA001F"/>
    <w:rsid w:val="00FA013F"/>
    <w:rsid w:val="00FA0522"/>
    <w:rsid w:val="00FA099F"/>
    <w:rsid w:val="00FA0C75"/>
    <w:rsid w:val="00FA0D01"/>
    <w:rsid w:val="00FA0FE1"/>
    <w:rsid w:val="00FA115B"/>
    <w:rsid w:val="00FA14BA"/>
    <w:rsid w:val="00FA163D"/>
    <w:rsid w:val="00FA17F9"/>
    <w:rsid w:val="00FA18C1"/>
    <w:rsid w:val="00FA19C5"/>
    <w:rsid w:val="00FA1AE2"/>
    <w:rsid w:val="00FA1B85"/>
    <w:rsid w:val="00FA1EFA"/>
    <w:rsid w:val="00FA252D"/>
    <w:rsid w:val="00FA2635"/>
    <w:rsid w:val="00FA2662"/>
    <w:rsid w:val="00FA26BE"/>
    <w:rsid w:val="00FA26E7"/>
    <w:rsid w:val="00FA3534"/>
    <w:rsid w:val="00FA3789"/>
    <w:rsid w:val="00FA37B9"/>
    <w:rsid w:val="00FA3947"/>
    <w:rsid w:val="00FA3E06"/>
    <w:rsid w:val="00FA4612"/>
    <w:rsid w:val="00FA48B0"/>
    <w:rsid w:val="00FA48E7"/>
    <w:rsid w:val="00FA4AD4"/>
    <w:rsid w:val="00FA4E1C"/>
    <w:rsid w:val="00FA513C"/>
    <w:rsid w:val="00FA5196"/>
    <w:rsid w:val="00FA5231"/>
    <w:rsid w:val="00FA541D"/>
    <w:rsid w:val="00FA5501"/>
    <w:rsid w:val="00FA5928"/>
    <w:rsid w:val="00FA5A93"/>
    <w:rsid w:val="00FA5DE4"/>
    <w:rsid w:val="00FA649C"/>
    <w:rsid w:val="00FA6527"/>
    <w:rsid w:val="00FA655E"/>
    <w:rsid w:val="00FA6560"/>
    <w:rsid w:val="00FA67A1"/>
    <w:rsid w:val="00FA693E"/>
    <w:rsid w:val="00FA69E9"/>
    <w:rsid w:val="00FA6A2A"/>
    <w:rsid w:val="00FA6E9A"/>
    <w:rsid w:val="00FA6EDE"/>
    <w:rsid w:val="00FA7094"/>
    <w:rsid w:val="00FA7647"/>
    <w:rsid w:val="00FA76C9"/>
    <w:rsid w:val="00FA76CE"/>
    <w:rsid w:val="00FA79D6"/>
    <w:rsid w:val="00FA7A98"/>
    <w:rsid w:val="00FA7B2E"/>
    <w:rsid w:val="00FA7F43"/>
    <w:rsid w:val="00FB0115"/>
    <w:rsid w:val="00FB044B"/>
    <w:rsid w:val="00FB05BD"/>
    <w:rsid w:val="00FB084F"/>
    <w:rsid w:val="00FB0879"/>
    <w:rsid w:val="00FB0971"/>
    <w:rsid w:val="00FB0C31"/>
    <w:rsid w:val="00FB0EE7"/>
    <w:rsid w:val="00FB12BD"/>
    <w:rsid w:val="00FB15E2"/>
    <w:rsid w:val="00FB1989"/>
    <w:rsid w:val="00FB19A8"/>
    <w:rsid w:val="00FB1A53"/>
    <w:rsid w:val="00FB1AA4"/>
    <w:rsid w:val="00FB2341"/>
    <w:rsid w:val="00FB255D"/>
    <w:rsid w:val="00FB2602"/>
    <w:rsid w:val="00FB2772"/>
    <w:rsid w:val="00FB2A88"/>
    <w:rsid w:val="00FB2D78"/>
    <w:rsid w:val="00FB2FA2"/>
    <w:rsid w:val="00FB2FC5"/>
    <w:rsid w:val="00FB314B"/>
    <w:rsid w:val="00FB32CE"/>
    <w:rsid w:val="00FB3339"/>
    <w:rsid w:val="00FB358F"/>
    <w:rsid w:val="00FB36D0"/>
    <w:rsid w:val="00FB3881"/>
    <w:rsid w:val="00FB39F1"/>
    <w:rsid w:val="00FB3A67"/>
    <w:rsid w:val="00FB3D17"/>
    <w:rsid w:val="00FB3E56"/>
    <w:rsid w:val="00FB3FB9"/>
    <w:rsid w:val="00FB421E"/>
    <w:rsid w:val="00FB4437"/>
    <w:rsid w:val="00FB4593"/>
    <w:rsid w:val="00FB473F"/>
    <w:rsid w:val="00FB48A6"/>
    <w:rsid w:val="00FB4918"/>
    <w:rsid w:val="00FB4A00"/>
    <w:rsid w:val="00FB4CC9"/>
    <w:rsid w:val="00FB4D01"/>
    <w:rsid w:val="00FB4D44"/>
    <w:rsid w:val="00FB4D89"/>
    <w:rsid w:val="00FB4EE1"/>
    <w:rsid w:val="00FB5952"/>
    <w:rsid w:val="00FB5DBC"/>
    <w:rsid w:val="00FB6203"/>
    <w:rsid w:val="00FB6297"/>
    <w:rsid w:val="00FB62E0"/>
    <w:rsid w:val="00FB6783"/>
    <w:rsid w:val="00FB67F4"/>
    <w:rsid w:val="00FB685B"/>
    <w:rsid w:val="00FB6E92"/>
    <w:rsid w:val="00FB6F34"/>
    <w:rsid w:val="00FB6F44"/>
    <w:rsid w:val="00FB778F"/>
    <w:rsid w:val="00FB77C8"/>
    <w:rsid w:val="00FB7CDA"/>
    <w:rsid w:val="00FB7DAA"/>
    <w:rsid w:val="00FB7DD0"/>
    <w:rsid w:val="00FB7E89"/>
    <w:rsid w:val="00FC0244"/>
    <w:rsid w:val="00FC0305"/>
    <w:rsid w:val="00FC08A3"/>
    <w:rsid w:val="00FC08AA"/>
    <w:rsid w:val="00FC08EB"/>
    <w:rsid w:val="00FC11F6"/>
    <w:rsid w:val="00FC13AA"/>
    <w:rsid w:val="00FC147B"/>
    <w:rsid w:val="00FC148B"/>
    <w:rsid w:val="00FC17BD"/>
    <w:rsid w:val="00FC185A"/>
    <w:rsid w:val="00FC19EB"/>
    <w:rsid w:val="00FC1BA0"/>
    <w:rsid w:val="00FC1BFA"/>
    <w:rsid w:val="00FC1DBA"/>
    <w:rsid w:val="00FC1DCE"/>
    <w:rsid w:val="00FC1E06"/>
    <w:rsid w:val="00FC213F"/>
    <w:rsid w:val="00FC2258"/>
    <w:rsid w:val="00FC2730"/>
    <w:rsid w:val="00FC27E8"/>
    <w:rsid w:val="00FC3046"/>
    <w:rsid w:val="00FC3209"/>
    <w:rsid w:val="00FC3970"/>
    <w:rsid w:val="00FC3A8B"/>
    <w:rsid w:val="00FC3B1B"/>
    <w:rsid w:val="00FC3B83"/>
    <w:rsid w:val="00FC3C7E"/>
    <w:rsid w:val="00FC3C8D"/>
    <w:rsid w:val="00FC3CBE"/>
    <w:rsid w:val="00FC3DCD"/>
    <w:rsid w:val="00FC405B"/>
    <w:rsid w:val="00FC45EF"/>
    <w:rsid w:val="00FC47CC"/>
    <w:rsid w:val="00FC4B4B"/>
    <w:rsid w:val="00FC4BD2"/>
    <w:rsid w:val="00FC4F77"/>
    <w:rsid w:val="00FC525E"/>
    <w:rsid w:val="00FC5369"/>
    <w:rsid w:val="00FC5855"/>
    <w:rsid w:val="00FC59A1"/>
    <w:rsid w:val="00FC5C90"/>
    <w:rsid w:val="00FC5E9D"/>
    <w:rsid w:val="00FC5F67"/>
    <w:rsid w:val="00FC6042"/>
    <w:rsid w:val="00FC6253"/>
    <w:rsid w:val="00FC6287"/>
    <w:rsid w:val="00FC6365"/>
    <w:rsid w:val="00FC64D0"/>
    <w:rsid w:val="00FC65A7"/>
    <w:rsid w:val="00FC6678"/>
    <w:rsid w:val="00FC679F"/>
    <w:rsid w:val="00FC685E"/>
    <w:rsid w:val="00FC6A32"/>
    <w:rsid w:val="00FC6D8C"/>
    <w:rsid w:val="00FC7204"/>
    <w:rsid w:val="00FC7555"/>
    <w:rsid w:val="00FC757A"/>
    <w:rsid w:val="00FC75F7"/>
    <w:rsid w:val="00FC76EB"/>
    <w:rsid w:val="00FC78A4"/>
    <w:rsid w:val="00FC79B7"/>
    <w:rsid w:val="00FD0001"/>
    <w:rsid w:val="00FD014C"/>
    <w:rsid w:val="00FD0188"/>
    <w:rsid w:val="00FD0318"/>
    <w:rsid w:val="00FD0A83"/>
    <w:rsid w:val="00FD1109"/>
    <w:rsid w:val="00FD11F1"/>
    <w:rsid w:val="00FD154E"/>
    <w:rsid w:val="00FD1874"/>
    <w:rsid w:val="00FD1E61"/>
    <w:rsid w:val="00FD1EEE"/>
    <w:rsid w:val="00FD2141"/>
    <w:rsid w:val="00FD23CA"/>
    <w:rsid w:val="00FD263C"/>
    <w:rsid w:val="00FD2788"/>
    <w:rsid w:val="00FD2832"/>
    <w:rsid w:val="00FD28B6"/>
    <w:rsid w:val="00FD28CF"/>
    <w:rsid w:val="00FD291A"/>
    <w:rsid w:val="00FD296A"/>
    <w:rsid w:val="00FD2AFD"/>
    <w:rsid w:val="00FD2EE9"/>
    <w:rsid w:val="00FD3124"/>
    <w:rsid w:val="00FD3702"/>
    <w:rsid w:val="00FD3997"/>
    <w:rsid w:val="00FD3BF5"/>
    <w:rsid w:val="00FD3C49"/>
    <w:rsid w:val="00FD3D0D"/>
    <w:rsid w:val="00FD3FF3"/>
    <w:rsid w:val="00FD439D"/>
    <w:rsid w:val="00FD446F"/>
    <w:rsid w:val="00FD4788"/>
    <w:rsid w:val="00FD479F"/>
    <w:rsid w:val="00FD4B10"/>
    <w:rsid w:val="00FD4CC9"/>
    <w:rsid w:val="00FD4E45"/>
    <w:rsid w:val="00FD4E9F"/>
    <w:rsid w:val="00FD505D"/>
    <w:rsid w:val="00FD555E"/>
    <w:rsid w:val="00FD56AD"/>
    <w:rsid w:val="00FD5B7B"/>
    <w:rsid w:val="00FD5BF9"/>
    <w:rsid w:val="00FD5C42"/>
    <w:rsid w:val="00FD5E9F"/>
    <w:rsid w:val="00FD61DA"/>
    <w:rsid w:val="00FD648B"/>
    <w:rsid w:val="00FD64C4"/>
    <w:rsid w:val="00FD681A"/>
    <w:rsid w:val="00FD7515"/>
    <w:rsid w:val="00FD76B1"/>
    <w:rsid w:val="00FD777A"/>
    <w:rsid w:val="00FD7884"/>
    <w:rsid w:val="00FD7A5A"/>
    <w:rsid w:val="00FD7D2E"/>
    <w:rsid w:val="00FE04B8"/>
    <w:rsid w:val="00FE04E2"/>
    <w:rsid w:val="00FE04E6"/>
    <w:rsid w:val="00FE05D6"/>
    <w:rsid w:val="00FE06E0"/>
    <w:rsid w:val="00FE0A1D"/>
    <w:rsid w:val="00FE0AE2"/>
    <w:rsid w:val="00FE0B9E"/>
    <w:rsid w:val="00FE0DAE"/>
    <w:rsid w:val="00FE107D"/>
    <w:rsid w:val="00FE1176"/>
    <w:rsid w:val="00FE1249"/>
    <w:rsid w:val="00FE128D"/>
    <w:rsid w:val="00FE1414"/>
    <w:rsid w:val="00FE15F2"/>
    <w:rsid w:val="00FE1629"/>
    <w:rsid w:val="00FE2184"/>
    <w:rsid w:val="00FE21B3"/>
    <w:rsid w:val="00FE2333"/>
    <w:rsid w:val="00FE2372"/>
    <w:rsid w:val="00FE2789"/>
    <w:rsid w:val="00FE27C4"/>
    <w:rsid w:val="00FE27F4"/>
    <w:rsid w:val="00FE29DB"/>
    <w:rsid w:val="00FE2A6B"/>
    <w:rsid w:val="00FE30F6"/>
    <w:rsid w:val="00FE3ABA"/>
    <w:rsid w:val="00FE3FF7"/>
    <w:rsid w:val="00FE436E"/>
    <w:rsid w:val="00FE4479"/>
    <w:rsid w:val="00FE44C9"/>
    <w:rsid w:val="00FE4A60"/>
    <w:rsid w:val="00FE4C3C"/>
    <w:rsid w:val="00FE4CD8"/>
    <w:rsid w:val="00FE4CEB"/>
    <w:rsid w:val="00FE4D9B"/>
    <w:rsid w:val="00FE4DAF"/>
    <w:rsid w:val="00FE4E8D"/>
    <w:rsid w:val="00FE5090"/>
    <w:rsid w:val="00FE546C"/>
    <w:rsid w:val="00FE5540"/>
    <w:rsid w:val="00FE560B"/>
    <w:rsid w:val="00FE56E8"/>
    <w:rsid w:val="00FE58E7"/>
    <w:rsid w:val="00FE5B80"/>
    <w:rsid w:val="00FE5F3B"/>
    <w:rsid w:val="00FE6021"/>
    <w:rsid w:val="00FE634B"/>
    <w:rsid w:val="00FE6358"/>
    <w:rsid w:val="00FE63FD"/>
    <w:rsid w:val="00FE65CE"/>
    <w:rsid w:val="00FE6BE3"/>
    <w:rsid w:val="00FE6C8D"/>
    <w:rsid w:val="00FE6E9B"/>
    <w:rsid w:val="00FE6EB2"/>
    <w:rsid w:val="00FE6F69"/>
    <w:rsid w:val="00FE725A"/>
    <w:rsid w:val="00FE75C1"/>
    <w:rsid w:val="00FE7F15"/>
    <w:rsid w:val="00FF02A0"/>
    <w:rsid w:val="00FF05EF"/>
    <w:rsid w:val="00FF0A05"/>
    <w:rsid w:val="00FF0AB8"/>
    <w:rsid w:val="00FF0CFB"/>
    <w:rsid w:val="00FF103B"/>
    <w:rsid w:val="00FF1095"/>
    <w:rsid w:val="00FF1163"/>
    <w:rsid w:val="00FF1338"/>
    <w:rsid w:val="00FF1389"/>
    <w:rsid w:val="00FF13DC"/>
    <w:rsid w:val="00FF15EF"/>
    <w:rsid w:val="00FF16BE"/>
    <w:rsid w:val="00FF17F6"/>
    <w:rsid w:val="00FF184F"/>
    <w:rsid w:val="00FF1A7B"/>
    <w:rsid w:val="00FF1FCE"/>
    <w:rsid w:val="00FF208B"/>
    <w:rsid w:val="00FF2122"/>
    <w:rsid w:val="00FF2163"/>
    <w:rsid w:val="00FF2237"/>
    <w:rsid w:val="00FF240A"/>
    <w:rsid w:val="00FF2A5D"/>
    <w:rsid w:val="00FF2ADE"/>
    <w:rsid w:val="00FF2B19"/>
    <w:rsid w:val="00FF2D1C"/>
    <w:rsid w:val="00FF2D24"/>
    <w:rsid w:val="00FF2D6C"/>
    <w:rsid w:val="00FF31F8"/>
    <w:rsid w:val="00FF360A"/>
    <w:rsid w:val="00FF3B8E"/>
    <w:rsid w:val="00FF40ED"/>
    <w:rsid w:val="00FF4194"/>
    <w:rsid w:val="00FF41AC"/>
    <w:rsid w:val="00FF4B37"/>
    <w:rsid w:val="00FF501E"/>
    <w:rsid w:val="00FF50A1"/>
    <w:rsid w:val="00FF5327"/>
    <w:rsid w:val="00FF57DF"/>
    <w:rsid w:val="00FF6347"/>
    <w:rsid w:val="00FF65A5"/>
    <w:rsid w:val="00FF65BA"/>
    <w:rsid w:val="00FF6663"/>
    <w:rsid w:val="00FF6BB8"/>
    <w:rsid w:val="00FF6BBB"/>
    <w:rsid w:val="00FF6C3D"/>
    <w:rsid w:val="00FF701E"/>
    <w:rsid w:val="00FF744F"/>
    <w:rsid w:val="00FF761B"/>
    <w:rsid w:val="00FF7AE4"/>
    <w:rsid w:val="00FF7AFA"/>
    <w:rsid w:val="00FF7C6D"/>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1D431EF3"/>
  <w15:docId w15:val="{6744C4BB-C5A0-4EF2-ACBB-D1429FE3F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6550"/>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3">
    <w:name w:val="heading 3"/>
    <w:basedOn w:val="Normale"/>
    <w:next w:val="Normale"/>
    <w:link w:val="Titolo3Carattere"/>
    <w:unhideWhenUsed/>
    <w:qFormat/>
    <w:locked/>
    <w:rsid w:val="00931087"/>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407D29"/>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iPriority w:val="99"/>
    <w:semiHidden/>
    <w:unhideWhenUsed/>
    <w:rsid w:val="00407D29"/>
    <w:rPr>
      <w:b/>
      <w:bCs/>
    </w:rPr>
  </w:style>
  <w:style w:type="character" w:customStyle="1" w:styleId="SoggettocommentoCarattere">
    <w:name w:val="Soggetto commento Carattere"/>
    <w:link w:val="Soggettocommento"/>
    <w:uiPriority w:val="99"/>
    <w:semiHidden/>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CC0BEA"/>
    <w:pPr>
      <w:pBdr>
        <w:bottom w:val="single" w:sz="18" w:space="1" w:color="E426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CC0BEA"/>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Paragrafoelenco">
    <w:name w:val="List Paragraph"/>
    <w:basedOn w:val="Normale"/>
    <w:uiPriority w:val="34"/>
    <w:qFormat/>
    <w:rsid w:val="002E15DD"/>
    <w:pPr>
      <w:ind w:left="720"/>
      <w:contextualSpacing/>
    </w:pPr>
  </w:style>
  <w:style w:type="character" w:customStyle="1" w:styleId="Titolo3Carattere">
    <w:name w:val="Titolo 3 Carattere"/>
    <w:basedOn w:val="Carpredefinitoparagrafo"/>
    <w:link w:val="Titolo3"/>
    <w:rsid w:val="00931087"/>
    <w:rPr>
      <w:rFonts w:asciiTheme="majorHAnsi" w:eastAsiaTheme="majorEastAsia" w:hAnsiTheme="majorHAnsi" w:cstheme="majorBidi"/>
      <w:b/>
      <w:bCs/>
      <w:color w:val="4F81BD" w:themeColor="accent1"/>
      <w:kern w:val="28"/>
    </w:rPr>
  </w:style>
  <w:style w:type="character" w:styleId="Collegamentovisitato">
    <w:name w:val="FollowedHyperlink"/>
    <w:basedOn w:val="Carpredefinitoparagrafo"/>
    <w:uiPriority w:val="99"/>
    <w:semiHidden/>
    <w:unhideWhenUsed/>
    <w:rsid w:val="00307657"/>
    <w:rPr>
      <w:color w:val="800080" w:themeColor="followedHyperlink"/>
      <w:u w:val="single"/>
    </w:rPr>
  </w:style>
  <w:style w:type="paragraph" w:styleId="Revisione">
    <w:name w:val="Revision"/>
    <w:hidden/>
    <w:uiPriority w:val="71"/>
    <w:rsid w:val="00307657"/>
    <w:rPr>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4750334">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75593832">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17978310">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44344896">
      <w:bodyDiv w:val="1"/>
      <w:marLeft w:val="0"/>
      <w:marRight w:val="0"/>
      <w:marTop w:val="0"/>
      <w:marBottom w:val="0"/>
      <w:divBdr>
        <w:top w:val="none" w:sz="0" w:space="0" w:color="auto"/>
        <w:left w:val="none" w:sz="0" w:space="0" w:color="auto"/>
        <w:bottom w:val="none" w:sz="0" w:space="0" w:color="auto"/>
        <w:right w:val="none" w:sz="0" w:space="0" w:color="auto"/>
      </w:divBdr>
    </w:div>
    <w:div w:id="252589012">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53579130">
      <w:bodyDiv w:val="1"/>
      <w:marLeft w:val="0"/>
      <w:marRight w:val="0"/>
      <w:marTop w:val="0"/>
      <w:marBottom w:val="0"/>
      <w:divBdr>
        <w:top w:val="none" w:sz="0" w:space="0" w:color="auto"/>
        <w:left w:val="none" w:sz="0" w:space="0" w:color="auto"/>
        <w:bottom w:val="none" w:sz="0" w:space="0" w:color="auto"/>
        <w:right w:val="none" w:sz="0" w:space="0" w:color="auto"/>
      </w:divBdr>
    </w:div>
    <w:div w:id="368846764">
      <w:bodyDiv w:val="1"/>
      <w:marLeft w:val="0"/>
      <w:marRight w:val="0"/>
      <w:marTop w:val="0"/>
      <w:marBottom w:val="0"/>
      <w:divBdr>
        <w:top w:val="none" w:sz="0" w:space="0" w:color="auto"/>
        <w:left w:val="none" w:sz="0" w:space="0" w:color="auto"/>
        <w:bottom w:val="none" w:sz="0" w:space="0" w:color="auto"/>
        <w:right w:val="none" w:sz="0" w:space="0" w:color="auto"/>
      </w:divBdr>
    </w:div>
    <w:div w:id="378476468">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23695070">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09564330">
      <w:bodyDiv w:val="1"/>
      <w:marLeft w:val="0"/>
      <w:marRight w:val="0"/>
      <w:marTop w:val="0"/>
      <w:marBottom w:val="0"/>
      <w:divBdr>
        <w:top w:val="none" w:sz="0" w:space="0" w:color="auto"/>
        <w:left w:val="none" w:sz="0" w:space="0" w:color="auto"/>
        <w:bottom w:val="none" w:sz="0" w:space="0" w:color="auto"/>
        <w:right w:val="none" w:sz="0" w:space="0" w:color="auto"/>
      </w:divBdr>
    </w:div>
    <w:div w:id="510221207">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598607199">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098433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3602440">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60948896">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798761380">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20541236">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54880442">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5583641">
      <w:bodyDiv w:val="1"/>
      <w:marLeft w:val="0"/>
      <w:marRight w:val="0"/>
      <w:marTop w:val="0"/>
      <w:marBottom w:val="0"/>
      <w:divBdr>
        <w:top w:val="none" w:sz="0" w:space="0" w:color="auto"/>
        <w:left w:val="none" w:sz="0" w:space="0" w:color="auto"/>
        <w:bottom w:val="none" w:sz="0" w:space="0" w:color="auto"/>
        <w:right w:val="none" w:sz="0" w:space="0" w:color="auto"/>
      </w:divBdr>
    </w:div>
    <w:div w:id="880747628">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12663943">
      <w:bodyDiv w:val="1"/>
      <w:marLeft w:val="0"/>
      <w:marRight w:val="0"/>
      <w:marTop w:val="0"/>
      <w:marBottom w:val="0"/>
      <w:divBdr>
        <w:top w:val="none" w:sz="0" w:space="0" w:color="auto"/>
        <w:left w:val="none" w:sz="0" w:space="0" w:color="auto"/>
        <w:bottom w:val="none" w:sz="0" w:space="0" w:color="auto"/>
        <w:right w:val="none" w:sz="0" w:space="0" w:color="auto"/>
      </w:divBdr>
    </w:div>
    <w:div w:id="913321603">
      <w:bodyDiv w:val="1"/>
      <w:marLeft w:val="0"/>
      <w:marRight w:val="0"/>
      <w:marTop w:val="0"/>
      <w:marBottom w:val="0"/>
      <w:divBdr>
        <w:top w:val="none" w:sz="0" w:space="0" w:color="auto"/>
        <w:left w:val="none" w:sz="0" w:space="0" w:color="auto"/>
        <w:bottom w:val="none" w:sz="0" w:space="0" w:color="auto"/>
        <w:right w:val="none" w:sz="0" w:space="0" w:color="auto"/>
      </w:divBdr>
    </w:div>
    <w:div w:id="939801416">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33845968">
      <w:bodyDiv w:val="1"/>
      <w:marLeft w:val="0"/>
      <w:marRight w:val="0"/>
      <w:marTop w:val="0"/>
      <w:marBottom w:val="0"/>
      <w:divBdr>
        <w:top w:val="none" w:sz="0" w:space="0" w:color="auto"/>
        <w:left w:val="none" w:sz="0" w:space="0" w:color="auto"/>
        <w:bottom w:val="none" w:sz="0" w:space="0" w:color="auto"/>
        <w:right w:val="none" w:sz="0" w:space="0" w:color="auto"/>
      </w:divBdr>
      <w:divsChild>
        <w:div w:id="1088041986">
          <w:marLeft w:val="0"/>
          <w:marRight w:val="0"/>
          <w:marTop w:val="0"/>
          <w:marBottom w:val="0"/>
          <w:divBdr>
            <w:top w:val="none" w:sz="0" w:space="0" w:color="auto"/>
            <w:left w:val="none" w:sz="0" w:space="0" w:color="auto"/>
            <w:bottom w:val="none" w:sz="0" w:space="0" w:color="auto"/>
            <w:right w:val="none" w:sz="0" w:space="0" w:color="auto"/>
          </w:divBdr>
        </w:div>
      </w:divsChild>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065376930">
      <w:bodyDiv w:val="1"/>
      <w:marLeft w:val="0"/>
      <w:marRight w:val="0"/>
      <w:marTop w:val="0"/>
      <w:marBottom w:val="0"/>
      <w:divBdr>
        <w:top w:val="none" w:sz="0" w:space="0" w:color="auto"/>
        <w:left w:val="none" w:sz="0" w:space="0" w:color="auto"/>
        <w:bottom w:val="none" w:sz="0" w:space="0" w:color="auto"/>
        <w:right w:val="none" w:sz="0" w:space="0" w:color="auto"/>
      </w:divBdr>
    </w:div>
    <w:div w:id="1135608306">
      <w:bodyDiv w:val="1"/>
      <w:marLeft w:val="0"/>
      <w:marRight w:val="0"/>
      <w:marTop w:val="0"/>
      <w:marBottom w:val="0"/>
      <w:divBdr>
        <w:top w:val="none" w:sz="0" w:space="0" w:color="auto"/>
        <w:left w:val="none" w:sz="0" w:space="0" w:color="auto"/>
        <w:bottom w:val="none" w:sz="0" w:space="0" w:color="auto"/>
        <w:right w:val="none" w:sz="0" w:space="0" w:color="auto"/>
      </w:divBdr>
    </w:div>
    <w:div w:id="1138302868">
      <w:bodyDiv w:val="1"/>
      <w:marLeft w:val="0"/>
      <w:marRight w:val="0"/>
      <w:marTop w:val="0"/>
      <w:marBottom w:val="0"/>
      <w:divBdr>
        <w:top w:val="none" w:sz="0" w:space="0" w:color="auto"/>
        <w:left w:val="none" w:sz="0" w:space="0" w:color="auto"/>
        <w:bottom w:val="none" w:sz="0" w:space="0" w:color="auto"/>
        <w:right w:val="none" w:sz="0" w:space="0" w:color="auto"/>
      </w:divBdr>
    </w:div>
    <w:div w:id="1168522307">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71565996">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21177192">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48029264">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1449103">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20394873">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782605394">
      <w:bodyDiv w:val="1"/>
      <w:marLeft w:val="0"/>
      <w:marRight w:val="0"/>
      <w:marTop w:val="0"/>
      <w:marBottom w:val="0"/>
      <w:divBdr>
        <w:top w:val="none" w:sz="0" w:space="0" w:color="auto"/>
        <w:left w:val="none" w:sz="0" w:space="0" w:color="auto"/>
        <w:bottom w:val="none" w:sz="0" w:space="0" w:color="auto"/>
        <w:right w:val="none" w:sz="0" w:space="0" w:color="auto"/>
      </w:divBdr>
      <w:divsChild>
        <w:div w:id="189226520">
          <w:marLeft w:val="0"/>
          <w:marRight w:val="0"/>
          <w:marTop w:val="0"/>
          <w:marBottom w:val="0"/>
          <w:divBdr>
            <w:top w:val="none" w:sz="0" w:space="0" w:color="auto"/>
            <w:left w:val="none" w:sz="0" w:space="0" w:color="auto"/>
            <w:bottom w:val="none" w:sz="0" w:space="0" w:color="auto"/>
            <w:right w:val="none" w:sz="0" w:space="0" w:color="auto"/>
          </w:divBdr>
        </w:div>
      </w:divsChild>
    </w:div>
    <w:div w:id="1817454852">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65555478">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23487114">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39755028">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7897202">
      <w:bodyDiv w:val="1"/>
      <w:marLeft w:val="0"/>
      <w:marRight w:val="0"/>
      <w:marTop w:val="0"/>
      <w:marBottom w:val="0"/>
      <w:divBdr>
        <w:top w:val="none" w:sz="0" w:space="0" w:color="auto"/>
        <w:left w:val="none" w:sz="0" w:space="0" w:color="auto"/>
        <w:bottom w:val="none" w:sz="0" w:space="0" w:color="auto"/>
        <w:right w:val="none" w:sz="0" w:space="0" w:color="auto"/>
      </w:divBdr>
    </w:div>
    <w:div w:id="2112627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hyperlink" Target="https://www.istat.it/it/informazioni-e-servizi/per-i-giornalisti/appuntamenti/calendario-diffusioni-ed-eventi" TargetMode="External"/><Relationship Id="rId21" Type="http://schemas.openxmlformats.org/officeDocument/2006/relationships/header" Target="header3.xml"/><Relationship Id="rId34" Type="http://schemas.openxmlformats.org/officeDocument/2006/relationships/hyperlink" Target="http://eur-lex.europa.eu/legal-content/IT/TXT/?uri=CELEX%3A32016R0792" TargetMode="External"/><Relationship Id="rId42" Type="http://schemas.openxmlformats.org/officeDocument/2006/relationships/hyperlink" Target="http://dati-congiuntura.istat.it/" TargetMode="External"/><Relationship Id="rId47" Type="http://schemas.openxmlformats.org/officeDocument/2006/relationships/header" Target="header7.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esploradati.istat.it/" TargetMode="External"/><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http://ec.europa.eu/eurostat/ramon/nomenclatures/index.cfm?TargetUrl=DSP_GEN_DESC_VIEW_NOHDR&amp;StrNom=COICOP_5&amp;StrLanguageCode=EN" TargetMode="External"/><Relationship Id="rId37" Type="http://schemas.openxmlformats.org/officeDocument/2006/relationships/hyperlink" Target="http://www.istat.it/it/congiuntura/revisioni" TargetMode="External"/><Relationship Id="rId40" Type="http://schemas.openxmlformats.org/officeDocument/2006/relationships/hyperlink" Target="https://www.istat.it/it/archivio/prezzi+al+consumo" TargetMode="External"/><Relationship Id="rId45" Type="http://schemas.openxmlformats.org/officeDocument/2006/relationships/hyperlink" Target="mailto:manuela.morricone@istat.it" TargetMode="Externa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hyperlink" Target="https://www.istat.it/it/files/2011/04/dlgs322.pdf"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ec.europa.eu/eurostat/data/database%2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hyperlink" Target="https://eur-lex.europa.eu/legal-content/IT/TXT/?uri=CELEX:32020R1148" TargetMode="External"/><Relationship Id="rId43" Type="http://schemas.openxmlformats.org/officeDocument/2006/relationships/hyperlink" Target="http://seriestoriche.istat.it/"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image" Target="media/image19.png"/><Relationship Id="rId46" Type="http://schemas.openxmlformats.org/officeDocument/2006/relationships/hyperlink" Target="mailto:alessandro.brunetti@istat.it" TargetMode="External"/><Relationship Id="rId20" Type="http://schemas.openxmlformats.org/officeDocument/2006/relationships/image" Target="media/image8.png"/><Relationship Id="rId41" Type="http://schemas.openxmlformats.org/officeDocument/2006/relationships/hyperlink" Target="https://esploradati.istat.it/"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dati.istat.it/" TargetMode="External"/><Relationship Id="rId2" Type="http://schemas.openxmlformats.org/officeDocument/2006/relationships/hyperlink" Target="http://ec.europa.eu/eurostat/documents/3859598/5926625/KS-RA-13-017-EN.PDF/59eb2c1c-da1f-472c-b191-3d0c76521f9b?version=1.0" TargetMode="External"/><Relationship Id="rId1" Type="http://schemas.openxmlformats.org/officeDocument/2006/relationships/hyperlink" Target="http://ec.europa.eu/eurostat/ramon/nomenclatures/index.cfm?TargetUrl=LST_NOM_DTL&amp;StrNom=HICP_2000&amp;StrLanguageCode=EN&amp;IntPcKey=&amp;StrLayoutCod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file:///G:\Users\enzalucia.vaccaro\My%20Documents\TESTATINE\ufficiostampa@istat.it" TargetMode="External"/><Relationship Id="rId7" Type="http://schemas.openxmlformats.org/officeDocument/2006/relationships/image" Target="media/image6.png"/><Relationship Id="rId2" Type="http://schemas.openxmlformats.org/officeDocument/2006/relationships/hyperlink" Target="https://contact.istat.it/s/?language=it" TargetMode="External"/><Relationship Id="rId1" Type="http://schemas.openxmlformats.org/officeDocument/2006/relationships/hyperlink" Target="http://www.istat.it" TargetMode="External"/><Relationship Id="rId6" Type="http://schemas.openxmlformats.org/officeDocument/2006/relationships/hyperlink" Target="file:///G:\Users\enzalucia.vaccaro\My%20Documents\TESTATINE\ufficiostampa@istat.it" TargetMode="External"/><Relationship Id="rId5" Type="http://schemas.openxmlformats.org/officeDocument/2006/relationships/hyperlink" Target="https://contact.istat.it/s/?language=it" TargetMode="External"/><Relationship Id="rId4" Type="http://schemas.openxmlformats.org/officeDocument/2006/relationships/hyperlink" Target="http://www.istat.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D47A1EC-2410-43DC-8477-27E106DC8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64FE95-CF30-41E6-AD59-CEA5A1395798}">
  <ds:schemaRefs>
    <ds:schemaRef ds:uri="http://schemas.openxmlformats.org/officeDocument/2006/bibliography"/>
  </ds:schemaRefs>
</ds:datastoreItem>
</file>

<file path=customXml/itemProps3.xml><?xml version="1.0" encoding="utf-8"?>
<ds:datastoreItem xmlns:ds="http://schemas.openxmlformats.org/officeDocument/2006/customXml" ds:itemID="{85D83F46-1395-4645-806B-91E455B2C2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E54356-5B5F-419C-B686-0B79A877A076}">
  <ds:schemaRefs>
    <ds:schemaRef ds:uri="http://schemas.microsoft.com/sharepoint/v3/contenttype/forms"/>
  </ds:schemaRefs>
</ds:datastoreItem>
</file>

<file path=customXml/itemProps5.xml><?xml version="1.0" encoding="utf-8"?>
<ds:datastoreItem xmlns:ds="http://schemas.openxmlformats.org/officeDocument/2006/customXml" ds:itemID="{E2E68921-35FA-472F-9A9B-31C6B1C2992E}">
  <ds:schemaRefs>
    <ds:schemaRef ds:uri="http://schemas.microsoft.com/office/2006/metadata/longProperties"/>
  </ds:schemaRefs>
</ds:datastoreItem>
</file>

<file path=customXml/itemProps6.xml><?xml version="1.0" encoding="utf-8"?>
<ds:datastoreItem xmlns:ds="http://schemas.openxmlformats.org/officeDocument/2006/customXml" ds:itemID="{D06F6CA5-FB0D-431F-8457-B546C50DE59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10904</Words>
  <Characters>62156</Characters>
  <Application>Microsoft Office Word</Application>
  <DocSecurity>0</DocSecurity>
  <Lines>517</Lines>
  <Paragraphs>145</Paragraphs>
  <ScaleCrop>false</ScaleCrop>
  <HeadingPairs>
    <vt:vector size="2" baseType="variant">
      <vt:variant>
        <vt:lpstr>Titolo</vt:lpstr>
      </vt:variant>
      <vt:variant>
        <vt:i4>1</vt:i4>
      </vt:variant>
    </vt:vector>
  </HeadingPairs>
  <TitlesOfParts>
    <vt:vector size="1" baseType="lpstr">
      <vt:lpstr>Prezzi al consumo</vt:lpstr>
    </vt:vector>
  </TitlesOfParts>
  <Company>HP</Company>
  <LinksUpToDate>false</LinksUpToDate>
  <CharactersWithSpaces>72915</CharactersWithSpaces>
  <SharedDoc>false</SharedDoc>
  <HLinks>
    <vt:vector size="102" baseType="variant">
      <vt:variant>
        <vt:i4>7340157</vt:i4>
      </vt:variant>
      <vt:variant>
        <vt:i4>63</vt:i4>
      </vt:variant>
      <vt:variant>
        <vt:i4>0</vt:i4>
      </vt:variant>
      <vt:variant>
        <vt:i4>5</vt:i4>
      </vt:variant>
      <vt:variant>
        <vt:lpwstr>http://ec.europa.eu/eurostat/data/database</vt:lpwstr>
      </vt:variant>
      <vt:variant>
        <vt:lpwstr/>
      </vt:variant>
      <vt:variant>
        <vt:i4>6291582</vt:i4>
      </vt:variant>
      <vt:variant>
        <vt:i4>60</vt:i4>
      </vt:variant>
      <vt:variant>
        <vt:i4>0</vt:i4>
      </vt:variant>
      <vt:variant>
        <vt:i4>5</vt:i4>
      </vt:variant>
      <vt:variant>
        <vt:lpwstr>http://seriestoriche.istat.it/</vt:lpwstr>
      </vt:variant>
      <vt:variant>
        <vt:lpwstr/>
      </vt:variant>
      <vt:variant>
        <vt:i4>720927</vt:i4>
      </vt:variant>
      <vt:variant>
        <vt:i4>57</vt:i4>
      </vt:variant>
      <vt:variant>
        <vt:i4>0</vt:i4>
      </vt:variant>
      <vt:variant>
        <vt:i4>5</vt:i4>
      </vt:variant>
      <vt:variant>
        <vt:lpwstr>http://dati-congiuntura.istat.it/</vt:lpwstr>
      </vt:variant>
      <vt:variant>
        <vt:lpwstr/>
      </vt:variant>
      <vt:variant>
        <vt:i4>6094849</vt:i4>
      </vt:variant>
      <vt:variant>
        <vt:i4>54</vt:i4>
      </vt:variant>
      <vt:variant>
        <vt:i4>0</vt:i4>
      </vt:variant>
      <vt:variant>
        <vt:i4>5</vt:i4>
      </vt:variant>
      <vt:variant>
        <vt:lpwstr>http://dati.istat.it/</vt:lpwstr>
      </vt:variant>
      <vt:variant>
        <vt:lpwstr/>
      </vt:variant>
      <vt:variant>
        <vt:i4>2031702</vt:i4>
      </vt:variant>
      <vt:variant>
        <vt:i4>51</vt:i4>
      </vt:variant>
      <vt:variant>
        <vt:i4>0</vt:i4>
      </vt:variant>
      <vt:variant>
        <vt:i4>5</vt:i4>
      </vt:variant>
      <vt:variant>
        <vt:lpwstr>http://www.istat.it/it/prezzi</vt:lpwstr>
      </vt:variant>
      <vt:variant>
        <vt:lpwstr/>
      </vt:variant>
      <vt:variant>
        <vt:i4>5832734</vt:i4>
      </vt:variant>
      <vt:variant>
        <vt:i4>48</vt:i4>
      </vt:variant>
      <vt:variant>
        <vt:i4>0</vt:i4>
      </vt:variant>
      <vt:variant>
        <vt:i4>5</vt:i4>
      </vt:variant>
      <vt:variant>
        <vt:lpwstr>https://www.istat.it/it/informazioni-e-servizi/per-i-giornalisti/appuntamenti/calendario-diffusioni-ed-eventi</vt:lpwstr>
      </vt:variant>
      <vt:variant>
        <vt:lpwstr/>
      </vt:variant>
      <vt:variant>
        <vt:i4>2031617</vt:i4>
      </vt:variant>
      <vt:variant>
        <vt:i4>42</vt:i4>
      </vt:variant>
      <vt:variant>
        <vt:i4>0</vt:i4>
      </vt:variant>
      <vt:variant>
        <vt:i4>5</vt:i4>
      </vt:variant>
      <vt:variant>
        <vt:lpwstr>http://www.istat.it/it/congiuntura/revisioni</vt:lpwstr>
      </vt:variant>
      <vt:variant>
        <vt:lpwstr/>
      </vt:variant>
      <vt:variant>
        <vt:i4>7012425</vt:i4>
      </vt:variant>
      <vt:variant>
        <vt:i4>39</vt:i4>
      </vt:variant>
      <vt:variant>
        <vt:i4>0</vt:i4>
      </vt:variant>
      <vt:variant>
        <vt:i4>5</vt:i4>
      </vt:variant>
      <vt:variant>
        <vt:lpwstr>http://siqual.istat.it/SIQual/files/impo_reg330_2009_it.pdf?cod=13472&amp;tipo=2</vt:lpwstr>
      </vt:variant>
      <vt:variant>
        <vt:lpwstr/>
      </vt:variant>
      <vt:variant>
        <vt:i4>1704030</vt:i4>
      </vt:variant>
      <vt:variant>
        <vt:i4>36</vt:i4>
      </vt:variant>
      <vt:variant>
        <vt:i4>0</vt:i4>
      </vt:variant>
      <vt:variant>
        <vt:i4>5</vt:i4>
      </vt:variant>
      <vt:variant>
        <vt:lpwstr>http://eur-lex.europa.eu/legal-content/IT/TXT/?uri=CELEX%3A32016R0792</vt:lpwstr>
      </vt:variant>
      <vt:variant>
        <vt:lpwstr/>
      </vt:variant>
      <vt:variant>
        <vt:i4>1835016</vt:i4>
      </vt:variant>
      <vt:variant>
        <vt:i4>33</vt:i4>
      </vt:variant>
      <vt:variant>
        <vt:i4>0</vt:i4>
      </vt:variant>
      <vt:variant>
        <vt:i4>5</vt:i4>
      </vt:variant>
      <vt:variant>
        <vt:lpwstr>https://www.istat.it/it/files/2011/04/dlgs322.pdf</vt:lpwstr>
      </vt:variant>
      <vt:variant>
        <vt:lpwstr/>
      </vt:variant>
      <vt:variant>
        <vt:i4>1704030</vt:i4>
      </vt:variant>
      <vt:variant>
        <vt:i4>30</vt:i4>
      </vt:variant>
      <vt:variant>
        <vt:i4>0</vt:i4>
      </vt:variant>
      <vt:variant>
        <vt:i4>5</vt:i4>
      </vt:variant>
      <vt:variant>
        <vt:lpwstr>http://eur-lex.europa.eu/legal-content/IT/TXT/?uri=CELEX%3A32016R0792</vt:lpwstr>
      </vt:variant>
      <vt:variant>
        <vt:lpwstr/>
      </vt:variant>
      <vt:variant>
        <vt:i4>393327</vt:i4>
      </vt:variant>
      <vt:variant>
        <vt:i4>27</vt:i4>
      </vt:variant>
      <vt:variant>
        <vt:i4>0</vt:i4>
      </vt:variant>
      <vt:variant>
        <vt:i4>5</vt:i4>
      </vt:variant>
      <vt:variant>
        <vt:lpwstr>http://ec.europa.eu/eurostat/ramon/nomenclatures/index.cfm?TargetUrl=DSP_GEN_DESC_VIEW_NOHDR&amp;StrNom=COICOP_5&amp;StrLanguageCode=EN</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ariant>
        <vt:i4>6094849</vt:i4>
      </vt:variant>
      <vt:variant>
        <vt:i4>6</vt:i4>
      </vt:variant>
      <vt:variant>
        <vt:i4>0</vt:i4>
      </vt:variant>
      <vt:variant>
        <vt:i4>5</vt:i4>
      </vt:variant>
      <vt:variant>
        <vt:lpwstr>http://dati.istat.it/</vt:lpwstr>
      </vt:variant>
      <vt:variant>
        <vt:lpwstr/>
      </vt:variant>
      <vt:variant>
        <vt:i4>6422641</vt:i4>
      </vt:variant>
      <vt:variant>
        <vt:i4>3</vt:i4>
      </vt:variant>
      <vt:variant>
        <vt:i4>0</vt:i4>
      </vt:variant>
      <vt:variant>
        <vt:i4>5</vt:i4>
      </vt:variant>
      <vt:variant>
        <vt:lpwstr>http://ec.europa.eu/eurostat/documents/3859598/5926625/KS-RA-13-017-EN.PDF/59eb2c1c-da1f-472c-b191-3d0c76521f9b?version=1.0</vt:lpwstr>
      </vt:variant>
      <vt:variant>
        <vt:lpwstr/>
      </vt:variant>
      <vt:variant>
        <vt:i4>5570613</vt:i4>
      </vt:variant>
      <vt:variant>
        <vt:i4>0</vt:i4>
      </vt:variant>
      <vt:variant>
        <vt:i4>0</vt:i4>
      </vt:variant>
      <vt:variant>
        <vt:i4>5</vt:i4>
      </vt:variant>
      <vt:variant>
        <vt:lpwstr>http://ec.europa.eu/eurostat/ramon/nomenclatures/index.cfm?TargetUrl=LST_NOM_DTL&amp;StrNom=HICP_2000&amp;StrLanguageCode=EN&amp;IntPcKey=&amp;StrLayoutCode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Prezzi al consumo</dc:title>
  <dc:creator>ISTAT</dc:creator>
  <cp:lastModifiedBy>Microsoft Office User</cp:lastModifiedBy>
  <cp:revision>2</cp:revision>
  <cp:lastPrinted>2025-09-15T06:38:00Z</cp:lastPrinted>
  <dcterms:created xsi:type="dcterms:W3CDTF">2025-12-16T09:03:00Z</dcterms:created>
  <dcterms:modified xsi:type="dcterms:W3CDTF">2025-12-16T09:03:00Z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2QYKZWF4TN2A-29-1532</vt:lpwstr>
  </property>
  <property fmtid="{D5CDD505-2E9C-101B-9397-08002B2CF9AE}" pid="3" name="_dlc_DocIdItemGuid">
    <vt:lpwstr>6b6018b3-0771-4138-8967-ced6ea3fa960</vt:lpwstr>
  </property>
  <property fmtid="{D5CDD505-2E9C-101B-9397-08002B2CF9AE}" pid="4" name="_dlc_DocIdUrl">
    <vt:lpwstr>https://collaborazione.istat.it/siti/ed/ufficio_stampa/_layouts/DocIdRedir.aspx?ID=2QYKZWF4TN2A-29-1532, 2QYKZWF4TN2A-29-1532</vt:lpwstr>
  </property>
  <property fmtid="{D5CDD505-2E9C-101B-9397-08002B2CF9AE}" pid="5" name="ContentTypeId">
    <vt:lpwstr>0x010100B795A82E90F7744F8BBD5BCEA1E47B9D00412BB8B24175FB4599016A296A388103</vt:lpwstr>
  </property>
</Properties>
</file>