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82EC9" w14:textId="18F5C3CA" w:rsidR="0058450B" w:rsidRDefault="005E7699">
      <w:pPr>
        <w:tabs>
          <w:tab w:val="left" w:pos="2160"/>
        </w:tabs>
        <w:rPr>
          <w:rStyle w:val="Numeropagina"/>
        </w:rPr>
      </w:pPr>
      <w:bookmarkStart w:id="0" w:name="_GoBack"/>
      <w:bookmarkEnd w:id="0"/>
      <w:r>
        <w:rPr>
          <w:rStyle w:val="Numeropagina"/>
          <w:noProof/>
          <w:lang w:eastAsia="it-IT"/>
        </w:rPr>
        <w:drawing>
          <wp:anchor distT="0" distB="0" distL="0" distR="0" simplePos="0" relativeHeight="251660288" behindDoc="0" locked="0" layoutInCell="1" allowOverlap="1" wp14:anchorId="0333E941" wp14:editId="75AE79AD">
            <wp:simplePos x="0" y="0"/>
            <wp:positionH relativeFrom="column">
              <wp:posOffset>-1744345</wp:posOffset>
            </wp:positionH>
            <wp:positionV relativeFrom="line">
              <wp:posOffset>-636270</wp:posOffset>
            </wp:positionV>
            <wp:extent cx="6156960" cy="1154430"/>
            <wp:effectExtent l="0" t="0" r="0" b="0"/>
            <wp:wrapNone/>
            <wp:docPr id="1073741832" name="officeArt object" descr="Immagine che contiene testo, Carattere, schermata,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32" name="Immagine che contiene testo, Carattere, schermata, Elementi graficiDescrizione generata automaticamente" descr="Immagine che contiene testo, Carattere, schermata, Elementi graficiDescrizione generata automaticamente"/>
                    <pic:cNvPicPr>
                      <a:picLocks noChangeAspect="1"/>
                    </pic:cNvPicPr>
                  </pic:nvPicPr>
                  <pic:blipFill>
                    <a:blip r:embed="rId10"/>
                    <a:stretch>
                      <a:fillRect/>
                    </a:stretch>
                  </pic:blipFill>
                  <pic:spPr>
                    <a:xfrm>
                      <a:off x="0" y="0"/>
                      <a:ext cx="6156960" cy="1154430"/>
                    </a:xfrm>
                    <a:prstGeom prst="rect">
                      <a:avLst/>
                    </a:prstGeom>
                    <a:ln w="12700" cap="flat">
                      <a:noFill/>
                      <a:miter lim="400000"/>
                    </a:ln>
                    <a:effectLst/>
                  </pic:spPr>
                </pic:pic>
              </a:graphicData>
            </a:graphic>
          </wp:anchor>
        </w:drawing>
      </w:r>
      <w:r w:rsidR="00614F23">
        <w:rPr>
          <w:noProof/>
          <w:lang w:eastAsia="it-IT"/>
        </w:rPr>
        <mc:AlternateContent>
          <mc:Choice Requires="wps">
            <w:drawing>
              <wp:anchor distT="0" distB="0" distL="0" distR="0" simplePos="0" relativeHeight="251661312" behindDoc="0" locked="0" layoutInCell="1" allowOverlap="1" wp14:anchorId="1425B664" wp14:editId="364F3E20">
                <wp:simplePos x="0" y="0"/>
                <wp:positionH relativeFrom="column">
                  <wp:posOffset>4887595</wp:posOffset>
                </wp:positionH>
                <wp:positionV relativeFrom="line">
                  <wp:posOffset>-415924</wp:posOffset>
                </wp:positionV>
                <wp:extent cx="1460090" cy="238125"/>
                <wp:effectExtent l="0" t="0" r="0" b="0"/>
                <wp:wrapNone/>
                <wp:docPr id="1073741831" name="officeArt object" descr="Casella di testo 1"/>
                <wp:cNvGraphicFramePr/>
                <a:graphic xmlns:a="http://schemas.openxmlformats.org/drawingml/2006/main">
                  <a:graphicData uri="http://schemas.microsoft.com/office/word/2010/wordprocessingShape">
                    <wps:wsp>
                      <wps:cNvSpPr txBox="1"/>
                      <wps:spPr>
                        <a:xfrm>
                          <a:off x="0" y="0"/>
                          <a:ext cx="1460090" cy="238125"/>
                        </a:xfrm>
                        <a:prstGeom prst="rect">
                          <a:avLst/>
                        </a:prstGeom>
                        <a:noFill/>
                        <a:ln w="12700" cap="flat">
                          <a:noFill/>
                          <a:miter lim="400000"/>
                        </a:ln>
                        <a:effectLst/>
                      </wps:spPr>
                      <wps:txbx>
                        <w:txbxContent>
                          <w:p w14:paraId="41953507" w14:textId="77777777" w:rsidR="0058450B" w:rsidRDefault="00614F23">
                            <w:pPr>
                              <w:jc w:val="right"/>
                            </w:pPr>
                            <w:r>
                              <w:rPr>
                                <w:rFonts w:ascii="Arial" w:hAnsi="Arial"/>
                                <w:color w:val="0A1D30"/>
                                <w:u w:color="0A1D30"/>
                              </w:rPr>
                              <w:t xml:space="preserve">13 </w:t>
                            </w:r>
                            <w:proofErr w:type="gramStart"/>
                            <w:r>
                              <w:rPr>
                                <w:rFonts w:ascii="Arial" w:hAnsi="Arial"/>
                                <w:color w:val="0A1D30"/>
                                <w:u w:color="0A1D30"/>
                              </w:rPr>
                              <w:t>Gennaio</w:t>
                            </w:r>
                            <w:proofErr w:type="gramEnd"/>
                            <w:r>
                              <w:rPr>
                                <w:rFonts w:ascii="Arial" w:hAnsi="Arial"/>
                                <w:color w:val="0A1D30"/>
                                <w:u w:color="0A1D30"/>
                              </w:rPr>
                              <w:t xml:space="preserve"> 2026</w:t>
                            </w:r>
                          </w:p>
                        </w:txbxContent>
                      </wps:txbx>
                      <wps:bodyPr wrap="square" lIns="0" tIns="0" rIns="0" bIns="0" numCol="1" anchor="t">
                        <a:noAutofit/>
                      </wps:bodyPr>
                    </wps:wsp>
                  </a:graphicData>
                </a:graphic>
              </wp:anchor>
            </w:drawing>
          </mc:Choice>
          <mc:Fallback>
            <w:pict>
              <v:shapetype w14:anchorId="1425B664" id="_x0000_t202" coordsize="21600,21600" o:spt="202" path="m,l,21600r21600,l21600,xe">
                <v:stroke joinstyle="miter"/>
                <v:path gradientshapeok="t" o:connecttype="rect"/>
              </v:shapetype>
              <v:shape id="officeArt object" o:spid="_x0000_s1026" type="#_x0000_t202" alt="Casella di testo 1" style="position:absolute;margin-left:384.85pt;margin-top:-32.75pt;width:114.95pt;height:18.7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" filled="f" stroked="f" strokeweight="1pt">
                <v:stroke miterlimit="4"/>
                <v:textbox inset="0,0,0,0">
                  <w:txbxContent>
                    <w:p w14:paraId="41953507" w14:textId="77777777" w:rsidR="0058450B" w:rsidRDefault="00614F23">
                      <w:pPr>
                        <w:jc w:val="right"/>
                      </w:pPr>
                      <w:r>
                        <w:rPr>
                          <w:rFonts w:ascii="Arial" w:hAnsi="Arial"/>
                          <w:color w:val="0A1D30"/>
                          <w:u w:color="0A1D30"/>
                        </w:rPr>
                        <w:t>13 Gennaio 2026</w:t>
                      </w:r>
                    </w:p>
                  </w:txbxContent>
                </v:textbox>
                <w10:wrap anchory="line"/>
              </v:shape>
            </w:pict>
          </mc:Fallback>
        </mc:AlternateContent>
      </w:r>
      <w:r w:rsidR="00614F23">
        <w:rPr>
          <w:rStyle w:val="Numeropagina"/>
        </w:rPr>
        <w:tab/>
      </w:r>
    </w:p>
    <w:p w14:paraId="10F7D440" w14:textId="77777777" w:rsidR="0058450B" w:rsidRDefault="0058450B"/>
    <w:p w14:paraId="0E965F37" w14:textId="77777777" w:rsidR="0058450B" w:rsidRDefault="0058450B"/>
    <w:p w14:paraId="5CF20DC4" w14:textId="77777777" w:rsidR="00231458" w:rsidRPr="00231458" w:rsidRDefault="00231458" w:rsidP="00231458">
      <w:pPr>
        <w:pStyle w:val="StilePALLINO"/>
        <w:shd w:val="clear" w:color="auto" w:fill="FFFFFF"/>
        <w:suppressAutoHyphens/>
        <w:spacing w:after="0" w:line="240" w:lineRule="auto"/>
        <w:ind w:left="284"/>
        <w:jc w:val="both"/>
        <w:rPr>
          <w:rFonts w:ascii="Arial" w:hAnsi="Arial"/>
          <w:color w:val="383838"/>
        </w:rPr>
      </w:pPr>
    </w:p>
    <w:p w14:paraId="7D8101D7" w14:textId="7A48FBD5" w:rsidR="0058450B" w:rsidRPr="000E03CD" w:rsidRDefault="00614F23" w:rsidP="00A9655A">
      <w:pPr>
        <w:pStyle w:val="StilePALLINO"/>
        <w:numPr>
          <w:ilvl w:val="0"/>
          <w:numId w:val="2"/>
        </w:numPr>
        <w:shd w:val="clear" w:color="auto" w:fill="FFFFFF"/>
        <w:suppressAutoHyphens/>
        <w:spacing w:after="0" w:line="240" w:lineRule="auto"/>
        <w:jc w:val="both"/>
        <w:rPr>
          <w:rFonts w:ascii="Arial" w:hAnsi="Arial"/>
          <w:color w:val="383838"/>
        </w:rPr>
      </w:pPr>
      <w:r w:rsidRPr="000E03CD">
        <w:rPr>
          <w:rFonts w:ascii="Arial" w:hAnsi="Arial"/>
        </w:rPr>
        <w:t>Negli ultimi mesi del 2025, l’attenuazione delle tensioni commerciali e il taglio dei tassi d'interesse</w:t>
      </w:r>
      <w:r w:rsidR="00612F53" w:rsidRPr="000E03CD">
        <w:rPr>
          <w:rFonts w:ascii="Arial" w:hAnsi="Arial"/>
        </w:rPr>
        <w:t xml:space="preserve"> </w:t>
      </w:r>
      <w:r w:rsidRPr="000E03CD">
        <w:rPr>
          <w:rFonts w:ascii="Arial" w:hAnsi="Arial"/>
        </w:rPr>
        <w:t>hanno ridotto l'incertezza e favorito la liquidità, contenendo in parte le pressioni al ribasso sulla crescita dell’economia mondiale.</w:t>
      </w:r>
      <w:r w:rsidR="00C631F4" w:rsidRPr="000E03CD">
        <w:rPr>
          <w:rFonts w:ascii="Arial" w:hAnsi="Arial"/>
        </w:rPr>
        <w:t xml:space="preserve"> </w:t>
      </w:r>
      <w:r w:rsidRPr="000E03CD">
        <w:rPr>
          <w:rFonts w:ascii="Arial" w:hAnsi="Arial"/>
        </w:rPr>
        <w:t xml:space="preserve">L'inizio del 2026 è stato segnato da nuovi focolai di instabilità </w:t>
      </w:r>
      <w:r w:rsidRPr="000E03CD">
        <w:rPr>
          <w:rFonts w:ascii="Arial" w:hAnsi="Arial"/>
          <w:color w:val="383838"/>
          <w:u w:color="383838"/>
          <w:shd w:val="clear" w:color="auto" w:fill="FFFFFF"/>
        </w:rPr>
        <w:t>che</w:t>
      </w:r>
      <w:r w:rsidR="00C631F4" w:rsidRPr="000E03CD">
        <w:rPr>
          <w:rFonts w:ascii="Arial" w:hAnsi="Arial"/>
        </w:rPr>
        <w:t xml:space="preserve"> </w:t>
      </w:r>
      <w:r w:rsidRPr="000E03CD">
        <w:rPr>
          <w:rFonts w:ascii="Arial" w:hAnsi="Arial"/>
        </w:rPr>
        <w:t xml:space="preserve">supportano le previsioni di un rallentamento dell’attività economica </w:t>
      </w:r>
      <w:r w:rsidR="00EA24D4" w:rsidRPr="000E03CD">
        <w:rPr>
          <w:rFonts w:ascii="Arial" w:hAnsi="Arial"/>
        </w:rPr>
        <w:t xml:space="preserve">a livello </w:t>
      </w:r>
      <w:r w:rsidRPr="000E03CD">
        <w:rPr>
          <w:rFonts w:ascii="Arial" w:hAnsi="Arial"/>
        </w:rPr>
        <w:t>internazionale per l'anno in corso.</w:t>
      </w:r>
    </w:p>
    <w:p w14:paraId="59307FBA" w14:textId="202B3BC6" w:rsidR="0058450B" w:rsidRPr="000E03CD" w:rsidRDefault="00062746" w:rsidP="00A9655A">
      <w:pPr>
        <w:pStyle w:val="StilePALLINO"/>
        <w:numPr>
          <w:ilvl w:val="0"/>
          <w:numId w:val="2"/>
        </w:numPr>
        <w:shd w:val="clear" w:color="auto" w:fill="FFFFFF"/>
        <w:suppressAutoHyphens/>
        <w:spacing w:after="0" w:line="240" w:lineRule="auto"/>
        <w:jc w:val="both"/>
        <w:rPr>
          <w:rFonts w:ascii="Arial" w:hAnsi="Arial"/>
        </w:rPr>
      </w:pPr>
      <w:r w:rsidRPr="000E03CD">
        <w:rPr>
          <w:rFonts w:ascii="Arial" w:hAnsi="Arial"/>
        </w:rPr>
        <w:t>In Italia,</w:t>
      </w:r>
      <w:r w:rsidR="00185F58">
        <w:rPr>
          <w:rFonts w:ascii="Arial" w:hAnsi="Arial"/>
        </w:rPr>
        <w:t xml:space="preserve"> </w:t>
      </w:r>
      <w:r w:rsidR="00185F58" w:rsidRPr="005E7699">
        <w:rPr>
          <w:rFonts w:ascii="Arial" w:hAnsi="Arial"/>
        </w:rPr>
        <w:t>dove nel terzo trimestre 2025 si registra un contenuto incremento congiunturale del Pil (+0,1%),</w:t>
      </w:r>
      <w:r w:rsidRPr="005E7699">
        <w:rPr>
          <w:rFonts w:ascii="Arial" w:hAnsi="Arial"/>
        </w:rPr>
        <w:t xml:space="preserve"> </w:t>
      </w:r>
      <w:r w:rsidR="000E03CD" w:rsidRPr="005E7699">
        <w:rPr>
          <w:rFonts w:ascii="Arial" w:hAnsi="Arial"/>
        </w:rPr>
        <w:t>i</w:t>
      </w:r>
      <w:r w:rsidR="00614F23" w:rsidRPr="000E03CD">
        <w:rPr>
          <w:rFonts w:ascii="Arial" w:hAnsi="Arial"/>
        </w:rPr>
        <w:t xml:space="preserve"> dati ad alta frequenza più recenti segnalano un indebolimento generalizzato </w:t>
      </w:r>
      <w:r w:rsidRPr="000E03CD">
        <w:rPr>
          <w:rFonts w:ascii="Arial" w:hAnsi="Arial"/>
        </w:rPr>
        <w:t>dell’economia</w:t>
      </w:r>
      <w:r w:rsidR="00614F23" w:rsidRPr="000E03CD">
        <w:rPr>
          <w:rFonts w:ascii="Arial" w:hAnsi="Arial"/>
        </w:rPr>
        <w:t xml:space="preserve"> a ottobre, dopo la ripresa nel mese precedente</w:t>
      </w:r>
      <w:r w:rsidR="005F69B3" w:rsidRPr="000E03CD">
        <w:rPr>
          <w:rFonts w:ascii="Arial" w:hAnsi="Arial"/>
        </w:rPr>
        <w:t xml:space="preserve">. Si evidenzia </w:t>
      </w:r>
      <w:r w:rsidR="00614F23" w:rsidRPr="000E03CD">
        <w:rPr>
          <w:rFonts w:ascii="Arial" w:hAnsi="Arial"/>
        </w:rPr>
        <w:t xml:space="preserve">un quadro </w:t>
      </w:r>
      <w:r w:rsidR="005F69B3" w:rsidRPr="000E03CD">
        <w:rPr>
          <w:rFonts w:ascii="Arial" w:hAnsi="Arial"/>
        </w:rPr>
        <w:t>di crescita debole rispetto alla media dell’area euro</w:t>
      </w:r>
      <w:r w:rsidR="00614F23" w:rsidRPr="000E03CD">
        <w:rPr>
          <w:rFonts w:ascii="Arial" w:hAnsi="Arial"/>
        </w:rPr>
        <w:t xml:space="preserve">, con andamenti </w:t>
      </w:r>
      <w:r w:rsidR="002801F9" w:rsidRPr="000E03CD">
        <w:rPr>
          <w:rFonts w:ascii="Arial" w:hAnsi="Arial"/>
        </w:rPr>
        <w:t>differenziati</w:t>
      </w:r>
      <w:r w:rsidR="00614F23" w:rsidRPr="000E03CD">
        <w:rPr>
          <w:rFonts w:ascii="Arial" w:hAnsi="Arial"/>
        </w:rPr>
        <w:t xml:space="preserve"> tra i diversi settori.</w:t>
      </w:r>
    </w:p>
    <w:p w14:paraId="34A0EEB1" w14:textId="61C8D7FB" w:rsidR="0058450B" w:rsidRPr="000E03CD" w:rsidRDefault="00614F23" w:rsidP="00A9655A">
      <w:pPr>
        <w:pStyle w:val="StilePALLINO"/>
        <w:numPr>
          <w:ilvl w:val="0"/>
          <w:numId w:val="2"/>
        </w:numPr>
        <w:shd w:val="clear" w:color="auto" w:fill="FFFFFF"/>
        <w:suppressAutoHyphens/>
        <w:spacing w:after="0" w:line="240" w:lineRule="auto"/>
        <w:jc w:val="both"/>
        <w:rPr>
          <w:rFonts w:ascii="Arial" w:hAnsi="Arial"/>
        </w:rPr>
      </w:pPr>
      <w:r w:rsidRPr="000E03CD">
        <w:rPr>
          <w:rFonts w:ascii="Arial" w:hAnsi="Arial"/>
        </w:rPr>
        <w:t xml:space="preserve">La dinamica congiunturale degli scambi commerciali </w:t>
      </w:r>
      <w:r w:rsidR="00062746" w:rsidRPr="000E03CD">
        <w:rPr>
          <w:rFonts w:ascii="Arial" w:hAnsi="Arial"/>
        </w:rPr>
        <w:t>tra</w:t>
      </w:r>
      <w:r w:rsidRPr="000E03CD">
        <w:rPr>
          <w:rFonts w:ascii="Arial" w:hAnsi="Arial"/>
        </w:rPr>
        <w:t xml:space="preserve"> agosto-ottobre è risultata nel complesso modesta (+0,3</w:t>
      </w:r>
      <w:r w:rsidR="00B62F61" w:rsidRPr="000E03CD">
        <w:rPr>
          <w:rFonts w:ascii="Arial" w:hAnsi="Arial"/>
        </w:rPr>
        <w:t>%</w:t>
      </w:r>
      <w:r w:rsidRPr="000E03CD">
        <w:rPr>
          <w:rFonts w:ascii="Arial" w:hAnsi="Arial"/>
        </w:rPr>
        <w:t xml:space="preserve"> e +0,2% rispettivamente per l’export e l’import). Nei primi dieci mesi dell’anno, si registra un incremento tendenziale del 3,4% per le esportazioni e del 3,7% per importazioni</w:t>
      </w:r>
      <w:r w:rsidR="00B62F61" w:rsidRPr="000E03CD">
        <w:rPr>
          <w:rFonts w:ascii="Arial" w:hAnsi="Arial"/>
        </w:rPr>
        <w:t xml:space="preserve"> nazionali</w:t>
      </w:r>
      <w:r w:rsidRPr="000E03CD">
        <w:rPr>
          <w:rFonts w:ascii="Arial" w:hAnsi="Arial"/>
        </w:rPr>
        <w:t xml:space="preserve">, con </w:t>
      </w:r>
      <w:r w:rsidR="002801F9" w:rsidRPr="000E03CD">
        <w:rPr>
          <w:rFonts w:ascii="Arial" w:hAnsi="Arial"/>
        </w:rPr>
        <w:t>andamenti</w:t>
      </w:r>
      <w:r w:rsidR="00B62F61" w:rsidRPr="000E03CD">
        <w:rPr>
          <w:rFonts w:ascii="Arial" w:hAnsi="Arial"/>
        </w:rPr>
        <w:t xml:space="preserve"> differenziat</w:t>
      </w:r>
      <w:r w:rsidR="002801F9" w:rsidRPr="000E03CD">
        <w:rPr>
          <w:rFonts w:ascii="Arial" w:hAnsi="Arial"/>
        </w:rPr>
        <w:t>i</w:t>
      </w:r>
      <w:r w:rsidR="0087489F" w:rsidRPr="000E03CD">
        <w:rPr>
          <w:rFonts w:ascii="Arial" w:hAnsi="Arial"/>
        </w:rPr>
        <w:t xml:space="preserve"> </w:t>
      </w:r>
      <w:r w:rsidRPr="000E03CD">
        <w:rPr>
          <w:rFonts w:ascii="Arial" w:hAnsi="Arial"/>
        </w:rPr>
        <w:t xml:space="preserve">a livello settoriale. </w:t>
      </w:r>
    </w:p>
    <w:p w14:paraId="1CF1DA43" w14:textId="7735D0A5" w:rsidR="0058450B" w:rsidRPr="000E03CD" w:rsidRDefault="0051508E" w:rsidP="00A9655A">
      <w:pPr>
        <w:pStyle w:val="StilePALLINO"/>
        <w:numPr>
          <w:ilvl w:val="0"/>
          <w:numId w:val="2"/>
        </w:numPr>
        <w:shd w:val="clear" w:color="auto" w:fill="FFFFFF"/>
        <w:suppressAutoHyphens/>
        <w:spacing w:after="0" w:line="240" w:lineRule="auto"/>
        <w:jc w:val="both"/>
        <w:rPr>
          <w:rFonts w:ascii="Arial" w:hAnsi="Arial"/>
        </w:rPr>
      </w:pPr>
      <w:r w:rsidRPr="000E03CD">
        <w:rPr>
          <w:rFonts w:ascii="Arial" w:hAnsi="Arial"/>
        </w:rPr>
        <w:t xml:space="preserve">A novembre l’occupazione diminuisce </w:t>
      </w:r>
      <w:r w:rsidR="00414BA3" w:rsidRPr="000E03CD">
        <w:rPr>
          <w:rFonts w:ascii="Arial" w:hAnsi="Arial"/>
        </w:rPr>
        <w:t xml:space="preserve">rispetto a ottobre </w:t>
      </w:r>
      <w:r w:rsidR="00353949" w:rsidRPr="000E03CD">
        <w:rPr>
          <w:rFonts w:ascii="Arial" w:hAnsi="Arial"/>
        </w:rPr>
        <w:t xml:space="preserve">ma cresce </w:t>
      </w:r>
      <w:r w:rsidR="00414BA3" w:rsidRPr="000E03CD">
        <w:rPr>
          <w:rFonts w:ascii="Arial" w:hAnsi="Arial"/>
        </w:rPr>
        <w:t>in termini tendenziali</w:t>
      </w:r>
      <w:r w:rsidRPr="000E03CD">
        <w:rPr>
          <w:rFonts w:ascii="Arial" w:hAnsi="Arial"/>
        </w:rPr>
        <w:t>. Il calo</w:t>
      </w:r>
      <w:r w:rsidR="00353949" w:rsidRPr="000E03CD">
        <w:rPr>
          <w:rFonts w:ascii="Arial" w:hAnsi="Arial"/>
        </w:rPr>
        <w:t xml:space="preserve"> congiunturale </w:t>
      </w:r>
      <w:r w:rsidRPr="000E03CD">
        <w:rPr>
          <w:rFonts w:ascii="Arial" w:hAnsi="Arial"/>
        </w:rPr>
        <w:t>coinvolge le sole donne e tutte le classi d’età</w:t>
      </w:r>
      <w:r w:rsidR="00B62F61" w:rsidRPr="000E03CD">
        <w:rPr>
          <w:rFonts w:ascii="Arial" w:hAnsi="Arial"/>
        </w:rPr>
        <w:t>,</w:t>
      </w:r>
      <w:r w:rsidRPr="000E03CD">
        <w:rPr>
          <w:rFonts w:ascii="Arial" w:hAnsi="Arial"/>
        </w:rPr>
        <w:t xml:space="preserve"> a eccezione delle 25-34enni.</w:t>
      </w:r>
      <w:r w:rsidR="00B62F61" w:rsidRPr="000E03CD">
        <w:rPr>
          <w:rFonts w:ascii="Arial" w:hAnsi="Arial"/>
        </w:rPr>
        <w:t xml:space="preserve"> </w:t>
      </w:r>
      <w:r w:rsidR="00062746" w:rsidRPr="000E03CD">
        <w:rPr>
          <w:rFonts w:ascii="Arial" w:hAnsi="Arial"/>
        </w:rPr>
        <w:t>Tra</w:t>
      </w:r>
      <w:r w:rsidR="00B62F61" w:rsidRPr="000E03CD">
        <w:rPr>
          <w:rFonts w:ascii="Arial" w:hAnsi="Arial"/>
        </w:rPr>
        <w:t xml:space="preserve"> settembre</w:t>
      </w:r>
      <w:r w:rsidR="00062746" w:rsidRPr="000E03CD">
        <w:rPr>
          <w:rFonts w:ascii="Arial" w:hAnsi="Arial"/>
        </w:rPr>
        <w:t xml:space="preserve"> e</w:t>
      </w:r>
      <w:r w:rsidR="000E03CD" w:rsidRPr="000E03CD">
        <w:rPr>
          <w:rFonts w:ascii="Arial" w:hAnsi="Arial"/>
        </w:rPr>
        <w:t xml:space="preserve"> </w:t>
      </w:r>
      <w:r w:rsidR="00B62F61" w:rsidRPr="000E03CD">
        <w:rPr>
          <w:rFonts w:ascii="Arial" w:hAnsi="Arial"/>
        </w:rPr>
        <w:t>novembre si rileva</w:t>
      </w:r>
      <w:r w:rsidR="00062746" w:rsidRPr="000E03CD">
        <w:rPr>
          <w:rFonts w:ascii="Arial" w:hAnsi="Arial"/>
        </w:rPr>
        <w:t>, in media,</w:t>
      </w:r>
      <w:r w:rsidRPr="000E03CD">
        <w:rPr>
          <w:rFonts w:ascii="Arial" w:hAnsi="Arial"/>
        </w:rPr>
        <w:t xml:space="preserve"> </w:t>
      </w:r>
      <w:r w:rsidR="00353949" w:rsidRPr="000E03CD">
        <w:rPr>
          <w:rFonts w:ascii="Arial" w:hAnsi="Arial"/>
        </w:rPr>
        <w:t xml:space="preserve">un contenuto incremento congiunturale dell’occupazione (+0,3% per un totale di </w:t>
      </w:r>
      <w:r w:rsidR="00C97D27">
        <w:rPr>
          <w:rFonts w:ascii="Arial" w:hAnsi="Arial"/>
        </w:rPr>
        <w:t>+</w:t>
      </w:r>
      <w:r w:rsidR="00353949" w:rsidRPr="000E03CD">
        <w:rPr>
          <w:rFonts w:ascii="Arial" w:hAnsi="Arial"/>
        </w:rPr>
        <w:t>66mila occupati)</w:t>
      </w:r>
      <w:r w:rsidRPr="000E03CD">
        <w:rPr>
          <w:rFonts w:ascii="Arial" w:hAnsi="Arial"/>
        </w:rPr>
        <w:t>, mentre calano le persone in cerca di lavoro</w:t>
      </w:r>
      <w:r w:rsidR="00C97D27">
        <w:rPr>
          <w:rFonts w:ascii="Arial" w:hAnsi="Arial"/>
        </w:rPr>
        <w:t>.</w:t>
      </w:r>
    </w:p>
    <w:p w14:paraId="054F0DA4" w14:textId="0BB8E8A3" w:rsidR="0058450B" w:rsidRPr="000E03CD" w:rsidRDefault="00614F23" w:rsidP="00A9655A">
      <w:pPr>
        <w:pStyle w:val="StilePALLINO"/>
        <w:numPr>
          <w:ilvl w:val="0"/>
          <w:numId w:val="2"/>
        </w:numPr>
        <w:shd w:val="clear" w:color="auto" w:fill="FFFFFF"/>
        <w:suppressAutoHyphens/>
        <w:spacing w:after="0" w:line="240" w:lineRule="auto"/>
        <w:jc w:val="both"/>
        <w:rPr>
          <w:rStyle w:val="Numeropagina"/>
          <w:rFonts w:ascii="Arial" w:hAnsi="Arial"/>
          <w:highlight w:val="green"/>
        </w:rPr>
      </w:pPr>
      <w:r w:rsidRPr="000E03CD">
        <w:rPr>
          <w:rStyle w:val="Numeropagina"/>
          <w:rFonts w:ascii="Arial" w:hAnsi="Arial"/>
        </w:rPr>
        <w:t xml:space="preserve">A dicembre la crescita </w:t>
      </w:r>
      <w:r w:rsidR="00B62F61" w:rsidRPr="000E03CD">
        <w:rPr>
          <w:rStyle w:val="Numeropagina"/>
          <w:rFonts w:ascii="Arial" w:hAnsi="Arial"/>
        </w:rPr>
        <w:t xml:space="preserve">tendenziale </w:t>
      </w:r>
      <w:r w:rsidRPr="000E03CD">
        <w:rPr>
          <w:rStyle w:val="Numeropagina"/>
          <w:rFonts w:ascii="Arial" w:hAnsi="Arial"/>
        </w:rPr>
        <w:t xml:space="preserve">dell’indice armonizzato dei prezzi al consumo (IPCA) è stata </w:t>
      </w:r>
      <w:r w:rsidR="002C1AF6" w:rsidRPr="000E03CD">
        <w:rPr>
          <w:rStyle w:val="Numeropagina"/>
          <w:rFonts w:ascii="Arial" w:hAnsi="Arial"/>
        </w:rPr>
        <w:t>pari all’1,2%</w:t>
      </w:r>
      <w:r w:rsidR="00414BA3" w:rsidRPr="000E03CD">
        <w:rPr>
          <w:rStyle w:val="Numeropagina"/>
          <w:rFonts w:ascii="Arial" w:hAnsi="Arial"/>
        </w:rPr>
        <w:t xml:space="preserve">, </w:t>
      </w:r>
      <w:r w:rsidRPr="000E03CD">
        <w:rPr>
          <w:rStyle w:val="Numeropagina"/>
          <w:rFonts w:ascii="Arial" w:hAnsi="Arial"/>
        </w:rPr>
        <w:t>ancora nettamente inferiore alla media dell’ar</w:t>
      </w:r>
      <w:r w:rsidR="002C1AF6" w:rsidRPr="000E03CD">
        <w:rPr>
          <w:rStyle w:val="Numeropagina"/>
          <w:rFonts w:ascii="Arial" w:hAnsi="Arial"/>
        </w:rPr>
        <w:t>ea euro (+2,0%</w:t>
      </w:r>
      <w:r w:rsidRPr="000E03CD">
        <w:rPr>
          <w:rStyle w:val="Numeropagina"/>
          <w:rFonts w:ascii="Arial" w:hAnsi="Arial"/>
        </w:rPr>
        <w:t xml:space="preserve">). </w:t>
      </w:r>
      <w:r w:rsidR="002801F9" w:rsidRPr="000E03CD">
        <w:rPr>
          <w:rStyle w:val="Numeropagina"/>
          <w:rFonts w:ascii="Arial" w:hAnsi="Arial"/>
        </w:rPr>
        <w:t xml:space="preserve">Sulla base dei dati provvisori, </w:t>
      </w:r>
      <w:r w:rsidRPr="000E03CD">
        <w:rPr>
          <w:rStyle w:val="Numeropagina"/>
          <w:rFonts w:ascii="Arial" w:hAnsi="Arial"/>
        </w:rPr>
        <w:t xml:space="preserve">l’inflazione </w:t>
      </w:r>
      <w:r w:rsidR="001C0590" w:rsidRPr="000E03CD">
        <w:rPr>
          <w:rStyle w:val="Numeropagina"/>
          <w:rFonts w:ascii="Arial" w:hAnsi="Arial"/>
        </w:rPr>
        <w:t xml:space="preserve">nel 2025 </w:t>
      </w:r>
      <w:r w:rsidRPr="000E03CD">
        <w:rPr>
          <w:rStyle w:val="Numeropagina"/>
          <w:rFonts w:ascii="Arial" w:hAnsi="Arial"/>
        </w:rPr>
        <w:t>è stata pari all</w:t>
      </w:r>
      <w:r w:rsidR="002C1AF6" w:rsidRPr="000E03CD">
        <w:rPr>
          <w:rStyle w:val="Numeropagina"/>
          <w:rFonts w:ascii="Arial" w:hAnsi="Arial"/>
        </w:rPr>
        <w:t>’1,7% in Italia</w:t>
      </w:r>
      <w:r w:rsidRPr="000E03CD">
        <w:rPr>
          <w:rStyle w:val="Numeropagina"/>
          <w:rFonts w:ascii="Arial" w:hAnsi="Arial"/>
        </w:rPr>
        <w:t xml:space="preserve"> e al 2,1%</w:t>
      </w:r>
      <w:r w:rsidR="002C1AF6" w:rsidRPr="000E03CD">
        <w:rPr>
          <w:rStyle w:val="Numeropagina"/>
          <w:rFonts w:ascii="Arial" w:hAnsi="Arial"/>
        </w:rPr>
        <w:t xml:space="preserve"> nell’area euro</w:t>
      </w:r>
      <w:r w:rsidRPr="000E03CD">
        <w:rPr>
          <w:rStyle w:val="Numeropagina"/>
          <w:rFonts w:ascii="Arial" w:hAnsi="Arial"/>
        </w:rPr>
        <w:t>.</w:t>
      </w:r>
      <w:r w:rsidR="00A3500F" w:rsidRPr="000E03CD">
        <w:rPr>
          <w:rStyle w:val="Numeropagina"/>
          <w:rFonts w:ascii="Arial" w:hAnsi="Arial"/>
        </w:rPr>
        <w:t xml:space="preserve"> </w:t>
      </w:r>
      <w:r w:rsidR="002F0D54" w:rsidRPr="000E03CD">
        <w:rPr>
          <w:rStyle w:val="Numeropagina"/>
          <w:rFonts w:ascii="Arial" w:hAnsi="Arial"/>
        </w:rPr>
        <w:t>In aumento nel terzo trimestre il potere d’acquisto delle famiglie.</w:t>
      </w:r>
      <w:r w:rsidR="002F0D54" w:rsidRPr="000E03CD">
        <w:rPr>
          <w:rStyle w:val="Numeropagina"/>
          <w:rFonts w:ascii="Arial" w:hAnsi="Arial"/>
          <w:highlight w:val="green"/>
        </w:rPr>
        <w:t xml:space="preserve"> </w:t>
      </w:r>
    </w:p>
    <w:p w14:paraId="4FC1786D" w14:textId="77777777" w:rsidR="00062746" w:rsidRPr="00A9655A" w:rsidRDefault="00062746" w:rsidP="000E03CD">
      <w:pPr>
        <w:pStyle w:val="StilePALLINO"/>
        <w:shd w:val="clear" w:color="auto" w:fill="FFFFFF"/>
        <w:suppressAutoHyphens/>
        <w:spacing w:after="0" w:line="240" w:lineRule="auto"/>
        <w:jc w:val="both"/>
        <w:rPr>
          <w:rFonts w:ascii="Arial" w:hAnsi="Arial"/>
          <w:sz w:val="21"/>
          <w:szCs w:val="21"/>
          <w:highlight w:val="green"/>
        </w:rPr>
      </w:pPr>
    </w:p>
    <w:p w14:paraId="44CB0320" w14:textId="2D83CA03" w:rsidR="0058450B" w:rsidRDefault="00614F23">
      <w:pPr>
        <w:suppressAutoHyphens/>
        <w:spacing w:after="80"/>
        <w:jc w:val="both"/>
        <w:rPr>
          <w:rFonts w:ascii="Arial" w:hAnsi="Arial"/>
          <w:i/>
          <w:iCs/>
          <w:color w:val="104875"/>
          <w:sz w:val="20"/>
          <w:szCs w:val="20"/>
          <w:u w:color="104875"/>
        </w:rPr>
      </w:pPr>
      <w:r>
        <w:rPr>
          <w:rFonts w:ascii="Arial" w:hAnsi="Arial"/>
          <w:b/>
          <w:bCs/>
          <w:i/>
          <w:iCs/>
          <w:color w:val="004172"/>
          <w:sz w:val="23"/>
          <w:szCs w:val="23"/>
          <w:u w:color="004172"/>
        </w:rPr>
        <w:t>Focus</w:t>
      </w:r>
      <w:r>
        <w:rPr>
          <w:rFonts w:ascii="Arial" w:hAnsi="Arial"/>
          <w:color w:val="104875"/>
          <w:sz w:val="20"/>
          <w:szCs w:val="20"/>
          <w:u w:color="104875"/>
        </w:rPr>
        <w:t xml:space="preserve">: </w:t>
      </w:r>
      <w:r>
        <w:rPr>
          <w:rFonts w:ascii="Arial" w:hAnsi="Arial"/>
          <w:i/>
          <w:iCs/>
          <w:color w:val="104875"/>
          <w:sz w:val="20"/>
          <w:szCs w:val="20"/>
          <w:u w:color="104875"/>
        </w:rPr>
        <w:t xml:space="preserve">Il settore farmaceutico </w:t>
      </w:r>
      <w:r w:rsidR="001C0590">
        <w:rPr>
          <w:rFonts w:ascii="Arial" w:hAnsi="Arial"/>
          <w:i/>
          <w:iCs/>
          <w:color w:val="104875"/>
          <w:sz w:val="20"/>
          <w:szCs w:val="20"/>
          <w:u w:color="104875"/>
        </w:rPr>
        <w:t xml:space="preserve">in Italia </w:t>
      </w:r>
      <w:r>
        <w:rPr>
          <w:rFonts w:ascii="Arial" w:hAnsi="Arial"/>
          <w:i/>
          <w:iCs/>
          <w:color w:val="104875"/>
          <w:sz w:val="20"/>
          <w:szCs w:val="20"/>
          <w:u w:color="104875"/>
        </w:rPr>
        <w:t xml:space="preserve">sta sperimentando una fase di forte dinamismo, superando </w:t>
      </w:r>
      <w:r w:rsidR="001C0590">
        <w:rPr>
          <w:rFonts w:ascii="Arial" w:hAnsi="Arial"/>
          <w:i/>
          <w:iCs/>
          <w:color w:val="104875"/>
          <w:sz w:val="20"/>
          <w:szCs w:val="20"/>
          <w:u w:color="104875"/>
        </w:rPr>
        <w:t xml:space="preserve">in modo rilevante </w:t>
      </w:r>
      <w:r>
        <w:rPr>
          <w:rFonts w:ascii="Arial" w:hAnsi="Arial"/>
          <w:i/>
          <w:iCs/>
          <w:color w:val="104875"/>
          <w:sz w:val="20"/>
          <w:szCs w:val="20"/>
          <w:u w:color="104875"/>
        </w:rPr>
        <w:t xml:space="preserve">la </w:t>
      </w:r>
      <w:r w:rsidR="001D5A24">
        <w:rPr>
          <w:rFonts w:ascii="Arial" w:hAnsi="Arial"/>
          <w:i/>
          <w:iCs/>
          <w:color w:val="104875"/>
          <w:sz w:val="20"/>
          <w:szCs w:val="20"/>
          <w:u w:color="104875"/>
        </w:rPr>
        <w:t xml:space="preserve">performance </w:t>
      </w:r>
      <w:r>
        <w:rPr>
          <w:rFonts w:ascii="Arial" w:hAnsi="Arial"/>
          <w:i/>
          <w:iCs/>
          <w:color w:val="104875"/>
          <w:sz w:val="20"/>
          <w:szCs w:val="20"/>
          <w:u w:color="104875"/>
        </w:rPr>
        <w:t>dell'intero comparto manifatturiero</w:t>
      </w:r>
      <w:r w:rsidR="001D5A24">
        <w:rPr>
          <w:rFonts w:ascii="Arial" w:hAnsi="Arial"/>
          <w:i/>
          <w:iCs/>
          <w:color w:val="104875"/>
          <w:sz w:val="20"/>
          <w:szCs w:val="20"/>
          <w:u w:color="104875"/>
        </w:rPr>
        <w:t>,</w:t>
      </w:r>
      <w:r>
        <w:rPr>
          <w:rFonts w:ascii="Arial" w:hAnsi="Arial"/>
          <w:i/>
          <w:iCs/>
          <w:color w:val="104875"/>
          <w:sz w:val="20"/>
          <w:szCs w:val="20"/>
          <w:u w:color="104875"/>
        </w:rPr>
        <w:t xml:space="preserve"> sia in termini di produzione sia di scambi commerciali. Tra gennaio e ottobre 2025, l'export di prodotti farmaceutici è </w:t>
      </w:r>
      <w:r w:rsidR="00EC0CA0">
        <w:rPr>
          <w:rFonts w:ascii="Arial" w:hAnsi="Arial"/>
          <w:i/>
          <w:iCs/>
          <w:color w:val="104875"/>
          <w:sz w:val="20"/>
          <w:szCs w:val="20"/>
          <w:u w:color="104875"/>
        </w:rPr>
        <w:t xml:space="preserve">aumentato </w:t>
      </w:r>
      <w:r>
        <w:rPr>
          <w:rFonts w:ascii="Arial" w:hAnsi="Arial"/>
          <w:i/>
          <w:iCs/>
          <w:color w:val="104875"/>
          <w:sz w:val="20"/>
          <w:szCs w:val="20"/>
          <w:u w:color="104875"/>
        </w:rPr>
        <w:t xml:space="preserve">in media del 33,7% e l'import del 44,6%, </w:t>
      </w:r>
      <w:r w:rsidR="001D5A24">
        <w:rPr>
          <w:rFonts w:ascii="Arial" w:hAnsi="Arial"/>
          <w:i/>
          <w:iCs/>
          <w:color w:val="104875"/>
          <w:sz w:val="20"/>
          <w:szCs w:val="20"/>
          <w:u w:color="104875"/>
        </w:rPr>
        <w:t xml:space="preserve">rafforzando </w:t>
      </w:r>
      <w:r>
        <w:rPr>
          <w:rFonts w:ascii="Arial" w:hAnsi="Arial"/>
          <w:i/>
          <w:iCs/>
          <w:color w:val="104875"/>
          <w:sz w:val="20"/>
          <w:szCs w:val="20"/>
          <w:u w:color="104875"/>
        </w:rPr>
        <w:t>il peso del settore</w:t>
      </w:r>
      <w:r w:rsidR="00EC0CA0">
        <w:rPr>
          <w:rFonts w:ascii="Arial" w:hAnsi="Arial"/>
          <w:i/>
          <w:iCs/>
          <w:color w:val="104875"/>
          <w:sz w:val="20"/>
          <w:szCs w:val="20"/>
          <w:u w:color="104875"/>
        </w:rPr>
        <w:t xml:space="preserve"> che si attesta a</w:t>
      </w:r>
      <w:r>
        <w:rPr>
          <w:rFonts w:ascii="Arial" w:hAnsi="Arial"/>
          <w:i/>
          <w:iCs/>
          <w:color w:val="104875"/>
          <w:sz w:val="20"/>
          <w:szCs w:val="20"/>
          <w:u w:color="104875"/>
        </w:rPr>
        <w:t xml:space="preserve"> oltre il 10%</w:t>
      </w:r>
      <w:r w:rsidR="001D5A24">
        <w:rPr>
          <w:rFonts w:ascii="Arial" w:hAnsi="Arial"/>
          <w:i/>
          <w:iCs/>
          <w:color w:val="104875"/>
          <w:sz w:val="20"/>
          <w:szCs w:val="20"/>
          <w:u w:color="104875"/>
        </w:rPr>
        <w:t>,</w:t>
      </w:r>
      <w:r>
        <w:rPr>
          <w:rFonts w:ascii="Arial" w:hAnsi="Arial"/>
          <w:i/>
          <w:iCs/>
          <w:color w:val="104875"/>
          <w:sz w:val="20"/>
          <w:szCs w:val="20"/>
          <w:u w:color="104875"/>
        </w:rPr>
        <w:t xml:space="preserve"> </w:t>
      </w:r>
      <w:r w:rsidR="00334BFA">
        <w:rPr>
          <w:rFonts w:ascii="Arial" w:hAnsi="Arial"/>
          <w:i/>
          <w:iCs/>
          <w:color w:val="104875"/>
          <w:sz w:val="20"/>
          <w:szCs w:val="20"/>
          <w:u w:color="104875"/>
        </w:rPr>
        <w:t>del</w:t>
      </w:r>
      <w:r w:rsidR="001D5A24">
        <w:rPr>
          <w:rFonts w:ascii="Arial" w:hAnsi="Arial"/>
          <w:i/>
          <w:iCs/>
          <w:color w:val="104875"/>
          <w:sz w:val="20"/>
          <w:szCs w:val="20"/>
          <w:u w:color="104875"/>
        </w:rPr>
        <w:t>l</w:t>
      </w:r>
      <w:r>
        <w:rPr>
          <w:rFonts w:ascii="Arial" w:hAnsi="Arial"/>
          <w:i/>
          <w:iCs/>
          <w:color w:val="104875"/>
          <w:sz w:val="20"/>
          <w:szCs w:val="20"/>
          <w:u w:color="104875"/>
        </w:rPr>
        <w:t xml:space="preserve">'interscambio nazionale. </w:t>
      </w:r>
      <w:r w:rsidR="009F2266">
        <w:rPr>
          <w:rFonts w:ascii="Arial" w:hAnsi="Arial"/>
          <w:i/>
          <w:iCs/>
          <w:color w:val="104875"/>
          <w:sz w:val="20"/>
          <w:szCs w:val="20"/>
          <w:u w:color="104875"/>
        </w:rPr>
        <w:t>Gli Stati Uniti hanno svolto un</w:t>
      </w:r>
      <w:r>
        <w:rPr>
          <w:rFonts w:ascii="Arial" w:hAnsi="Arial"/>
          <w:i/>
          <w:iCs/>
          <w:color w:val="104875"/>
          <w:sz w:val="20"/>
          <w:szCs w:val="20"/>
          <w:u w:color="104875"/>
        </w:rPr>
        <w:t xml:space="preserve"> ruolo centrale </w:t>
      </w:r>
      <w:r w:rsidR="009F2266">
        <w:rPr>
          <w:rFonts w:ascii="Arial" w:hAnsi="Arial"/>
          <w:i/>
          <w:iCs/>
          <w:color w:val="104875"/>
          <w:sz w:val="20"/>
          <w:szCs w:val="20"/>
          <w:u w:color="104875"/>
        </w:rPr>
        <w:t xml:space="preserve">per la crescita delle esportazioni nazionali di prodotti farmaceutici </w:t>
      </w:r>
      <w:r>
        <w:rPr>
          <w:rFonts w:ascii="Arial" w:hAnsi="Arial"/>
          <w:i/>
          <w:iCs/>
          <w:color w:val="104875"/>
          <w:sz w:val="20"/>
          <w:szCs w:val="20"/>
          <w:u w:color="104875"/>
        </w:rPr>
        <w:t>diventa</w:t>
      </w:r>
      <w:r w:rsidR="009F2266">
        <w:rPr>
          <w:rFonts w:ascii="Arial" w:hAnsi="Arial"/>
          <w:i/>
          <w:iCs/>
          <w:color w:val="104875"/>
          <w:sz w:val="20"/>
          <w:szCs w:val="20"/>
          <w:u w:color="104875"/>
        </w:rPr>
        <w:t xml:space="preserve">ndo </w:t>
      </w:r>
      <w:r>
        <w:rPr>
          <w:rFonts w:ascii="Arial" w:hAnsi="Arial"/>
          <w:i/>
          <w:iCs/>
          <w:color w:val="104875"/>
          <w:sz w:val="20"/>
          <w:szCs w:val="20"/>
          <w:u w:color="104875"/>
        </w:rPr>
        <w:t>il principale partner commerciale per l'Italia</w:t>
      </w:r>
      <w:r w:rsidR="001D5A24">
        <w:rPr>
          <w:rFonts w:ascii="Arial" w:hAnsi="Arial"/>
          <w:i/>
          <w:iCs/>
          <w:color w:val="104875"/>
          <w:sz w:val="20"/>
          <w:szCs w:val="20"/>
          <w:u w:color="104875"/>
        </w:rPr>
        <w:t xml:space="preserve">. </w:t>
      </w:r>
      <w:r w:rsidR="005F69B3">
        <w:rPr>
          <w:rFonts w:ascii="Arial" w:hAnsi="Arial"/>
          <w:i/>
          <w:iCs/>
          <w:color w:val="104875"/>
          <w:sz w:val="20"/>
          <w:szCs w:val="20"/>
          <w:u w:color="104875"/>
        </w:rPr>
        <w:t xml:space="preserve">Elevata è la presenza </w:t>
      </w:r>
      <w:r>
        <w:rPr>
          <w:rFonts w:ascii="Arial" w:hAnsi="Arial"/>
          <w:i/>
          <w:iCs/>
          <w:color w:val="104875"/>
          <w:sz w:val="20"/>
          <w:szCs w:val="20"/>
          <w:u w:color="104875"/>
        </w:rPr>
        <w:t>di imprese multinazionali</w:t>
      </w:r>
      <w:r w:rsidR="004A7DC7">
        <w:rPr>
          <w:rFonts w:ascii="Arial" w:hAnsi="Arial"/>
          <w:i/>
          <w:iCs/>
          <w:color w:val="104875"/>
          <w:sz w:val="20"/>
          <w:szCs w:val="20"/>
          <w:u w:color="104875"/>
        </w:rPr>
        <w:t xml:space="preserve"> a controllo estero</w:t>
      </w:r>
      <w:r w:rsidR="005F69B3">
        <w:rPr>
          <w:rFonts w:ascii="Arial" w:hAnsi="Arial"/>
          <w:i/>
          <w:iCs/>
          <w:color w:val="104875"/>
          <w:sz w:val="20"/>
          <w:szCs w:val="20"/>
          <w:u w:color="104875"/>
        </w:rPr>
        <w:t xml:space="preserve"> nel </w:t>
      </w:r>
      <w:r w:rsidR="00EC0CA0">
        <w:rPr>
          <w:rFonts w:ascii="Arial" w:hAnsi="Arial"/>
          <w:i/>
          <w:iCs/>
          <w:color w:val="104875"/>
          <w:sz w:val="20"/>
          <w:szCs w:val="20"/>
          <w:u w:color="104875"/>
        </w:rPr>
        <w:t xml:space="preserve">comparto </w:t>
      </w:r>
      <w:r w:rsidR="005F69B3">
        <w:rPr>
          <w:rFonts w:ascii="Arial" w:hAnsi="Arial"/>
          <w:i/>
          <w:iCs/>
          <w:color w:val="104875"/>
          <w:sz w:val="20"/>
          <w:szCs w:val="20"/>
          <w:u w:color="104875"/>
        </w:rPr>
        <w:t xml:space="preserve">con un ruolo molto rilevante </w:t>
      </w:r>
      <w:r w:rsidR="00EC0CA0">
        <w:rPr>
          <w:rFonts w:ascii="Arial" w:hAnsi="Arial"/>
          <w:i/>
          <w:iCs/>
          <w:color w:val="104875"/>
          <w:sz w:val="20"/>
          <w:szCs w:val="20"/>
          <w:u w:color="104875"/>
        </w:rPr>
        <w:t>per</w:t>
      </w:r>
      <w:r w:rsidR="00334BFA">
        <w:rPr>
          <w:rFonts w:ascii="Arial" w:hAnsi="Arial"/>
          <w:i/>
          <w:iCs/>
          <w:color w:val="104875"/>
          <w:sz w:val="20"/>
          <w:szCs w:val="20"/>
          <w:u w:color="104875"/>
        </w:rPr>
        <w:t xml:space="preserve"> </w:t>
      </w:r>
      <w:r w:rsidR="005F69B3">
        <w:rPr>
          <w:rFonts w:ascii="Arial" w:hAnsi="Arial"/>
          <w:i/>
          <w:iCs/>
          <w:color w:val="104875"/>
          <w:sz w:val="20"/>
          <w:szCs w:val="20"/>
          <w:u w:color="104875"/>
        </w:rPr>
        <w:t xml:space="preserve">l’export. </w:t>
      </w:r>
    </w:p>
    <w:p w14:paraId="03FACA76" w14:textId="77777777" w:rsidR="00231458" w:rsidRDefault="00231458">
      <w:pPr>
        <w:suppressAutoHyphens/>
        <w:spacing w:after="80"/>
        <w:jc w:val="both"/>
        <w:rPr>
          <w:rFonts w:ascii="Arial" w:eastAsia="Arial" w:hAnsi="Arial" w:cs="Arial"/>
          <w:color w:val="104875"/>
          <w:sz w:val="20"/>
          <w:szCs w:val="20"/>
          <w:u w:color="104875"/>
        </w:rPr>
      </w:pPr>
    </w:p>
    <w:p w14:paraId="70AE962C" w14:textId="77777777" w:rsidR="00A9655A" w:rsidRPr="000E03CD" w:rsidRDefault="00A9655A" w:rsidP="00A9655A">
      <w:pPr>
        <w:pStyle w:val="051tabella-figuratitolo"/>
        <w:spacing w:before="0" w:after="0"/>
        <w:rPr>
          <w:color w:val="00817F"/>
          <w:sz w:val="8"/>
          <w:szCs w:val="8"/>
          <w:u w:color="00817F"/>
          <w:lang w:val="it-IT"/>
        </w:rPr>
      </w:pPr>
    </w:p>
    <w:p w14:paraId="31FAE362" w14:textId="5C225E1D" w:rsidR="0058450B" w:rsidRDefault="00614F23">
      <w:pPr>
        <w:pStyle w:val="051tabella-figuratitolo"/>
        <w:spacing w:before="0" w:after="120"/>
        <w:rPr>
          <w:b w:val="0"/>
          <w:bCs w:val="0"/>
          <w:color w:val="404040"/>
          <w:sz w:val="20"/>
          <w:szCs w:val="20"/>
          <w:u w:color="404040"/>
          <w:lang w:val="it-IT"/>
        </w:rPr>
      </w:pPr>
      <w:r w:rsidRPr="002801F9">
        <w:rPr>
          <w:color w:val="00817F"/>
          <w:sz w:val="22"/>
          <w:szCs w:val="22"/>
          <w:u w:color="00817F"/>
          <w:lang w:val="it-IT"/>
        </w:rPr>
        <w:t>TABELLA 1.</w:t>
      </w:r>
      <w:r w:rsidRPr="002801F9">
        <w:rPr>
          <w:color w:val="00817F"/>
          <w:sz w:val="24"/>
          <w:szCs w:val="24"/>
          <w:u w:color="00817F"/>
          <w:lang w:val="it-IT"/>
        </w:rPr>
        <w:t xml:space="preserve"> </w:t>
      </w:r>
      <w:r w:rsidRPr="00320E26">
        <w:rPr>
          <w:color w:val="595959"/>
          <w:sz w:val="22"/>
          <w:szCs w:val="22"/>
          <w:u w:color="595959"/>
          <w:lang w:val="it-IT"/>
        </w:rPr>
        <w:t>PRINCIPALI INDICATORI CONGIUNTURALI PER L</w:t>
      </w:r>
      <w:r>
        <w:rPr>
          <w:color w:val="595959"/>
          <w:sz w:val="22"/>
          <w:szCs w:val="22"/>
          <w:u w:color="595959"/>
          <w:rtl/>
        </w:rPr>
        <w:t>’</w:t>
      </w:r>
      <w:r>
        <w:rPr>
          <w:color w:val="595959"/>
          <w:sz w:val="22"/>
          <w:szCs w:val="22"/>
          <w:u w:color="595959"/>
          <w:lang w:val="pt-PT"/>
        </w:rPr>
        <w:t>ITALIA E L</w:t>
      </w:r>
      <w:r>
        <w:rPr>
          <w:color w:val="595959"/>
          <w:sz w:val="22"/>
          <w:szCs w:val="22"/>
          <w:u w:color="595959"/>
          <w:rtl/>
        </w:rPr>
        <w:t>’</w:t>
      </w:r>
      <w:r>
        <w:rPr>
          <w:color w:val="595959"/>
          <w:sz w:val="22"/>
          <w:szCs w:val="22"/>
          <w:u w:color="595959"/>
          <w:lang w:val="es-ES_tradnl"/>
        </w:rPr>
        <w:t xml:space="preserve">AREA EURO. </w:t>
      </w:r>
      <w:r>
        <w:rPr>
          <w:b w:val="0"/>
          <w:bCs w:val="0"/>
          <w:color w:val="404040"/>
          <w:sz w:val="20"/>
          <w:szCs w:val="20"/>
          <w:u w:color="404040"/>
          <w:lang w:val="it-IT"/>
        </w:rPr>
        <w:t>Variazioni congiunturali %</w:t>
      </w:r>
      <w:r w:rsidR="00A9655A">
        <w:rPr>
          <w:b w:val="0"/>
          <w:bCs w:val="0"/>
          <w:color w:val="404040"/>
          <w:sz w:val="20"/>
          <w:szCs w:val="20"/>
          <w:u w:color="404040"/>
          <w:lang w:val="it-IT"/>
        </w:rPr>
        <w:t xml:space="preserve"> </w:t>
      </w:r>
    </w:p>
    <w:tbl>
      <w:tblPr>
        <w:tblW w:w="5000" w:type="pct"/>
        <w:tblLayout w:type="fixed"/>
        <w:tblCellMar>
          <w:left w:w="70" w:type="dxa"/>
          <w:right w:w="70" w:type="dxa"/>
        </w:tblCellMar>
        <w:tblLook w:val="04A0" w:firstRow="1" w:lastRow="0" w:firstColumn="1" w:lastColumn="0" w:noHBand="0" w:noVBand="1"/>
      </w:tblPr>
      <w:tblGrid>
        <w:gridCol w:w="2422"/>
        <w:gridCol w:w="1556"/>
        <w:gridCol w:w="1556"/>
        <w:gridCol w:w="1558"/>
        <w:gridCol w:w="1556"/>
        <w:gridCol w:w="1550"/>
      </w:tblGrid>
      <w:tr w:rsidR="00320E26" w:rsidRPr="00B76B47" w14:paraId="656D031F" w14:textId="77777777" w:rsidTr="00026D80">
        <w:trPr>
          <w:cantSplit/>
        </w:trPr>
        <w:tc>
          <w:tcPr>
            <w:tcW w:w="1187" w:type="pct"/>
            <w:tcBorders>
              <w:top w:val="single" w:sz="4" w:space="0" w:color="A6A6A6" w:themeColor="background1" w:themeShade="A6"/>
              <w:bottom w:val="single" w:sz="4" w:space="0" w:color="A6A6A6" w:themeColor="background1" w:themeShade="A6"/>
            </w:tcBorders>
            <w:shd w:val="clear" w:color="auto" w:fill="00817F"/>
            <w:noWrap/>
            <w:vAlign w:val="center"/>
          </w:tcPr>
          <w:p w14:paraId="6669D9C8" w14:textId="77777777" w:rsidR="00320E26" w:rsidRPr="009F6728" w:rsidRDefault="00320E26" w:rsidP="00026D80">
            <w:pPr>
              <w:spacing w:before="40"/>
              <w:ind w:right="-6"/>
              <w:jc w:val="center"/>
              <w:rPr>
                <w:rFonts w:ascii="Arial Narrow" w:hAnsi="Arial Narrow" w:cs="Times New Roman"/>
                <w:b/>
                <w:color w:val="FFFFFF" w:themeColor="background1"/>
                <w:sz w:val="20"/>
                <w:szCs w:val="20"/>
                <w:lang w:eastAsia="it-IT"/>
              </w:rPr>
            </w:pPr>
            <w:r w:rsidRPr="009F6728">
              <w:rPr>
                <w:rFonts w:ascii="Arial Narrow" w:hAnsi="Arial Narrow" w:cs="Times New Roman"/>
                <w:b/>
                <w:color w:val="FFFFFF" w:themeColor="background1"/>
                <w:sz w:val="20"/>
                <w:szCs w:val="20"/>
                <w:lang w:eastAsia="it-IT"/>
              </w:rPr>
              <w:t>INDICATORI</w:t>
            </w:r>
          </w:p>
        </w:tc>
        <w:tc>
          <w:tcPr>
            <w:tcW w:w="763" w:type="pct"/>
            <w:tcBorders>
              <w:top w:val="single" w:sz="4" w:space="0" w:color="A6A6A6" w:themeColor="background1" w:themeShade="A6"/>
              <w:bottom w:val="single" w:sz="4" w:space="0" w:color="A6A6A6" w:themeColor="background1" w:themeShade="A6"/>
            </w:tcBorders>
            <w:shd w:val="clear" w:color="auto" w:fill="00817F"/>
            <w:noWrap/>
            <w:vAlign w:val="center"/>
          </w:tcPr>
          <w:p w14:paraId="05D4B97B" w14:textId="77777777" w:rsidR="00320E26" w:rsidRPr="009F6728" w:rsidRDefault="00320E26" w:rsidP="00026D80">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ITALIA</w:t>
            </w:r>
          </w:p>
        </w:tc>
        <w:tc>
          <w:tcPr>
            <w:tcW w:w="763" w:type="pct"/>
            <w:tcBorders>
              <w:top w:val="single" w:sz="4" w:space="0" w:color="A6A6A6" w:themeColor="background1" w:themeShade="A6"/>
              <w:bottom w:val="single" w:sz="4" w:space="0" w:color="A6A6A6" w:themeColor="background1" w:themeShade="A6"/>
            </w:tcBorders>
            <w:shd w:val="clear" w:color="auto" w:fill="00817F"/>
            <w:noWrap/>
            <w:vAlign w:val="center"/>
          </w:tcPr>
          <w:p w14:paraId="4CDC65C5" w14:textId="77777777" w:rsidR="00320E26" w:rsidRPr="009F6728" w:rsidRDefault="00320E26" w:rsidP="00026D80">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AREA EURO</w:t>
            </w:r>
          </w:p>
        </w:tc>
        <w:tc>
          <w:tcPr>
            <w:tcW w:w="764" w:type="pct"/>
            <w:tcBorders>
              <w:top w:val="single" w:sz="4" w:space="0" w:color="A6A6A6" w:themeColor="background1" w:themeShade="A6"/>
              <w:bottom w:val="single" w:sz="4" w:space="0" w:color="A6A6A6" w:themeColor="background1" w:themeShade="A6"/>
            </w:tcBorders>
            <w:shd w:val="clear" w:color="auto" w:fill="00817F"/>
            <w:noWrap/>
            <w:vAlign w:val="center"/>
          </w:tcPr>
          <w:p w14:paraId="3E391859" w14:textId="77777777" w:rsidR="00320E26" w:rsidRPr="009F6728" w:rsidRDefault="00320E26" w:rsidP="00026D80">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PERIODO</w:t>
            </w:r>
          </w:p>
        </w:tc>
        <w:tc>
          <w:tcPr>
            <w:tcW w:w="763" w:type="pct"/>
            <w:tcBorders>
              <w:top w:val="single" w:sz="4" w:space="0" w:color="A6A6A6" w:themeColor="background1" w:themeShade="A6"/>
              <w:bottom w:val="single" w:sz="4" w:space="0" w:color="A6A6A6" w:themeColor="background1" w:themeShade="A6"/>
            </w:tcBorders>
            <w:shd w:val="clear" w:color="auto" w:fill="00817F"/>
            <w:vAlign w:val="center"/>
          </w:tcPr>
          <w:p w14:paraId="2F67E9BF" w14:textId="77777777" w:rsidR="00320E26" w:rsidRPr="009F6728" w:rsidRDefault="00320E26" w:rsidP="00026D80">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 xml:space="preserve">ITALIA </w:t>
            </w:r>
            <w:r w:rsidRPr="009F6728">
              <w:rPr>
                <w:rFonts w:ascii="Arial Narrow" w:hAnsi="Arial Narrow" w:cs="Times New Roman"/>
                <w:b/>
                <w:color w:val="FFFFFF" w:themeColor="background1"/>
                <w:spacing w:val="2"/>
                <w:sz w:val="20"/>
                <w:szCs w:val="20"/>
                <w:lang w:eastAsia="it-IT"/>
              </w:rPr>
              <w:br/>
              <w:t>PERIODO PRECEDENTE</w:t>
            </w:r>
          </w:p>
        </w:tc>
        <w:tc>
          <w:tcPr>
            <w:tcW w:w="760" w:type="pct"/>
            <w:tcBorders>
              <w:top w:val="single" w:sz="4" w:space="0" w:color="A6A6A6" w:themeColor="background1" w:themeShade="A6"/>
              <w:bottom w:val="single" w:sz="4" w:space="0" w:color="A6A6A6" w:themeColor="background1" w:themeShade="A6"/>
            </w:tcBorders>
            <w:shd w:val="clear" w:color="auto" w:fill="00817F"/>
            <w:vAlign w:val="center"/>
          </w:tcPr>
          <w:p w14:paraId="407F0EF1" w14:textId="77777777" w:rsidR="00320E26" w:rsidRPr="009F6728" w:rsidRDefault="00320E26" w:rsidP="00026D80">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AREA EURO PERIODO PRECEDENTE</w:t>
            </w:r>
          </w:p>
        </w:tc>
      </w:tr>
      <w:tr w:rsidR="00320E26" w:rsidRPr="00B53FD8" w14:paraId="3A2D776D"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221DB8B8" w14:textId="77777777" w:rsidR="00320E26" w:rsidRPr="00633AA6" w:rsidRDefault="00320E26" w:rsidP="00320E26">
            <w:pPr>
              <w:spacing w:before="40"/>
              <w:ind w:right="-6"/>
              <w:rPr>
                <w:rFonts w:ascii="Arial Narrow" w:hAnsi="Arial Narrow"/>
                <w:b/>
                <w:bCs/>
                <w:sz w:val="18"/>
                <w:szCs w:val="18"/>
                <w:highlight w:val="yellow"/>
                <w:lang w:val="en-GB"/>
              </w:rPr>
            </w:pPr>
            <w:proofErr w:type="spellStart"/>
            <w:r w:rsidRPr="003D087E">
              <w:rPr>
                <w:rFonts w:ascii="Arial Narrow" w:hAnsi="Arial Narrow"/>
                <w:b/>
                <w:bCs/>
                <w:sz w:val="18"/>
                <w:szCs w:val="18"/>
                <w:lang w:val="en-GB"/>
              </w:rPr>
              <w:t>Pil</w:t>
            </w:r>
            <w:proofErr w:type="spellEnd"/>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944395E" w14:textId="59EF1130" w:rsidR="00320E26" w:rsidRPr="003840BC" w:rsidRDefault="00320E26" w:rsidP="00320E26">
            <w:pPr>
              <w:spacing w:before="40"/>
              <w:ind w:right="-6"/>
              <w:jc w:val="center"/>
              <w:rPr>
                <w:rFonts w:ascii="Arial Narrow" w:hAnsi="Arial Narrow"/>
                <w:b/>
                <w:bCs/>
                <w:sz w:val="18"/>
                <w:szCs w:val="18"/>
                <w:lang w:val="en-GB"/>
              </w:rPr>
            </w:pPr>
            <w:r>
              <w:rPr>
                <w:rFonts w:ascii="Arial Narrow" w:hAnsi="Arial Narrow"/>
                <w:b/>
                <w:bCs/>
                <w:sz w:val="18"/>
                <w:szCs w:val="18"/>
                <w:lang w:val="en-US"/>
              </w:rPr>
              <w:t>0,1</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7959B2C5" w14:textId="3898B291" w:rsidR="00320E26" w:rsidRPr="003840BC" w:rsidRDefault="00320E26" w:rsidP="00320E26">
            <w:pPr>
              <w:spacing w:before="40"/>
              <w:ind w:right="-6"/>
              <w:jc w:val="center"/>
              <w:rPr>
                <w:rFonts w:ascii="Arial Narrow" w:hAnsi="Arial Narrow"/>
                <w:b/>
                <w:bCs/>
                <w:sz w:val="18"/>
                <w:szCs w:val="18"/>
                <w:lang w:val="en-GB"/>
              </w:rPr>
            </w:pPr>
            <w:r>
              <w:rPr>
                <w:rFonts w:ascii="Arial Narrow" w:hAnsi="Arial Narrow"/>
                <w:b/>
                <w:bCs/>
                <w:sz w:val="18"/>
                <w:szCs w:val="18"/>
                <w:lang w:val="en-US"/>
              </w:rPr>
              <w:t>0,3</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012C37CA" w14:textId="0FEAF72A" w:rsidR="00320E26" w:rsidRPr="003840BC" w:rsidRDefault="00320E26" w:rsidP="00320E26">
            <w:pPr>
              <w:spacing w:before="40"/>
              <w:ind w:right="-6"/>
              <w:jc w:val="center"/>
              <w:rPr>
                <w:rFonts w:ascii="Arial Narrow" w:hAnsi="Arial Narrow"/>
                <w:b/>
                <w:bCs/>
                <w:sz w:val="18"/>
                <w:szCs w:val="18"/>
                <w:lang w:val="en-GB"/>
              </w:rPr>
            </w:pPr>
            <w:r>
              <w:rPr>
                <w:rFonts w:ascii="Arial Narrow" w:hAnsi="Arial Narrow"/>
                <w:b/>
                <w:bCs/>
                <w:sz w:val="18"/>
                <w:szCs w:val="18"/>
                <w:lang w:val="en-US"/>
              </w:rPr>
              <w:t>T3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1864FC8E" w14:textId="06B38F47" w:rsidR="00320E26" w:rsidRPr="00735780" w:rsidRDefault="00320E26" w:rsidP="00320E26">
            <w:pPr>
              <w:spacing w:before="40"/>
              <w:ind w:right="-6"/>
              <w:jc w:val="center"/>
              <w:rPr>
                <w:rFonts w:ascii="Arial Narrow" w:hAnsi="Arial Narrow"/>
                <w:b/>
                <w:sz w:val="18"/>
                <w:szCs w:val="18"/>
                <w:lang w:val="en-GB"/>
              </w:rPr>
            </w:pPr>
            <w:r>
              <w:rPr>
                <w:rFonts w:ascii="Arial Narrow" w:hAnsi="Arial Narrow"/>
                <w:b/>
                <w:bCs/>
                <w:sz w:val="18"/>
                <w:szCs w:val="18"/>
                <w:lang w:val="en-US"/>
              </w:rPr>
              <w:t>-0,1</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75398197" w14:textId="6FFE343C" w:rsidR="00320E26" w:rsidRPr="003840BC" w:rsidRDefault="00320E26" w:rsidP="00320E26">
            <w:pPr>
              <w:spacing w:before="40"/>
              <w:ind w:right="-6"/>
              <w:jc w:val="center"/>
              <w:rPr>
                <w:rFonts w:ascii="Arial Narrow" w:hAnsi="Arial Narrow"/>
                <w:b/>
                <w:bCs/>
                <w:sz w:val="18"/>
                <w:szCs w:val="18"/>
                <w:lang w:val="en-GB"/>
              </w:rPr>
            </w:pPr>
            <w:r>
              <w:rPr>
                <w:rFonts w:ascii="Arial Narrow" w:hAnsi="Arial Narrow"/>
                <w:b/>
                <w:bCs/>
                <w:sz w:val="18"/>
                <w:szCs w:val="18"/>
                <w:lang w:val="en-US"/>
              </w:rPr>
              <w:t>0,1</w:t>
            </w:r>
          </w:p>
        </w:tc>
      </w:tr>
      <w:tr w:rsidR="00320E26" w:rsidRPr="00B53FD8" w14:paraId="1DC5FE2D"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7D4B72AD" w14:textId="77777777" w:rsidR="00320E26" w:rsidRPr="00633AA6" w:rsidRDefault="00320E26" w:rsidP="00320E26">
            <w:pPr>
              <w:spacing w:before="40"/>
              <w:ind w:right="-6"/>
              <w:rPr>
                <w:rFonts w:ascii="Arial Narrow" w:hAnsi="Arial Narrow"/>
                <w:sz w:val="18"/>
                <w:szCs w:val="18"/>
                <w:highlight w:val="yellow"/>
                <w:lang w:val="en-GB"/>
              </w:rPr>
            </w:pPr>
            <w:proofErr w:type="spellStart"/>
            <w:r w:rsidRPr="0082385E">
              <w:rPr>
                <w:rFonts w:ascii="Arial Narrow" w:hAnsi="Arial Narrow"/>
                <w:sz w:val="18"/>
                <w:szCs w:val="18"/>
                <w:lang w:val="en-GB"/>
              </w:rPr>
              <w:t>Pr</w:t>
            </w:r>
            <w:r w:rsidRPr="00B92090">
              <w:rPr>
                <w:rFonts w:ascii="Arial Narrow" w:hAnsi="Arial Narrow"/>
                <w:sz w:val="18"/>
                <w:szCs w:val="18"/>
                <w:lang w:val="en-GB"/>
              </w:rPr>
              <w:t>oduzione</w:t>
            </w:r>
            <w:proofErr w:type="spellEnd"/>
            <w:r w:rsidRPr="00B92090">
              <w:rPr>
                <w:rFonts w:ascii="Arial Narrow" w:hAnsi="Arial Narrow"/>
                <w:sz w:val="18"/>
                <w:szCs w:val="18"/>
                <w:lang w:val="en-GB"/>
              </w:rPr>
              <w:t xml:space="preserve"> </w:t>
            </w:r>
            <w:proofErr w:type="spellStart"/>
            <w:r w:rsidRPr="00B92090">
              <w:rPr>
                <w:rFonts w:ascii="Arial Narrow" w:hAnsi="Arial Narrow"/>
                <w:sz w:val="18"/>
                <w:szCs w:val="18"/>
                <w:lang w:val="en-GB"/>
              </w:rPr>
              <w:t>industriale</w:t>
            </w:r>
            <w:proofErr w:type="spellEnd"/>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527B4E22" w14:textId="45D36BD3" w:rsidR="00320E26" w:rsidRPr="00D7134B"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-1,0</w:t>
            </w:r>
          </w:p>
        </w:tc>
        <w:tc>
          <w:tcPr>
            <w:tcW w:w="763" w:type="pct"/>
            <w:tcBorders>
              <w:top w:val="single" w:sz="4" w:space="0" w:color="A6A6A6" w:themeColor="background1" w:themeShade="A6"/>
              <w:bottom w:val="single" w:sz="4" w:space="0" w:color="A6A6A6" w:themeColor="background1" w:themeShade="A6"/>
            </w:tcBorders>
            <w:shd w:val="clear" w:color="auto" w:fill="auto"/>
            <w:noWrap/>
            <w:tcMar>
              <w:left w:w="0" w:type="dxa"/>
              <w:right w:w="0" w:type="dxa"/>
            </w:tcMar>
            <w:vAlign w:val="center"/>
          </w:tcPr>
          <w:p w14:paraId="5F714EC8" w14:textId="52E72501"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0,8</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18E84618" w14:textId="36723FDD" w:rsidR="00320E26" w:rsidRPr="003840BC" w:rsidRDefault="00320E26" w:rsidP="00320E26">
            <w:pPr>
              <w:spacing w:before="40"/>
              <w:ind w:right="-6"/>
              <w:jc w:val="center"/>
              <w:rPr>
                <w:rFonts w:ascii="Arial Narrow" w:hAnsi="Arial Narrow"/>
                <w:sz w:val="18"/>
                <w:szCs w:val="18"/>
                <w:lang w:val="en-GB"/>
              </w:rPr>
            </w:pPr>
            <w:proofErr w:type="spellStart"/>
            <w:r>
              <w:rPr>
                <w:rFonts w:ascii="Arial Narrow" w:hAnsi="Arial Narrow"/>
                <w:sz w:val="18"/>
                <w:szCs w:val="18"/>
                <w:lang w:val="en-US"/>
              </w:rPr>
              <w:t>Ott</w:t>
            </w:r>
            <w:proofErr w:type="spellEnd"/>
            <w:r>
              <w:rPr>
                <w:rFonts w:ascii="Arial Narrow" w:hAnsi="Arial Narrow"/>
                <w:sz w:val="18"/>
                <w:szCs w:val="18"/>
                <w:lang w:val="en-US"/>
              </w:rPr>
              <w:t>.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21D5CEBA" w14:textId="666690D2" w:rsidR="00320E26" w:rsidRPr="006000DA"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2,7</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22687E67" w14:textId="217B8C21"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0,2</w:t>
            </w:r>
          </w:p>
        </w:tc>
      </w:tr>
      <w:tr w:rsidR="00320E26" w:rsidRPr="00B53FD8" w14:paraId="42F48918"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4FB4C622" w14:textId="77777777" w:rsidR="00320E26" w:rsidRPr="00633AA6" w:rsidRDefault="00320E26" w:rsidP="00320E26">
            <w:pPr>
              <w:spacing w:before="40"/>
              <w:ind w:right="-6"/>
              <w:rPr>
                <w:rFonts w:ascii="Arial Narrow" w:hAnsi="Arial Narrow"/>
                <w:sz w:val="18"/>
                <w:szCs w:val="18"/>
                <w:highlight w:val="yellow"/>
                <w:lang w:val="en-GB"/>
              </w:rPr>
            </w:pPr>
            <w:proofErr w:type="spellStart"/>
            <w:r w:rsidRPr="00BA7600">
              <w:rPr>
                <w:rFonts w:ascii="Arial Narrow" w:hAnsi="Arial Narrow"/>
                <w:sz w:val="18"/>
                <w:szCs w:val="18"/>
                <w:lang w:val="en-GB"/>
              </w:rPr>
              <w:t>Produzione</w:t>
            </w:r>
            <w:proofErr w:type="spellEnd"/>
            <w:r w:rsidRPr="00BA7600">
              <w:rPr>
                <w:rFonts w:ascii="Arial Narrow" w:hAnsi="Arial Narrow"/>
                <w:sz w:val="18"/>
                <w:szCs w:val="18"/>
                <w:lang w:val="en-GB"/>
              </w:rPr>
              <w:t xml:space="preserve"> </w:t>
            </w:r>
            <w:proofErr w:type="spellStart"/>
            <w:r w:rsidRPr="00BA7600">
              <w:rPr>
                <w:rFonts w:ascii="Arial Narrow" w:hAnsi="Arial Narrow"/>
                <w:sz w:val="18"/>
                <w:szCs w:val="18"/>
                <w:lang w:val="en-GB"/>
              </w:rPr>
              <w:t>nelle</w:t>
            </w:r>
            <w:proofErr w:type="spellEnd"/>
            <w:r w:rsidRPr="00BA7600">
              <w:rPr>
                <w:rFonts w:ascii="Arial Narrow" w:hAnsi="Arial Narrow"/>
                <w:sz w:val="18"/>
                <w:szCs w:val="18"/>
                <w:lang w:val="en-GB"/>
              </w:rPr>
              <w:t xml:space="preserve"> </w:t>
            </w:r>
            <w:proofErr w:type="spellStart"/>
            <w:r w:rsidRPr="00BA7600">
              <w:rPr>
                <w:rFonts w:ascii="Arial Narrow" w:hAnsi="Arial Narrow"/>
                <w:sz w:val="18"/>
                <w:szCs w:val="18"/>
                <w:lang w:val="en-GB"/>
              </w:rPr>
              <w:t>costruzioni</w:t>
            </w:r>
            <w:proofErr w:type="spellEnd"/>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521F29F" w14:textId="3AB689E5" w:rsidR="00320E26" w:rsidRPr="00D7134B"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-0,1</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6265A9A8" w14:textId="0C9690C6"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0,9</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712A8172" w14:textId="4077DF8E" w:rsidR="00320E26" w:rsidRPr="003840BC" w:rsidRDefault="00320E26" w:rsidP="00320E26">
            <w:pPr>
              <w:spacing w:before="40"/>
              <w:ind w:right="-6"/>
              <w:jc w:val="center"/>
              <w:rPr>
                <w:rFonts w:ascii="Arial Narrow" w:hAnsi="Arial Narrow"/>
                <w:sz w:val="18"/>
                <w:szCs w:val="18"/>
                <w:lang w:val="en-GB"/>
              </w:rPr>
            </w:pPr>
            <w:proofErr w:type="spellStart"/>
            <w:r>
              <w:rPr>
                <w:rFonts w:ascii="Arial Narrow" w:hAnsi="Arial Narrow"/>
                <w:sz w:val="18"/>
                <w:szCs w:val="18"/>
                <w:lang w:val="en-US"/>
              </w:rPr>
              <w:t>Ott</w:t>
            </w:r>
            <w:proofErr w:type="spellEnd"/>
            <w:r>
              <w:rPr>
                <w:rFonts w:ascii="Arial Narrow" w:hAnsi="Arial Narrow"/>
                <w:sz w:val="18"/>
                <w:szCs w:val="18"/>
                <w:lang w:val="en-US"/>
              </w:rPr>
              <w:t>.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06B4F671" w14:textId="041F12D0" w:rsidR="00320E26" w:rsidRPr="006000DA"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1,3</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675F029F" w14:textId="152114D4"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-0,6</w:t>
            </w:r>
          </w:p>
        </w:tc>
      </w:tr>
      <w:tr w:rsidR="00320E26" w:rsidRPr="00B53FD8" w14:paraId="27E0F773"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3A3C36CF" w14:textId="77777777" w:rsidR="00320E26" w:rsidRPr="00327FF4" w:rsidRDefault="00320E26" w:rsidP="00320E26">
            <w:pPr>
              <w:spacing w:before="40"/>
              <w:ind w:right="-6"/>
              <w:rPr>
                <w:rFonts w:ascii="Arial Narrow" w:hAnsi="Arial Narrow"/>
                <w:sz w:val="18"/>
                <w:szCs w:val="18"/>
                <w:lang w:val="en-GB"/>
              </w:rPr>
            </w:pPr>
            <w:proofErr w:type="spellStart"/>
            <w:r w:rsidRPr="00327FF4">
              <w:rPr>
                <w:rFonts w:ascii="Arial Narrow" w:hAnsi="Arial Narrow"/>
                <w:sz w:val="18"/>
                <w:szCs w:val="18"/>
                <w:lang w:val="en-GB"/>
              </w:rPr>
              <w:t>Vendite</w:t>
            </w:r>
            <w:proofErr w:type="spellEnd"/>
            <w:r w:rsidRPr="00327FF4">
              <w:rPr>
                <w:rFonts w:ascii="Arial Narrow" w:hAnsi="Arial Narrow"/>
                <w:sz w:val="18"/>
                <w:szCs w:val="18"/>
                <w:lang w:val="en-GB"/>
              </w:rPr>
              <w:t xml:space="preserve"> al </w:t>
            </w:r>
            <w:proofErr w:type="spellStart"/>
            <w:r w:rsidRPr="00327FF4">
              <w:rPr>
                <w:rFonts w:ascii="Arial Narrow" w:hAnsi="Arial Narrow"/>
                <w:sz w:val="18"/>
                <w:szCs w:val="18"/>
                <w:lang w:val="en-GB"/>
              </w:rPr>
              <w:t>dettaglio</w:t>
            </w:r>
            <w:proofErr w:type="spellEnd"/>
            <w:r w:rsidRPr="00327FF4">
              <w:rPr>
                <w:rFonts w:ascii="Arial Narrow" w:hAnsi="Arial Narrow"/>
                <w:sz w:val="18"/>
                <w:szCs w:val="18"/>
                <w:lang w:val="en-GB"/>
              </w:rPr>
              <w:t xml:space="preserve"> (volume)</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330F7BEA" w14:textId="661A671E" w:rsidR="00320E26" w:rsidRPr="00D7134B"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0,6</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74119C3E" w14:textId="07A4C04F"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0,2</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2A3E75D" w14:textId="76EB30AB"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Nov.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44EFC9E7" w14:textId="01CC966D" w:rsidR="00320E26" w:rsidRPr="006000DA"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0,5</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3E218B12" w14:textId="248DBBD8"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0,3</w:t>
            </w:r>
          </w:p>
        </w:tc>
      </w:tr>
      <w:tr w:rsidR="00320E26" w:rsidRPr="00B53FD8" w14:paraId="304D08F8"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7C81BC4F" w14:textId="77777777" w:rsidR="00320E26" w:rsidRPr="00327FF4" w:rsidRDefault="00320E26" w:rsidP="00320E26">
            <w:pPr>
              <w:spacing w:before="40"/>
              <w:ind w:right="-6"/>
              <w:rPr>
                <w:rFonts w:ascii="Arial Narrow" w:hAnsi="Arial Narrow"/>
                <w:sz w:val="18"/>
                <w:szCs w:val="18"/>
              </w:rPr>
            </w:pPr>
            <w:r w:rsidRPr="00327FF4">
              <w:rPr>
                <w:rFonts w:ascii="Arial Narrow" w:hAnsi="Arial Narrow"/>
                <w:sz w:val="18"/>
                <w:szCs w:val="18"/>
              </w:rPr>
              <w:t>Prezzi alla produzione dell’industria – mercato interno</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1822121F" w14:textId="0C451595" w:rsidR="00320E26" w:rsidRPr="001D3C47" w:rsidRDefault="00320E26" w:rsidP="00320E26">
            <w:pPr>
              <w:spacing w:before="40"/>
              <w:ind w:right="-6"/>
              <w:jc w:val="center"/>
              <w:rPr>
                <w:rFonts w:ascii="Arial Narrow" w:hAnsi="Arial Narrow"/>
                <w:sz w:val="18"/>
                <w:szCs w:val="18"/>
              </w:rPr>
            </w:pPr>
            <w:r>
              <w:rPr>
                <w:rFonts w:ascii="Arial Narrow" w:hAnsi="Arial Narrow"/>
                <w:sz w:val="18"/>
                <w:szCs w:val="18"/>
              </w:rPr>
              <w:t>1,3</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6E1DE6A2" w14:textId="7778160C" w:rsidR="00320E26" w:rsidRPr="001D3C47" w:rsidRDefault="00320E26" w:rsidP="00320E26">
            <w:pPr>
              <w:spacing w:before="40"/>
              <w:ind w:right="-6"/>
              <w:jc w:val="center"/>
              <w:rPr>
                <w:rFonts w:ascii="Arial Narrow" w:hAnsi="Arial Narrow"/>
                <w:sz w:val="18"/>
                <w:szCs w:val="18"/>
              </w:rPr>
            </w:pPr>
            <w:r>
              <w:rPr>
                <w:rFonts w:ascii="Arial Narrow" w:hAnsi="Arial Narrow"/>
                <w:sz w:val="18"/>
                <w:szCs w:val="18"/>
              </w:rPr>
              <w:t>0,5</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0C25B79C" w14:textId="7FA29B74"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Nov.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1E019EBC" w14:textId="616B1BE3" w:rsidR="00320E26" w:rsidRPr="006000DA"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-0,4</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3F335B94" w14:textId="2778DFB9"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0,1</w:t>
            </w:r>
          </w:p>
        </w:tc>
      </w:tr>
      <w:tr w:rsidR="00320E26" w:rsidRPr="00B53FD8" w14:paraId="5D97ED30"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165DE185" w14:textId="77777777" w:rsidR="00320E26" w:rsidRPr="00633AA6" w:rsidRDefault="00320E26" w:rsidP="00320E26">
            <w:pPr>
              <w:spacing w:before="40"/>
              <w:ind w:right="-6"/>
              <w:rPr>
                <w:rFonts w:ascii="Arial Narrow" w:hAnsi="Arial Narrow"/>
                <w:sz w:val="18"/>
                <w:szCs w:val="18"/>
                <w:highlight w:val="yellow"/>
              </w:rPr>
            </w:pPr>
            <w:r w:rsidRPr="00EA28FB">
              <w:rPr>
                <w:rFonts w:ascii="Arial Narrow" w:hAnsi="Arial Narrow"/>
                <w:sz w:val="18"/>
                <w:szCs w:val="18"/>
              </w:rPr>
              <w:t>Prezzi al consumo (IPCA)*</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2AA17379" w14:textId="5FC300BE"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1,2</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0ED7BFBA" w14:textId="443545E9"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2,0</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05E30316" w14:textId="71471158"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Dic.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70FA2587" w14:textId="6AA37A40"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1,1</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477E9145" w14:textId="3913B366"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2,1</w:t>
            </w:r>
          </w:p>
        </w:tc>
      </w:tr>
      <w:tr w:rsidR="00320E26" w:rsidRPr="00B53FD8" w14:paraId="515DC5D3"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28734493" w14:textId="77777777" w:rsidR="00320E26" w:rsidRPr="00633AA6" w:rsidRDefault="00320E26" w:rsidP="00320E26">
            <w:pPr>
              <w:spacing w:before="40"/>
              <w:ind w:right="-6"/>
              <w:rPr>
                <w:rFonts w:ascii="Arial Narrow" w:hAnsi="Arial Narrow"/>
                <w:sz w:val="18"/>
                <w:szCs w:val="18"/>
                <w:highlight w:val="yellow"/>
              </w:rPr>
            </w:pPr>
            <w:r w:rsidRPr="007A0BA3">
              <w:rPr>
                <w:rFonts w:ascii="Arial Narrow" w:hAnsi="Arial Narrow"/>
                <w:sz w:val="18"/>
                <w:szCs w:val="18"/>
              </w:rPr>
              <w:t>Tasso di disoccupazione</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91A71B9" w14:textId="5A71B698"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5,7</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3689BA7F" w14:textId="01AEF293"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6,3</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5CC47061" w14:textId="25B37155"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Nov.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771815B2" w14:textId="1E097511" w:rsidR="00320E26" w:rsidRPr="006000DA"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5,8</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72055369" w14:textId="1366A3D6" w:rsidR="00320E26" w:rsidRPr="00F82A4F" w:rsidRDefault="00320E26" w:rsidP="00320E26">
            <w:pPr>
              <w:spacing w:before="40"/>
              <w:ind w:right="-6"/>
              <w:jc w:val="center"/>
              <w:rPr>
                <w:rFonts w:ascii="Arial Narrow" w:hAnsi="Arial Narrow"/>
                <w:sz w:val="18"/>
                <w:szCs w:val="18"/>
              </w:rPr>
            </w:pPr>
            <w:r>
              <w:rPr>
                <w:rFonts w:ascii="Arial Narrow" w:hAnsi="Arial Narrow"/>
                <w:sz w:val="18"/>
                <w:szCs w:val="18"/>
              </w:rPr>
              <w:t>6,4</w:t>
            </w:r>
          </w:p>
        </w:tc>
      </w:tr>
      <w:tr w:rsidR="00320E26" w:rsidRPr="00B53FD8" w14:paraId="6240E728" w14:textId="77777777" w:rsidTr="00026D80">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157B1209" w14:textId="77777777" w:rsidR="00320E26" w:rsidRPr="00633AA6" w:rsidRDefault="00320E26" w:rsidP="00320E26">
            <w:pPr>
              <w:spacing w:before="40"/>
              <w:ind w:right="-6"/>
              <w:rPr>
                <w:rFonts w:ascii="Arial Narrow" w:hAnsi="Arial Narrow"/>
                <w:sz w:val="18"/>
                <w:szCs w:val="18"/>
                <w:highlight w:val="yellow"/>
                <w:lang w:val="en-GB"/>
              </w:rPr>
            </w:pPr>
            <w:r w:rsidRPr="004E6D93">
              <w:rPr>
                <w:rFonts w:ascii="Arial Narrow" w:hAnsi="Arial Narrow"/>
                <w:sz w:val="18"/>
                <w:szCs w:val="18"/>
                <w:lang w:val="en-GB"/>
              </w:rPr>
              <w:t>Economic Sentiment Indicator**</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2D6FA9B4" w14:textId="04CD90B0"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-0,6</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2FCE2E57" w14:textId="3FB6B595"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-0,4</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13D4922E" w14:textId="25044E89" w:rsidR="00320E26" w:rsidRPr="003840BC" w:rsidRDefault="00320E26" w:rsidP="00320E26">
            <w:pPr>
              <w:spacing w:before="40"/>
              <w:ind w:right="-6"/>
              <w:jc w:val="center"/>
              <w:rPr>
                <w:rFonts w:ascii="Arial Narrow" w:hAnsi="Arial Narrow"/>
                <w:sz w:val="18"/>
                <w:szCs w:val="18"/>
                <w:lang w:val="en-GB"/>
              </w:rPr>
            </w:pPr>
            <w:proofErr w:type="spellStart"/>
            <w:r>
              <w:rPr>
                <w:rFonts w:ascii="Arial Narrow" w:hAnsi="Arial Narrow"/>
                <w:sz w:val="18"/>
                <w:szCs w:val="18"/>
                <w:lang w:val="en-US"/>
              </w:rPr>
              <w:t>Dic</w:t>
            </w:r>
            <w:proofErr w:type="spellEnd"/>
            <w:r>
              <w:rPr>
                <w:rFonts w:ascii="Arial Narrow" w:hAnsi="Arial Narrow"/>
                <w:sz w:val="18"/>
                <w:szCs w:val="18"/>
                <w:lang w:val="en-US"/>
              </w:rPr>
              <w:t>.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5CF8A8A1" w14:textId="569F7B83" w:rsidR="00320E26" w:rsidRPr="006000DA"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1,1</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4A6A11FD" w14:textId="5023D942" w:rsidR="00320E26" w:rsidRPr="003840BC" w:rsidRDefault="00320E26" w:rsidP="00320E26">
            <w:pPr>
              <w:spacing w:before="40"/>
              <w:ind w:right="-6"/>
              <w:jc w:val="center"/>
              <w:rPr>
                <w:rFonts w:ascii="Arial Narrow" w:hAnsi="Arial Narrow"/>
                <w:sz w:val="18"/>
                <w:szCs w:val="18"/>
                <w:lang w:val="en-GB"/>
              </w:rPr>
            </w:pPr>
            <w:r>
              <w:rPr>
                <w:rFonts w:ascii="Arial Narrow" w:hAnsi="Arial Narrow"/>
                <w:sz w:val="18"/>
                <w:szCs w:val="18"/>
                <w:lang w:val="en-US"/>
              </w:rPr>
              <w:t>0,2</w:t>
            </w:r>
          </w:p>
        </w:tc>
      </w:tr>
    </w:tbl>
    <w:p w14:paraId="2619A708" w14:textId="77777777" w:rsidR="0058450B" w:rsidRDefault="00614F23">
      <w:pPr>
        <w:pStyle w:val="054tabella-figuranote"/>
        <w:spacing w:before="60" w:after="0"/>
        <w:ind w:left="0" w:firstLine="0"/>
      </w:pPr>
      <w:r>
        <w:rPr>
          <w:noProof/>
          <w:lang w:eastAsia="it-IT"/>
        </w:rPr>
        <mc:AlternateContent>
          <mc:Choice Requires="wps">
            <w:drawing>
              <wp:anchor distT="0" distB="0" distL="0" distR="0" simplePos="0" relativeHeight="251659264" behindDoc="0" locked="0" layoutInCell="1" allowOverlap="1" wp14:anchorId="7376D107" wp14:editId="303DFBB2">
                <wp:simplePos x="0" y="0"/>
                <wp:positionH relativeFrom="page">
                  <wp:posOffset>4730115</wp:posOffset>
                </wp:positionH>
                <wp:positionV relativeFrom="line">
                  <wp:posOffset>6324</wp:posOffset>
                </wp:positionV>
                <wp:extent cx="2281381" cy="175491"/>
                <wp:effectExtent l="0" t="0" r="0" b="0"/>
                <wp:wrapNone/>
                <wp:docPr id="1073741833" name="officeArt object" descr="Casella di testo 1"/>
                <wp:cNvGraphicFramePr/>
                <a:graphic xmlns:a="http://schemas.openxmlformats.org/drawingml/2006/main">
                  <a:graphicData uri="http://schemas.microsoft.com/office/word/2010/wordprocessingShape">
                    <wps:wsp>
                      <wps:cNvSpPr txBox="1"/>
                      <wps:spPr>
                        <a:xfrm>
                          <a:off x="0" y="0"/>
                          <a:ext cx="2281381" cy="175491"/>
                        </a:xfrm>
                        <a:prstGeom prst="rect">
                          <a:avLst/>
                        </a:prstGeom>
                        <a:noFill/>
                        <a:ln w="12700" cap="flat">
                          <a:noFill/>
                          <a:miter lim="400000"/>
                        </a:ln>
                        <a:effectLst/>
                      </wps:spPr>
                      <wps:txbx>
                        <w:txbxContent>
                          <w:p w14:paraId="2F4BFB05" w14:textId="77777777" w:rsidR="0058450B" w:rsidRDefault="00614F23">
                            <w:pPr>
                              <w:pStyle w:val="054tabella-figuranote"/>
                              <w:spacing w:before="60" w:after="0"/>
                              <w:ind w:left="0" w:firstLine="0"/>
                              <w:jc w:val="right"/>
                            </w:pPr>
                            <w:r>
                              <w:rPr>
                                <w:rFonts w:ascii="Arial" w:hAnsi="Arial"/>
                                <w:i/>
                                <w:iCs/>
                              </w:rPr>
                              <w:t>Fonte: Eurostat, Commissione europea, Istat</w:t>
                            </w:r>
                          </w:p>
                        </w:txbxContent>
                      </wps:txbx>
                      <wps:bodyPr wrap="square" lIns="0" tIns="0" rIns="0" bIns="0" numCol="1" anchor="t">
                        <a:noAutofit/>
                      </wps:bodyPr>
                    </wps:wsp>
                  </a:graphicData>
                </a:graphic>
              </wp:anchor>
            </w:drawing>
          </mc:Choice>
          <mc:Fallback>
            <w:pict>
              <v:shape w14:anchorId="7376D107" id="_x0000_s1027" type="#_x0000_t202" alt="Casella di testo 1" style="position:absolute;left:0;text-align:left;margin-left:372.45pt;margin-top:.5pt;width:179.65pt;height:13.8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" filled="f" stroked="f" strokeweight="1pt">
                <v:stroke miterlimit="4"/>
                <v:textbox inset="0,0,0,0">
                  <w:txbxContent>
                    <w:p w14:paraId="2F4BFB05" w14:textId="77777777" w:rsidR="0058450B" w:rsidRDefault="00614F23">
                      <w:pPr>
                        <w:pStyle w:val="054tabella-figuranote"/>
                        <w:spacing w:before="60" w:after="0"/>
                        <w:ind w:left="0" w:firstLine="0"/>
                        <w:jc w:val="right"/>
                      </w:pPr>
                      <w:r>
                        <w:rPr>
                          <w:rFonts w:ascii="Arial" w:hAnsi="Arial"/>
                          <w:i/>
                          <w:iCs/>
                        </w:rPr>
                        <w:t>Fonte: Eurostat, Commissione europea, Istat</w:t>
                      </w:r>
                    </w:p>
                  </w:txbxContent>
                </v:textbox>
                <w10:wrap anchorx="page" anchory="line"/>
              </v:shape>
            </w:pict>
          </mc:Fallback>
        </mc:AlternateContent>
      </w:r>
      <w:r>
        <w:t xml:space="preserve">* </w:t>
      </w:r>
      <w:r>
        <w:rPr>
          <w:rFonts w:ascii="Arial" w:hAnsi="Arial"/>
        </w:rPr>
        <w:t>Variazioni tendenziali   ** Differenze assolute rispetto al mese precedente</w:t>
      </w:r>
      <w:r>
        <w:rPr>
          <w:rFonts w:ascii="Arial Unicode MS" w:eastAsia="Arial Unicode MS" w:hAnsi="Arial Unicode MS" w:cs="Arial Unicode MS"/>
          <w:smallCaps/>
          <w:sz w:val="24"/>
          <w:szCs w:val="24"/>
        </w:rPr>
        <w:br w:type="page"/>
      </w:r>
    </w:p>
    <w:p w14:paraId="4129AD7C" w14:textId="77777777" w:rsidR="0058450B" w:rsidRDefault="00614F23">
      <w:pPr>
        <w:pStyle w:val="012titoloparagrafo"/>
        <w:pBdr>
          <w:top w:val="single" w:sz="8" w:space="0" w:color="068080"/>
          <w:bottom w:val="single" w:sz="8" w:space="0" w:color="068080"/>
        </w:pBdr>
        <w:shd w:val="clear" w:color="auto" w:fill="068080"/>
        <w:spacing w:before="0" w:after="0"/>
        <w:rPr>
          <w:b w:val="0"/>
          <w:bCs w:val="0"/>
          <w:smallCaps/>
          <w:color w:val="FFFFFF"/>
          <w:sz w:val="24"/>
          <w:szCs w:val="24"/>
          <w:u w:color="FFFFFF"/>
        </w:rPr>
      </w:pPr>
      <w:r>
        <w:rPr>
          <w:b w:val="0"/>
          <w:bCs w:val="0"/>
          <w:smallCaps/>
          <w:color w:val="FFFFFF"/>
          <w:sz w:val="24"/>
          <w:szCs w:val="24"/>
          <w:u w:color="FFFFFF"/>
        </w:rPr>
        <w:lastRenderedPageBreak/>
        <w:t xml:space="preserve"> IL QUADRO INTERNAZIONALE</w:t>
      </w:r>
    </w:p>
    <w:p w14:paraId="76F134C7" w14:textId="02C18EDA" w:rsidR="0058450B" w:rsidRDefault="00614F23">
      <w:pPr>
        <w:spacing w:before="120" w:after="120"/>
        <w:jc w:val="both"/>
        <w:rPr>
          <w:rFonts w:ascii="Arial" w:eastAsia="Arial" w:hAnsi="Arial" w:cs="Arial"/>
          <w:sz w:val="22"/>
          <w:szCs w:val="22"/>
        </w:rPr>
      </w:pPr>
      <w:r>
        <w:rPr>
          <w:rFonts w:ascii="Arial" w:hAnsi="Arial"/>
          <w:b/>
          <w:bCs/>
          <w:color w:val="008080"/>
          <w:sz w:val="22"/>
          <w:szCs w:val="22"/>
          <w:u w:color="008080"/>
        </w:rPr>
        <w:t xml:space="preserve">Nuove tensioni </w:t>
      </w:r>
      <w:proofErr w:type="spellStart"/>
      <w:r>
        <w:rPr>
          <w:rFonts w:ascii="Arial" w:hAnsi="Arial"/>
          <w:b/>
          <w:bCs/>
          <w:color w:val="008080"/>
          <w:sz w:val="22"/>
          <w:szCs w:val="22"/>
          <w:u w:color="008080"/>
        </w:rPr>
        <w:t>geoeconomiche</w:t>
      </w:r>
      <w:proofErr w:type="spellEnd"/>
      <w:r>
        <w:rPr>
          <w:rFonts w:ascii="Arial" w:hAnsi="Arial"/>
          <w:b/>
          <w:bCs/>
          <w:color w:val="008080"/>
          <w:sz w:val="22"/>
          <w:szCs w:val="22"/>
          <w:u w:color="008080"/>
        </w:rPr>
        <w:t xml:space="preserve"> caratterizzano lo scenario globale a inizio anno. </w:t>
      </w:r>
      <w:r>
        <w:rPr>
          <w:rFonts w:ascii="Arial" w:hAnsi="Arial"/>
          <w:sz w:val="22"/>
          <w:szCs w:val="22"/>
        </w:rPr>
        <w:t>Nel corso del 2025, una dinamica inflazionistica in rallentamento, l’attenuazione delle tensioni commerciali nella parte finale dell’anno e il taglio dei tassi d'interesse attuato dalle principali banche centrali</w:t>
      </w:r>
      <w:r w:rsidR="00AB3783">
        <w:rPr>
          <w:rFonts w:ascii="Arial" w:hAnsi="Arial"/>
          <w:sz w:val="22"/>
          <w:szCs w:val="22"/>
        </w:rPr>
        <w:t xml:space="preserve"> </w:t>
      </w:r>
      <w:r>
        <w:rPr>
          <w:rFonts w:ascii="Arial" w:hAnsi="Arial"/>
          <w:sz w:val="22"/>
          <w:szCs w:val="22"/>
        </w:rPr>
        <w:t>hanno contribuito a frenare le pressioni al ribasso sulla crescita mondiale.</w:t>
      </w:r>
    </w:p>
    <w:p w14:paraId="1E82A21E" w14:textId="4CA0170A" w:rsidR="0058450B" w:rsidRDefault="00614F23">
      <w:pPr>
        <w:spacing w:before="120" w:after="120"/>
        <w:jc w:val="both"/>
        <w:rPr>
          <w:rFonts w:ascii="Arial" w:eastAsia="Arial" w:hAnsi="Arial" w:cs="Arial"/>
          <w:sz w:val="22"/>
          <w:szCs w:val="22"/>
        </w:rPr>
      </w:pPr>
      <w:r>
        <w:rPr>
          <w:rFonts w:ascii="Arial" w:hAnsi="Arial"/>
          <w:sz w:val="22"/>
          <w:szCs w:val="22"/>
        </w:rPr>
        <w:t xml:space="preserve">La performance dei principali paesi e aree, nel terzo trimestre del 2025 (ultimo dato disponibile), è stata in generale migliore di quanto atteso. La tenuta dei consumi negli Stati Uniti, la resilienza dell’economia euro e del settore manifatturiero in Cina hanno sostenuto l’attività economica. Tuttavia, l'inizio del 2026 è stato segnato, da ulteriori tensioni </w:t>
      </w:r>
      <w:proofErr w:type="spellStart"/>
      <w:r>
        <w:rPr>
          <w:rFonts w:ascii="Arial" w:hAnsi="Arial"/>
          <w:sz w:val="22"/>
          <w:szCs w:val="22"/>
        </w:rPr>
        <w:t>geoeconomiche</w:t>
      </w:r>
      <w:proofErr w:type="spellEnd"/>
      <w:r>
        <w:rPr>
          <w:rFonts w:ascii="Arial" w:hAnsi="Arial"/>
          <w:sz w:val="22"/>
          <w:szCs w:val="22"/>
        </w:rPr>
        <w:t xml:space="preserve">, con nuovi focolai di instabilità. In primo piano, </w:t>
      </w:r>
      <w:r w:rsidR="00AB3783">
        <w:rPr>
          <w:rFonts w:ascii="Arial" w:hAnsi="Arial"/>
          <w:sz w:val="22"/>
          <w:szCs w:val="22"/>
        </w:rPr>
        <w:t xml:space="preserve">le </w:t>
      </w:r>
      <w:r>
        <w:rPr>
          <w:rFonts w:ascii="Arial" w:hAnsi="Arial"/>
          <w:sz w:val="22"/>
          <w:szCs w:val="22"/>
        </w:rPr>
        <w:t>recenti operazioni militari degli Stati Uniti</w:t>
      </w:r>
      <w:r w:rsidR="00AB3783">
        <w:rPr>
          <w:rFonts w:ascii="Arial" w:hAnsi="Arial"/>
          <w:sz w:val="22"/>
          <w:szCs w:val="22"/>
        </w:rPr>
        <w:t xml:space="preserve"> in Venezuela</w:t>
      </w:r>
      <w:r>
        <w:rPr>
          <w:rFonts w:ascii="Arial" w:hAnsi="Arial"/>
          <w:sz w:val="22"/>
          <w:szCs w:val="22"/>
        </w:rPr>
        <w:t>, c</w:t>
      </w:r>
      <w:r w:rsidR="00166817">
        <w:rPr>
          <w:rFonts w:ascii="Arial" w:hAnsi="Arial"/>
          <w:sz w:val="22"/>
          <w:szCs w:val="22"/>
        </w:rPr>
        <w:t>he</w:t>
      </w:r>
      <w:r>
        <w:rPr>
          <w:rFonts w:ascii="Arial" w:hAnsi="Arial"/>
          <w:sz w:val="22"/>
          <w:szCs w:val="22"/>
        </w:rPr>
        <w:t xml:space="preserve"> non ha</w:t>
      </w:r>
      <w:r w:rsidR="00AB3783">
        <w:rPr>
          <w:rFonts w:ascii="Arial" w:hAnsi="Arial"/>
          <w:sz w:val="22"/>
          <w:szCs w:val="22"/>
        </w:rPr>
        <w:t>nno</w:t>
      </w:r>
      <w:r>
        <w:rPr>
          <w:rFonts w:ascii="Arial" w:hAnsi="Arial"/>
          <w:sz w:val="22"/>
          <w:szCs w:val="22"/>
        </w:rPr>
        <w:t xml:space="preserve"> avuto effetti sui prezzi del greggio. L’offerta globale </w:t>
      </w:r>
      <w:r w:rsidR="00AB3783">
        <w:rPr>
          <w:rFonts w:ascii="Arial" w:hAnsi="Arial"/>
          <w:sz w:val="22"/>
          <w:szCs w:val="22"/>
        </w:rPr>
        <w:t xml:space="preserve">di petrolio </w:t>
      </w:r>
      <w:r>
        <w:rPr>
          <w:rFonts w:ascii="Arial" w:hAnsi="Arial"/>
          <w:sz w:val="22"/>
          <w:szCs w:val="22"/>
        </w:rPr>
        <w:t xml:space="preserve">rimane </w:t>
      </w:r>
      <w:r w:rsidR="00AA0B28">
        <w:rPr>
          <w:rFonts w:ascii="Arial" w:hAnsi="Arial"/>
          <w:sz w:val="22"/>
          <w:szCs w:val="22"/>
        </w:rPr>
        <w:t xml:space="preserve">elevata </w:t>
      </w:r>
      <w:r>
        <w:rPr>
          <w:rFonts w:ascii="Arial" w:hAnsi="Arial"/>
          <w:sz w:val="22"/>
          <w:szCs w:val="22"/>
        </w:rPr>
        <w:t>e non sono stati causati danni alle infrastrutture produttive</w:t>
      </w:r>
      <w:r w:rsidR="000B297A">
        <w:rPr>
          <w:rFonts w:ascii="Arial" w:hAnsi="Arial"/>
          <w:sz w:val="22"/>
          <w:szCs w:val="22"/>
        </w:rPr>
        <w:t>;</w:t>
      </w:r>
      <w:r w:rsidR="00AB3783">
        <w:rPr>
          <w:rFonts w:ascii="Arial" w:hAnsi="Arial"/>
          <w:sz w:val="22"/>
          <w:szCs w:val="22"/>
        </w:rPr>
        <w:t xml:space="preserve"> inoltre </w:t>
      </w:r>
      <w:r>
        <w:rPr>
          <w:rFonts w:ascii="Arial" w:hAnsi="Arial"/>
          <w:sz w:val="22"/>
          <w:szCs w:val="22"/>
        </w:rPr>
        <w:t>la produzione venezuelana non costituisce al momento una quota rilevante dell</w:t>
      </w:r>
      <w:r w:rsidR="00EC0CA0">
        <w:rPr>
          <w:rFonts w:ascii="Arial" w:hAnsi="Arial"/>
          <w:sz w:val="22"/>
          <w:szCs w:val="22"/>
        </w:rPr>
        <w:t>a produzione</w:t>
      </w:r>
      <w:r>
        <w:rPr>
          <w:rFonts w:ascii="Arial" w:hAnsi="Arial"/>
          <w:sz w:val="22"/>
          <w:szCs w:val="22"/>
        </w:rPr>
        <w:t xml:space="preserve"> mondiale. I rischi sistemici dovuti alla possibile “bolla</w:t>
      </w:r>
      <w:r w:rsidR="00AB3783">
        <w:rPr>
          <w:rFonts w:ascii="Arial" w:hAnsi="Arial"/>
          <w:sz w:val="22"/>
          <w:szCs w:val="22"/>
        </w:rPr>
        <w:t xml:space="preserve"> finanziaria</w:t>
      </w:r>
      <w:r>
        <w:rPr>
          <w:rFonts w:ascii="Arial" w:hAnsi="Arial"/>
          <w:sz w:val="22"/>
          <w:szCs w:val="22"/>
        </w:rPr>
        <w:t xml:space="preserve">” dell'intelligenza artificiale e alle incertezze sulla </w:t>
      </w:r>
      <w:r w:rsidR="00AB3783">
        <w:rPr>
          <w:rFonts w:ascii="Arial" w:hAnsi="Arial"/>
          <w:sz w:val="22"/>
          <w:szCs w:val="22"/>
        </w:rPr>
        <w:t xml:space="preserve">politica monetaria </w:t>
      </w:r>
      <w:r>
        <w:rPr>
          <w:rFonts w:ascii="Arial" w:hAnsi="Arial"/>
          <w:sz w:val="22"/>
          <w:szCs w:val="22"/>
        </w:rPr>
        <w:t xml:space="preserve">della Federal </w:t>
      </w:r>
      <w:proofErr w:type="spellStart"/>
      <w:r>
        <w:rPr>
          <w:rFonts w:ascii="Arial" w:hAnsi="Arial"/>
          <w:sz w:val="22"/>
          <w:szCs w:val="22"/>
        </w:rPr>
        <w:t>Reserve</w:t>
      </w:r>
      <w:proofErr w:type="spellEnd"/>
      <w:r>
        <w:rPr>
          <w:rFonts w:ascii="Arial" w:hAnsi="Arial"/>
          <w:sz w:val="22"/>
          <w:szCs w:val="22"/>
        </w:rPr>
        <w:t xml:space="preserve"> </w:t>
      </w:r>
      <w:r w:rsidR="00AB3783">
        <w:rPr>
          <w:rFonts w:ascii="Arial" w:hAnsi="Arial"/>
          <w:sz w:val="22"/>
          <w:szCs w:val="22"/>
        </w:rPr>
        <w:t>nella seconda parte del 202</w:t>
      </w:r>
      <w:r w:rsidR="00AA0B28">
        <w:rPr>
          <w:rFonts w:ascii="Arial" w:hAnsi="Arial"/>
          <w:sz w:val="22"/>
          <w:szCs w:val="22"/>
        </w:rPr>
        <w:t>6</w:t>
      </w:r>
      <w:r w:rsidR="00AB3783">
        <w:rPr>
          <w:rFonts w:ascii="Arial" w:hAnsi="Arial"/>
          <w:sz w:val="22"/>
          <w:szCs w:val="22"/>
        </w:rPr>
        <w:t xml:space="preserve"> </w:t>
      </w:r>
      <w:r>
        <w:rPr>
          <w:rFonts w:ascii="Arial" w:hAnsi="Arial"/>
          <w:sz w:val="22"/>
          <w:szCs w:val="22"/>
        </w:rPr>
        <w:t>(</w:t>
      </w:r>
      <w:r w:rsidR="00AB3783">
        <w:rPr>
          <w:rFonts w:ascii="Arial" w:hAnsi="Arial"/>
          <w:sz w:val="22"/>
          <w:szCs w:val="22"/>
        </w:rPr>
        <w:t xml:space="preserve">il mandato dell’attuale </w:t>
      </w:r>
      <w:r>
        <w:rPr>
          <w:rFonts w:ascii="Arial" w:hAnsi="Arial"/>
          <w:sz w:val="22"/>
          <w:szCs w:val="22"/>
        </w:rPr>
        <w:t>presidente scadrà a maggio) possono contribuire a generare ulteriore volatilità sui mercati internazionali e a supportare le previsioni di rallentamento per l'anno appena iniziato.</w:t>
      </w:r>
    </w:p>
    <w:p w14:paraId="4424F733" w14:textId="3414F394" w:rsidR="0058450B" w:rsidRDefault="00614F23">
      <w:pPr>
        <w:spacing w:before="120" w:after="120"/>
        <w:jc w:val="both"/>
        <w:rPr>
          <w:rFonts w:ascii="Arial" w:eastAsia="Arial" w:hAnsi="Arial" w:cs="Arial"/>
          <w:sz w:val="22"/>
          <w:szCs w:val="22"/>
        </w:rPr>
      </w:pPr>
      <w:r>
        <w:rPr>
          <w:rFonts w:ascii="Arial" w:hAnsi="Arial"/>
          <w:b/>
          <w:bCs/>
          <w:color w:val="008080"/>
          <w:sz w:val="22"/>
          <w:szCs w:val="22"/>
          <w:u w:color="008080"/>
        </w:rPr>
        <w:t xml:space="preserve">Commercio mondiale in calo in ottobre. </w:t>
      </w:r>
      <w:r>
        <w:rPr>
          <w:rFonts w:ascii="Arial" w:hAnsi="Arial"/>
          <w:sz w:val="22"/>
          <w:szCs w:val="22"/>
        </w:rPr>
        <w:t>Secondo i dati del Central Plan Bureau</w:t>
      </w:r>
      <w:r w:rsidR="00AB3783">
        <w:rPr>
          <w:rFonts w:ascii="Arial" w:hAnsi="Arial"/>
          <w:sz w:val="22"/>
          <w:szCs w:val="22"/>
        </w:rPr>
        <w:t xml:space="preserve"> olandese</w:t>
      </w:r>
      <w:r w:rsidR="002801F9">
        <w:rPr>
          <w:rFonts w:ascii="Arial" w:hAnsi="Arial"/>
          <w:sz w:val="22"/>
          <w:szCs w:val="22"/>
        </w:rPr>
        <w:t xml:space="preserve"> (CPB)</w:t>
      </w:r>
      <w:r>
        <w:rPr>
          <w:rFonts w:ascii="Arial" w:hAnsi="Arial"/>
          <w:sz w:val="22"/>
          <w:szCs w:val="22"/>
        </w:rPr>
        <w:t xml:space="preserve">, gli scambi internazionali di merci in volume sono diminuiti, in termini congiunturali, dell’1,3% a ottobre (+1,1% a settembre, Figura 1). Tra agosto e ottobre il commercio mondiale di merci in volume è, tuttavia, cresciuto </w:t>
      </w:r>
      <w:r w:rsidR="00AA0B28">
        <w:rPr>
          <w:rFonts w:ascii="Arial" w:hAnsi="Arial"/>
          <w:sz w:val="22"/>
          <w:szCs w:val="22"/>
        </w:rPr>
        <w:t xml:space="preserve">in media </w:t>
      </w:r>
      <w:r>
        <w:rPr>
          <w:rFonts w:ascii="Arial" w:hAnsi="Arial"/>
          <w:sz w:val="22"/>
          <w:szCs w:val="22"/>
        </w:rPr>
        <w:t>dello 0,7% su base congiunturale.</w:t>
      </w:r>
      <w:r w:rsidR="009A36AC">
        <w:rPr>
          <w:rFonts w:ascii="Arial" w:hAnsi="Arial"/>
          <w:sz w:val="22"/>
          <w:szCs w:val="22"/>
        </w:rPr>
        <w:t xml:space="preserve"> </w:t>
      </w:r>
      <w:r>
        <w:rPr>
          <w:rFonts w:ascii="Arial" w:hAnsi="Arial"/>
          <w:sz w:val="22"/>
          <w:szCs w:val="22"/>
        </w:rPr>
        <w:t xml:space="preserve">In evidenza, a ottobre, la flessione </w:t>
      </w:r>
      <w:r w:rsidR="009A36AC">
        <w:rPr>
          <w:rFonts w:ascii="Arial" w:hAnsi="Arial"/>
          <w:sz w:val="22"/>
          <w:szCs w:val="22"/>
        </w:rPr>
        <w:t>congiunturale</w:t>
      </w:r>
      <w:r w:rsidR="00AB3783">
        <w:rPr>
          <w:rFonts w:ascii="Arial" w:hAnsi="Arial"/>
          <w:sz w:val="22"/>
          <w:szCs w:val="22"/>
        </w:rPr>
        <w:t xml:space="preserve"> </w:t>
      </w:r>
      <w:r>
        <w:rPr>
          <w:rFonts w:ascii="Arial" w:hAnsi="Arial"/>
          <w:sz w:val="22"/>
          <w:szCs w:val="22"/>
        </w:rPr>
        <w:t xml:space="preserve">dei volumi di importazioni di merci per la Cina (-5,6%, +1,9% </w:t>
      </w:r>
      <w:r w:rsidR="007410B9">
        <w:rPr>
          <w:rFonts w:ascii="Arial" w:hAnsi="Arial"/>
          <w:sz w:val="22"/>
          <w:szCs w:val="22"/>
        </w:rPr>
        <w:t xml:space="preserve">nel </w:t>
      </w:r>
      <w:r>
        <w:rPr>
          <w:rFonts w:ascii="Arial" w:hAnsi="Arial"/>
          <w:sz w:val="22"/>
          <w:szCs w:val="22"/>
        </w:rPr>
        <w:t>trimestrale agosto-ottobre)</w:t>
      </w:r>
      <w:r w:rsidR="00EC0CA0">
        <w:rPr>
          <w:rFonts w:ascii="Arial" w:hAnsi="Arial"/>
          <w:sz w:val="22"/>
          <w:szCs w:val="22"/>
        </w:rPr>
        <w:t xml:space="preserve"> e</w:t>
      </w:r>
      <w:r w:rsidR="00E628AF">
        <w:rPr>
          <w:rFonts w:ascii="Arial" w:hAnsi="Arial"/>
          <w:sz w:val="22"/>
          <w:szCs w:val="22"/>
        </w:rPr>
        <w:t xml:space="preserve"> </w:t>
      </w:r>
      <w:r w:rsidR="00EC0CA0">
        <w:rPr>
          <w:rFonts w:ascii="Arial" w:hAnsi="Arial"/>
          <w:sz w:val="22"/>
          <w:szCs w:val="22"/>
        </w:rPr>
        <w:t>p</w:t>
      </w:r>
      <w:r>
        <w:rPr>
          <w:rFonts w:ascii="Arial" w:hAnsi="Arial"/>
          <w:sz w:val="22"/>
          <w:szCs w:val="22"/>
        </w:rPr>
        <w:t xml:space="preserve">er quanto riguarda le esportazioni, si riscontrano nello stesso mese cali </w:t>
      </w:r>
      <w:r w:rsidR="000B297A">
        <w:rPr>
          <w:rFonts w:ascii="Arial" w:hAnsi="Arial"/>
          <w:sz w:val="22"/>
          <w:szCs w:val="22"/>
        </w:rPr>
        <w:t xml:space="preserve">su base </w:t>
      </w:r>
      <w:r w:rsidR="00717ABF">
        <w:rPr>
          <w:rFonts w:ascii="Arial" w:hAnsi="Arial"/>
          <w:sz w:val="22"/>
          <w:szCs w:val="22"/>
        </w:rPr>
        <w:t>congiuntural</w:t>
      </w:r>
      <w:r w:rsidR="000B297A">
        <w:rPr>
          <w:rFonts w:ascii="Arial" w:hAnsi="Arial"/>
          <w:sz w:val="22"/>
          <w:szCs w:val="22"/>
        </w:rPr>
        <w:t>e</w:t>
      </w:r>
      <w:r w:rsidR="00717ABF">
        <w:rPr>
          <w:rFonts w:ascii="Arial" w:hAnsi="Arial"/>
          <w:sz w:val="22"/>
          <w:szCs w:val="22"/>
        </w:rPr>
        <w:t xml:space="preserve"> </w:t>
      </w:r>
      <w:r>
        <w:rPr>
          <w:rFonts w:ascii="Arial" w:hAnsi="Arial"/>
          <w:sz w:val="22"/>
          <w:szCs w:val="22"/>
        </w:rPr>
        <w:t>per l'area euro (-2,9%, +0,2% il dato relativo alla media agosto-ottobre), e la Cina (-2,7%, +1,7% la variazione congiunturale trimestrale). A causa della chiusura parziale del governo degli Stati Uniti (“</w:t>
      </w:r>
      <w:proofErr w:type="spellStart"/>
      <w:r>
        <w:rPr>
          <w:rFonts w:ascii="Arial" w:hAnsi="Arial"/>
          <w:sz w:val="22"/>
          <w:szCs w:val="22"/>
        </w:rPr>
        <w:t>Shutdown</w:t>
      </w:r>
      <w:proofErr w:type="spellEnd"/>
      <w:r>
        <w:rPr>
          <w:rFonts w:ascii="Arial" w:hAnsi="Arial"/>
          <w:sz w:val="22"/>
          <w:szCs w:val="22"/>
        </w:rPr>
        <w:t xml:space="preserve">” tra ottobre e novembre 2025), le statistiche ufficiali sul commercio statunitense per ottobre non sono disponibili. Le stime </w:t>
      </w:r>
      <w:r w:rsidR="002801F9">
        <w:rPr>
          <w:rFonts w:ascii="Arial" w:hAnsi="Arial"/>
          <w:sz w:val="22"/>
          <w:szCs w:val="22"/>
        </w:rPr>
        <w:t xml:space="preserve">del CPB </w:t>
      </w:r>
      <w:r>
        <w:rPr>
          <w:rFonts w:ascii="Arial" w:hAnsi="Arial"/>
          <w:sz w:val="22"/>
          <w:szCs w:val="22"/>
        </w:rPr>
        <w:t>suggeriscono un moderato aumento su base mensile dell</w:t>
      </w:r>
      <w:r w:rsidR="00EC0CA0">
        <w:rPr>
          <w:rFonts w:ascii="Arial" w:hAnsi="Arial"/>
          <w:sz w:val="22"/>
          <w:szCs w:val="22"/>
        </w:rPr>
        <w:t>’</w:t>
      </w:r>
      <w:r>
        <w:rPr>
          <w:rFonts w:ascii="Arial" w:hAnsi="Arial"/>
          <w:sz w:val="22"/>
          <w:szCs w:val="22"/>
        </w:rPr>
        <w:t xml:space="preserve">import a fronte di una lieve diminuzione delle esportazioni, che determinerebbe un calo delle importazioni (-3,5%) per il periodo agosto-ottobre rispetto ai tre mesi precedenti e un incremento (+2,1%) </w:t>
      </w:r>
      <w:r w:rsidR="00EC0CA0">
        <w:rPr>
          <w:rFonts w:ascii="Arial" w:hAnsi="Arial"/>
          <w:sz w:val="22"/>
          <w:szCs w:val="22"/>
        </w:rPr>
        <w:t>delle vendite all’estero</w:t>
      </w:r>
    </w:p>
    <w:p w14:paraId="592C36D1" w14:textId="77777777" w:rsidR="0058450B" w:rsidRDefault="00614F23">
      <w:pPr>
        <w:spacing w:before="120" w:after="120"/>
        <w:jc w:val="both"/>
        <w:rPr>
          <w:rFonts w:ascii="Arial" w:eastAsia="Arial" w:hAnsi="Arial" w:cs="Arial"/>
          <w:sz w:val="22"/>
          <w:szCs w:val="22"/>
        </w:rPr>
      </w:pPr>
      <w:r>
        <w:rPr>
          <w:rFonts w:ascii="Arial" w:hAnsi="Arial"/>
          <w:b/>
          <w:bCs/>
          <w:color w:val="008080"/>
          <w:sz w:val="22"/>
          <w:szCs w:val="22"/>
          <w:u w:color="008080"/>
        </w:rPr>
        <w:t>Prospettive ancora sfavorevoli per gli scambi mondiali.</w:t>
      </w:r>
      <w:r>
        <w:rPr>
          <w:rFonts w:ascii="Arial" w:hAnsi="Arial"/>
          <w:sz w:val="22"/>
          <w:szCs w:val="22"/>
        </w:rPr>
        <w:t xml:space="preserve"> La componente dell’indice composito globale dei manager degli acquisti (PMI, </w:t>
      </w:r>
      <w:proofErr w:type="spellStart"/>
      <w:r>
        <w:rPr>
          <w:rFonts w:ascii="Arial" w:hAnsi="Arial"/>
          <w:sz w:val="22"/>
          <w:szCs w:val="22"/>
        </w:rPr>
        <w:t>Purchasing</w:t>
      </w:r>
      <w:proofErr w:type="spellEnd"/>
      <w:r>
        <w:rPr>
          <w:rFonts w:ascii="Arial" w:hAnsi="Arial"/>
          <w:sz w:val="22"/>
          <w:szCs w:val="22"/>
        </w:rPr>
        <w:t xml:space="preserve"> </w:t>
      </w:r>
      <w:proofErr w:type="spellStart"/>
      <w:r>
        <w:rPr>
          <w:rFonts w:ascii="Arial" w:hAnsi="Arial"/>
          <w:sz w:val="22"/>
          <w:szCs w:val="22"/>
        </w:rPr>
        <w:t>Managers</w:t>
      </w:r>
      <w:proofErr w:type="spellEnd"/>
      <w:r>
        <w:rPr>
          <w:rFonts w:ascii="Arial" w:hAnsi="Arial"/>
          <w:sz w:val="22"/>
          <w:szCs w:val="22"/>
        </w:rPr>
        <w:t xml:space="preserve">’ Index) per i nuovi ordini di esportazione (che anticipa la dinamica della domanda internazionale) ha segnato a dicembre l’ottavo calo consecutivo, restando sotto la soglia di espansione di 50. </w:t>
      </w:r>
    </w:p>
    <w:tbl>
      <w:tblPr>
        <w:tblStyle w:val="TableNormal"/>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00"/>
        <w:gridCol w:w="5101"/>
      </w:tblGrid>
      <w:tr w:rsidR="0058450B" w14:paraId="6133238A" w14:textId="77777777">
        <w:trPr>
          <w:trHeight w:val="738"/>
        </w:trPr>
        <w:tc>
          <w:tcPr>
            <w:tcW w:w="5100" w:type="dxa"/>
            <w:tcBorders>
              <w:top w:val="nil"/>
              <w:left w:val="nil"/>
              <w:bottom w:val="single" w:sz="2" w:space="0" w:color="D9D9D9"/>
              <w:right w:val="nil"/>
            </w:tcBorders>
            <w:tcMar>
              <w:top w:w="80" w:type="dxa"/>
              <w:left w:w="80" w:type="dxa"/>
              <w:bottom w:w="80" w:type="dxa"/>
              <w:right w:w="218" w:type="dxa"/>
            </w:tcMar>
          </w:tcPr>
          <w:p w14:paraId="103FE138" w14:textId="0B6F0F12" w:rsidR="0058450B" w:rsidRDefault="00614F23" w:rsidP="00231458">
            <w:pPr>
              <w:pStyle w:val="052tabella-figurasottotitolo"/>
              <w:tabs>
                <w:tab w:val="clear" w:pos="567"/>
              </w:tabs>
              <w:spacing w:before="120" w:after="0"/>
              <w:ind w:right="138"/>
            </w:pPr>
            <w:r w:rsidRPr="00612F53">
              <w:rPr>
                <w:b/>
                <w:bCs/>
                <w:color w:val="00817F"/>
                <w:sz w:val="20"/>
                <w:szCs w:val="20"/>
                <w:u w:color="00817F"/>
                <w:lang w:val="it-IT"/>
              </w:rPr>
              <w:t>FIGURA 1.</w:t>
            </w:r>
            <w:r w:rsidRPr="00612F53">
              <w:rPr>
                <w:b/>
                <w:bCs/>
                <w:sz w:val="20"/>
                <w:szCs w:val="20"/>
                <w:lang w:val="it-IT"/>
              </w:rPr>
              <w:t xml:space="preserve"> </w:t>
            </w:r>
            <w:r w:rsidRPr="00320E26">
              <w:rPr>
                <w:b/>
                <w:bCs/>
                <w:color w:val="595959"/>
                <w:spacing w:val="-2"/>
                <w:sz w:val="20"/>
                <w:szCs w:val="20"/>
                <w:u w:color="595959"/>
                <w:lang w:val="it-IT"/>
              </w:rPr>
              <w:t xml:space="preserve">COMMERCIO MONDIALE DI MERCI IN VOLUME </w:t>
            </w:r>
            <w:r w:rsidRPr="00612F53">
              <w:rPr>
                <w:b/>
                <w:bCs/>
                <w:color w:val="595959"/>
                <w:spacing w:val="-2"/>
                <w:sz w:val="20"/>
                <w:szCs w:val="20"/>
                <w:u w:color="595959"/>
                <w:lang w:val="it-IT"/>
              </w:rPr>
              <w:br/>
            </w:r>
            <w:r w:rsidRPr="00320E26">
              <w:rPr>
                <w:b/>
                <w:bCs/>
                <w:color w:val="595959"/>
                <w:spacing w:val="-2"/>
                <w:sz w:val="20"/>
                <w:szCs w:val="20"/>
                <w:u w:color="595959"/>
                <w:lang w:val="it-IT"/>
              </w:rPr>
              <w:t>E PRODUZIONE INDUSTRIALE A LIVELLO MONDIALE.</w:t>
            </w:r>
            <w:r w:rsidRPr="00612F53">
              <w:rPr>
                <w:b/>
                <w:bCs/>
                <w:color w:val="595959"/>
                <w:sz w:val="20"/>
                <w:szCs w:val="20"/>
                <w:u w:color="595959"/>
                <w:lang w:val="it-IT"/>
              </w:rPr>
              <w:t xml:space="preserve">          </w:t>
            </w:r>
            <w:proofErr w:type="spellStart"/>
            <w:r>
              <w:rPr>
                <w:color w:val="000000"/>
                <w:sz w:val="19"/>
                <w:szCs w:val="19"/>
                <w:u w:color="000000"/>
                <w:lang w:val="en-US"/>
              </w:rPr>
              <w:t>Indice</w:t>
            </w:r>
            <w:proofErr w:type="spellEnd"/>
            <w:r>
              <w:rPr>
                <w:color w:val="000000"/>
                <w:sz w:val="19"/>
                <w:szCs w:val="19"/>
                <w:u w:color="000000"/>
                <w:lang w:val="en-US"/>
              </w:rPr>
              <w:t xml:space="preserve"> 2021=100</w:t>
            </w:r>
          </w:p>
        </w:tc>
        <w:tc>
          <w:tcPr>
            <w:tcW w:w="5101" w:type="dxa"/>
            <w:tcBorders>
              <w:top w:val="nil"/>
              <w:left w:val="nil"/>
              <w:bottom w:val="single" w:sz="2" w:space="0" w:color="D9D9D9"/>
              <w:right w:val="nil"/>
            </w:tcBorders>
            <w:tcMar>
              <w:top w:w="80" w:type="dxa"/>
              <w:left w:w="80" w:type="dxa"/>
              <w:bottom w:w="80" w:type="dxa"/>
              <w:right w:w="80" w:type="dxa"/>
            </w:tcMar>
          </w:tcPr>
          <w:p w14:paraId="7DAFED64" w14:textId="2352B106" w:rsidR="0058450B" w:rsidRPr="00612F53" w:rsidRDefault="00614F23" w:rsidP="00F4747C">
            <w:pPr>
              <w:pStyle w:val="051tabella-figuratitolo"/>
              <w:spacing w:before="120" w:after="0"/>
              <w:jc w:val="left"/>
              <w:rPr>
                <w:lang w:val="it-IT"/>
              </w:rPr>
            </w:pPr>
            <w:r w:rsidRPr="00612F53">
              <w:rPr>
                <w:color w:val="00817F"/>
                <w:sz w:val="20"/>
                <w:szCs w:val="20"/>
                <w:u w:color="00817F"/>
                <w:lang w:val="it-IT"/>
              </w:rPr>
              <w:t>FIGURA 2</w:t>
            </w:r>
            <w:r>
              <w:rPr>
                <w:color w:val="595959"/>
                <w:sz w:val="20"/>
                <w:szCs w:val="20"/>
                <w:u w:color="595959"/>
                <w:lang w:val="pt-PT"/>
              </w:rPr>
              <w:t>. ECONOMIC SENTIMENT INDICATOR (ESI).</w:t>
            </w:r>
            <w:r w:rsidR="00F4747C" w:rsidRPr="00E12B85">
              <w:rPr>
                <w:color w:val="595959"/>
                <w:sz w:val="20"/>
                <w:szCs w:val="20"/>
                <w:u w:color="595959"/>
                <w:lang w:val="pt-PT"/>
              </w:rPr>
              <w:t xml:space="preserve"> </w:t>
            </w:r>
            <w:r w:rsidRPr="00E12B85">
              <w:rPr>
                <w:b w:val="0"/>
                <w:bCs w:val="0"/>
                <w:color w:val="000000"/>
                <w:sz w:val="19"/>
                <w:szCs w:val="19"/>
                <w:u w:color="000000"/>
                <w:lang w:val="it-IT"/>
              </w:rPr>
              <w:t>Valori</w:t>
            </w:r>
            <w:r>
              <w:rPr>
                <w:b w:val="0"/>
                <w:bCs w:val="0"/>
                <w:color w:val="000000"/>
                <w:sz w:val="19"/>
                <w:szCs w:val="19"/>
                <w:u w:color="000000"/>
                <w:lang w:val="it-IT"/>
              </w:rPr>
              <w:t xml:space="preserve"> destagionalizzati.</w:t>
            </w:r>
          </w:p>
        </w:tc>
      </w:tr>
      <w:tr w:rsidR="0058450B" w14:paraId="096250F6" w14:textId="77777777" w:rsidTr="00ED196E">
        <w:tblPrEx>
          <w:tblCellMar>
            <w:left w:w="70" w:type="dxa"/>
            <w:right w:w="70" w:type="dxa"/>
          </w:tblCellMar>
        </w:tblPrEx>
        <w:trPr>
          <w:trHeight w:val="3247"/>
        </w:trPr>
        <w:tc>
          <w:tcPr>
            <w:tcW w:w="5100" w:type="dxa"/>
            <w:tcBorders>
              <w:top w:val="single" w:sz="2" w:space="0" w:color="D9D9D9"/>
              <w:left w:val="single" w:sz="2" w:space="0" w:color="D9D9D9"/>
              <w:bottom w:val="single" w:sz="2" w:space="0" w:color="D9D9D9"/>
              <w:right w:val="single" w:sz="2" w:space="0" w:color="D9D9D9"/>
            </w:tcBorders>
          </w:tcPr>
          <w:p w14:paraId="01E75C0C" w14:textId="77777777" w:rsidR="0058450B" w:rsidRDefault="00614F23" w:rsidP="00231458">
            <w:pPr>
              <w:pStyle w:val="016testobulletprimapagina"/>
              <w:spacing w:before="240" w:after="120" w:line="240" w:lineRule="auto"/>
              <w:ind w:left="0" w:right="0"/>
            </w:pPr>
            <w:r>
              <w:rPr>
                <w:rFonts w:ascii="Times New Roman" w:eastAsia="Times New Roman" w:hAnsi="Times New Roman" w:cs="Times New Roman"/>
                <w:noProof/>
                <w:color w:val="000000"/>
                <w:sz w:val="20"/>
                <w:szCs w:val="20"/>
                <w:u w:color="000000"/>
                <w:lang w:eastAsia="it-IT"/>
              </w:rPr>
              <w:drawing>
                <wp:inline distT="0" distB="0" distL="0" distR="0" wp14:anchorId="54EDA2C5" wp14:editId="7DE4BA21">
                  <wp:extent cx="3125370" cy="1943100"/>
                  <wp:effectExtent l="0" t="0" r="0" b="0"/>
                  <wp:docPr id="1073741834" name="officeArt object" descr="Grafico 7"/>
                  <wp:cNvGraphicFramePr/>
                  <a:graphic xmlns:a="http://schemas.openxmlformats.org/drawingml/2006/main">
                    <a:graphicData uri="http://schemas.openxmlformats.org/drawingml/2006/picture">
                      <pic:pic xmlns:pic="http://schemas.openxmlformats.org/drawingml/2006/picture">
                        <pic:nvPicPr>
                          <pic:cNvPr id="1073741834" name="Grafico 7" descr="Grafico 7"/>
                          <pic:cNvPicPr>
                            <a:picLocks noChangeAspect="1"/>
                          </pic:cNvPicPr>
                        </pic:nvPicPr>
                        <pic:blipFill>
                          <a:blip r:embed="rId11"/>
                          <a:stretch>
                            <a:fillRect/>
                          </a:stretch>
                        </pic:blipFill>
                        <pic:spPr>
                          <a:xfrm>
                            <a:off x="0" y="0"/>
                            <a:ext cx="3145085" cy="1955357"/>
                          </a:xfrm>
                          <a:prstGeom prst="rect">
                            <a:avLst/>
                          </a:prstGeom>
                          <a:ln w="12700" cap="flat">
                            <a:noFill/>
                            <a:miter lim="400000"/>
                          </a:ln>
                          <a:effectLst/>
                        </pic:spPr>
                      </pic:pic>
                    </a:graphicData>
                  </a:graphic>
                </wp:inline>
              </w:drawing>
            </w:r>
          </w:p>
        </w:tc>
        <w:tc>
          <w:tcPr>
            <w:tcW w:w="5101" w:type="dxa"/>
            <w:tcBorders>
              <w:top w:val="single" w:sz="2" w:space="0" w:color="D9D9D9"/>
              <w:left w:val="single" w:sz="2" w:space="0" w:color="D9D9D9"/>
              <w:bottom w:val="single" w:sz="2" w:space="0" w:color="D9D9D9"/>
              <w:right w:val="single" w:sz="2" w:space="0" w:color="D9D9D9"/>
            </w:tcBorders>
          </w:tcPr>
          <w:p w14:paraId="23C2F5F4" w14:textId="7E4769F4" w:rsidR="0058450B" w:rsidRDefault="00ED196E">
            <w:pPr>
              <w:pStyle w:val="016testobulletprimapagina"/>
              <w:spacing w:before="120" w:after="120" w:line="240" w:lineRule="auto"/>
              <w:ind w:left="0" w:right="0"/>
            </w:pPr>
            <w:r>
              <w:rPr>
                <w:noProof/>
                <w:lang w:eastAsia="it-IT"/>
              </w:rPr>
              <w:drawing>
                <wp:inline distT="0" distB="0" distL="0" distR="0" wp14:anchorId="14B8A80F" wp14:editId="0B140904">
                  <wp:extent cx="3137535" cy="2092325"/>
                  <wp:effectExtent l="0" t="0" r="0" b="0"/>
                  <wp:docPr id="1" name="Gra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B4DCA72" w14:textId="66292B28" w:rsidR="0058450B" w:rsidRDefault="00231458">
      <w:pPr>
        <w:spacing w:before="60"/>
        <w:rPr>
          <w:rFonts w:ascii="Arial" w:eastAsia="Arial" w:hAnsi="Arial" w:cs="Arial"/>
          <w:sz w:val="15"/>
          <w:szCs w:val="15"/>
        </w:rPr>
      </w:pPr>
      <w:r>
        <w:rPr>
          <w:rFonts w:ascii="Arial" w:hAnsi="Arial"/>
          <w:sz w:val="15"/>
          <w:szCs w:val="15"/>
        </w:rPr>
        <w:t xml:space="preserve">   </w:t>
      </w:r>
      <w:r w:rsidR="00614F23">
        <w:rPr>
          <w:rFonts w:ascii="Arial" w:hAnsi="Arial"/>
          <w:sz w:val="15"/>
          <w:szCs w:val="15"/>
        </w:rPr>
        <w:t>Fonte: CPB</w:t>
      </w:r>
      <w:r w:rsidR="00614F23">
        <w:rPr>
          <w:rFonts w:ascii="Arial" w:hAnsi="Arial"/>
          <w:sz w:val="15"/>
          <w:szCs w:val="15"/>
        </w:rPr>
        <w:tab/>
        <w:t xml:space="preserve">   </w:t>
      </w:r>
      <w:r w:rsidR="00614F23">
        <w:rPr>
          <w:rFonts w:ascii="Arial" w:hAnsi="Arial"/>
          <w:sz w:val="15"/>
          <w:szCs w:val="15"/>
        </w:rPr>
        <w:tab/>
      </w:r>
      <w:r w:rsidR="00614F23">
        <w:rPr>
          <w:rFonts w:ascii="Arial" w:hAnsi="Arial"/>
          <w:sz w:val="15"/>
          <w:szCs w:val="15"/>
        </w:rPr>
        <w:tab/>
      </w:r>
      <w:r w:rsidR="00614F23">
        <w:rPr>
          <w:rFonts w:ascii="Arial" w:hAnsi="Arial"/>
          <w:sz w:val="15"/>
          <w:szCs w:val="15"/>
        </w:rPr>
        <w:tab/>
      </w:r>
      <w:r w:rsidR="00614F23">
        <w:rPr>
          <w:rFonts w:ascii="Arial" w:hAnsi="Arial"/>
          <w:sz w:val="15"/>
          <w:szCs w:val="15"/>
        </w:rPr>
        <w:tab/>
        <w:t xml:space="preserve">                   </w:t>
      </w:r>
      <w:r>
        <w:rPr>
          <w:rFonts w:ascii="Arial" w:hAnsi="Arial"/>
          <w:sz w:val="15"/>
          <w:szCs w:val="15"/>
        </w:rPr>
        <w:t xml:space="preserve">   </w:t>
      </w:r>
      <w:r w:rsidR="00614F23">
        <w:rPr>
          <w:rFonts w:ascii="Arial" w:hAnsi="Arial"/>
          <w:sz w:val="15"/>
          <w:szCs w:val="15"/>
        </w:rPr>
        <w:t xml:space="preserve"> Fonte: Commissione europea, DG ECFIN</w:t>
      </w:r>
    </w:p>
    <w:p w14:paraId="3EA6400E" w14:textId="77777777" w:rsidR="00231458" w:rsidRDefault="00231458">
      <w:pPr>
        <w:spacing w:before="120" w:after="120"/>
        <w:jc w:val="both"/>
        <w:rPr>
          <w:rFonts w:ascii="Arial" w:hAnsi="Arial"/>
          <w:b/>
          <w:bCs/>
          <w:color w:val="008080"/>
          <w:sz w:val="22"/>
          <w:szCs w:val="22"/>
          <w:u w:color="008080"/>
        </w:rPr>
      </w:pPr>
      <w:r>
        <w:rPr>
          <w:rFonts w:ascii="Arial" w:hAnsi="Arial"/>
          <w:b/>
          <w:bCs/>
          <w:color w:val="008080"/>
          <w:sz w:val="22"/>
          <w:szCs w:val="22"/>
          <w:u w:color="008080"/>
        </w:rPr>
        <w:br w:type="page"/>
      </w:r>
    </w:p>
    <w:p w14:paraId="725C81A7" w14:textId="0049A891" w:rsidR="0058450B" w:rsidRDefault="00614F23">
      <w:pPr>
        <w:spacing w:before="120" w:after="120"/>
        <w:jc w:val="both"/>
        <w:rPr>
          <w:rFonts w:ascii="Arial" w:eastAsia="Arial" w:hAnsi="Arial" w:cs="Arial"/>
          <w:b/>
          <w:bCs/>
          <w:color w:val="008080"/>
          <w:sz w:val="22"/>
          <w:szCs w:val="22"/>
          <w:u w:color="008080"/>
        </w:rPr>
      </w:pPr>
      <w:r>
        <w:rPr>
          <w:rFonts w:ascii="Arial" w:hAnsi="Arial"/>
          <w:b/>
          <w:bCs/>
          <w:color w:val="008080"/>
          <w:sz w:val="22"/>
          <w:szCs w:val="22"/>
          <w:u w:color="008080"/>
        </w:rPr>
        <w:lastRenderedPageBreak/>
        <w:t>Diminuisce a fine anno il prezzo del petrolio</w:t>
      </w:r>
      <w:r w:rsidR="00EC0CA0">
        <w:rPr>
          <w:rFonts w:ascii="Arial" w:hAnsi="Arial"/>
          <w:sz w:val="22"/>
          <w:szCs w:val="22"/>
        </w:rPr>
        <w:t xml:space="preserve"> che</w:t>
      </w:r>
      <w:r w:rsidR="00E628AF">
        <w:rPr>
          <w:rFonts w:ascii="Arial" w:hAnsi="Arial"/>
          <w:sz w:val="22"/>
          <w:szCs w:val="22"/>
        </w:rPr>
        <w:t xml:space="preserve"> continua</w:t>
      </w:r>
      <w:r>
        <w:rPr>
          <w:rFonts w:ascii="Arial" w:hAnsi="Arial"/>
          <w:sz w:val="22"/>
          <w:szCs w:val="22"/>
        </w:rPr>
        <w:t xml:space="preserve"> a riflettere principalmente l’aumento di offerta da parte dei paesi dell’OPEC+. A dicembre, il prezzo del Brent ha</w:t>
      </w:r>
      <w:r w:rsidR="00E628AF">
        <w:rPr>
          <w:rFonts w:ascii="Arial" w:hAnsi="Arial"/>
          <w:sz w:val="22"/>
          <w:szCs w:val="22"/>
        </w:rPr>
        <w:t xml:space="preserve"> proseguito</w:t>
      </w:r>
      <w:r>
        <w:rPr>
          <w:rFonts w:ascii="Arial" w:hAnsi="Arial"/>
          <w:sz w:val="22"/>
          <w:szCs w:val="22"/>
        </w:rPr>
        <w:t xml:space="preserve"> la tendenza al ribasso iniziata a luglio (62,7 dollari a barile, da 63,6 del mese precedente; la quotazione era pari a 71,5 dollari al barile a giugno). All’inizio del 2026, i dati giornalieri del Brent non hanno risentito dei recenti eventi geopolitici e continuano a oscillare attorno a valori compresi tra i 60 e i 62 dollari al barile. In controtendenza, invece, il prezzo del gas naturale il cui valore dell’indice, in aumento da settembre, è salito ulteriormente a 104,2 in dicembre</w:t>
      </w:r>
      <w:r w:rsidR="00717ABF">
        <w:rPr>
          <w:rFonts w:ascii="Arial" w:hAnsi="Arial"/>
          <w:sz w:val="22"/>
          <w:szCs w:val="22"/>
        </w:rPr>
        <w:t xml:space="preserve"> (</w:t>
      </w:r>
      <w:r>
        <w:rPr>
          <w:rFonts w:ascii="Arial" w:hAnsi="Arial"/>
          <w:sz w:val="22"/>
          <w:szCs w:val="22"/>
        </w:rPr>
        <w:t xml:space="preserve">103,1 a novembre), ritornando sui livelli elevati dello scorso </w:t>
      </w:r>
      <w:r w:rsidR="00224BDC">
        <w:rPr>
          <w:rFonts w:ascii="Arial" w:hAnsi="Arial"/>
          <w:sz w:val="22"/>
          <w:szCs w:val="22"/>
        </w:rPr>
        <w:t>giugno</w:t>
      </w:r>
      <w:r>
        <w:rPr>
          <w:rFonts w:ascii="Arial" w:hAnsi="Arial"/>
          <w:sz w:val="22"/>
          <w:szCs w:val="22"/>
        </w:rPr>
        <w:t xml:space="preserve">. </w:t>
      </w:r>
    </w:p>
    <w:p w14:paraId="61E6E8D0" w14:textId="4136D9DA" w:rsidR="0058450B" w:rsidRDefault="00614F23">
      <w:pPr>
        <w:spacing w:before="120" w:after="120"/>
        <w:jc w:val="both"/>
        <w:rPr>
          <w:rFonts w:ascii="Arial" w:eastAsia="Arial" w:hAnsi="Arial" w:cs="Arial"/>
          <w:sz w:val="22"/>
          <w:szCs w:val="22"/>
        </w:rPr>
      </w:pPr>
      <w:r>
        <w:rPr>
          <w:rFonts w:ascii="Arial" w:hAnsi="Arial"/>
          <w:b/>
          <w:bCs/>
          <w:color w:val="008080"/>
          <w:sz w:val="22"/>
          <w:szCs w:val="22"/>
          <w:u w:color="008080"/>
        </w:rPr>
        <w:t>L’euro sostanzialmente stabile nei confronti del dollaro</w:t>
      </w:r>
      <w:r>
        <w:rPr>
          <w:rFonts w:ascii="Arial" w:hAnsi="Arial"/>
          <w:sz w:val="22"/>
          <w:szCs w:val="22"/>
        </w:rPr>
        <w:t>. A dicembre, la quotazione media della valuta europea ha segnato un lieve apprezzamento in termini nominali nei confronti del dollaro (1,17 dollari per euro, contro 1,16 dollari dei due mesi precedenti). In media d’anno, l’euro ha mostrato un rafforzamento significativo nei confronti della valuta statunitense (+4,6%), determinato in buona parte dalla reazione delle valute alle diverse prospettive di crescita dei due paesi/aree e alle asincrone velocità con cui le banche centrali hanno operato i tagli dei tassi di interesse lo scorso anno.</w:t>
      </w:r>
    </w:p>
    <w:p w14:paraId="727E6B38" w14:textId="551C62A1" w:rsidR="0058450B" w:rsidRDefault="00614F23">
      <w:pPr>
        <w:spacing w:before="120" w:after="120"/>
        <w:jc w:val="both"/>
        <w:rPr>
          <w:rFonts w:ascii="Arial" w:eastAsia="Arial" w:hAnsi="Arial" w:cs="Arial"/>
          <w:sz w:val="22"/>
          <w:szCs w:val="22"/>
        </w:rPr>
      </w:pPr>
      <w:r>
        <w:rPr>
          <w:rFonts w:ascii="Arial" w:hAnsi="Arial"/>
          <w:b/>
          <w:bCs/>
          <w:color w:val="008080"/>
          <w:sz w:val="22"/>
          <w:szCs w:val="22"/>
          <w:u w:color="008080"/>
        </w:rPr>
        <w:t>Prospettive in moderato peggioramento per l’economia euro</w:t>
      </w:r>
      <w:r>
        <w:rPr>
          <w:rFonts w:ascii="Arial" w:hAnsi="Arial"/>
          <w:sz w:val="22"/>
          <w:szCs w:val="22"/>
        </w:rPr>
        <w:t>: l’</w:t>
      </w:r>
      <w:proofErr w:type="spellStart"/>
      <w:r>
        <w:rPr>
          <w:rFonts w:ascii="Arial" w:hAnsi="Arial"/>
          <w:sz w:val="22"/>
          <w:szCs w:val="22"/>
        </w:rPr>
        <w:t>Economic</w:t>
      </w:r>
      <w:proofErr w:type="spellEnd"/>
      <w:r>
        <w:rPr>
          <w:rFonts w:ascii="Arial" w:hAnsi="Arial"/>
          <w:sz w:val="22"/>
          <w:szCs w:val="22"/>
        </w:rPr>
        <w:t xml:space="preserve"> </w:t>
      </w:r>
      <w:proofErr w:type="spellStart"/>
      <w:r>
        <w:rPr>
          <w:rFonts w:ascii="Arial" w:hAnsi="Arial"/>
          <w:sz w:val="22"/>
          <w:szCs w:val="22"/>
        </w:rPr>
        <w:t>Sentiment</w:t>
      </w:r>
      <w:proofErr w:type="spellEnd"/>
      <w:r>
        <w:rPr>
          <w:rFonts w:ascii="Arial" w:hAnsi="Arial"/>
          <w:sz w:val="22"/>
          <w:szCs w:val="22"/>
        </w:rPr>
        <w:t xml:space="preserve"> Indicator (ESI) della Commissione europea segnala a dicembre una diminuzione (-0,4 punti, Figura 2). Il lieve peggioramento sintetizza una fiducia pressoché invariata nei settori dei servizi, delle costruzioni, e tra i consumatori, a fronte di un miglioramento nell'industria controbilanciato da un calo nel commercio al dettaglio. A livello nazionale, l'ESI è sceso in tutti i principali paesi: in Germania -1,1 punti, </w:t>
      </w:r>
      <w:r w:rsidR="00717ABF">
        <w:rPr>
          <w:rFonts w:ascii="Arial" w:hAnsi="Arial"/>
          <w:sz w:val="22"/>
          <w:szCs w:val="22"/>
        </w:rPr>
        <w:t xml:space="preserve">in </w:t>
      </w:r>
      <w:r>
        <w:rPr>
          <w:rFonts w:ascii="Arial" w:hAnsi="Arial"/>
          <w:sz w:val="22"/>
          <w:szCs w:val="22"/>
        </w:rPr>
        <w:t xml:space="preserve">Francia -0,9, in Italia -0,6 e in Spagna -0,5 punti. </w:t>
      </w:r>
    </w:p>
    <w:p w14:paraId="76E4469D" w14:textId="77777777" w:rsidR="0058450B" w:rsidRPr="00231458" w:rsidRDefault="0058450B">
      <w:pPr>
        <w:spacing w:before="120" w:after="120"/>
        <w:jc w:val="both"/>
        <w:rPr>
          <w:rStyle w:val="Numeropagina"/>
          <w:sz w:val="8"/>
          <w:szCs w:val="22"/>
        </w:rPr>
      </w:pPr>
    </w:p>
    <w:p w14:paraId="2E75FE3B" w14:textId="77777777" w:rsidR="0058450B" w:rsidRDefault="00614F23">
      <w:pPr>
        <w:pStyle w:val="012titoloparagrafo"/>
        <w:pBdr>
          <w:top w:val="single" w:sz="8" w:space="0" w:color="068080"/>
          <w:bottom w:val="single" w:sz="8" w:space="0" w:color="068080"/>
        </w:pBdr>
        <w:shd w:val="clear" w:color="auto" w:fill="068080"/>
        <w:spacing w:before="120" w:after="120"/>
        <w:rPr>
          <w:b w:val="0"/>
          <w:bCs w:val="0"/>
          <w:sz w:val="22"/>
          <w:szCs w:val="22"/>
        </w:rPr>
      </w:pPr>
      <w:r>
        <w:rPr>
          <w:b w:val="0"/>
          <w:bCs w:val="0"/>
          <w:smallCaps/>
          <w:color w:val="FFFFFF"/>
          <w:sz w:val="24"/>
          <w:szCs w:val="24"/>
          <w:u w:color="FFFFFF"/>
        </w:rPr>
        <w:t>LA CONGIUNTURA ITALIANA</w:t>
      </w:r>
      <w:r>
        <w:rPr>
          <w:sz w:val="22"/>
          <w:szCs w:val="22"/>
        </w:rPr>
        <w:t xml:space="preserve"> </w:t>
      </w:r>
    </w:p>
    <w:p w14:paraId="665FE04C" w14:textId="4894BF97" w:rsidR="00185F58" w:rsidRPr="00185F58" w:rsidRDefault="00185F58">
      <w:pPr>
        <w:shd w:val="clear" w:color="auto" w:fill="FFFFFF"/>
        <w:spacing w:before="120" w:after="120"/>
        <w:jc w:val="both"/>
        <w:rPr>
          <w:rFonts w:ascii="Arial" w:hAnsi="Arial"/>
          <w:sz w:val="22"/>
          <w:szCs w:val="22"/>
        </w:rPr>
      </w:pPr>
      <w:r>
        <w:rPr>
          <w:rFonts w:ascii="Arial" w:hAnsi="Arial"/>
          <w:b/>
          <w:bCs/>
          <w:color w:val="008080"/>
          <w:sz w:val="22"/>
          <w:szCs w:val="22"/>
          <w:u w:color="008080"/>
        </w:rPr>
        <w:t xml:space="preserve">Pil del terzo trimestre rivisto in lieve rialzo in Italia. </w:t>
      </w:r>
      <w:r w:rsidRPr="00185F58">
        <w:rPr>
          <w:rFonts w:ascii="Arial" w:hAnsi="Arial"/>
          <w:sz w:val="22"/>
          <w:szCs w:val="22"/>
        </w:rPr>
        <w:t xml:space="preserve">Nel terzo trimestre del 2025 </w:t>
      </w:r>
      <w:hyperlink r:id="rId13" w:history="1">
        <w:r w:rsidRPr="00185F58">
          <w:rPr>
            <w:rStyle w:val="Hyperlink2"/>
          </w:rPr>
          <w:t>il prodotto interno lordo (Pil),</w:t>
        </w:r>
      </w:hyperlink>
      <w:r w:rsidRPr="00185F58">
        <w:rPr>
          <w:rFonts w:ascii="Arial" w:hAnsi="Arial"/>
          <w:sz w:val="22"/>
          <w:szCs w:val="22"/>
        </w:rPr>
        <w:t xml:space="preserve"> espresso in valori concatenati con anno di riferimento 2020, corretto per gli effetti di calendario e destagionalizzato, è aumentato dello 0,1% </w:t>
      </w:r>
      <w:r w:rsidR="00F4409A">
        <w:rPr>
          <w:rFonts w:ascii="Arial" w:hAnsi="Arial"/>
          <w:sz w:val="22"/>
          <w:szCs w:val="22"/>
        </w:rPr>
        <w:t xml:space="preserve">(da 0,0% della stima preliminare) </w:t>
      </w:r>
      <w:r w:rsidR="006913C1">
        <w:rPr>
          <w:rFonts w:ascii="Arial" w:hAnsi="Arial"/>
          <w:sz w:val="22"/>
          <w:szCs w:val="22"/>
        </w:rPr>
        <w:t>in termini congiunturali</w:t>
      </w:r>
      <w:r w:rsidRPr="00185F58">
        <w:rPr>
          <w:rFonts w:ascii="Arial" w:hAnsi="Arial"/>
          <w:sz w:val="22"/>
          <w:szCs w:val="22"/>
        </w:rPr>
        <w:t xml:space="preserve"> e dello 0,6% nei confronti del terzo trimestre del 2024</w:t>
      </w:r>
      <w:r>
        <w:rPr>
          <w:rFonts w:ascii="Arial" w:hAnsi="Arial"/>
          <w:sz w:val="22"/>
          <w:szCs w:val="22"/>
        </w:rPr>
        <w:t xml:space="preserve">. </w:t>
      </w:r>
      <w:r w:rsidRPr="00185F58">
        <w:rPr>
          <w:rFonts w:ascii="Arial" w:hAnsi="Arial"/>
          <w:sz w:val="22"/>
          <w:szCs w:val="22"/>
        </w:rPr>
        <w:t>La variazione acquisita per il 2025 è pari a 0,5%.</w:t>
      </w:r>
    </w:p>
    <w:p w14:paraId="7FA6E762" w14:textId="7A9CA481" w:rsidR="0058450B" w:rsidRDefault="00614F23">
      <w:pPr>
        <w:shd w:val="clear" w:color="auto" w:fill="FFFFFF"/>
        <w:spacing w:before="120" w:after="120"/>
        <w:jc w:val="both"/>
        <w:rPr>
          <w:rFonts w:ascii="Arial" w:eastAsia="Arial" w:hAnsi="Arial" w:cs="Arial"/>
          <w:sz w:val="22"/>
          <w:szCs w:val="22"/>
        </w:rPr>
      </w:pPr>
      <w:r>
        <w:rPr>
          <w:rFonts w:ascii="Arial" w:hAnsi="Arial"/>
          <w:b/>
          <w:bCs/>
          <w:color w:val="008080"/>
          <w:sz w:val="22"/>
          <w:szCs w:val="22"/>
          <w:u w:color="008080"/>
        </w:rPr>
        <w:t>Produzione industriale in flessione a ottobre:</w:t>
      </w:r>
      <w:r>
        <w:rPr>
          <w:rFonts w:ascii="Arial" w:hAnsi="Arial"/>
          <w:sz w:val="22"/>
          <w:szCs w:val="22"/>
        </w:rPr>
        <w:t xml:space="preserve"> l'</w:t>
      </w:r>
      <w:hyperlink r:id="rId14" w:history="1">
        <w:r w:rsidR="0058450B">
          <w:rPr>
            <w:rStyle w:val="Hyperlink2"/>
          </w:rPr>
          <w:t>indice destagionalizzato della produzione industriale</w:t>
        </w:r>
      </w:hyperlink>
      <w:r>
        <w:rPr>
          <w:rFonts w:ascii="Arial" w:hAnsi="Arial"/>
          <w:sz w:val="22"/>
          <w:szCs w:val="22"/>
        </w:rPr>
        <w:t xml:space="preserve"> è diminuito dell’1,0% rispetto a settembre dopo il recupero del mese precedente (+2,7%). Il calo, anche se con differenti intensità, è stato diffuso ai principali raggruppamenti di industrie, con esclusione dell’energia (Figura 3). Nel trimestre agosto–ottobre, la produzione industriale ha registrato una variazione congiunturale negativa (-0,9%). La diminuzione ha interessato i beni di consumo (-0,1%), con una flessione di quelli durevoli (-0,3%) e una sostanziale stabilità dei non durevoli (+0,2%), di quelli strumentali (-0,9%). I beni intermedi rappresentano l’unico raggruppamento in crescita (+0,2%), mentre il comparto energetico ha segnato una marcata riduzione (-2,6%).</w:t>
      </w:r>
    </w:p>
    <w:p w14:paraId="4107A585" w14:textId="017E5708" w:rsidR="0058450B" w:rsidRDefault="00614F23">
      <w:pPr>
        <w:shd w:val="clear" w:color="auto" w:fill="FFFFFF"/>
        <w:spacing w:before="120" w:after="120"/>
        <w:jc w:val="both"/>
        <w:rPr>
          <w:rFonts w:ascii="Arial" w:eastAsia="Arial" w:hAnsi="Arial" w:cs="Arial"/>
          <w:sz w:val="22"/>
          <w:szCs w:val="22"/>
        </w:rPr>
      </w:pPr>
      <w:r>
        <w:rPr>
          <w:rFonts w:ascii="Arial" w:hAnsi="Arial"/>
          <w:b/>
          <w:bCs/>
          <w:color w:val="008080"/>
          <w:sz w:val="22"/>
          <w:szCs w:val="22"/>
          <w:u w:color="008080"/>
        </w:rPr>
        <w:t>Settore delle costruzioni in calo…</w:t>
      </w:r>
      <w:r>
        <w:rPr>
          <w:rFonts w:ascii="Arial" w:hAnsi="Arial"/>
          <w:sz w:val="22"/>
          <w:szCs w:val="22"/>
        </w:rPr>
        <w:t xml:space="preserve"> A ottobre, la </w:t>
      </w:r>
      <w:hyperlink r:id="rId15" w:history="1">
        <w:r w:rsidR="0058450B">
          <w:rPr>
            <w:rStyle w:val="Hyperlink2"/>
          </w:rPr>
          <w:t>produzione nelle costruzioni</w:t>
        </w:r>
      </w:hyperlink>
      <w:r>
        <w:rPr>
          <w:rFonts w:ascii="Arial" w:hAnsi="Arial"/>
          <w:sz w:val="22"/>
          <w:szCs w:val="22"/>
        </w:rPr>
        <w:t xml:space="preserve"> (indice destagionalizzato) è diminuita </w:t>
      </w:r>
      <w:r w:rsidR="00224BDC">
        <w:rPr>
          <w:rFonts w:ascii="Arial" w:hAnsi="Arial"/>
          <w:sz w:val="22"/>
          <w:szCs w:val="22"/>
        </w:rPr>
        <w:t>in termini</w:t>
      </w:r>
      <w:r>
        <w:rPr>
          <w:rFonts w:ascii="Arial" w:hAnsi="Arial"/>
          <w:sz w:val="22"/>
          <w:szCs w:val="22"/>
        </w:rPr>
        <w:t xml:space="preserve"> congiuntural</w:t>
      </w:r>
      <w:r w:rsidR="00224BDC">
        <w:rPr>
          <w:rFonts w:ascii="Arial" w:hAnsi="Arial"/>
          <w:sz w:val="22"/>
          <w:szCs w:val="22"/>
        </w:rPr>
        <w:t>i</w:t>
      </w:r>
      <w:r>
        <w:rPr>
          <w:rFonts w:ascii="Arial" w:hAnsi="Arial"/>
          <w:sz w:val="22"/>
          <w:szCs w:val="22"/>
        </w:rPr>
        <w:t xml:space="preserve"> (-0,1%), dopo l’aumento osservato a settembre (+1,3%); su base trimestrale (agosto-ottobre), la variazione è</w:t>
      </w:r>
      <w:r w:rsidR="006568AE">
        <w:rPr>
          <w:rFonts w:ascii="Arial" w:hAnsi="Arial"/>
          <w:sz w:val="22"/>
          <w:szCs w:val="22"/>
        </w:rPr>
        <w:t xml:space="preserve"> </w:t>
      </w:r>
      <w:r>
        <w:rPr>
          <w:rFonts w:ascii="Arial" w:hAnsi="Arial"/>
          <w:sz w:val="22"/>
          <w:szCs w:val="22"/>
        </w:rPr>
        <w:t xml:space="preserve">risultata negativa (-0,8%), delineando un andamento nel breve periodo analogo a quello della produzione industriale. Nella media dei primi dieci mesi dell’anno, l’indice corretto per gli effetti di calendario evidenzia tuttavia una crescita </w:t>
      </w:r>
      <w:r w:rsidR="00224BDC">
        <w:rPr>
          <w:rFonts w:ascii="Arial" w:hAnsi="Arial"/>
          <w:sz w:val="22"/>
          <w:szCs w:val="22"/>
        </w:rPr>
        <w:t xml:space="preserve">tendenziale </w:t>
      </w:r>
      <w:r w:rsidR="006568AE">
        <w:rPr>
          <w:rFonts w:ascii="Arial" w:hAnsi="Arial"/>
          <w:sz w:val="22"/>
          <w:szCs w:val="22"/>
        </w:rPr>
        <w:t xml:space="preserve">rilevante </w:t>
      </w:r>
      <w:r>
        <w:rPr>
          <w:rFonts w:ascii="Arial" w:hAnsi="Arial"/>
          <w:sz w:val="22"/>
          <w:szCs w:val="22"/>
        </w:rPr>
        <w:t xml:space="preserve">(+4,5%). </w:t>
      </w:r>
    </w:p>
    <w:p w14:paraId="5D65B02A" w14:textId="3201EB34" w:rsidR="0058450B" w:rsidRDefault="00614F23">
      <w:pPr>
        <w:shd w:val="clear" w:color="auto" w:fill="FFFFFF"/>
        <w:spacing w:before="120" w:after="120"/>
        <w:jc w:val="both"/>
        <w:rPr>
          <w:rFonts w:ascii="Arial" w:eastAsia="Arial" w:hAnsi="Arial" w:cs="Arial"/>
          <w:sz w:val="22"/>
          <w:szCs w:val="22"/>
        </w:rPr>
      </w:pPr>
      <w:r>
        <w:rPr>
          <w:rFonts w:ascii="Arial" w:hAnsi="Arial"/>
          <w:sz w:val="22"/>
          <w:szCs w:val="22"/>
        </w:rPr>
        <w:t xml:space="preserve">Il mercato immobiliare rimane dinamico: nel terzo trimestre, i </w:t>
      </w:r>
      <w:hyperlink r:id="rId16" w:history="1">
        <w:r w:rsidR="0058450B">
          <w:rPr>
            <w:rStyle w:val="Hyperlink2"/>
          </w:rPr>
          <w:t>prezzi delle abitazioni</w:t>
        </w:r>
      </w:hyperlink>
      <w:r>
        <w:rPr>
          <w:rFonts w:ascii="Arial" w:hAnsi="Arial"/>
          <w:sz w:val="22"/>
          <w:szCs w:val="22"/>
        </w:rPr>
        <w:t xml:space="preserve"> sono </w:t>
      </w:r>
      <w:r w:rsidR="00C1015A">
        <w:rPr>
          <w:rFonts w:ascii="Arial" w:hAnsi="Arial"/>
          <w:sz w:val="22"/>
          <w:szCs w:val="22"/>
        </w:rPr>
        <w:t xml:space="preserve">saliti </w:t>
      </w:r>
      <w:r>
        <w:rPr>
          <w:rFonts w:ascii="Arial" w:hAnsi="Arial"/>
          <w:sz w:val="22"/>
          <w:szCs w:val="22"/>
        </w:rPr>
        <w:t xml:space="preserve">su base congiunturale (+0,6%) grazie all’incremento dei prezzi sia delle abitazioni nuove (+2,5%) sia di quelle già esistenti (+0,3%), in un contesto di crescita dei volumi di compravendita che hanno segnato, nello stesso </w:t>
      </w:r>
      <w:r w:rsidR="006568AE">
        <w:rPr>
          <w:rFonts w:ascii="Arial" w:hAnsi="Arial"/>
          <w:sz w:val="22"/>
          <w:szCs w:val="22"/>
        </w:rPr>
        <w:t xml:space="preserve">periodo, </w:t>
      </w:r>
      <w:r>
        <w:rPr>
          <w:rFonts w:ascii="Arial" w:hAnsi="Arial"/>
          <w:sz w:val="22"/>
          <w:szCs w:val="22"/>
        </w:rPr>
        <w:t xml:space="preserve">un </w:t>
      </w:r>
      <w:r w:rsidR="006568AE">
        <w:rPr>
          <w:rFonts w:ascii="Arial" w:hAnsi="Arial"/>
          <w:sz w:val="22"/>
          <w:szCs w:val="22"/>
        </w:rPr>
        <w:t xml:space="preserve">rilevante </w:t>
      </w:r>
      <w:r w:rsidR="00C1015A">
        <w:rPr>
          <w:rFonts w:ascii="Arial" w:hAnsi="Arial"/>
          <w:sz w:val="22"/>
          <w:szCs w:val="22"/>
        </w:rPr>
        <w:t xml:space="preserve">aumento </w:t>
      </w:r>
      <w:r>
        <w:rPr>
          <w:rFonts w:ascii="Arial" w:hAnsi="Arial"/>
          <w:sz w:val="22"/>
          <w:szCs w:val="22"/>
        </w:rPr>
        <w:t>tendenziale (+8,5%).</w:t>
      </w:r>
    </w:p>
    <w:p w14:paraId="18298C26" w14:textId="0EA9059B" w:rsidR="00231458" w:rsidRDefault="00614F23">
      <w:pPr>
        <w:shd w:val="clear" w:color="auto" w:fill="FFFFFF"/>
        <w:spacing w:before="120" w:after="120"/>
        <w:jc w:val="both"/>
        <w:rPr>
          <w:rFonts w:ascii="Arial" w:hAnsi="Arial"/>
          <w:sz w:val="22"/>
          <w:szCs w:val="22"/>
        </w:rPr>
      </w:pPr>
      <w:r>
        <w:rPr>
          <w:rFonts w:ascii="Arial" w:hAnsi="Arial"/>
          <w:b/>
          <w:bCs/>
          <w:color w:val="008080"/>
          <w:sz w:val="22"/>
          <w:szCs w:val="22"/>
          <w:u w:color="008080"/>
        </w:rPr>
        <w:t xml:space="preserve">…così come quello dei servizi.  </w:t>
      </w:r>
      <w:r>
        <w:rPr>
          <w:rFonts w:ascii="Arial" w:hAnsi="Arial"/>
          <w:sz w:val="22"/>
          <w:szCs w:val="22"/>
        </w:rPr>
        <w:t>A ottobre l’</w:t>
      </w:r>
      <w:hyperlink r:id="rId17" w:history="1">
        <w:r w:rsidR="0058450B">
          <w:rPr>
            <w:rStyle w:val="Hyperlink2"/>
          </w:rPr>
          <w:t>indice dei volumi del fatturato</w:t>
        </w:r>
      </w:hyperlink>
      <w:r>
        <w:rPr>
          <w:rFonts w:ascii="Arial" w:hAnsi="Arial"/>
          <w:sz w:val="22"/>
          <w:szCs w:val="22"/>
        </w:rPr>
        <w:t xml:space="preserve"> dei servizi, dopo l’</w:t>
      </w:r>
      <w:r w:rsidR="00C1015A">
        <w:rPr>
          <w:rFonts w:ascii="Arial" w:hAnsi="Arial"/>
          <w:sz w:val="22"/>
          <w:szCs w:val="22"/>
        </w:rPr>
        <w:t>incremento</w:t>
      </w:r>
      <w:r>
        <w:rPr>
          <w:rFonts w:ascii="Arial" w:hAnsi="Arial"/>
          <w:sz w:val="22"/>
          <w:szCs w:val="22"/>
        </w:rPr>
        <w:t xml:space="preserve"> di settembre ha registrato un calo su base congiunturale (rispettivamente -0,6% +1,6%). La flessione ha interessato la generalità dei comparti, a eccezione dei servizi di informazione e comunicazione e delle attività immobiliari (+0,8%) e dei servizi di alloggio e ristorazione (+0,1%). Tuttavia, nella media del trimestre agosto–ottobre, l’indice risulta ancora in lieve aumento (+0,2%) rispetto ai tre mesi precedenti.</w:t>
      </w:r>
      <w:r w:rsidR="00231458">
        <w:rPr>
          <w:rFonts w:ascii="Arial" w:hAnsi="Arial"/>
          <w:sz w:val="22"/>
          <w:szCs w:val="22"/>
        </w:rPr>
        <w:br w:type="page"/>
      </w:r>
    </w:p>
    <w:p w14:paraId="003BD268" w14:textId="0548CB60" w:rsidR="0058450B" w:rsidRDefault="00614F23">
      <w:pPr>
        <w:shd w:val="clear" w:color="auto" w:fill="FFFFFF"/>
        <w:spacing w:before="120" w:after="120"/>
        <w:jc w:val="both"/>
        <w:rPr>
          <w:rFonts w:ascii="Arial" w:eastAsia="Arial" w:hAnsi="Arial" w:cs="Arial"/>
          <w:sz w:val="22"/>
          <w:szCs w:val="22"/>
        </w:rPr>
      </w:pPr>
      <w:r>
        <w:rPr>
          <w:rFonts w:ascii="Arial" w:hAnsi="Arial"/>
          <w:sz w:val="22"/>
          <w:szCs w:val="22"/>
        </w:rPr>
        <w:lastRenderedPageBreak/>
        <w:t xml:space="preserve">Nel terzo trimestre, gli </w:t>
      </w:r>
      <w:hyperlink r:id="rId18" w:history="1">
        <w:r w:rsidR="0058450B">
          <w:rPr>
            <w:rStyle w:val="Hyperlink2"/>
          </w:rPr>
          <w:t>investimenti fissi lordi delle società non finanziarie</w:t>
        </w:r>
      </w:hyperlink>
      <w:r>
        <w:rPr>
          <w:rFonts w:ascii="Arial" w:hAnsi="Arial"/>
          <w:sz w:val="22"/>
          <w:szCs w:val="22"/>
        </w:rPr>
        <w:t xml:space="preserve"> hanno evidenziato un ulteriore aumento su base congiunturale (+0,7%), di entità i</w:t>
      </w:r>
      <w:r w:rsidR="006913C1">
        <w:rPr>
          <w:rFonts w:ascii="Arial" w:hAnsi="Arial"/>
          <w:sz w:val="22"/>
          <w:szCs w:val="22"/>
        </w:rPr>
        <w:t xml:space="preserve">nferiore a quello osservato nel periodo precedente </w:t>
      </w:r>
      <w:r>
        <w:rPr>
          <w:rFonts w:ascii="Arial" w:hAnsi="Arial"/>
          <w:sz w:val="22"/>
          <w:szCs w:val="22"/>
        </w:rPr>
        <w:t>(+1,3%). Di conseguenza, il tasso di investimento è cresciuto di 0,1 punti percentuali, attestandosi al 22,8%, dopo tre trimestri di stazionarietà. Nello stesso periodo la quota di profitto, dopo l’</w:t>
      </w:r>
      <w:r w:rsidR="00C1015A">
        <w:rPr>
          <w:rFonts w:ascii="Arial" w:hAnsi="Arial"/>
          <w:sz w:val="22"/>
          <w:szCs w:val="22"/>
        </w:rPr>
        <w:t>incremento</w:t>
      </w:r>
      <w:r>
        <w:rPr>
          <w:rFonts w:ascii="Arial" w:hAnsi="Arial"/>
          <w:sz w:val="22"/>
          <w:szCs w:val="22"/>
        </w:rPr>
        <w:t xml:space="preserve"> dei tre mesi precedenti, ha evidenziato una diminuzione (-0,9 punti percentuali), in continuità con la tendenza in atto dalla seconda metà del 2023.</w:t>
      </w:r>
    </w:p>
    <w:p w14:paraId="1203810D" w14:textId="54AEE0F7" w:rsidR="0058450B" w:rsidRDefault="00614F23">
      <w:pPr>
        <w:shd w:val="clear" w:color="auto" w:fill="FFFFFF"/>
        <w:spacing w:before="120" w:after="120"/>
        <w:jc w:val="both"/>
      </w:pPr>
      <w:r>
        <w:rPr>
          <w:rFonts w:ascii="Arial" w:hAnsi="Arial"/>
          <w:b/>
          <w:bCs/>
          <w:color w:val="008080"/>
          <w:sz w:val="22"/>
          <w:szCs w:val="22"/>
          <w:u w:color="008080"/>
        </w:rPr>
        <w:t xml:space="preserve">Si rafforza la fiducia delle imprese </w:t>
      </w:r>
      <w:r>
        <w:rPr>
          <w:rFonts w:ascii="Arial" w:hAnsi="Arial"/>
          <w:sz w:val="22"/>
          <w:szCs w:val="22"/>
        </w:rPr>
        <w:t>: l’</w:t>
      </w:r>
      <w:hyperlink r:id="rId19" w:history="1">
        <w:r w:rsidR="0058450B">
          <w:rPr>
            <w:rStyle w:val="Hyperlink2"/>
          </w:rPr>
          <w:t>indice di fiducia delle imprese</w:t>
        </w:r>
      </w:hyperlink>
      <w:r>
        <w:rPr>
          <w:rFonts w:ascii="Arial" w:hAnsi="Arial"/>
          <w:sz w:val="22"/>
          <w:szCs w:val="22"/>
        </w:rPr>
        <w:t xml:space="preserve"> ha raggiunto a dicembre il livello più elevato da marzo 2024. L’</w:t>
      </w:r>
      <w:r w:rsidR="00C1015A">
        <w:rPr>
          <w:rFonts w:ascii="Arial" w:hAnsi="Arial"/>
          <w:sz w:val="22"/>
          <w:szCs w:val="22"/>
        </w:rPr>
        <w:t>aumento</w:t>
      </w:r>
      <w:r>
        <w:rPr>
          <w:rFonts w:ascii="Arial" w:hAnsi="Arial"/>
          <w:sz w:val="22"/>
          <w:szCs w:val="22"/>
        </w:rPr>
        <w:t xml:space="preserve"> è stato sostenuto dal comparto dei servizi di mercato, che ha mostrato un miglioramento esteso a tutte le componenti. Al contrario, nei settori delle costruzioni e della manifattura il clima di fiducia si è deteriorato. In particolare, nel comparto manifatturiero tutte le componenti presentano un’evoluzione sfavorevole; nelle costruzioni, invece, si segnala un miglioramento dei giudizi sugli ordini e/o sui piani di costruzione rispetto al mese precedente, a fronte di attese di riduzione dell’occupazione aziendale. Sulla base delle valutazioni trimestrali espresse dagli imprenditori manifatturieri circa i fattori negativi che influenzano l’export, nel quarto trimestre si segnala una diminuzione della quota di imprese che dichiarano difficoltà nelle vendite all’estero.</w:t>
      </w:r>
    </w:p>
    <w:tbl>
      <w:tblPr>
        <w:tblStyle w:val="TableNormal"/>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00"/>
        <w:gridCol w:w="5101"/>
      </w:tblGrid>
      <w:tr w:rsidR="0058450B" w14:paraId="4D512F6B" w14:textId="77777777">
        <w:trPr>
          <w:trHeight w:val="673"/>
        </w:trPr>
        <w:tc>
          <w:tcPr>
            <w:tcW w:w="5100" w:type="dxa"/>
            <w:tcBorders>
              <w:top w:val="nil"/>
              <w:left w:val="nil"/>
              <w:bottom w:val="single" w:sz="2" w:space="0" w:color="D9D9D9"/>
              <w:right w:val="nil"/>
            </w:tcBorders>
            <w:tcMar>
              <w:top w:w="80" w:type="dxa"/>
              <w:left w:w="80" w:type="dxa"/>
              <w:bottom w:w="80" w:type="dxa"/>
              <w:right w:w="222" w:type="dxa"/>
            </w:tcMar>
          </w:tcPr>
          <w:p w14:paraId="19C270A2" w14:textId="77777777" w:rsidR="0058450B" w:rsidRDefault="00614F23" w:rsidP="00231458">
            <w:pPr>
              <w:pStyle w:val="052tabella-figurasottotitolo"/>
              <w:spacing w:before="60" w:after="0"/>
              <w:ind w:right="142"/>
            </w:pPr>
            <w:r w:rsidRPr="00612F53">
              <w:rPr>
                <w:b/>
                <w:bCs/>
                <w:color w:val="00817F"/>
                <w:sz w:val="20"/>
                <w:szCs w:val="20"/>
                <w:u w:color="00817F"/>
                <w:lang w:val="it-IT"/>
              </w:rPr>
              <w:t>FIGURA 3.</w:t>
            </w:r>
            <w:r w:rsidRPr="00612F53">
              <w:rPr>
                <w:b/>
                <w:bCs/>
                <w:sz w:val="20"/>
                <w:szCs w:val="20"/>
                <w:lang w:val="it-IT"/>
              </w:rPr>
              <w:t xml:space="preserve"> </w:t>
            </w:r>
            <w:r w:rsidRPr="00612F53">
              <w:rPr>
                <w:b/>
                <w:bCs/>
                <w:color w:val="595959"/>
                <w:sz w:val="20"/>
                <w:szCs w:val="20"/>
                <w:u w:color="595959"/>
                <w:lang w:val="it-IT"/>
              </w:rPr>
              <w:t xml:space="preserve">INDICE DELLA PRODUZIONE INDUSTRIALE, DEI SERVIZI E DELLE COSTRUZIONI.                                              </w:t>
            </w:r>
            <w:r>
              <w:rPr>
                <w:color w:val="000000"/>
                <w:sz w:val="19"/>
                <w:szCs w:val="19"/>
                <w:u w:color="000000"/>
                <w:lang w:val="it-IT"/>
              </w:rPr>
              <w:t>Dati destagionalizzati, numeri indice base 2021=100</w:t>
            </w:r>
          </w:p>
        </w:tc>
        <w:tc>
          <w:tcPr>
            <w:tcW w:w="5101" w:type="dxa"/>
            <w:tcBorders>
              <w:top w:val="nil"/>
              <w:left w:val="nil"/>
              <w:bottom w:val="single" w:sz="2" w:space="0" w:color="D9D9D9"/>
              <w:right w:val="nil"/>
            </w:tcBorders>
            <w:tcMar>
              <w:top w:w="80" w:type="dxa"/>
              <w:left w:w="80" w:type="dxa"/>
              <w:bottom w:w="80" w:type="dxa"/>
              <w:right w:w="222" w:type="dxa"/>
            </w:tcMar>
          </w:tcPr>
          <w:p w14:paraId="5367B9D6" w14:textId="77777777" w:rsidR="0058450B" w:rsidRDefault="00614F23" w:rsidP="00231458">
            <w:pPr>
              <w:pStyle w:val="052tabella-figurasottotitolo"/>
              <w:spacing w:before="60" w:after="0"/>
              <w:ind w:right="142"/>
            </w:pPr>
            <w:r w:rsidRPr="00612F53">
              <w:rPr>
                <w:b/>
                <w:bCs/>
                <w:color w:val="00817F"/>
                <w:sz w:val="20"/>
                <w:szCs w:val="20"/>
                <w:u w:color="00817F"/>
                <w:lang w:val="it-IT"/>
              </w:rPr>
              <w:t>FIGURA 4.</w:t>
            </w:r>
            <w:r>
              <w:rPr>
                <w:b/>
                <w:bCs/>
                <w:color w:val="595959"/>
                <w:sz w:val="20"/>
                <w:szCs w:val="20"/>
                <w:u w:color="595959"/>
                <w:lang w:val="it-IT"/>
              </w:rPr>
              <w:t xml:space="preserve"> TASSO DI OCCUPAZIONE E DISOCCUPAZIONE.            </w:t>
            </w:r>
            <w:r w:rsidRPr="00F4747C">
              <w:rPr>
                <w:color w:val="595959"/>
                <w:sz w:val="19"/>
                <w:szCs w:val="19"/>
                <w:u w:color="595959"/>
                <w:lang w:val="it-IT"/>
              </w:rPr>
              <w:t>Dati destagionalizzati, valori percentuali</w:t>
            </w:r>
          </w:p>
        </w:tc>
      </w:tr>
      <w:tr w:rsidR="0058450B" w14:paraId="1E0C4EA9" w14:textId="77777777">
        <w:trPr>
          <w:trHeight w:val="3247"/>
        </w:trPr>
        <w:tc>
          <w:tcPr>
            <w:tcW w:w="5100" w:type="dxa"/>
            <w:tcBorders>
              <w:top w:val="single" w:sz="2" w:space="0" w:color="D9D9D9"/>
              <w:left w:val="single" w:sz="2" w:space="0" w:color="D9D9D9"/>
              <w:bottom w:val="single" w:sz="2" w:space="0" w:color="D9D9D9"/>
              <w:right w:val="single" w:sz="2" w:space="0" w:color="D9D9D9"/>
            </w:tcBorders>
            <w:tcMar>
              <w:top w:w="80" w:type="dxa"/>
              <w:left w:w="80" w:type="dxa"/>
              <w:bottom w:w="80" w:type="dxa"/>
              <w:right w:w="80" w:type="dxa"/>
            </w:tcMar>
          </w:tcPr>
          <w:p w14:paraId="3E94EC32" w14:textId="77777777" w:rsidR="0058450B" w:rsidRDefault="00614F23">
            <w:pPr>
              <w:pStyle w:val="016testobulletprimapagina"/>
              <w:spacing w:before="60" w:after="120" w:line="240" w:lineRule="auto"/>
              <w:ind w:left="0" w:right="0"/>
            </w:pPr>
            <w:r>
              <w:rPr>
                <w:rFonts w:ascii="Times New Roman" w:eastAsia="Times New Roman" w:hAnsi="Times New Roman" w:cs="Times New Roman"/>
                <w:noProof/>
                <w:color w:val="000000"/>
                <w:sz w:val="20"/>
                <w:szCs w:val="20"/>
                <w:u w:color="000000"/>
                <w:lang w:eastAsia="it-IT"/>
              </w:rPr>
              <w:drawing>
                <wp:inline distT="0" distB="0" distL="0" distR="0" wp14:anchorId="29FA11C4" wp14:editId="3D089FC1">
                  <wp:extent cx="3126105" cy="1857375"/>
                  <wp:effectExtent l="0" t="0" r="0" b="9525"/>
                  <wp:docPr id="1073741836" name="officeArt object" descr="Grafico 3"/>
                  <wp:cNvGraphicFramePr/>
                  <a:graphic xmlns:a="http://schemas.openxmlformats.org/drawingml/2006/main">
                    <a:graphicData uri="http://schemas.openxmlformats.org/drawingml/2006/picture">
                      <pic:pic xmlns:pic="http://schemas.openxmlformats.org/drawingml/2006/picture">
                        <pic:nvPicPr>
                          <pic:cNvPr id="1073741836" name="Grafico 3" descr="Grafico 3"/>
                          <pic:cNvPicPr>
                            <a:picLocks noChangeAspect="1"/>
                          </pic:cNvPicPr>
                        </pic:nvPicPr>
                        <pic:blipFill>
                          <a:blip r:embed="rId20"/>
                          <a:stretch>
                            <a:fillRect/>
                          </a:stretch>
                        </pic:blipFill>
                        <pic:spPr>
                          <a:xfrm>
                            <a:off x="0" y="0"/>
                            <a:ext cx="3126297" cy="1857489"/>
                          </a:xfrm>
                          <a:prstGeom prst="rect">
                            <a:avLst/>
                          </a:prstGeom>
                          <a:ln w="12700" cap="flat">
                            <a:noFill/>
                            <a:miter lim="400000"/>
                          </a:ln>
                          <a:effectLst/>
                        </pic:spPr>
                      </pic:pic>
                    </a:graphicData>
                  </a:graphic>
                </wp:inline>
              </w:drawing>
            </w:r>
          </w:p>
        </w:tc>
        <w:tc>
          <w:tcPr>
            <w:tcW w:w="5101" w:type="dxa"/>
            <w:tcBorders>
              <w:top w:val="single" w:sz="2" w:space="0" w:color="D9D9D9"/>
              <w:left w:val="single" w:sz="2" w:space="0" w:color="D9D9D9"/>
              <w:bottom w:val="single" w:sz="2" w:space="0" w:color="D9D9D9"/>
              <w:right w:val="single" w:sz="2" w:space="0" w:color="D9D9D9"/>
            </w:tcBorders>
            <w:tcMar>
              <w:top w:w="80" w:type="dxa"/>
              <w:left w:w="80" w:type="dxa"/>
              <w:bottom w:w="80" w:type="dxa"/>
              <w:right w:w="80" w:type="dxa"/>
            </w:tcMar>
          </w:tcPr>
          <w:p w14:paraId="72360936" w14:textId="77777777" w:rsidR="0058450B" w:rsidRDefault="00614F23">
            <w:pPr>
              <w:pStyle w:val="016testobulletprimapagina"/>
              <w:spacing w:before="60" w:after="120" w:line="240" w:lineRule="auto"/>
              <w:ind w:left="0" w:right="0"/>
            </w:pPr>
            <w:r>
              <w:rPr>
                <w:rFonts w:ascii="Times New Roman" w:eastAsia="Times New Roman" w:hAnsi="Times New Roman" w:cs="Times New Roman"/>
                <w:noProof/>
                <w:color w:val="000000"/>
                <w:sz w:val="20"/>
                <w:szCs w:val="20"/>
                <w:u w:color="000000"/>
                <w:lang w:eastAsia="it-IT"/>
              </w:rPr>
              <w:drawing>
                <wp:inline distT="0" distB="0" distL="0" distR="0" wp14:anchorId="0043EB3C" wp14:editId="32C1A0A0">
                  <wp:extent cx="3126521" cy="1857375"/>
                  <wp:effectExtent l="0" t="0" r="0" b="0"/>
                  <wp:docPr id="1073741837" name="officeArt object" descr="Grafico 1"/>
                  <wp:cNvGraphicFramePr/>
                  <a:graphic xmlns:a="http://schemas.openxmlformats.org/drawingml/2006/main">
                    <a:graphicData uri="http://schemas.openxmlformats.org/drawingml/2006/picture">
                      <pic:pic xmlns:pic="http://schemas.openxmlformats.org/drawingml/2006/picture">
                        <pic:nvPicPr>
                          <pic:cNvPr id="1073741837" name="Grafico 1" descr="Grafico 1"/>
                          <pic:cNvPicPr>
                            <a:picLocks noChangeAspect="1"/>
                          </pic:cNvPicPr>
                        </pic:nvPicPr>
                        <pic:blipFill>
                          <a:blip r:embed="rId21"/>
                          <a:stretch>
                            <a:fillRect/>
                          </a:stretch>
                        </pic:blipFill>
                        <pic:spPr>
                          <a:xfrm>
                            <a:off x="0" y="0"/>
                            <a:ext cx="3128594" cy="1858607"/>
                          </a:xfrm>
                          <a:prstGeom prst="rect">
                            <a:avLst/>
                          </a:prstGeom>
                          <a:ln w="12700" cap="flat">
                            <a:noFill/>
                            <a:miter lim="400000"/>
                          </a:ln>
                          <a:effectLst/>
                        </pic:spPr>
                      </pic:pic>
                    </a:graphicData>
                  </a:graphic>
                </wp:inline>
              </w:drawing>
            </w:r>
          </w:p>
        </w:tc>
      </w:tr>
    </w:tbl>
    <w:p w14:paraId="7EC80A29" w14:textId="70F6A26E" w:rsidR="0058450B" w:rsidRDefault="00231458">
      <w:pPr>
        <w:spacing w:before="60" w:after="120"/>
        <w:rPr>
          <w:rFonts w:ascii="Arial" w:eastAsia="Arial" w:hAnsi="Arial" w:cs="Arial"/>
          <w:sz w:val="15"/>
          <w:szCs w:val="15"/>
        </w:rPr>
      </w:pPr>
      <w:r>
        <w:rPr>
          <w:rFonts w:ascii="Arial" w:hAnsi="Arial"/>
          <w:sz w:val="15"/>
          <w:szCs w:val="15"/>
        </w:rPr>
        <w:t xml:space="preserve">   </w:t>
      </w:r>
      <w:r w:rsidR="00614F23">
        <w:rPr>
          <w:rFonts w:ascii="Arial" w:hAnsi="Arial"/>
          <w:sz w:val="15"/>
          <w:szCs w:val="15"/>
        </w:rPr>
        <w:t>Fonte: Istat</w:t>
      </w:r>
      <w:r w:rsidR="00614F23">
        <w:rPr>
          <w:rFonts w:ascii="Arial" w:hAnsi="Arial"/>
          <w:sz w:val="15"/>
          <w:szCs w:val="15"/>
        </w:rPr>
        <w:tab/>
      </w:r>
      <w:r w:rsidR="00614F23">
        <w:rPr>
          <w:rFonts w:ascii="Arial" w:hAnsi="Arial"/>
          <w:sz w:val="15"/>
          <w:szCs w:val="15"/>
        </w:rPr>
        <w:tab/>
      </w:r>
      <w:r w:rsidR="00614F23">
        <w:rPr>
          <w:rFonts w:ascii="Arial" w:hAnsi="Arial"/>
          <w:sz w:val="15"/>
          <w:szCs w:val="15"/>
        </w:rPr>
        <w:tab/>
      </w:r>
      <w:r w:rsidR="00614F23">
        <w:rPr>
          <w:rFonts w:ascii="Arial" w:hAnsi="Arial"/>
          <w:sz w:val="15"/>
          <w:szCs w:val="15"/>
        </w:rPr>
        <w:tab/>
      </w:r>
      <w:r w:rsidR="00614F23">
        <w:rPr>
          <w:rFonts w:ascii="Arial" w:hAnsi="Arial"/>
          <w:sz w:val="15"/>
          <w:szCs w:val="15"/>
        </w:rPr>
        <w:tab/>
      </w:r>
      <w:r w:rsidR="00614F23">
        <w:rPr>
          <w:rFonts w:ascii="Arial" w:hAnsi="Arial"/>
          <w:sz w:val="15"/>
          <w:szCs w:val="15"/>
        </w:rPr>
        <w:tab/>
        <w:t xml:space="preserve"> </w:t>
      </w:r>
      <w:r>
        <w:rPr>
          <w:rFonts w:ascii="Arial" w:hAnsi="Arial"/>
          <w:sz w:val="15"/>
          <w:szCs w:val="15"/>
        </w:rPr>
        <w:t xml:space="preserve">    </w:t>
      </w:r>
      <w:r w:rsidR="00614F23">
        <w:rPr>
          <w:rFonts w:ascii="Arial" w:hAnsi="Arial"/>
          <w:sz w:val="15"/>
          <w:szCs w:val="15"/>
        </w:rPr>
        <w:t xml:space="preserve">  Fonte: Istat</w:t>
      </w:r>
    </w:p>
    <w:p w14:paraId="5B3AB929" w14:textId="77777777" w:rsidR="0058450B" w:rsidRPr="00231458" w:rsidRDefault="0058450B">
      <w:pPr>
        <w:shd w:val="clear" w:color="auto" w:fill="FFFFFF"/>
        <w:spacing w:before="60" w:after="120"/>
        <w:jc w:val="both"/>
        <w:rPr>
          <w:rFonts w:ascii="Arial" w:eastAsia="Arial" w:hAnsi="Arial" w:cs="Arial"/>
          <w:b/>
          <w:bCs/>
          <w:color w:val="008080"/>
          <w:sz w:val="12"/>
          <w:szCs w:val="22"/>
          <w:u w:color="008080"/>
        </w:rPr>
      </w:pPr>
    </w:p>
    <w:p w14:paraId="76DE33E1" w14:textId="73391300" w:rsidR="0058450B" w:rsidRDefault="00614F23">
      <w:pPr>
        <w:shd w:val="clear" w:color="auto" w:fill="FFFFFF"/>
        <w:spacing w:before="120" w:after="120"/>
        <w:jc w:val="both"/>
        <w:rPr>
          <w:rFonts w:ascii="Arial" w:eastAsia="Arial" w:hAnsi="Arial" w:cs="Arial"/>
          <w:sz w:val="22"/>
          <w:szCs w:val="22"/>
        </w:rPr>
      </w:pPr>
      <w:r>
        <w:rPr>
          <w:rFonts w:ascii="Arial" w:hAnsi="Arial"/>
          <w:b/>
          <w:bCs/>
          <w:color w:val="008080"/>
          <w:sz w:val="22"/>
          <w:szCs w:val="22"/>
          <w:u w:color="008080"/>
        </w:rPr>
        <w:t xml:space="preserve">Aumentano gli scambi con l’estero, con rilevanti differenze a livello settoriale. </w:t>
      </w:r>
      <w:r>
        <w:rPr>
          <w:rFonts w:ascii="Arial" w:hAnsi="Arial"/>
          <w:sz w:val="22"/>
          <w:szCs w:val="22"/>
        </w:rPr>
        <w:t xml:space="preserve">Nel periodo agosto-ottobre </w:t>
      </w:r>
      <w:hyperlink r:id="rId22" w:history="1">
        <w:r w:rsidR="0058450B">
          <w:rPr>
            <w:rStyle w:val="Hyperlink2"/>
          </w:rPr>
          <w:t>sia le esportazioni sia le importazioni</w:t>
        </w:r>
      </w:hyperlink>
      <w:r>
        <w:rPr>
          <w:rFonts w:ascii="Arial" w:hAnsi="Arial"/>
          <w:sz w:val="22"/>
          <w:szCs w:val="22"/>
        </w:rPr>
        <w:t xml:space="preserve"> di beni in valore hanno mostrato in media una dinamica </w:t>
      </w:r>
      <w:r w:rsidR="006568AE">
        <w:rPr>
          <w:rFonts w:ascii="Arial" w:hAnsi="Arial"/>
          <w:sz w:val="22"/>
          <w:szCs w:val="22"/>
        </w:rPr>
        <w:t xml:space="preserve">positiva ma </w:t>
      </w:r>
      <w:r>
        <w:rPr>
          <w:rFonts w:ascii="Arial" w:hAnsi="Arial"/>
          <w:sz w:val="22"/>
          <w:szCs w:val="22"/>
        </w:rPr>
        <w:t xml:space="preserve">debole (+0,2% e +0,3% rispettivamente la variazione sui tre mesi precedenti, su cui ha inciso anche il forte calo di agosto). Nel complesso, nei primi dieci mesi dell’anno le vendite all’estero di prodotti italiani sono aumentate del 3,4% in termini tendenziali, gli acquisti dall’estero del 3,7%. Tali andamenti sottendono un incremento dei volumi scambiati, modesto per l’export (+0,6%) e più vivace per l’import (+1,9%) a fronte di un aumento dei prezzi, misurati in termini di valori medi unitari, più marcato per le esportazioni (+2,8%) rispetto alle importazioni (+1,8%). </w:t>
      </w:r>
    </w:p>
    <w:p w14:paraId="457944B6" w14:textId="24A845CA" w:rsidR="0058450B" w:rsidRDefault="00614F23">
      <w:pPr>
        <w:shd w:val="clear" w:color="auto" w:fill="FFFFFF"/>
        <w:spacing w:before="120" w:after="120"/>
        <w:jc w:val="both"/>
        <w:rPr>
          <w:rFonts w:ascii="Arial" w:eastAsia="Arial" w:hAnsi="Arial" w:cs="Arial"/>
          <w:sz w:val="22"/>
          <w:szCs w:val="22"/>
        </w:rPr>
      </w:pPr>
      <w:r>
        <w:rPr>
          <w:rFonts w:ascii="Arial" w:hAnsi="Arial"/>
          <w:sz w:val="22"/>
          <w:szCs w:val="22"/>
        </w:rPr>
        <w:t xml:space="preserve">Con riferimento ai soli volumi, </w:t>
      </w:r>
      <w:r w:rsidR="002801F9">
        <w:rPr>
          <w:rFonts w:ascii="Arial" w:hAnsi="Arial"/>
          <w:sz w:val="22"/>
          <w:szCs w:val="22"/>
        </w:rPr>
        <w:t xml:space="preserve">nello stesso periodo, </w:t>
      </w:r>
      <w:r>
        <w:rPr>
          <w:rFonts w:ascii="Arial" w:hAnsi="Arial"/>
          <w:sz w:val="22"/>
          <w:szCs w:val="22"/>
        </w:rPr>
        <w:t xml:space="preserve">si è osservato un </w:t>
      </w:r>
      <w:r w:rsidR="00C1015A">
        <w:rPr>
          <w:rFonts w:ascii="Arial" w:hAnsi="Arial"/>
          <w:sz w:val="22"/>
          <w:szCs w:val="22"/>
        </w:rPr>
        <w:t xml:space="preserve">incremento </w:t>
      </w:r>
      <w:r>
        <w:rPr>
          <w:rFonts w:ascii="Arial" w:hAnsi="Arial"/>
          <w:sz w:val="22"/>
          <w:szCs w:val="22"/>
        </w:rPr>
        <w:t>contenuto delle merci dirette sia verso l’area Ue sia verso quella extra Ue (+0,8% e +0,4%) mentre, dal lato degli acquisti, a un calo dei volumi di beni provenienti dai paesi Ue (-0,3%) si è contrapposto un</w:t>
      </w:r>
      <w:r w:rsidR="00C1015A">
        <w:rPr>
          <w:rFonts w:ascii="Arial" w:hAnsi="Arial"/>
          <w:sz w:val="22"/>
          <w:szCs w:val="22"/>
        </w:rPr>
        <w:t>a</w:t>
      </w:r>
      <w:r>
        <w:rPr>
          <w:rFonts w:ascii="Arial" w:hAnsi="Arial"/>
          <w:sz w:val="22"/>
          <w:szCs w:val="22"/>
        </w:rPr>
        <w:t xml:space="preserve"> marcat</w:t>
      </w:r>
      <w:r w:rsidR="00C1015A">
        <w:rPr>
          <w:rFonts w:ascii="Arial" w:hAnsi="Arial"/>
          <w:sz w:val="22"/>
          <w:szCs w:val="22"/>
        </w:rPr>
        <w:t>a</w:t>
      </w:r>
      <w:r>
        <w:rPr>
          <w:rFonts w:ascii="Arial" w:hAnsi="Arial"/>
          <w:sz w:val="22"/>
          <w:szCs w:val="22"/>
        </w:rPr>
        <w:t xml:space="preserve"> </w:t>
      </w:r>
      <w:r w:rsidR="00C1015A">
        <w:rPr>
          <w:rFonts w:ascii="Arial" w:hAnsi="Arial"/>
          <w:sz w:val="22"/>
          <w:szCs w:val="22"/>
        </w:rPr>
        <w:t xml:space="preserve">crescita </w:t>
      </w:r>
      <w:r>
        <w:rPr>
          <w:rFonts w:ascii="Arial" w:hAnsi="Arial"/>
          <w:sz w:val="22"/>
          <w:szCs w:val="22"/>
        </w:rPr>
        <w:t>di quelli provenienti dall’area extra Ue (+4,6%).</w:t>
      </w:r>
    </w:p>
    <w:p w14:paraId="584DCB43" w14:textId="4E03C338" w:rsidR="0058450B" w:rsidRDefault="00614F23">
      <w:pPr>
        <w:shd w:val="clear" w:color="auto" w:fill="FFFFFF"/>
        <w:spacing w:before="60" w:after="120"/>
        <w:jc w:val="both"/>
        <w:rPr>
          <w:rFonts w:ascii="Arial" w:eastAsia="Arial" w:hAnsi="Arial" w:cs="Arial"/>
          <w:sz w:val="22"/>
          <w:szCs w:val="22"/>
        </w:rPr>
      </w:pPr>
      <w:r>
        <w:rPr>
          <w:rFonts w:ascii="Arial" w:hAnsi="Arial"/>
          <w:sz w:val="22"/>
          <w:szCs w:val="22"/>
        </w:rPr>
        <w:t xml:space="preserve">Le dinamiche aggregate delle vendite all’estero sottendono rilevanti differenze a livello settoriale: nei primi dieci mesi dell’anno, al forte incremento </w:t>
      </w:r>
      <w:r w:rsidR="00AB7896">
        <w:rPr>
          <w:rFonts w:ascii="Arial" w:hAnsi="Arial"/>
          <w:sz w:val="22"/>
          <w:szCs w:val="22"/>
        </w:rPr>
        <w:t xml:space="preserve">tendenziale </w:t>
      </w:r>
      <w:r>
        <w:rPr>
          <w:rFonts w:ascii="Arial" w:hAnsi="Arial"/>
          <w:sz w:val="22"/>
          <w:szCs w:val="22"/>
        </w:rPr>
        <w:t>delle esportazioni del comparto della farmaceutica (+33,7%) (si veda il Focus:</w:t>
      </w:r>
      <w:r>
        <w:rPr>
          <w:rFonts w:ascii="Arial" w:hAnsi="Arial"/>
          <w:b/>
          <w:bCs/>
          <w:sz w:val="22"/>
          <w:szCs w:val="22"/>
        </w:rPr>
        <w:t xml:space="preserve"> </w:t>
      </w:r>
      <w:r>
        <w:rPr>
          <w:rFonts w:ascii="Arial" w:hAnsi="Arial"/>
          <w:i/>
          <w:iCs/>
          <w:sz w:val="22"/>
          <w:szCs w:val="22"/>
        </w:rPr>
        <w:t>Il ruolo della farmaceutica nella dinamica degli scambi commerciali dell’Italia)</w:t>
      </w:r>
      <w:r>
        <w:rPr>
          <w:rFonts w:ascii="Arial" w:hAnsi="Arial"/>
          <w:sz w:val="22"/>
          <w:szCs w:val="22"/>
        </w:rPr>
        <w:t xml:space="preserve"> nonché dei mezzi di trasporto diversi dagli autoveicoli (+12,7%), dei metalli e prodotti in metallo (+7,5%), dei prodotti alimentari (+4,7%) e di quelli</w:t>
      </w:r>
      <w:r w:rsidR="00AB7896">
        <w:rPr>
          <w:rFonts w:ascii="Arial" w:hAnsi="Arial"/>
          <w:sz w:val="22"/>
          <w:szCs w:val="22"/>
        </w:rPr>
        <w:t xml:space="preserve"> </w:t>
      </w:r>
      <w:r>
        <w:rPr>
          <w:rFonts w:ascii="Arial" w:hAnsi="Arial"/>
          <w:sz w:val="22"/>
          <w:szCs w:val="22"/>
        </w:rPr>
        <w:t>in legno (+0,5%) si è contrapposto un calo degli altri comparti manifatturieri, particola</w:t>
      </w:r>
      <w:r w:rsidR="00AB7896">
        <w:rPr>
          <w:rFonts w:ascii="Arial" w:hAnsi="Arial"/>
          <w:sz w:val="22"/>
          <w:szCs w:val="22"/>
        </w:rPr>
        <w:t>r</w:t>
      </w:r>
      <w:r>
        <w:rPr>
          <w:rFonts w:ascii="Arial" w:hAnsi="Arial"/>
          <w:sz w:val="22"/>
          <w:szCs w:val="22"/>
        </w:rPr>
        <w:t>mente marcato per gli autoveicoli (-9,7%), e per il coke e i prodotti petroliferi</w:t>
      </w:r>
      <w:r w:rsidR="00231458">
        <w:rPr>
          <w:rFonts w:ascii="Arial" w:hAnsi="Arial"/>
          <w:sz w:val="22"/>
          <w:szCs w:val="22"/>
        </w:rPr>
        <w:br/>
      </w:r>
      <w:r>
        <w:rPr>
          <w:rFonts w:ascii="Arial" w:hAnsi="Arial"/>
          <w:sz w:val="22"/>
          <w:szCs w:val="22"/>
        </w:rPr>
        <w:t xml:space="preserve">(-12,3%). </w:t>
      </w:r>
    </w:p>
    <w:p w14:paraId="3B7BBEAE" w14:textId="67D7C45D" w:rsidR="0058450B" w:rsidRDefault="00614F23">
      <w:pPr>
        <w:shd w:val="clear" w:color="auto" w:fill="FFFFFF"/>
        <w:spacing w:before="60" w:after="120"/>
        <w:jc w:val="both"/>
        <w:rPr>
          <w:rFonts w:ascii="Arial" w:eastAsia="Arial" w:hAnsi="Arial" w:cs="Arial"/>
          <w:sz w:val="22"/>
          <w:szCs w:val="22"/>
        </w:rPr>
      </w:pPr>
      <w:r>
        <w:rPr>
          <w:rFonts w:ascii="Arial" w:hAnsi="Arial"/>
          <w:sz w:val="22"/>
          <w:szCs w:val="22"/>
        </w:rPr>
        <w:lastRenderedPageBreak/>
        <w:t xml:space="preserve">Dal lato degli acquisti, gli incrementi </w:t>
      </w:r>
      <w:r w:rsidR="00AB7896">
        <w:rPr>
          <w:rFonts w:ascii="Arial" w:hAnsi="Arial"/>
          <w:sz w:val="22"/>
          <w:szCs w:val="22"/>
        </w:rPr>
        <w:t xml:space="preserve">tendenziali </w:t>
      </w:r>
      <w:r>
        <w:rPr>
          <w:rFonts w:ascii="Arial" w:hAnsi="Arial"/>
          <w:sz w:val="22"/>
          <w:szCs w:val="22"/>
        </w:rPr>
        <w:t>sono risultati maggiormente diffusi tra i settori rispetto a quanto registrato dalle esportazioni; anche per l’import si evidenzia un forte aumento di prodotti della farmaceutica (+44,6%) e, in misura meno marcata, dei prodotti alimentari (+7,9%), a fronte</w:t>
      </w:r>
      <w:r w:rsidR="002B6F41">
        <w:rPr>
          <w:rFonts w:ascii="Arial" w:hAnsi="Arial"/>
          <w:sz w:val="22"/>
          <w:szCs w:val="22"/>
        </w:rPr>
        <w:t xml:space="preserve"> di una diminuzione nel coke e </w:t>
      </w:r>
      <w:r>
        <w:rPr>
          <w:rFonts w:ascii="Arial" w:hAnsi="Arial"/>
          <w:sz w:val="22"/>
          <w:szCs w:val="22"/>
        </w:rPr>
        <w:t>prodotti petroliferi (- 12,0%), computer apparecch</w:t>
      </w:r>
      <w:r w:rsidR="002B6F41">
        <w:rPr>
          <w:rFonts w:ascii="Arial" w:hAnsi="Arial"/>
          <w:sz w:val="22"/>
          <w:szCs w:val="22"/>
        </w:rPr>
        <w:t xml:space="preserve">i elettronici e ottici (-3,1%) </w:t>
      </w:r>
      <w:r>
        <w:rPr>
          <w:rFonts w:ascii="Arial" w:hAnsi="Arial"/>
          <w:sz w:val="22"/>
          <w:szCs w:val="22"/>
        </w:rPr>
        <w:t>e negli autoveicoli (-1,7%).</w:t>
      </w:r>
    </w:p>
    <w:p w14:paraId="154EDDEC" w14:textId="6770748A" w:rsidR="0058450B" w:rsidRDefault="00614F23">
      <w:pPr>
        <w:shd w:val="clear" w:color="auto" w:fill="FFFFFF"/>
        <w:spacing w:before="60" w:after="120"/>
        <w:jc w:val="both"/>
        <w:rPr>
          <w:rFonts w:ascii="Arial" w:eastAsia="Arial" w:hAnsi="Arial" w:cs="Arial"/>
          <w:sz w:val="22"/>
          <w:szCs w:val="22"/>
        </w:rPr>
      </w:pPr>
      <w:r>
        <w:rPr>
          <w:rFonts w:ascii="Arial" w:hAnsi="Arial"/>
          <w:b/>
          <w:bCs/>
          <w:color w:val="008080"/>
          <w:sz w:val="22"/>
          <w:szCs w:val="22"/>
          <w:u w:color="008080"/>
        </w:rPr>
        <w:t xml:space="preserve">Occupazione in calo dopo due mesi di crescita. </w:t>
      </w:r>
      <w:r>
        <w:rPr>
          <w:rFonts w:ascii="Arial" w:hAnsi="Arial"/>
          <w:sz w:val="22"/>
          <w:szCs w:val="22"/>
        </w:rPr>
        <w:t xml:space="preserve">Il </w:t>
      </w:r>
      <w:hyperlink r:id="rId23" w:history="1">
        <w:r w:rsidR="0058450B">
          <w:rPr>
            <w:rStyle w:val="Hyperlink2"/>
          </w:rPr>
          <w:t>numero di occupati</w:t>
        </w:r>
      </w:hyperlink>
      <w:r>
        <w:rPr>
          <w:rFonts w:ascii="Arial" w:hAnsi="Arial"/>
          <w:sz w:val="22"/>
          <w:szCs w:val="22"/>
        </w:rPr>
        <w:t xml:space="preserve"> scende a novembre a 24 milioni 188mila unità</w:t>
      </w:r>
      <w:r w:rsidR="00C1015A">
        <w:rPr>
          <w:rFonts w:ascii="Arial" w:hAnsi="Arial"/>
          <w:sz w:val="22"/>
          <w:szCs w:val="22"/>
        </w:rPr>
        <w:t>,</w:t>
      </w:r>
      <w:r w:rsidR="00A914C0">
        <w:rPr>
          <w:rFonts w:ascii="Arial" w:hAnsi="Arial"/>
          <w:sz w:val="22"/>
          <w:szCs w:val="22"/>
        </w:rPr>
        <w:t xml:space="preserve"> </w:t>
      </w:r>
      <w:r>
        <w:rPr>
          <w:rFonts w:ascii="Arial" w:hAnsi="Arial"/>
          <w:sz w:val="22"/>
          <w:szCs w:val="22"/>
        </w:rPr>
        <w:t>coinvolge</w:t>
      </w:r>
      <w:r w:rsidR="00C1015A">
        <w:rPr>
          <w:rFonts w:ascii="Arial" w:hAnsi="Arial"/>
          <w:sz w:val="22"/>
          <w:szCs w:val="22"/>
        </w:rPr>
        <w:t>ndo</w:t>
      </w:r>
      <w:r>
        <w:rPr>
          <w:rFonts w:ascii="Arial" w:hAnsi="Arial"/>
          <w:sz w:val="22"/>
          <w:szCs w:val="22"/>
        </w:rPr>
        <w:t xml:space="preserve"> le sole donne e tutte le classi d’età a eccezione dei 25-34enni. Per posizione professionale l’occupazione </w:t>
      </w:r>
      <w:r w:rsidR="00C1015A">
        <w:rPr>
          <w:rFonts w:ascii="Arial" w:hAnsi="Arial"/>
          <w:sz w:val="22"/>
          <w:szCs w:val="22"/>
        </w:rPr>
        <w:t xml:space="preserve">diminuisce </w:t>
      </w:r>
      <w:r>
        <w:rPr>
          <w:rFonts w:ascii="Arial" w:hAnsi="Arial"/>
          <w:sz w:val="22"/>
          <w:szCs w:val="22"/>
        </w:rPr>
        <w:t xml:space="preserve">tra i dipendenti a termine e tra gli autonomi, mentre risulta sostanzialmente stabile tra i dipendenti permanenti. Il tasso di occupazione scende al 62,6% (Figura 4). Rispetto a ottobre si segnala un calo della disoccupazione, per effetto di una diminuzione </w:t>
      </w:r>
      <w:r w:rsidR="00353949">
        <w:rPr>
          <w:rFonts w:ascii="Arial" w:hAnsi="Arial"/>
          <w:sz w:val="22"/>
          <w:szCs w:val="22"/>
        </w:rPr>
        <w:t xml:space="preserve">del numero di disoccupati </w:t>
      </w:r>
      <w:r>
        <w:rPr>
          <w:rFonts w:ascii="Arial" w:hAnsi="Arial"/>
          <w:sz w:val="22"/>
          <w:szCs w:val="22"/>
        </w:rPr>
        <w:t xml:space="preserve">che </w:t>
      </w:r>
      <w:r w:rsidR="00C1015A">
        <w:rPr>
          <w:rFonts w:ascii="Arial" w:hAnsi="Arial"/>
          <w:sz w:val="22"/>
          <w:szCs w:val="22"/>
        </w:rPr>
        <w:t xml:space="preserve">riguarda </w:t>
      </w:r>
      <w:r>
        <w:rPr>
          <w:rFonts w:ascii="Arial" w:hAnsi="Arial"/>
          <w:sz w:val="22"/>
          <w:szCs w:val="22"/>
        </w:rPr>
        <w:t xml:space="preserve">sia gli uomini sia le donne e gli individui di tutte le di età tranne i 25-34enni. Nel confronto </w:t>
      </w:r>
      <w:r w:rsidR="002801F9">
        <w:rPr>
          <w:rFonts w:ascii="Arial" w:hAnsi="Arial"/>
          <w:sz w:val="22"/>
          <w:szCs w:val="22"/>
        </w:rPr>
        <w:t>congiunturale</w:t>
      </w:r>
      <w:r>
        <w:rPr>
          <w:rFonts w:ascii="Arial" w:hAnsi="Arial"/>
          <w:sz w:val="22"/>
          <w:szCs w:val="22"/>
        </w:rPr>
        <w:t xml:space="preserve">, il tasso di disoccupazione </w:t>
      </w:r>
      <w:r w:rsidR="00AB7896">
        <w:rPr>
          <w:rFonts w:ascii="Arial" w:hAnsi="Arial"/>
          <w:sz w:val="22"/>
          <w:szCs w:val="22"/>
        </w:rPr>
        <w:t>in Italia</w:t>
      </w:r>
      <w:r>
        <w:rPr>
          <w:rFonts w:ascii="Arial" w:hAnsi="Arial"/>
          <w:sz w:val="22"/>
          <w:szCs w:val="22"/>
        </w:rPr>
        <w:t>, che nell’area euro è sceso al 6,3% (-0,1 punti), risulta in calo al 5,7%</w:t>
      </w:r>
      <w:r w:rsidR="00AB7896">
        <w:rPr>
          <w:rFonts w:ascii="Arial" w:hAnsi="Arial"/>
          <w:sz w:val="22"/>
          <w:szCs w:val="22"/>
        </w:rPr>
        <w:t xml:space="preserve"> </w:t>
      </w:r>
      <w:r>
        <w:rPr>
          <w:rFonts w:ascii="Arial" w:hAnsi="Arial"/>
          <w:sz w:val="22"/>
          <w:szCs w:val="22"/>
        </w:rPr>
        <w:t>(-0,1 punti), quello giovanile al 18,8% (-0,8 punti). Rispetto a ottobre, infine, è in crescita al 33,5% (+0,2 punti) il tasso d’inattività</w:t>
      </w:r>
      <w:r w:rsidR="00C1015A" w:rsidRPr="00C1015A">
        <w:rPr>
          <w:rFonts w:ascii="Arial" w:hAnsi="Arial"/>
          <w:sz w:val="22"/>
          <w:szCs w:val="22"/>
        </w:rPr>
        <w:t xml:space="preserve"> </w:t>
      </w:r>
      <w:r w:rsidR="00C1015A">
        <w:rPr>
          <w:rFonts w:ascii="Arial" w:hAnsi="Arial"/>
          <w:sz w:val="22"/>
          <w:szCs w:val="22"/>
        </w:rPr>
        <w:t>che resta tra i più elevati nell’Ue 27</w:t>
      </w:r>
      <w:r>
        <w:rPr>
          <w:rFonts w:ascii="Arial" w:hAnsi="Arial"/>
          <w:sz w:val="22"/>
          <w:szCs w:val="22"/>
        </w:rPr>
        <w:t>.</w:t>
      </w:r>
    </w:p>
    <w:p w14:paraId="0DA46FDE" w14:textId="32DB1F21" w:rsidR="0058450B" w:rsidRDefault="00614F23">
      <w:pPr>
        <w:shd w:val="clear" w:color="auto" w:fill="FFFFFF"/>
        <w:spacing w:before="60" w:after="120"/>
        <w:jc w:val="both"/>
        <w:rPr>
          <w:rFonts w:ascii="Arial" w:eastAsia="Arial" w:hAnsi="Arial" w:cs="Arial"/>
          <w:sz w:val="22"/>
          <w:szCs w:val="22"/>
        </w:rPr>
      </w:pPr>
      <w:r>
        <w:rPr>
          <w:rFonts w:ascii="Arial" w:hAnsi="Arial"/>
          <w:sz w:val="22"/>
          <w:szCs w:val="22"/>
        </w:rPr>
        <w:t>Su base</w:t>
      </w:r>
      <w:r w:rsidR="00482ADF">
        <w:rPr>
          <w:rFonts w:ascii="Arial" w:hAnsi="Arial"/>
          <w:sz w:val="22"/>
          <w:szCs w:val="22"/>
        </w:rPr>
        <w:t xml:space="preserve"> trimestrale, nel periodo settembre</w:t>
      </w:r>
      <w:r>
        <w:rPr>
          <w:rFonts w:ascii="Arial" w:hAnsi="Arial"/>
          <w:sz w:val="22"/>
          <w:szCs w:val="22"/>
        </w:rPr>
        <w:t>-novembre si registra un incremento del livello di occupazione pari allo 0,3% su base congiunturale (per un totale di 66mila occupati) che interessa le sole donne, i dipendenti permanenti, gli autonomi, i 25-34enni e chi ha almeno 50 anni d’età. La crescita dell’occupazione si associa al calo delle persone in cerca di lavoro (-3,1%, pari a -48mila unità) e alla sostanziale stabilità degli inattivi.</w:t>
      </w:r>
    </w:p>
    <w:p w14:paraId="786455E9" w14:textId="068C04B1" w:rsidR="0058450B" w:rsidRDefault="00614F23">
      <w:pPr>
        <w:shd w:val="clear" w:color="auto" w:fill="FFFFFF"/>
        <w:spacing w:before="60" w:after="120"/>
        <w:jc w:val="both"/>
        <w:rPr>
          <w:rFonts w:ascii="Arial" w:eastAsia="Arial" w:hAnsi="Arial" w:cs="Arial"/>
          <w:sz w:val="22"/>
          <w:szCs w:val="22"/>
        </w:rPr>
      </w:pPr>
      <w:r w:rsidRPr="0051508E">
        <w:rPr>
          <w:rFonts w:ascii="Arial" w:hAnsi="Arial"/>
          <w:sz w:val="22"/>
          <w:szCs w:val="22"/>
        </w:rPr>
        <w:t>In termini tendenziali,</w:t>
      </w:r>
      <w:r>
        <w:rPr>
          <w:rFonts w:ascii="Arial" w:hAnsi="Arial"/>
          <w:sz w:val="22"/>
          <w:szCs w:val="22"/>
        </w:rPr>
        <w:t xml:space="preserve"> a novembre gli occupati sono 179mila in più (+0,7%), con il tasso di occupazione in crescita di 0,3 punti. </w:t>
      </w:r>
      <w:r w:rsidR="0051508E">
        <w:rPr>
          <w:rFonts w:ascii="Arial" w:hAnsi="Arial"/>
          <w:sz w:val="22"/>
          <w:szCs w:val="22"/>
        </w:rPr>
        <w:t>I</w:t>
      </w:r>
      <w:r>
        <w:rPr>
          <w:rFonts w:ascii="Arial" w:hAnsi="Arial"/>
          <w:sz w:val="22"/>
          <w:szCs w:val="22"/>
        </w:rPr>
        <w:t>l saldo tendenziale del numero di disoccupati in un anno è diminuito di 106mila unità</w:t>
      </w:r>
      <w:r w:rsidR="0051508E">
        <w:rPr>
          <w:rFonts w:ascii="Arial" w:hAnsi="Arial"/>
          <w:sz w:val="22"/>
          <w:szCs w:val="22"/>
        </w:rPr>
        <w:t>.</w:t>
      </w:r>
      <w:r>
        <w:rPr>
          <w:rFonts w:ascii="Arial" w:hAnsi="Arial"/>
          <w:sz w:val="22"/>
          <w:szCs w:val="22"/>
        </w:rPr>
        <w:t xml:space="preserve"> Rispetto all’anno precedente, il tasso di disoccupazione è sceso di 0,4 </w:t>
      </w:r>
      <w:r w:rsidR="0051508E">
        <w:rPr>
          <w:rFonts w:ascii="Arial" w:hAnsi="Arial"/>
          <w:sz w:val="22"/>
          <w:szCs w:val="22"/>
        </w:rPr>
        <w:t xml:space="preserve">punti nel complesso </w:t>
      </w:r>
      <w:r>
        <w:rPr>
          <w:rFonts w:ascii="Arial" w:hAnsi="Arial"/>
          <w:sz w:val="22"/>
          <w:szCs w:val="22"/>
        </w:rPr>
        <w:t>e di 2,3 tra i giovani. Diminuisce sull’anno anche il numero di inattivi (-0,3% pari a -35mila unità) mentre è invariato il tasso di inattività.</w:t>
      </w:r>
    </w:p>
    <w:p w14:paraId="3C40C9AD" w14:textId="77777777" w:rsidR="0058450B" w:rsidRDefault="0058450B">
      <w:pPr>
        <w:pStyle w:val="NormaleWeb"/>
        <w:shd w:val="clear" w:color="auto" w:fill="FFFFFF"/>
        <w:spacing w:before="60" w:after="120"/>
        <w:jc w:val="both"/>
        <w:rPr>
          <w:rFonts w:ascii="Arial" w:eastAsia="Arial" w:hAnsi="Arial" w:cs="Arial"/>
          <w:color w:val="383838"/>
          <w:sz w:val="22"/>
          <w:szCs w:val="22"/>
          <w:u w:color="383838"/>
        </w:rPr>
      </w:pPr>
    </w:p>
    <w:tbl>
      <w:tblPr>
        <w:tblStyle w:val="TableNormal"/>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00"/>
        <w:gridCol w:w="5101"/>
      </w:tblGrid>
      <w:tr w:rsidR="0058450B" w14:paraId="4F757CBD" w14:textId="77777777">
        <w:trPr>
          <w:trHeight w:val="673"/>
        </w:trPr>
        <w:tc>
          <w:tcPr>
            <w:tcW w:w="5100" w:type="dxa"/>
            <w:tcBorders>
              <w:top w:val="nil"/>
              <w:left w:val="nil"/>
              <w:bottom w:val="single" w:sz="2" w:space="0" w:color="D9D9D9"/>
              <w:right w:val="nil"/>
            </w:tcBorders>
            <w:tcMar>
              <w:top w:w="80" w:type="dxa"/>
              <w:left w:w="80" w:type="dxa"/>
              <w:bottom w:w="80" w:type="dxa"/>
              <w:right w:w="222" w:type="dxa"/>
            </w:tcMar>
          </w:tcPr>
          <w:p w14:paraId="1C85B968" w14:textId="641A47F8" w:rsidR="0058450B" w:rsidRPr="00612F53" w:rsidRDefault="00614F23" w:rsidP="00231458">
            <w:pPr>
              <w:pStyle w:val="052tabella-figurasottotitolo"/>
              <w:spacing w:after="0"/>
              <w:ind w:right="142"/>
              <w:rPr>
                <w:lang w:val="it-IT"/>
              </w:rPr>
            </w:pPr>
            <w:r w:rsidRPr="00320E26">
              <w:rPr>
                <w:b/>
                <w:bCs/>
                <w:color w:val="00817F"/>
                <w:sz w:val="20"/>
                <w:szCs w:val="20"/>
                <w:u w:color="00817F"/>
                <w:lang w:val="it-IT"/>
              </w:rPr>
              <w:t>FIGURA 5</w:t>
            </w:r>
            <w:r w:rsidRPr="00612F53">
              <w:rPr>
                <w:b/>
                <w:bCs/>
                <w:sz w:val="20"/>
                <w:szCs w:val="20"/>
                <w:lang w:val="it-IT"/>
              </w:rPr>
              <w:t xml:space="preserve">. </w:t>
            </w:r>
            <w:r w:rsidRPr="00612F53">
              <w:rPr>
                <w:b/>
                <w:bCs/>
                <w:color w:val="595959"/>
                <w:sz w:val="20"/>
                <w:szCs w:val="20"/>
                <w:u w:color="595959"/>
                <w:lang w:val="it-IT"/>
              </w:rPr>
              <w:t xml:space="preserve">PROPENSIONE AL RISPARMIO E POTERE DI ACQUISTO DELLE FAMIGLIE.                                                                            </w:t>
            </w:r>
            <w:r w:rsidRPr="00612F53">
              <w:rPr>
                <w:color w:val="595959"/>
                <w:sz w:val="20"/>
                <w:szCs w:val="20"/>
                <w:u w:color="595959"/>
                <w:lang w:val="it-IT"/>
              </w:rPr>
              <w:t xml:space="preserve">   </w:t>
            </w:r>
            <w:r w:rsidRPr="00943D6C">
              <w:rPr>
                <w:rFonts w:eastAsia="Aptos" w:cs="Arial"/>
                <w:bCs/>
                <w:iCs/>
                <w:noProof/>
                <w:color w:val="595959" w:themeColor="text1" w:themeTint="A6"/>
                <w:spacing w:val="2"/>
                <w:sz w:val="19"/>
                <w:szCs w:val="19"/>
                <w:u w:color="000000"/>
                <w:lang w:val="it-IT"/>
              </w:rPr>
              <w:t>Valori concatenati, mi</w:t>
            </w:r>
            <w:r w:rsidR="00231458" w:rsidRPr="00943D6C">
              <w:rPr>
                <w:rFonts w:eastAsia="Aptos" w:cs="Arial"/>
                <w:bCs/>
                <w:iCs/>
                <w:noProof/>
                <w:color w:val="595959" w:themeColor="text1" w:themeTint="A6"/>
                <w:spacing w:val="2"/>
                <w:sz w:val="19"/>
                <w:szCs w:val="19"/>
                <w:u w:color="000000"/>
                <w:lang w:val="it-IT"/>
              </w:rPr>
              <w:t>lioni di euro e valori percentuali</w:t>
            </w:r>
          </w:p>
        </w:tc>
        <w:tc>
          <w:tcPr>
            <w:tcW w:w="5101" w:type="dxa"/>
            <w:tcBorders>
              <w:top w:val="nil"/>
              <w:left w:val="nil"/>
              <w:bottom w:val="single" w:sz="2" w:space="0" w:color="D9D9D9"/>
              <w:right w:val="nil"/>
            </w:tcBorders>
            <w:tcMar>
              <w:top w:w="80" w:type="dxa"/>
              <w:left w:w="80" w:type="dxa"/>
              <w:bottom w:w="80" w:type="dxa"/>
              <w:right w:w="80" w:type="dxa"/>
            </w:tcMar>
          </w:tcPr>
          <w:p w14:paraId="5126902A" w14:textId="77777777" w:rsidR="0058450B" w:rsidRDefault="00614F23" w:rsidP="00231458">
            <w:r w:rsidRPr="00320E26">
              <w:rPr>
                <w:rFonts w:ascii="Arial Narrow" w:hAnsi="Arial Narrow"/>
                <w:b/>
                <w:bCs/>
                <w:color w:val="00817F"/>
                <w:sz w:val="20"/>
                <w:szCs w:val="20"/>
                <w:u w:color="00817F"/>
              </w:rPr>
              <w:t>FIGURA 6</w:t>
            </w:r>
            <w:r>
              <w:rPr>
                <w:rFonts w:ascii="Arial Narrow" w:hAnsi="Arial Narrow"/>
                <w:b/>
                <w:bCs/>
                <w:color w:val="008080"/>
                <w:sz w:val="20"/>
                <w:szCs w:val="20"/>
                <w:u w:color="008080"/>
              </w:rPr>
              <w:t xml:space="preserve">. </w:t>
            </w:r>
            <w:r w:rsidRPr="00612F53">
              <w:rPr>
                <w:rFonts w:ascii="Arial Narrow" w:hAnsi="Arial Narrow"/>
                <w:b/>
                <w:bCs/>
                <w:color w:val="595959"/>
                <w:sz w:val="20"/>
                <w:szCs w:val="20"/>
                <w:u w:color="595959"/>
              </w:rPr>
              <w:t>INFLAZIONE AL CONSUMO IN ITALIA.</w:t>
            </w:r>
            <w:r>
              <w:rPr>
                <w:rFonts w:ascii="Arial Narrow" w:hAnsi="Arial Narrow"/>
                <w:b/>
                <w:bCs/>
                <w:color w:val="008080"/>
                <w:sz w:val="20"/>
                <w:szCs w:val="20"/>
                <w:u w:color="008080"/>
              </w:rPr>
              <w:t xml:space="preserve">       </w:t>
            </w:r>
            <w:r>
              <w:rPr>
                <w:rFonts w:ascii="Arial Narrow" w:hAnsi="Arial Narrow"/>
                <w:b/>
                <w:bCs/>
                <w:color w:val="595959"/>
                <w:sz w:val="20"/>
                <w:szCs w:val="20"/>
                <w:u w:color="595959"/>
              </w:rPr>
              <w:t xml:space="preserve">                                                                 </w:t>
            </w:r>
            <w:r w:rsidRPr="00943D6C">
              <w:rPr>
                <w:rFonts w:ascii="Arial Narrow" w:hAnsi="Arial Narrow" w:cs="Arial"/>
                <w:bCs/>
                <w:iCs/>
                <w:noProof/>
                <w:color w:val="595959" w:themeColor="text1" w:themeTint="A6"/>
                <w:spacing w:val="2"/>
                <w:sz w:val="19"/>
                <w:szCs w:val="19"/>
              </w:rPr>
              <w:t>Indice dei prezzi per l'intera collettività NIC, var. tendenziali</w:t>
            </w:r>
          </w:p>
        </w:tc>
      </w:tr>
      <w:tr w:rsidR="0058450B" w14:paraId="26F701C6" w14:textId="77777777">
        <w:trPr>
          <w:trHeight w:val="3247"/>
        </w:trPr>
        <w:tc>
          <w:tcPr>
            <w:tcW w:w="5100" w:type="dxa"/>
            <w:tcBorders>
              <w:top w:val="single" w:sz="2" w:space="0" w:color="D9D9D9"/>
              <w:left w:val="single" w:sz="2" w:space="0" w:color="D9D9D9"/>
              <w:bottom w:val="single" w:sz="2" w:space="0" w:color="D9D9D9"/>
              <w:right w:val="single" w:sz="2" w:space="0" w:color="D9D9D9"/>
            </w:tcBorders>
            <w:tcMar>
              <w:top w:w="80" w:type="dxa"/>
              <w:left w:w="80" w:type="dxa"/>
              <w:bottom w:w="80" w:type="dxa"/>
              <w:right w:w="80" w:type="dxa"/>
            </w:tcMar>
          </w:tcPr>
          <w:p w14:paraId="693F448F" w14:textId="77777777" w:rsidR="0058450B" w:rsidRDefault="00614F23">
            <w:pPr>
              <w:pStyle w:val="016testobulletprimapagina"/>
              <w:spacing w:before="60" w:after="120" w:line="240" w:lineRule="auto"/>
              <w:ind w:left="0" w:right="0"/>
            </w:pPr>
            <w:r>
              <w:rPr>
                <w:rFonts w:ascii="Times New Roman" w:eastAsia="Times New Roman" w:hAnsi="Times New Roman" w:cs="Times New Roman"/>
                <w:noProof/>
                <w:color w:val="000000"/>
                <w:sz w:val="20"/>
                <w:szCs w:val="20"/>
                <w:u w:color="000000"/>
                <w:lang w:eastAsia="it-IT"/>
              </w:rPr>
              <w:drawing>
                <wp:inline distT="0" distB="0" distL="0" distR="0" wp14:anchorId="56D238F8" wp14:editId="59E05616">
                  <wp:extent cx="3126297" cy="1672803"/>
                  <wp:effectExtent l="0" t="0" r="0" b="0"/>
                  <wp:docPr id="1073741838" name="officeArt object" descr="Grafico 1942615048"/>
                  <wp:cNvGraphicFramePr/>
                  <a:graphic xmlns:a="http://schemas.openxmlformats.org/drawingml/2006/main">
                    <a:graphicData uri="http://schemas.openxmlformats.org/drawingml/2006/picture">
                      <pic:pic xmlns:pic="http://schemas.openxmlformats.org/drawingml/2006/picture">
                        <pic:nvPicPr>
                          <pic:cNvPr id="1073741838" name="Grafico 1942615048" descr="Grafico 1942615048"/>
                          <pic:cNvPicPr>
                            <a:picLocks noChangeAspect="1"/>
                          </pic:cNvPicPr>
                        </pic:nvPicPr>
                        <pic:blipFill>
                          <a:blip r:embed="rId24"/>
                          <a:stretch>
                            <a:fillRect/>
                          </a:stretch>
                        </pic:blipFill>
                        <pic:spPr>
                          <a:xfrm>
                            <a:off x="0" y="0"/>
                            <a:ext cx="3126297" cy="1672803"/>
                          </a:xfrm>
                          <a:prstGeom prst="rect">
                            <a:avLst/>
                          </a:prstGeom>
                          <a:ln w="12700" cap="flat">
                            <a:noFill/>
                            <a:miter lim="400000"/>
                          </a:ln>
                          <a:effectLst/>
                        </pic:spPr>
                      </pic:pic>
                    </a:graphicData>
                  </a:graphic>
                </wp:inline>
              </w:drawing>
            </w:r>
          </w:p>
        </w:tc>
        <w:tc>
          <w:tcPr>
            <w:tcW w:w="5101" w:type="dxa"/>
            <w:tcBorders>
              <w:top w:val="single" w:sz="2" w:space="0" w:color="D9D9D9"/>
              <w:left w:val="single" w:sz="2" w:space="0" w:color="D9D9D9"/>
              <w:bottom w:val="single" w:sz="2" w:space="0" w:color="D9D9D9"/>
              <w:right w:val="single" w:sz="2" w:space="0" w:color="D9D9D9"/>
            </w:tcBorders>
            <w:tcMar>
              <w:top w:w="80" w:type="dxa"/>
              <w:left w:w="80" w:type="dxa"/>
              <w:bottom w:w="80" w:type="dxa"/>
              <w:right w:w="80" w:type="dxa"/>
            </w:tcMar>
          </w:tcPr>
          <w:p w14:paraId="3B36235A" w14:textId="77777777" w:rsidR="0058450B" w:rsidRDefault="00614F23">
            <w:pPr>
              <w:pStyle w:val="016testobulletprimapagina"/>
              <w:spacing w:before="60" w:after="120" w:line="240" w:lineRule="auto"/>
              <w:ind w:left="0" w:right="0"/>
            </w:pPr>
            <w:r>
              <w:rPr>
                <w:rFonts w:ascii="Times New Roman" w:eastAsia="Times New Roman" w:hAnsi="Times New Roman" w:cs="Times New Roman"/>
                <w:noProof/>
                <w:color w:val="000000"/>
                <w:sz w:val="20"/>
                <w:szCs w:val="20"/>
                <w:u w:color="000000"/>
                <w:lang w:eastAsia="it-IT"/>
              </w:rPr>
              <w:drawing>
                <wp:inline distT="0" distB="0" distL="0" distR="0" wp14:anchorId="0E537B96" wp14:editId="33B8EB0E">
                  <wp:extent cx="3126930" cy="1799739"/>
                  <wp:effectExtent l="0" t="0" r="0" b="0"/>
                  <wp:docPr id="1073741839" name="officeArt object" descr="Grafico 11"/>
                  <wp:cNvGraphicFramePr/>
                  <a:graphic xmlns:a="http://schemas.openxmlformats.org/drawingml/2006/main">
                    <a:graphicData uri="http://schemas.openxmlformats.org/drawingml/2006/picture">
                      <pic:pic xmlns:pic="http://schemas.openxmlformats.org/drawingml/2006/picture">
                        <pic:nvPicPr>
                          <pic:cNvPr id="1073741839" name="Grafico 11" descr="Grafico 11"/>
                          <pic:cNvPicPr>
                            <a:picLocks noChangeAspect="1"/>
                          </pic:cNvPicPr>
                        </pic:nvPicPr>
                        <pic:blipFill>
                          <a:blip r:embed="rId25"/>
                          <a:stretch>
                            <a:fillRect/>
                          </a:stretch>
                        </pic:blipFill>
                        <pic:spPr>
                          <a:xfrm>
                            <a:off x="0" y="0"/>
                            <a:ext cx="3126930" cy="1799739"/>
                          </a:xfrm>
                          <a:prstGeom prst="rect">
                            <a:avLst/>
                          </a:prstGeom>
                          <a:ln w="12700" cap="flat">
                            <a:noFill/>
                            <a:miter lim="400000"/>
                          </a:ln>
                          <a:effectLst/>
                        </pic:spPr>
                      </pic:pic>
                    </a:graphicData>
                  </a:graphic>
                </wp:inline>
              </w:drawing>
            </w:r>
          </w:p>
        </w:tc>
      </w:tr>
    </w:tbl>
    <w:p w14:paraId="77D4619A" w14:textId="319DFFE3" w:rsidR="0058450B" w:rsidRDefault="00231458">
      <w:pPr>
        <w:spacing w:before="60"/>
        <w:rPr>
          <w:rFonts w:ascii="Arial" w:eastAsia="Arial" w:hAnsi="Arial" w:cs="Arial"/>
          <w:sz w:val="15"/>
          <w:szCs w:val="15"/>
        </w:rPr>
      </w:pPr>
      <w:r>
        <w:rPr>
          <w:rFonts w:ascii="Arial" w:hAnsi="Arial"/>
          <w:sz w:val="15"/>
          <w:szCs w:val="15"/>
        </w:rPr>
        <w:t xml:space="preserve">   </w:t>
      </w:r>
      <w:r w:rsidR="00614F23">
        <w:rPr>
          <w:rFonts w:ascii="Arial" w:hAnsi="Arial"/>
          <w:sz w:val="15"/>
          <w:szCs w:val="15"/>
        </w:rPr>
        <w:t>Fonte: Istat</w:t>
      </w:r>
      <w:r w:rsidR="00614F23">
        <w:rPr>
          <w:rFonts w:ascii="Arial" w:hAnsi="Arial"/>
          <w:sz w:val="15"/>
          <w:szCs w:val="15"/>
        </w:rPr>
        <w:tab/>
      </w:r>
      <w:r w:rsidR="00614F23">
        <w:rPr>
          <w:rFonts w:ascii="Arial" w:hAnsi="Arial"/>
          <w:sz w:val="15"/>
          <w:szCs w:val="15"/>
        </w:rPr>
        <w:tab/>
      </w:r>
      <w:r w:rsidR="00614F23">
        <w:rPr>
          <w:rFonts w:ascii="Arial" w:hAnsi="Arial"/>
          <w:sz w:val="15"/>
          <w:szCs w:val="15"/>
        </w:rPr>
        <w:tab/>
      </w:r>
      <w:r w:rsidR="00614F23">
        <w:rPr>
          <w:rFonts w:ascii="Arial" w:hAnsi="Arial"/>
          <w:sz w:val="15"/>
          <w:szCs w:val="15"/>
        </w:rPr>
        <w:tab/>
      </w:r>
      <w:r w:rsidR="00614F23">
        <w:rPr>
          <w:rFonts w:ascii="Arial" w:hAnsi="Arial"/>
          <w:sz w:val="15"/>
          <w:szCs w:val="15"/>
        </w:rPr>
        <w:tab/>
      </w:r>
      <w:r w:rsidR="00614F23">
        <w:rPr>
          <w:rFonts w:ascii="Arial" w:hAnsi="Arial"/>
          <w:sz w:val="15"/>
          <w:szCs w:val="15"/>
        </w:rPr>
        <w:tab/>
        <w:t xml:space="preserve">   </w:t>
      </w:r>
      <w:r>
        <w:rPr>
          <w:rFonts w:ascii="Arial" w:hAnsi="Arial"/>
          <w:sz w:val="15"/>
          <w:szCs w:val="15"/>
        </w:rPr>
        <w:t xml:space="preserve">   </w:t>
      </w:r>
      <w:r w:rsidR="00614F23">
        <w:rPr>
          <w:rFonts w:ascii="Arial" w:hAnsi="Arial"/>
          <w:sz w:val="15"/>
          <w:szCs w:val="15"/>
        </w:rPr>
        <w:t xml:space="preserve"> Fonte: Istat </w:t>
      </w:r>
    </w:p>
    <w:p w14:paraId="29B15771" w14:textId="77777777" w:rsidR="0058450B" w:rsidRDefault="0058450B">
      <w:pPr>
        <w:jc w:val="both"/>
        <w:rPr>
          <w:rFonts w:ascii="Arial" w:eastAsia="Arial" w:hAnsi="Arial" w:cs="Arial"/>
          <w:b/>
          <w:bCs/>
          <w:color w:val="008080"/>
          <w:spacing w:val="1"/>
          <w:sz w:val="22"/>
          <w:szCs w:val="22"/>
          <w:u w:color="008080"/>
        </w:rPr>
      </w:pPr>
    </w:p>
    <w:p w14:paraId="137465B1" w14:textId="449CBF4F" w:rsidR="00231458" w:rsidRDefault="00614F23">
      <w:pPr>
        <w:spacing w:before="120" w:after="120"/>
        <w:jc w:val="both"/>
        <w:rPr>
          <w:rFonts w:ascii="Arial" w:hAnsi="Arial"/>
          <w:color w:val="383838"/>
          <w:sz w:val="22"/>
          <w:szCs w:val="22"/>
          <w:u w:color="383838"/>
        </w:rPr>
      </w:pPr>
      <w:r>
        <w:rPr>
          <w:rFonts w:ascii="Arial" w:hAnsi="Arial"/>
          <w:b/>
          <w:bCs/>
          <w:color w:val="008080"/>
          <w:spacing w:val="1"/>
          <w:sz w:val="22"/>
          <w:szCs w:val="22"/>
          <w:u w:color="008080"/>
        </w:rPr>
        <w:t xml:space="preserve">In </w:t>
      </w:r>
      <w:r w:rsidR="0051508E">
        <w:rPr>
          <w:rFonts w:ascii="Arial" w:hAnsi="Arial"/>
          <w:b/>
          <w:bCs/>
          <w:color w:val="008080"/>
          <w:spacing w:val="1"/>
          <w:sz w:val="22"/>
          <w:szCs w:val="22"/>
          <w:u w:color="008080"/>
        </w:rPr>
        <w:t xml:space="preserve">contenuto </w:t>
      </w:r>
      <w:r>
        <w:rPr>
          <w:rFonts w:ascii="Arial" w:hAnsi="Arial"/>
          <w:b/>
          <w:bCs/>
          <w:color w:val="008080"/>
          <w:spacing w:val="1"/>
          <w:sz w:val="22"/>
          <w:szCs w:val="22"/>
          <w:u w:color="008080"/>
        </w:rPr>
        <w:t>aumento</w:t>
      </w:r>
      <w:r w:rsidR="0051508E">
        <w:rPr>
          <w:rFonts w:ascii="Arial" w:hAnsi="Arial"/>
          <w:b/>
          <w:bCs/>
          <w:color w:val="008080"/>
          <w:spacing w:val="1"/>
          <w:sz w:val="22"/>
          <w:szCs w:val="22"/>
          <w:u w:color="008080"/>
        </w:rPr>
        <w:t xml:space="preserve"> </w:t>
      </w:r>
      <w:r>
        <w:rPr>
          <w:rFonts w:ascii="Arial" w:hAnsi="Arial"/>
          <w:b/>
          <w:bCs/>
          <w:color w:val="008080"/>
          <w:spacing w:val="1"/>
          <w:sz w:val="22"/>
          <w:szCs w:val="22"/>
          <w:u w:color="008080"/>
        </w:rPr>
        <w:t>la spesa delle famiglie per consumi finali</w:t>
      </w:r>
      <w:r>
        <w:rPr>
          <w:rFonts w:ascii="Arial" w:hAnsi="Arial"/>
          <w:color w:val="383838"/>
          <w:sz w:val="22"/>
          <w:szCs w:val="22"/>
          <w:u w:color="383838"/>
          <w:shd w:val="clear" w:color="auto" w:fill="FFFFFF"/>
        </w:rPr>
        <w:t xml:space="preserve"> nel terzo trimestre 2025 rispetto ai tre mesi precedenti (+0,3%). I</w:t>
      </w:r>
      <w:r>
        <w:rPr>
          <w:rFonts w:ascii="Arial" w:hAnsi="Arial"/>
          <w:color w:val="383838"/>
          <w:sz w:val="22"/>
          <w:szCs w:val="22"/>
          <w:u w:color="383838"/>
        </w:rPr>
        <w:t xml:space="preserve">l </w:t>
      </w:r>
      <w:hyperlink r:id="rId26" w:history="1">
        <w:r w:rsidR="0058450B">
          <w:rPr>
            <w:rStyle w:val="Hyperlink2"/>
          </w:rPr>
          <w:t>reddito disponibile delle famiglie consumatrici</w:t>
        </w:r>
      </w:hyperlink>
      <w:r>
        <w:rPr>
          <w:rFonts w:ascii="Arial" w:hAnsi="Arial"/>
          <w:color w:val="383838"/>
          <w:sz w:val="22"/>
          <w:szCs w:val="22"/>
          <w:u w:color="383838"/>
        </w:rPr>
        <w:t xml:space="preserve"> è cresciuto in termini congiunturali (+2,0%)</w:t>
      </w:r>
      <w:r w:rsidR="0051508E">
        <w:rPr>
          <w:rFonts w:ascii="Arial" w:hAnsi="Arial"/>
          <w:color w:val="383838"/>
          <w:sz w:val="22"/>
          <w:szCs w:val="22"/>
          <w:u w:color="383838"/>
        </w:rPr>
        <w:t xml:space="preserve">. </w:t>
      </w:r>
      <w:r>
        <w:rPr>
          <w:rFonts w:ascii="Arial" w:hAnsi="Arial"/>
          <w:color w:val="383838"/>
          <w:sz w:val="22"/>
          <w:szCs w:val="22"/>
          <w:u w:color="383838"/>
        </w:rPr>
        <w:t xml:space="preserve">La propensione al risparmio delle famiglie consumatrici è stimata all’11,4% (+1,5 punti percentuali la variazione congiunturale, Figura 5). A fronte di un incremento dello 0,2% del deflatore implicito dei consumi, il potere d’acquisto delle famiglie è </w:t>
      </w:r>
      <w:r w:rsidR="00C0148C">
        <w:rPr>
          <w:rFonts w:ascii="Arial" w:hAnsi="Arial"/>
          <w:color w:val="383838"/>
          <w:sz w:val="22"/>
          <w:szCs w:val="22"/>
          <w:u w:color="383838"/>
        </w:rPr>
        <w:t xml:space="preserve">aumentato </w:t>
      </w:r>
      <w:r>
        <w:rPr>
          <w:rFonts w:ascii="Arial" w:hAnsi="Arial"/>
          <w:color w:val="383838"/>
          <w:sz w:val="22"/>
          <w:szCs w:val="22"/>
          <w:u w:color="383838"/>
        </w:rPr>
        <w:t>rispetto al trimestre precedente dell’1,8%.</w:t>
      </w:r>
      <w:r w:rsidR="00231458">
        <w:rPr>
          <w:rFonts w:ascii="Arial" w:hAnsi="Arial"/>
          <w:color w:val="383838"/>
          <w:sz w:val="22"/>
          <w:szCs w:val="22"/>
          <w:u w:color="383838"/>
        </w:rPr>
        <w:br w:type="page"/>
      </w:r>
    </w:p>
    <w:p w14:paraId="27574AED" w14:textId="77777777" w:rsidR="00231458" w:rsidRDefault="00231458">
      <w:pPr>
        <w:spacing w:before="120" w:after="120"/>
        <w:jc w:val="both"/>
        <w:rPr>
          <w:rFonts w:ascii="Arial" w:hAnsi="Arial"/>
          <w:b/>
          <w:bCs/>
          <w:color w:val="008080"/>
          <w:spacing w:val="1"/>
          <w:sz w:val="22"/>
          <w:szCs w:val="22"/>
          <w:u w:color="008080"/>
        </w:rPr>
      </w:pPr>
    </w:p>
    <w:p w14:paraId="736DF065" w14:textId="37FAB389" w:rsidR="0058450B" w:rsidRDefault="00614F23">
      <w:pPr>
        <w:spacing w:before="120" w:after="120"/>
        <w:jc w:val="both"/>
        <w:rPr>
          <w:rFonts w:ascii="Arial" w:eastAsia="Arial" w:hAnsi="Arial" w:cs="Arial"/>
          <w:color w:val="383838"/>
          <w:sz w:val="22"/>
          <w:szCs w:val="22"/>
          <w:u w:color="383838"/>
        </w:rPr>
      </w:pPr>
      <w:r>
        <w:rPr>
          <w:rFonts w:ascii="Arial" w:hAnsi="Arial"/>
          <w:b/>
          <w:bCs/>
          <w:color w:val="008080"/>
          <w:spacing w:val="1"/>
          <w:sz w:val="22"/>
          <w:szCs w:val="22"/>
          <w:u w:color="008080"/>
        </w:rPr>
        <w:t>Migliora la fiducia dei consumatori a dicembre</w:t>
      </w:r>
      <w:r>
        <w:rPr>
          <w:rFonts w:ascii="Arial" w:hAnsi="Arial"/>
          <w:color w:val="383838"/>
          <w:sz w:val="22"/>
          <w:szCs w:val="22"/>
          <w:u w:color="383838"/>
          <w:shd w:val="clear" w:color="auto" w:fill="FFFFFF"/>
        </w:rPr>
        <w:t>. Tra i consumatori s</w:t>
      </w:r>
      <w:r>
        <w:rPr>
          <w:rFonts w:ascii="Arial" w:hAnsi="Arial"/>
          <w:color w:val="383838"/>
          <w:sz w:val="22"/>
          <w:szCs w:val="22"/>
          <w:u w:color="383838"/>
        </w:rPr>
        <w:t xml:space="preserve">i evidenzia un miglioramento delle </w:t>
      </w:r>
      <w:hyperlink r:id="rId27" w:history="1">
        <w:r w:rsidR="0058450B">
          <w:rPr>
            <w:rStyle w:val="Hyperlink2"/>
          </w:rPr>
          <w:t>opinioni</w:t>
        </w:r>
      </w:hyperlink>
      <w:r>
        <w:rPr>
          <w:rStyle w:val="Hyperlink2"/>
        </w:rPr>
        <w:t xml:space="preserve"> </w:t>
      </w:r>
      <w:r>
        <w:rPr>
          <w:rFonts w:ascii="Arial" w:hAnsi="Arial"/>
          <w:color w:val="383838"/>
          <w:sz w:val="22"/>
          <w:szCs w:val="22"/>
          <w:u w:color="383838"/>
        </w:rPr>
        <w:t>diffuso a tutte le componenti, più marcato per quanto riguarda la situazione personale e corrente ( rispettivamente</w:t>
      </w:r>
      <w:r w:rsidR="006C18B5">
        <w:rPr>
          <w:rFonts w:ascii="Arial" w:hAnsi="Arial"/>
          <w:color w:val="383838"/>
          <w:sz w:val="22"/>
          <w:szCs w:val="22"/>
          <w:u w:color="383838"/>
        </w:rPr>
        <w:t xml:space="preserve"> saliti </w:t>
      </w:r>
      <w:r>
        <w:rPr>
          <w:rFonts w:ascii="Arial" w:hAnsi="Arial"/>
          <w:color w:val="383838"/>
          <w:sz w:val="22"/>
          <w:szCs w:val="22"/>
          <w:u w:color="383838"/>
        </w:rPr>
        <w:t>da 94,5 a 96,4 e da 98,6 a 100,2), meno accentuato per il clima futuro (da 90,2 a 91,6) e quello economico (da 96,5 a 97,0).</w:t>
      </w:r>
    </w:p>
    <w:p w14:paraId="5BAC3C44" w14:textId="7073AB5D" w:rsidR="0058450B" w:rsidRDefault="00614F23">
      <w:pPr>
        <w:pStyle w:val="NormaleWeb"/>
        <w:shd w:val="clear" w:color="auto" w:fill="FFFFFF"/>
        <w:spacing w:before="120" w:after="120"/>
        <w:jc w:val="both"/>
        <w:rPr>
          <w:rFonts w:ascii="Arial" w:eastAsia="Arial" w:hAnsi="Arial" w:cs="Arial"/>
          <w:color w:val="383838"/>
          <w:sz w:val="22"/>
          <w:szCs w:val="22"/>
          <w:u w:color="383838"/>
        </w:rPr>
      </w:pPr>
      <w:r>
        <w:rPr>
          <w:rFonts w:ascii="Arial" w:hAnsi="Arial"/>
          <w:b/>
          <w:bCs/>
          <w:color w:val="008080"/>
          <w:spacing w:val="1"/>
          <w:sz w:val="22"/>
          <w:szCs w:val="22"/>
          <w:u w:color="008080"/>
        </w:rPr>
        <w:t>Vendite al dettaglio</w:t>
      </w:r>
      <w:r>
        <w:rPr>
          <w:rFonts w:ascii="Arial" w:hAnsi="Arial"/>
          <w:color w:val="383838"/>
          <w:sz w:val="22"/>
          <w:szCs w:val="22"/>
          <w:u w:color="383838"/>
          <w:shd w:val="clear" w:color="auto" w:fill="FFFFFF"/>
        </w:rPr>
        <w:t xml:space="preserve"> </w:t>
      </w:r>
      <w:r>
        <w:rPr>
          <w:rFonts w:ascii="Arial" w:hAnsi="Arial"/>
          <w:b/>
          <w:bCs/>
          <w:color w:val="008080"/>
          <w:spacing w:val="1"/>
          <w:sz w:val="22"/>
          <w:szCs w:val="22"/>
          <w:u w:color="008080"/>
        </w:rPr>
        <w:t>in aumento a novembre</w:t>
      </w:r>
      <w:r>
        <w:rPr>
          <w:rFonts w:ascii="Arial" w:hAnsi="Arial"/>
          <w:color w:val="383838"/>
          <w:sz w:val="22"/>
          <w:szCs w:val="22"/>
          <w:u w:color="383838"/>
        </w:rPr>
        <w:t>, sia in valore sia in volume (rispettivamente +0,5% e +0,6% rispetto al mese precedente). La tendenza riguarda tanto i beni alimentari (+0,5% sia in valore sia in volume) quanto quelli non alimentari (+0,7% sia in valore sia in volume).</w:t>
      </w:r>
      <w:r w:rsidR="001D6E01">
        <w:rPr>
          <w:rFonts w:ascii="Arial" w:hAnsi="Arial"/>
          <w:color w:val="383838"/>
          <w:sz w:val="22"/>
          <w:szCs w:val="22"/>
          <w:u w:color="383838"/>
        </w:rPr>
        <w:t xml:space="preserve"> </w:t>
      </w:r>
    </w:p>
    <w:p w14:paraId="7990D3FE" w14:textId="27C667F0" w:rsidR="0058450B" w:rsidRDefault="00614F23">
      <w:pPr>
        <w:pStyle w:val="NormaleWeb"/>
        <w:shd w:val="clear" w:color="auto" w:fill="FFFFFF"/>
        <w:spacing w:before="120" w:after="120"/>
        <w:jc w:val="both"/>
        <w:rPr>
          <w:rFonts w:ascii="Arial" w:eastAsia="Arial" w:hAnsi="Arial" w:cs="Arial"/>
          <w:color w:val="383838"/>
          <w:sz w:val="22"/>
          <w:szCs w:val="22"/>
          <w:u w:color="383838"/>
        </w:rPr>
      </w:pPr>
      <w:r>
        <w:rPr>
          <w:rFonts w:ascii="Arial" w:hAnsi="Arial"/>
          <w:color w:val="383838"/>
          <w:sz w:val="22"/>
          <w:szCs w:val="22"/>
          <w:u w:color="383838"/>
        </w:rPr>
        <w:t xml:space="preserve">Nel trimestre settembre-novembre, in termini congiunturali, le </w:t>
      </w:r>
      <w:hyperlink r:id="rId28" w:history="1">
        <w:r w:rsidR="0058450B">
          <w:rPr>
            <w:rStyle w:val="Hyperlink2"/>
          </w:rPr>
          <w:t>vendite al dettaglio</w:t>
        </w:r>
      </w:hyperlink>
      <w:r>
        <w:rPr>
          <w:rFonts w:ascii="Arial" w:hAnsi="Arial"/>
          <w:color w:val="383838"/>
          <w:sz w:val="22"/>
          <w:szCs w:val="22"/>
          <w:u w:color="383838"/>
        </w:rPr>
        <w:t xml:space="preserve"> registrano un incremento in valore (+0,1%) e una diminuzione in volume (-0,1%). Le vendite dei beni alimentari vedono un lieve aumento in valore (+0,1%) e un calo in volume (-0,2%), mentre quelle dei beni non alimentari sono in </w:t>
      </w:r>
      <w:r w:rsidR="006C18B5">
        <w:rPr>
          <w:rFonts w:ascii="Arial" w:hAnsi="Arial"/>
          <w:color w:val="383838"/>
          <w:sz w:val="22"/>
          <w:szCs w:val="22"/>
          <w:u w:color="383838"/>
        </w:rPr>
        <w:t xml:space="preserve">crescita </w:t>
      </w:r>
      <w:r>
        <w:rPr>
          <w:rFonts w:ascii="Arial" w:hAnsi="Arial"/>
          <w:color w:val="383838"/>
          <w:sz w:val="22"/>
          <w:szCs w:val="22"/>
          <w:u w:color="383838"/>
        </w:rPr>
        <w:t>sia in valore sia in volume (rispettivamente +0,2% e +0,1%).</w:t>
      </w:r>
    </w:p>
    <w:p w14:paraId="4421A891" w14:textId="77777777" w:rsidR="0058450B" w:rsidRDefault="00614F23">
      <w:pPr>
        <w:spacing w:before="120" w:after="120"/>
        <w:jc w:val="both"/>
        <w:rPr>
          <w:rFonts w:ascii="Arial" w:eastAsia="Arial" w:hAnsi="Arial" w:cs="Arial"/>
          <w:sz w:val="22"/>
          <w:szCs w:val="22"/>
        </w:rPr>
      </w:pPr>
      <w:r>
        <w:rPr>
          <w:rFonts w:ascii="Arial" w:hAnsi="Arial"/>
          <w:b/>
          <w:bCs/>
          <w:color w:val="008080"/>
          <w:spacing w:val="1"/>
          <w:sz w:val="22"/>
          <w:szCs w:val="22"/>
          <w:u w:color="008080"/>
        </w:rPr>
        <w:t>Peggiorano le attese delle imprese sull’occupazione</w:t>
      </w:r>
      <w:r>
        <w:rPr>
          <w:rFonts w:ascii="Arial" w:hAnsi="Arial"/>
          <w:sz w:val="22"/>
          <w:szCs w:val="22"/>
        </w:rPr>
        <w:t xml:space="preserve"> nei settori delle Costruzioni, del Commercio al dettaglio e manifatturiero, a dicembre 2025, rispetto al mese precedente. Migliorano unicamente nel settore dei Servizi di mercato. </w:t>
      </w:r>
    </w:p>
    <w:p w14:paraId="5A4C8EBA" w14:textId="77777777" w:rsidR="0058450B" w:rsidRDefault="00614F23">
      <w:pPr>
        <w:spacing w:before="60" w:after="120"/>
        <w:jc w:val="both"/>
        <w:rPr>
          <w:rFonts w:ascii="Arial" w:eastAsia="Arial" w:hAnsi="Arial" w:cs="Arial"/>
          <w:sz w:val="22"/>
          <w:szCs w:val="22"/>
        </w:rPr>
      </w:pPr>
      <w:r>
        <w:rPr>
          <w:rFonts w:ascii="Arial" w:hAnsi="Arial"/>
          <w:b/>
          <w:bCs/>
          <w:color w:val="008080"/>
          <w:spacing w:val="1"/>
          <w:sz w:val="22"/>
          <w:szCs w:val="22"/>
          <w:u w:color="008080"/>
        </w:rPr>
        <w:t>In lieve accelerazione l’inflazione al consumo.</w:t>
      </w:r>
      <w:r>
        <w:rPr>
          <w:rFonts w:ascii="Arial" w:hAnsi="Arial"/>
          <w:spacing w:val="-3"/>
          <w:sz w:val="22"/>
          <w:szCs w:val="22"/>
        </w:rPr>
        <w:t xml:space="preserve"> </w:t>
      </w:r>
      <w:r>
        <w:rPr>
          <w:rFonts w:ascii="Arial" w:hAnsi="Arial"/>
          <w:sz w:val="22"/>
          <w:szCs w:val="22"/>
        </w:rPr>
        <w:t>A dicembre, secondo le stime preliminari, si è registrata una leggera crescita dell’</w:t>
      </w:r>
      <w:hyperlink r:id="rId29" w:history="1">
        <w:r w:rsidR="0058450B">
          <w:rPr>
            <w:rStyle w:val="Hyperlink2"/>
          </w:rPr>
          <w:t>indice armonizzato dei prezzi al consumo</w:t>
        </w:r>
      </w:hyperlink>
      <w:r>
        <w:rPr>
          <w:rFonts w:ascii="Arial" w:hAnsi="Arial"/>
          <w:sz w:val="22"/>
          <w:szCs w:val="22"/>
        </w:rPr>
        <w:t xml:space="preserve"> (IPCA) (+1,2% in termini tendenziali, dal +1,1% di novembre), che rimane tuttavia ancora nettamente inferiore alla media dell’area euro (+2,0%; +2,1% a novembre). Il confronto con gli altri principali paesi dell’area evidenzia, per l’Italia, un’inflazione più contenuta rispetto alla Germania (+2,0%; +2,6% a novembre) e alla Spagna (+3,0%; +3,2% a novembre), più elevata rispetto alla Francia (+0,7; +0,8 a novembre). In media, nel 2025, il tasso di inflazione italiano è stata pari all’1,7% (+1,1% nel 2024), contro il 2,1% registrato per l’area euro (+2,4% nel 2024).</w:t>
      </w:r>
    </w:p>
    <w:p w14:paraId="460C5D6C" w14:textId="77777777" w:rsidR="0058450B" w:rsidRDefault="00614F23">
      <w:pPr>
        <w:spacing w:before="60" w:after="120"/>
        <w:jc w:val="both"/>
        <w:rPr>
          <w:rFonts w:ascii="Arial" w:eastAsia="Arial" w:hAnsi="Arial" w:cs="Arial"/>
          <w:sz w:val="22"/>
          <w:szCs w:val="22"/>
        </w:rPr>
      </w:pPr>
      <w:r>
        <w:rPr>
          <w:rFonts w:ascii="Arial" w:hAnsi="Arial"/>
          <w:sz w:val="22"/>
          <w:szCs w:val="22"/>
        </w:rPr>
        <w:t>L’</w:t>
      </w:r>
      <w:hyperlink r:id="rId30" w:history="1">
        <w:r w:rsidR="0058450B">
          <w:rPr>
            <w:rStyle w:val="Hyperlink2"/>
          </w:rPr>
          <w:t>indice dei prezzi al consumo per l’intera collettività</w:t>
        </w:r>
      </w:hyperlink>
      <w:r>
        <w:rPr>
          <w:rFonts w:ascii="Arial" w:hAnsi="Arial"/>
          <w:sz w:val="22"/>
          <w:szCs w:val="22"/>
        </w:rPr>
        <w:t xml:space="preserve"> (NIC) ha registrato una analoga dinamica tendenziale (+1,2% a dicembre e +1,1% a novembre), con una crescita dello 0,2% in termini congiunturali (-0,2% nel mese precedente). Nel 2025, in media, i dati provvisori sui prezzi al consumo NIC registrano un aumento dell’1,5% (+1,0% nel 2024). </w:t>
      </w:r>
    </w:p>
    <w:p w14:paraId="6368C8A1" w14:textId="43C22258" w:rsidR="0058450B" w:rsidRDefault="001D6E01">
      <w:pPr>
        <w:spacing w:before="60" w:after="120"/>
        <w:jc w:val="both"/>
        <w:rPr>
          <w:rFonts w:ascii="Arial" w:eastAsia="Arial" w:hAnsi="Arial" w:cs="Arial"/>
          <w:sz w:val="22"/>
          <w:szCs w:val="22"/>
        </w:rPr>
      </w:pPr>
      <w:r>
        <w:rPr>
          <w:rFonts w:ascii="Arial" w:hAnsi="Arial"/>
          <w:b/>
          <w:bCs/>
          <w:color w:val="008080"/>
          <w:spacing w:val="1"/>
          <w:sz w:val="22"/>
          <w:szCs w:val="22"/>
          <w:u w:color="008080"/>
        </w:rPr>
        <w:t xml:space="preserve">Segnali di ripresa inflazionistica per i beni alimentari... </w:t>
      </w:r>
      <w:r>
        <w:rPr>
          <w:rFonts w:ascii="Arial" w:hAnsi="Arial"/>
          <w:sz w:val="22"/>
          <w:szCs w:val="22"/>
        </w:rPr>
        <w:t>La dinamica tendenziale dei prezzi dei beni alimentari è tornata ad accelerare (+2,4% a dicembre, da +1,8% di novembre; +3,7% l’incremento medio nel terzo trimestre), sia per la componente dei non lavorati (+2,3%, da +1,1%) sia per quella dei lavorati (+2,6%, da +2,1%). Rispetto al mese precedente, la crescita è pari a +0,2% (+0,1% a novembre).</w:t>
      </w:r>
    </w:p>
    <w:p w14:paraId="45E5C4DF" w14:textId="278ADA0D" w:rsidR="0058450B" w:rsidRDefault="00614F23">
      <w:pPr>
        <w:spacing w:before="60" w:after="120"/>
        <w:jc w:val="both"/>
        <w:rPr>
          <w:rFonts w:ascii="Arial" w:eastAsia="Arial" w:hAnsi="Arial" w:cs="Arial"/>
          <w:sz w:val="22"/>
          <w:szCs w:val="22"/>
        </w:rPr>
      </w:pPr>
      <w:r>
        <w:rPr>
          <w:rFonts w:ascii="Arial" w:hAnsi="Arial"/>
          <w:b/>
          <w:bCs/>
          <w:color w:val="008080"/>
          <w:spacing w:val="1"/>
          <w:sz w:val="22"/>
          <w:szCs w:val="22"/>
          <w:u w:color="008080"/>
        </w:rPr>
        <w:t>.. ma in flessione quelli beni energetici.</w:t>
      </w:r>
      <w:r>
        <w:rPr>
          <w:rFonts w:ascii="Arial" w:hAnsi="Arial"/>
          <w:sz w:val="22"/>
          <w:szCs w:val="22"/>
        </w:rPr>
        <w:t xml:space="preserve"> Nel confronto con l’ultimo mese del 2024, i prezzi dei beni energetici hanno evidenziato una flessione del 4,5% a dicembre (-4,2% a novembre), con un lieve aumento in termini congiunturali (+0,1%; +0,6% a novembre). L’inflazione relativa agli altri beni rimane bassa e stabile (+0,4% in dicembre, come nella media dei sei mesi precedenti), con una crescita </w:t>
      </w:r>
      <w:r w:rsidR="00D2493E">
        <w:rPr>
          <w:rFonts w:ascii="Arial" w:hAnsi="Arial"/>
          <w:sz w:val="22"/>
          <w:szCs w:val="22"/>
        </w:rPr>
        <w:t xml:space="preserve">su base </w:t>
      </w:r>
      <w:r>
        <w:rPr>
          <w:rFonts w:ascii="Arial" w:hAnsi="Arial"/>
          <w:sz w:val="22"/>
          <w:szCs w:val="22"/>
        </w:rPr>
        <w:t xml:space="preserve">congiunturale dei prezzi nulla dopo la riduzione dello 0,1% registrata a novembre. </w:t>
      </w:r>
    </w:p>
    <w:p w14:paraId="1ABE6692" w14:textId="09AC54D4" w:rsidR="0058450B" w:rsidRDefault="00614F23">
      <w:pPr>
        <w:spacing w:before="60" w:after="120"/>
        <w:jc w:val="both"/>
        <w:rPr>
          <w:rFonts w:ascii="Arial" w:eastAsia="Arial" w:hAnsi="Arial" w:cs="Arial"/>
          <w:spacing w:val="1"/>
          <w:sz w:val="22"/>
          <w:szCs w:val="22"/>
        </w:rPr>
      </w:pPr>
      <w:r>
        <w:rPr>
          <w:rFonts w:ascii="Arial" w:hAnsi="Arial"/>
          <w:b/>
          <w:bCs/>
          <w:color w:val="008080"/>
          <w:spacing w:val="1"/>
          <w:sz w:val="22"/>
          <w:szCs w:val="22"/>
          <w:u w:color="008080"/>
        </w:rPr>
        <w:t>Aumentano i prezzi dei servizi</w:t>
      </w:r>
      <w:r>
        <w:rPr>
          <w:rFonts w:ascii="Arial" w:hAnsi="Arial"/>
          <w:sz w:val="22"/>
          <w:szCs w:val="22"/>
        </w:rPr>
        <w:t xml:space="preserve"> a</w:t>
      </w:r>
      <w:r>
        <w:rPr>
          <w:rFonts w:ascii="Arial" w:hAnsi="Arial"/>
          <w:spacing w:val="1"/>
          <w:sz w:val="22"/>
          <w:szCs w:val="22"/>
        </w:rPr>
        <w:t xml:space="preserve"> dicembre, in termini tendenziali, del 2,5% (dal +2,3% di novembre; +0,3% su base congiunturale, dopo il -0,7% a novembre) grazie alla forte accelerazione </w:t>
      </w:r>
      <w:r w:rsidR="00D2493E">
        <w:rPr>
          <w:rFonts w:ascii="Arial" w:hAnsi="Arial"/>
          <w:spacing w:val="1"/>
          <w:sz w:val="22"/>
          <w:szCs w:val="22"/>
        </w:rPr>
        <w:t>di quelli</w:t>
      </w:r>
      <w:r>
        <w:rPr>
          <w:rFonts w:ascii="Arial" w:hAnsi="Arial"/>
          <w:spacing w:val="1"/>
          <w:sz w:val="22"/>
          <w:szCs w:val="22"/>
        </w:rPr>
        <w:t xml:space="preserve"> dei servizi relativi ai trasporti (+2,6%; da 0,9% in novembre), solo in parte compensata dalla leggera riduzione della dinamica dei prezzi dei servizi ricreativi, culturali e per la cura della persona (+2,7%; 3,0% nel mese precedente) e dei servizi relativi all’abitazione (+2,7%; 2,9% a novembre).</w:t>
      </w:r>
    </w:p>
    <w:p w14:paraId="1571B46D" w14:textId="0BD7CE54" w:rsidR="0058450B" w:rsidRDefault="00614F23">
      <w:pPr>
        <w:spacing w:before="60" w:after="120"/>
        <w:jc w:val="both"/>
        <w:rPr>
          <w:rFonts w:ascii="Arial" w:eastAsia="Arial" w:hAnsi="Arial" w:cs="Arial"/>
          <w:sz w:val="22"/>
          <w:szCs w:val="22"/>
        </w:rPr>
      </w:pPr>
      <w:r>
        <w:rPr>
          <w:rFonts w:ascii="Arial" w:hAnsi="Arial"/>
          <w:b/>
          <w:bCs/>
          <w:color w:val="008080"/>
          <w:spacing w:val="1"/>
          <w:sz w:val="22"/>
          <w:szCs w:val="22"/>
          <w:u w:color="008080"/>
        </w:rPr>
        <w:t>Incremento sostenuto dei prezzi del carrello della spesa.</w:t>
      </w:r>
      <w:r>
        <w:rPr>
          <w:rFonts w:ascii="Arial" w:hAnsi="Arial"/>
          <w:sz w:val="22"/>
          <w:szCs w:val="22"/>
        </w:rPr>
        <w:t xml:space="preserve"> In conseguenza della crescita dei prezzi degli alimentari, l’inflazione relativa al carrello della spesa aumenta in dicembre del 2,2% (+1,5% a novembre)</w:t>
      </w:r>
      <w:r w:rsidR="00D2493E">
        <w:rPr>
          <w:rFonts w:ascii="Arial" w:hAnsi="Arial"/>
          <w:sz w:val="22"/>
          <w:szCs w:val="22"/>
        </w:rPr>
        <w:t>;</w:t>
      </w:r>
      <w:r>
        <w:rPr>
          <w:rFonts w:ascii="Arial" w:hAnsi="Arial"/>
          <w:sz w:val="22"/>
          <w:szCs w:val="22"/>
        </w:rPr>
        <w:t xml:space="preserve"> il differenziale con l’indice generale sale a 1,0 punto percentuale (da 0,4 punti di novembre).</w:t>
      </w:r>
    </w:p>
    <w:p w14:paraId="462374B7" w14:textId="7D4C921C" w:rsidR="00231458" w:rsidRDefault="00614F23">
      <w:pPr>
        <w:spacing w:before="60" w:after="120"/>
        <w:jc w:val="both"/>
        <w:rPr>
          <w:rFonts w:ascii="Arial" w:hAnsi="Arial"/>
          <w:sz w:val="22"/>
          <w:szCs w:val="22"/>
        </w:rPr>
      </w:pPr>
      <w:bookmarkStart w:id="1" w:name="_Hlk212918557"/>
      <w:r>
        <w:rPr>
          <w:rFonts w:ascii="Arial" w:hAnsi="Arial"/>
          <w:sz w:val="22"/>
          <w:szCs w:val="22"/>
        </w:rPr>
        <w:t>L’inflazione relativa alla componente di fondo (escludendo le componenti più volatili come i ben</w:t>
      </w:r>
      <w:bookmarkEnd w:id="1"/>
      <w:r>
        <w:rPr>
          <w:rFonts w:ascii="Arial" w:hAnsi="Arial"/>
          <w:sz w:val="22"/>
          <w:szCs w:val="22"/>
        </w:rPr>
        <w:t>i alimentari non lavorati e i beni energetici) resta sostanzialmente stabile, risultando pari a +1,8% a dicembre (+1,7% a novembre). La variazione media nel 2025 è stata pari all’1,9% (+2,0% del 2024).</w:t>
      </w:r>
      <w:r w:rsidR="00231458">
        <w:rPr>
          <w:rFonts w:ascii="Arial" w:hAnsi="Arial"/>
          <w:sz w:val="22"/>
          <w:szCs w:val="22"/>
        </w:rPr>
        <w:br w:type="page"/>
      </w:r>
    </w:p>
    <w:p w14:paraId="59417662" w14:textId="333EF334" w:rsidR="0058450B" w:rsidRDefault="00614F23">
      <w:pPr>
        <w:spacing w:before="60" w:after="120"/>
        <w:jc w:val="both"/>
        <w:rPr>
          <w:rFonts w:ascii="Arial" w:eastAsia="Arial" w:hAnsi="Arial" w:cs="Arial"/>
          <w:spacing w:val="-3"/>
          <w:sz w:val="22"/>
          <w:szCs w:val="22"/>
        </w:rPr>
      </w:pPr>
      <w:r>
        <w:rPr>
          <w:rFonts w:ascii="Arial" w:hAnsi="Arial"/>
          <w:b/>
          <w:bCs/>
          <w:color w:val="008080"/>
          <w:spacing w:val="1"/>
          <w:sz w:val="22"/>
          <w:szCs w:val="22"/>
          <w:u w:color="008080"/>
        </w:rPr>
        <w:lastRenderedPageBreak/>
        <w:t>Ulteriore calo dei prezzi dei prodotti importati,</w:t>
      </w:r>
      <w:r>
        <w:rPr>
          <w:rFonts w:ascii="Arial" w:hAnsi="Arial"/>
          <w:spacing w:val="-3"/>
          <w:sz w:val="22"/>
          <w:szCs w:val="22"/>
        </w:rPr>
        <w:t xml:space="preserve"> scesi a ottobre  dello 0,3% </w:t>
      </w:r>
      <w:hyperlink r:id="rId31" w:history="1">
        <w:r w:rsidR="0058450B">
          <w:rPr>
            <w:rStyle w:val="Hyperlink3"/>
          </w:rPr>
          <w:t>in termini congiunturali</w:t>
        </w:r>
      </w:hyperlink>
      <w:r>
        <w:rPr>
          <w:rFonts w:ascii="Arial" w:hAnsi="Arial"/>
          <w:spacing w:val="-3"/>
          <w:sz w:val="22"/>
          <w:szCs w:val="22"/>
        </w:rPr>
        <w:t xml:space="preserve"> (-0,2% a settembre); il relativo indicatore ha raggiunto il livello più basso da novembre 2021. In termini tendenziali, la riduzione (-2,7%; -2,5% a settembre) ha riflesso sia la flessione del settore energetico (-12,4% a ottobre, -10,8% a settembre) sia, seppure in misura ben più limitata, quella del comparto non energetico (-1,0%,</w:t>
      </w:r>
      <w:r w:rsidR="00CA0261">
        <w:rPr>
          <w:rFonts w:ascii="Arial" w:hAnsi="Arial"/>
          <w:spacing w:val="-3"/>
          <w:sz w:val="22"/>
          <w:szCs w:val="22"/>
        </w:rPr>
        <w:t xml:space="preserve"> </w:t>
      </w:r>
      <w:r w:rsidR="00231458">
        <w:rPr>
          <w:rFonts w:ascii="Arial" w:hAnsi="Arial"/>
          <w:spacing w:val="-3"/>
          <w:sz w:val="22"/>
          <w:szCs w:val="22"/>
        </w:rPr>
        <w:br/>
      </w:r>
      <w:r>
        <w:rPr>
          <w:rFonts w:ascii="Arial" w:hAnsi="Arial"/>
          <w:spacing w:val="-3"/>
          <w:sz w:val="22"/>
          <w:szCs w:val="22"/>
        </w:rPr>
        <w:t>-1,1% nel mese precedente).</w:t>
      </w:r>
    </w:p>
    <w:p w14:paraId="3F6768A4" w14:textId="77777777" w:rsidR="0058450B" w:rsidRDefault="00614F23">
      <w:pPr>
        <w:spacing w:before="60" w:after="120"/>
        <w:jc w:val="both"/>
        <w:rPr>
          <w:rFonts w:ascii="Arial" w:eastAsia="Arial" w:hAnsi="Arial" w:cs="Arial"/>
          <w:spacing w:val="-3"/>
          <w:sz w:val="22"/>
          <w:szCs w:val="22"/>
        </w:rPr>
      </w:pPr>
      <w:r>
        <w:rPr>
          <w:rFonts w:ascii="Arial" w:hAnsi="Arial"/>
          <w:sz w:val="22"/>
          <w:szCs w:val="22"/>
        </w:rPr>
        <w:t xml:space="preserve">A novembre </w:t>
      </w:r>
      <w:hyperlink r:id="rId32" w:history="1">
        <w:r w:rsidR="0058450B">
          <w:rPr>
            <w:rStyle w:val="Hyperlink2"/>
          </w:rPr>
          <w:t>i prezzi alla produzione</w:t>
        </w:r>
      </w:hyperlink>
      <w:r>
        <w:rPr>
          <w:rFonts w:ascii="Arial" w:hAnsi="Arial"/>
          <w:sz w:val="22"/>
          <w:szCs w:val="22"/>
        </w:rPr>
        <w:t xml:space="preserve"> nell’industria sono in leggera flessione (-0,2% su base tendenziale; +0,1% a ottobre), come riflesso di una forte discesa nel comparto energetico (-2,9%; -1,2% a ottobre) e di una moderata accelerazione in quello non energetico (+1,0%; +0,7% nel mese precedente). </w:t>
      </w:r>
    </w:p>
    <w:p w14:paraId="7D2629A6" w14:textId="77777777" w:rsidR="0058450B" w:rsidRDefault="00614F23">
      <w:pPr>
        <w:spacing w:before="60" w:after="120"/>
        <w:jc w:val="both"/>
        <w:rPr>
          <w:rFonts w:ascii="Arial" w:eastAsia="Arial" w:hAnsi="Arial" w:cs="Arial"/>
          <w:sz w:val="22"/>
          <w:szCs w:val="22"/>
        </w:rPr>
      </w:pPr>
      <w:bookmarkStart w:id="2" w:name="_Hlk212640091"/>
      <w:r>
        <w:rPr>
          <w:rFonts w:ascii="Arial" w:hAnsi="Arial"/>
          <w:b/>
          <w:bCs/>
          <w:color w:val="008080"/>
          <w:spacing w:val="1"/>
          <w:sz w:val="22"/>
          <w:szCs w:val="22"/>
          <w:u w:color="008080"/>
        </w:rPr>
        <w:t>Crescono le attese di un calo dell’inflazione tra i consumatori:</w:t>
      </w:r>
      <w:r>
        <w:rPr>
          <w:rFonts w:ascii="Arial" w:hAnsi="Arial"/>
          <w:sz w:val="22"/>
          <w:szCs w:val="22"/>
        </w:rPr>
        <w:t xml:space="preserve"> a dicembre aumentano le </w:t>
      </w:r>
      <w:hyperlink r:id="rId33" w:history="1">
        <w:r w:rsidR="0058450B">
          <w:rPr>
            <w:rStyle w:val="Hyperlink2"/>
          </w:rPr>
          <w:t>aspettative</w:t>
        </w:r>
      </w:hyperlink>
      <w:r>
        <w:rPr>
          <w:rFonts w:ascii="Arial" w:hAnsi="Arial"/>
          <w:sz w:val="22"/>
          <w:szCs w:val="22"/>
        </w:rPr>
        <w:t xml:space="preserve"> di diminuzione dell’inflazione nei successivi 12 mesi rispetto ai 12 mesi passati (43,2% la quota di coloro che si attendono un calo dei prezzi; era il 41,5% a novembre), mentre si riducono le attese di aumento (41,8%; 43% a novembre) e quelle di stabilità (13,2%; da 13,7%). </w:t>
      </w:r>
      <w:bookmarkEnd w:id="2"/>
    </w:p>
    <w:p w14:paraId="3C18CFD9" w14:textId="1104CF7C" w:rsidR="0058450B" w:rsidRDefault="00614F23">
      <w:pPr>
        <w:spacing w:before="60" w:after="120"/>
        <w:jc w:val="both"/>
        <w:rPr>
          <w:rFonts w:ascii="Arial" w:eastAsia="Arial" w:hAnsi="Arial" w:cs="Arial"/>
          <w:sz w:val="22"/>
          <w:szCs w:val="22"/>
        </w:rPr>
      </w:pPr>
      <w:r>
        <w:rPr>
          <w:rFonts w:ascii="Arial" w:hAnsi="Arial"/>
          <w:b/>
          <w:bCs/>
          <w:color w:val="008080"/>
          <w:spacing w:val="1"/>
          <w:sz w:val="22"/>
          <w:szCs w:val="22"/>
          <w:u w:color="008080"/>
        </w:rPr>
        <w:t>Tra le imprese salgono le intenzioni di aumento dei listini</w:t>
      </w:r>
      <w:r>
        <w:rPr>
          <w:rFonts w:ascii="Arial" w:hAnsi="Arial"/>
          <w:sz w:val="22"/>
          <w:szCs w:val="22"/>
        </w:rPr>
        <w:t xml:space="preserve">. A dicembre il saldo tra la quota di imprese che ha espresso intenzione di rialzo dei listini nei successivi tre mesi e quella che ha segnalato un ribasso, aumenta in tutti i comparti: nella manifattura (da 5,9 di novembre a 9,4 punti percentuali di dicembre), nelle costruzioni (da 4 a 4,3), nel commercio al dettaglio (da 11,8 a 14,3) e nei servizi di mercato (da 3,3 a 4,7). La quota delle imprese che intendono mantenere stabili i listini diminuisce nel </w:t>
      </w:r>
      <w:r w:rsidR="00103C61">
        <w:rPr>
          <w:rFonts w:ascii="Arial" w:hAnsi="Arial"/>
          <w:sz w:val="22"/>
          <w:szCs w:val="22"/>
        </w:rPr>
        <w:t>settore</w:t>
      </w:r>
      <w:r>
        <w:rPr>
          <w:rFonts w:ascii="Arial" w:hAnsi="Arial"/>
          <w:sz w:val="22"/>
          <w:szCs w:val="22"/>
        </w:rPr>
        <w:t xml:space="preserve"> manifatturiero (da 85,7% a 81,8% nel mese di dicembre) e in quello del commercio (da 83,5% a 78,7%), mentre aumenta in quello dei servizi (da 87,7% a 90,3%) e rimane pressoché stabile nelle costruzioni (da 91,6% a 91,7%).</w:t>
      </w:r>
    </w:p>
    <w:p w14:paraId="1EEA8C21" w14:textId="70C475F9" w:rsidR="00485CC8" w:rsidRDefault="00485CC8">
      <w:pPr>
        <w:rPr>
          <w:rFonts w:ascii="Arial" w:eastAsia="Arial" w:hAnsi="Arial" w:cs="Arial"/>
          <w:b/>
          <w:bCs/>
          <w:color w:val="008080"/>
          <w:spacing w:val="1"/>
          <w:sz w:val="22"/>
          <w:szCs w:val="22"/>
          <w:u w:color="008080"/>
        </w:rPr>
      </w:pPr>
      <w:r>
        <w:rPr>
          <w:rFonts w:ascii="Arial" w:eastAsia="Arial" w:hAnsi="Arial" w:cs="Arial"/>
          <w:b/>
          <w:bCs/>
          <w:color w:val="008080"/>
          <w:spacing w:val="1"/>
          <w:sz w:val="22"/>
          <w:szCs w:val="22"/>
          <w:u w:color="008080"/>
        </w:rPr>
        <w:br w:type="page"/>
      </w:r>
    </w:p>
    <w:p w14:paraId="3BEECCB7" w14:textId="77777777" w:rsidR="0058450B" w:rsidRDefault="0058450B">
      <w:pPr>
        <w:spacing w:before="60" w:after="120"/>
        <w:jc w:val="both"/>
        <w:rPr>
          <w:rFonts w:ascii="Arial" w:eastAsia="Arial" w:hAnsi="Arial" w:cs="Arial"/>
          <w:b/>
          <w:bCs/>
          <w:color w:val="008080"/>
          <w:spacing w:val="1"/>
          <w:sz w:val="22"/>
          <w:szCs w:val="22"/>
          <w:u w:color="008080"/>
        </w:rPr>
      </w:pPr>
    </w:p>
    <w:p w14:paraId="3F8B2F3F" w14:textId="77777777" w:rsidR="00485CC8" w:rsidRPr="002938E6" w:rsidRDefault="00485CC8" w:rsidP="00485CC8">
      <w:pPr>
        <w:tabs>
          <w:tab w:val="left" w:pos="2160"/>
        </w:tabs>
      </w:pPr>
      <w:r>
        <w:tab/>
      </w:r>
      <w:r w:rsidRPr="002938E6">
        <w:rPr>
          <w:noProof/>
          <w:spacing w:val="2"/>
          <w:sz w:val="20"/>
          <w:lang w:eastAsia="it-IT"/>
        </w:rPr>
        <w:drawing>
          <wp:anchor distT="0" distB="0" distL="114300" distR="114300" simplePos="0" relativeHeight="251663360" behindDoc="0" locked="0" layoutInCell="1" allowOverlap="1" wp14:anchorId="3B19E356" wp14:editId="6B333E1F">
            <wp:simplePos x="0" y="0"/>
            <wp:positionH relativeFrom="column">
              <wp:posOffset>-2782570</wp:posOffset>
            </wp:positionH>
            <wp:positionV relativeFrom="paragraph">
              <wp:posOffset>16493</wp:posOffset>
            </wp:positionV>
            <wp:extent cx="4050000" cy="431661"/>
            <wp:effectExtent l="0" t="0" r="1905" b="63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34"/>
                    <a:stretch>
                      <a:fillRect/>
                    </a:stretch>
                  </pic:blipFill>
                  <pic:spPr>
                    <a:xfrm>
                      <a:off x="0" y="0"/>
                      <a:ext cx="4050000" cy="431661"/>
                    </a:xfrm>
                    <a:prstGeom prst="rect">
                      <a:avLst/>
                    </a:prstGeom>
                  </pic:spPr>
                </pic:pic>
              </a:graphicData>
            </a:graphic>
            <wp14:sizeRelH relativeFrom="margin">
              <wp14:pctWidth>0</wp14:pctWidth>
            </wp14:sizeRelH>
            <wp14:sizeRelV relativeFrom="margin">
              <wp14:pctHeight>0</wp14:pctHeight>
            </wp14:sizeRelV>
          </wp:anchor>
        </w:drawing>
      </w:r>
    </w:p>
    <w:p w14:paraId="59A0655E" w14:textId="77777777" w:rsidR="00485CC8" w:rsidRDefault="00485CC8" w:rsidP="00485CC8">
      <w:pPr>
        <w:ind w:right="284"/>
        <w:jc w:val="both"/>
        <w:rPr>
          <w:rFonts w:ascii="Arial" w:eastAsia="Times New Roman" w:hAnsi="Arial" w:cs="Arial"/>
          <w:iCs/>
          <w:color w:val="008080"/>
          <w:spacing w:val="2"/>
          <w:sz w:val="20"/>
          <w:szCs w:val="19"/>
        </w:rPr>
      </w:pPr>
    </w:p>
    <w:p w14:paraId="795DAD0C" w14:textId="77777777" w:rsidR="00485CC8" w:rsidRPr="002938E6" w:rsidRDefault="00485CC8" w:rsidP="00485CC8">
      <w:pPr>
        <w:ind w:right="284"/>
        <w:jc w:val="both"/>
        <w:rPr>
          <w:rFonts w:ascii="Arial" w:eastAsia="Times New Roman" w:hAnsi="Arial" w:cs="Arial"/>
          <w:iCs/>
          <w:color w:val="008080"/>
          <w:spacing w:val="2"/>
          <w:sz w:val="20"/>
          <w:szCs w:val="19"/>
        </w:rPr>
      </w:pPr>
    </w:p>
    <w:p w14:paraId="2FB5BDE6" w14:textId="77777777" w:rsidR="00231458" w:rsidRDefault="00231458" w:rsidP="00485CC8">
      <w:pPr>
        <w:spacing w:before="60"/>
        <w:jc w:val="both"/>
        <w:rPr>
          <w:rFonts w:ascii="Arial" w:hAnsi="Arial" w:cs="Arial"/>
          <w:b/>
          <w:color w:val="008080"/>
          <w:spacing w:val="-2"/>
        </w:rPr>
      </w:pPr>
    </w:p>
    <w:p w14:paraId="19C4A6C3" w14:textId="6396EAAC" w:rsidR="00485CC8" w:rsidRPr="00DA0C52" w:rsidRDefault="00485CC8" w:rsidP="00485CC8">
      <w:pPr>
        <w:spacing w:before="60"/>
        <w:jc w:val="both"/>
        <w:rPr>
          <w:rFonts w:ascii="Arial" w:hAnsi="Arial" w:cs="Arial"/>
          <w:b/>
          <w:color w:val="008080"/>
          <w:spacing w:val="-2"/>
        </w:rPr>
      </w:pPr>
      <w:r w:rsidRPr="002F4975">
        <w:rPr>
          <w:rFonts w:ascii="Arial" w:hAnsi="Arial" w:cs="Arial"/>
          <w:b/>
          <w:color w:val="008080"/>
          <w:spacing w:val="-2"/>
        </w:rPr>
        <w:t>IL RUOLO DELLA FARMACEUTICA NELLA DINAMICA DEGLI SCAMBI COMMERCIALI DELL’ITALIA</w:t>
      </w:r>
      <w:r>
        <w:rPr>
          <w:rStyle w:val="Rimandonotaapidipagina"/>
          <w:rFonts w:ascii="Arial" w:hAnsi="Arial"/>
          <w:b/>
          <w:color w:val="008080"/>
          <w:spacing w:val="-2"/>
          <w:sz w:val="28"/>
          <w:szCs w:val="28"/>
        </w:rPr>
        <w:footnoteReference w:customMarkFollows="1" w:id="2"/>
        <w:t>*</w:t>
      </w:r>
      <w:r w:rsidRPr="00C43987">
        <w:rPr>
          <w:b/>
        </w:rPr>
        <w:t xml:space="preserve"> </w:t>
      </w:r>
    </w:p>
    <w:p w14:paraId="283E54FE" w14:textId="77777777" w:rsidR="00485CC8" w:rsidRPr="00A5691B" w:rsidRDefault="00485CC8" w:rsidP="00485CC8">
      <w:pPr>
        <w:jc w:val="both"/>
        <w:rPr>
          <w:rFonts w:ascii="Arial" w:hAnsi="Arial"/>
          <w:b/>
          <w:color w:val="008080"/>
          <w:spacing w:val="-2"/>
          <w:sz w:val="16"/>
          <w:szCs w:val="16"/>
        </w:rPr>
      </w:pPr>
    </w:p>
    <w:p w14:paraId="7A4F590E" w14:textId="17F6EAFE" w:rsidR="00485CC8"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 xml:space="preserve">Negli anni più recenti, gli scambi di prodotti della farmaceutica a livello mondiale sono stati particolarmente dinamici; tale tendenza è stata evidente anche per quel che riguarda l’Italia dove l’import e l’export del settore farmaceutico hanno mostrato una maggiore vivacità rispetto agli altri comparti manifatturieri. </w:t>
      </w:r>
      <w:r>
        <w:rPr>
          <w:rFonts w:ascii="Arial" w:hAnsi="Arial" w:cs="Arial"/>
          <w:iCs/>
          <w:color w:val="104875"/>
          <w:sz w:val="20"/>
          <w:szCs w:val="20"/>
        </w:rPr>
        <w:t>L</w:t>
      </w:r>
      <w:r w:rsidRPr="002F4975">
        <w:rPr>
          <w:rFonts w:ascii="Arial" w:hAnsi="Arial" w:cs="Arial"/>
          <w:iCs/>
          <w:color w:val="104875"/>
          <w:sz w:val="20"/>
          <w:szCs w:val="20"/>
        </w:rPr>
        <w:t xml:space="preserve">e statistiche sugli scambi con l’estero relative ai primi dieci mesi del 2025 hanno rilevato, a fronte di un aumento </w:t>
      </w:r>
      <w:r>
        <w:rPr>
          <w:rFonts w:ascii="Arial" w:hAnsi="Arial" w:cs="Arial"/>
          <w:iCs/>
          <w:color w:val="104875"/>
          <w:sz w:val="20"/>
          <w:szCs w:val="20"/>
        </w:rPr>
        <w:t xml:space="preserve">tendenziale </w:t>
      </w:r>
      <w:r w:rsidRPr="002F4975">
        <w:rPr>
          <w:rFonts w:ascii="Arial" w:hAnsi="Arial" w:cs="Arial"/>
          <w:iCs/>
          <w:color w:val="104875"/>
          <w:sz w:val="20"/>
          <w:szCs w:val="20"/>
        </w:rPr>
        <w:t xml:space="preserve">delle esportazioni </w:t>
      </w:r>
      <w:r>
        <w:rPr>
          <w:rFonts w:ascii="Arial" w:hAnsi="Arial" w:cs="Arial"/>
          <w:iCs/>
          <w:color w:val="104875"/>
          <w:sz w:val="20"/>
          <w:szCs w:val="20"/>
        </w:rPr>
        <w:t xml:space="preserve">nazionali di merci </w:t>
      </w:r>
      <w:r w:rsidRPr="002F4975">
        <w:rPr>
          <w:rFonts w:ascii="Arial" w:hAnsi="Arial" w:cs="Arial"/>
          <w:iCs/>
          <w:color w:val="104875"/>
          <w:sz w:val="20"/>
          <w:szCs w:val="20"/>
        </w:rPr>
        <w:t xml:space="preserve">in valore del 3,4%, un incremento di quelle dei prodotti della farmaceutica del 33,7%; questo comparto è stato uno dei pochi </w:t>
      </w:r>
      <w:r w:rsidR="008A542D">
        <w:rPr>
          <w:rFonts w:ascii="Arial" w:hAnsi="Arial" w:cs="Arial"/>
          <w:iCs/>
          <w:color w:val="104875"/>
          <w:sz w:val="20"/>
          <w:szCs w:val="20"/>
        </w:rPr>
        <w:t>a registrare u</w:t>
      </w:r>
      <w:r w:rsidRPr="002F4975">
        <w:rPr>
          <w:rFonts w:ascii="Arial" w:hAnsi="Arial" w:cs="Arial"/>
          <w:iCs/>
          <w:color w:val="104875"/>
          <w:sz w:val="20"/>
          <w:szCs w:val="20"/>
        </w:rPr>
        <w:t>n deciso aumento insieme all’alimentare, ai prodotti in metallo e ai mezzi di trasporto</w:t>
      </w:r>
      <w:r>
        <w:rPr>
          <w:rFonts w:ascii="Arial" w:hAnsi="Arial" w:cs="Arial"/>
          <w:iCs/>
          <w:color w:val="104875"/>
          <w:sz w:val="20"/>
          <w:szCs w:val="20"/>
        </w:rPr>
        <w:t xml:space="preserve">, </w:t>
      </w:r>
      <w:r w:rsidRPr="002F4975">
        <w:rPr>
          <w:rFonts w:ascii="Arial" w:hAnsi="Arial" w:cs="Arial"/>
          <w:iCs/>
          <w:color w:val="104875"/>
          <w:sz w:val="20"/>
          <w:szCs w:val="20"/>
        </w:rPr>
        <w:t xml:space="preserve">esclusi gli autoveicoli. </w:t>
      </w:r>
    </w:p>
    <w:p w14:paraId="5118648C" w14:textId="77777777" w:rsidR="00485CC8" w:rsidRPr="002F4975"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 xml:space="preserve">Una dinamica analoga si è osservata per le importazioni, cresciute nel complesso del 3,7% rispetto al 44,6% degli acquisti </w:t>
      </w:r>
      <w:r>
        <w:rPr>
          <w:rFonts w:ascii="Arial" w:hAnsi="Arial" w:cs="Arial"/>
          <w:iCs/>
          <w:color w:val="104875"/>
          <w:sz w:val="20"/>
          <w:szCs w:val="20"/>
        </w:rPr>
        <w:t xml:space="preserve">dall’estero </w:t>
      </w:r>
      <w:r w:rsidRPr="002F4975">
        <w:rPr>
          <w:rFonts w:ascii="Arial" w:hAnsi="Arial" w:cs="Arial"/>
          <w:iCs/>
          <w:color w:val="104875"/>
          <w:sz w:val="20"/>
          <w:szCs w:val="20"/>
        </w:rPr>
        <w:t xml:space="preserve">della farmaceutica. Al netto della farmaceutica, tra gennaio e ottobre dello scorso anno, l’aumento </w:t>
      </w:r>
      <w:r>
        <w:rPr>
          <w:rFonts w:ascii="Arial" w:hAnsi="Arial" w:cs="Arial"/>
          <w:iCs/>
          <w:color w:val="104875"/>
          <w:sz w:val="20"/>
          <w:szCs w:val="20"/>
        </w:rPr>
        <w:t xml:space="preserve">tendenziale </w:t>
      </w:r>
      <w:r w:rsidRPr="002F4975">
        <w:rPr>
          <w:rFonts w:ascii="Arial" w:hAnsi="Arial" w:cs="Arial"/>
          <w:iCs/>
          <w:color w:val="104875"/>
          <w:sz w:val="20"/>
          <w:szCs w:val="20"/>
        </w:rPr>
        <w:t>degli scambi</w:t>
      </w:r>
      <w:r>
        <w:rPr>
          <w:rFonts w:ascii="Arial" w:hAnsi="Arial" w:cs="Arial"/>
          <w:iCs/>
          <w:color w:val="104875"/>
          <w:sz w:val="20"/>
          <w:szCs w:val="20"/>
        </w:rPr>
        <w:t xml:space="preserve"> di merci </w:t>
      </w:r>
      <w:r w:rsidRPr="002F4975">
        <w:rPr>
          <w:rFonts w:ascii="Arial" w:hAnsi="Arial" w:cs="Arial"/>
          <w:iCs/>
          <w:color w:val="104875"/>
          <w:sz w:val="20"/>
          <w:szCs w:val="20"/>
        </w:rPr>
        <w:t>dell’Italia è risultato positivo ma modesto (+0,6% le esportazioni; +0,5% le importazioni).</w:t>
      </w:r>
    </w:p>
    <w:p w14:paraId="2FD62F71" w14:textId="77777777" w:rsidR="00485CC8" w:rsidRPr="002F4975"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 xml:space="preserve">Anche </w:t>
      </w:r>
      <w:r>
        <w:rPr>
          <w:rFonts w:ascii="Arial" w:hAnsi="Arial" w:cs="Arial"/>
          <w:iCs/>
          <w:color w:val="104875"/>
          <w:sz w:val="20"/>
          <w:szCs w:val="20"/>
        </w:rPr>
        <w:t xml:space="preserve">in termini di </w:t>
      </w:r>
      <w:r w:rsidRPr="002F4975">
        <w:rPr>
          <w:rFonts w:ascii="Arial" w:hAnsi="Arial" w:cs="Arial"/>
          <w:iCs/>
          <w:color w:val="104875"/>
          <w:sz w:val="20"/>
          <w:szCs w:val="20"/>
        </w:rPr>
        <w:t xml:space="preserve">produzione </w:t>
      </w:r>
      <w:r>
        <w:rPr>
          <w:rFonts w:ascii="Arial" w:hAnsi="Arial" w:cs="Arial"/>
          <w:iCs/>
          <w:color w:val="104875"/>
          <w:sz w:val="20"/>
          <w:szCs w:val="20"/>
        </w:rPr>
        <w:t xml:space="preserve">industriale </w:t>
      </w:r>
      <w:r w:rsidRPr="002F4975">
        <w:rPr>
          <w:rFonts w:ascii="Arial" w:hAnsi="Arial" w:cs="Arial"/>
          <w:iCs/>
          <w:color w:val="104875"/>
          <w:sz w:val="20"/>
          <w:szCs w:val="20"/>
        </w:rPr>
        <w:t xml:space="preserve">si conferma </w:t>
      </w:r>
      <w:r>
        <w:rPr>
          <w:rFonts w:ascii="Arial" w:hAnsi="Arial" w:cs="Arial"/>
          <w:iCs/>
          <w:color w:val="104875"/>
          <w:sz w:val="20"/>
          <w:szCs w:val="20"/>
        </w:rPr>
        <w:t xml:space="preserve">la positiva </w:t>
      </w:r>
      <w:r w:rsidRPr="002F4975">
        <w:rPr>
          <w:rFonts w:ascii="Arial" w:hAnsi="Arial" w:cs="Arial"/>
          <w:iCs/>
          <w:color w:val="104875"/>
          <w:sz w:val="20"/>
          <w:szCs w:val="20"/>
        </w:rPr>
        <w:t>dinami</w:t>
      </w:r>
      <w:r>
        <w:rPr>
          <w:rFonts w:ascii="Arial" w:hAnsi="Arial" w:cs="Arial"/>
          <w:iCs/>
          <w:color w:val="104875"/>
          <w:sz w:val="20"/>
          <w:szCs w:val="20"/>
        </w:rPr>
        <w:t xml:space="preserve">ca </w:t>
      </w:r>
      <w:r w:rsidRPr="002F4975">
        <w:rPr>
          <w:rFonts w:ascii="Arial" w:hAnsi="Arial" w:cs="Arial"/>
          <w:iCs/>
          <w:color w:val="104875"/>
          <w:sz w:val="20"/>
          <w:szCs w:val="20"/>
        </w:rPr>
        <w:t xml:space="preserve">del settore farmaceutico italiano. </w:t>
      </w:r>
      <w:r>
        <w:rPr>
          <w:rFonts w:ascii="Arial" w:hAnsi="Arial" w:cs="Arial"/>
          <w:iCs/>
          <w:color w:val="104875"/>
          <w:sz w:val="20"/>
          <w:szCs w:val="20"/>
        </w:rPr>
        <w:t>T</w:t>
      </w:r>
      <w:r w:rsidRPr="002F4975">
        <w:rPr>
          <w:rFonts w:ascii="Arial" w:hAnsi="Arial" w:cs="Arial"/>
          <w:iCs/>
          <w:color w:val="104875"/>
          <w:sz w:val="20"/>
          <w:szCs w:val="20"/>
        </w:rPr>
        <w:t xml:space="preserve">ra gennaio e ottobre 2025, l’indice della produzione industriale del comparto è, infatti, aumentato dell’1,6% su base tendenziale, a fronte di un calo dell’1,0% osservato per l’intera manifattura. </w:t>
      </w:r>
    </w:p>
    <w:p w14:paraId="46E6E10F" w14:textId="76A1C54C" w:rsidR="00485CC8"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 xml:space="preserve">Un forte impulso degli scambi di prodotti della farmaceutica si </w:t>
      </w:r>
      <w:r>
        <w:rPr>
          <w:rFonts w:ascii="Arial" w:hAnsi="Arial" w:cs="Arial"/>
          <w:iCs/>
          <w:color w:val="104875"/>
          <w:sz w:val="20"/>
          <w:szCs w:val="20"/>
        </w:rPr>
        <w:t xml:space="preserve">è </w:t>
      </w:r>
      <w:r w:rsidRPr="002F4975">
        <w:rPr>
          <w:rFonts w:ascii="Arial" w:hAnsi="Arial" w:cs="Arial"/>
          <w:iCs/>
          <w:color w:val="104875"/>
          <w:sz w:val="20"/>
          <w:szCs w:val="20"/>
        </w:rPr>
        <w:t>registrato anche nel 2024 quando si è verificata una riduzione complessiva di export e import (rispettivamente di -0</w:t>
      </w:r>
      <w:r>
        <w:rPr>
          <w:rFonts w:ascii="Arial" w:hAnsi="Arial" w:cs="Arial"/>
          <w:iCs/>
          <w:color w:val="104875"/>
          <w:sz w:val="20"/>
          <w:szCs w:val="20"/>
        </w:rPr>
        <w:t>,</w:t>
      </w:r>
      <w:r w:rsidRPr="002F4975" w:rsidDel="003B5D20">
        <w:rPr>
          <w:rFonts w:ascii="Arial" w:hAnsi="Arial" w:cs="Arial"/>
          <w:iCs/>
          <w:color w:val="104875"/>
          <w:sz w:val="20"/>
          <w:szCs w:val="20"/>
        </w:rPr>
        <w:t xml:space="preserve"> </w:t>
      </w:r>
      <w:r w:rsidRPr="002F4975">
        <w:rPr>
          <w:rFonts w:ascii="Arial" w:hAnsi="Arial" w:cs="Arial"/>
          <w:iCs/>
          <w:color w:val="104875"/>
          <w:sz w:val="20"/>
          <w:szCs w:val="20"/>
        </w:rPr>
        <w:t>5% e -3,0%) contestualmente a un aumento delle vendite all’estero e degli acquisti di prodotti farmaceutici (rispettivamente del 9,7% e del 10,9%). Il forte dinamismo dell’export italiano non si è peraltro limitato agli ultimi due anni</w:t>
      </w:r>
      <w:r w:rsidR="008A542D">
        <w:rPr>
          <w:rFonts w:ascii="Arial" w:hAnsi="Arial" w:cs="Arial"/>
          <w:iCs/>
          <w:color w:val="104875"/>
          <w:sz w:val="20"/>
          <w:szCs w:val="20"/>
        </w:rPr>
        <w:t>:</w:t>
      </w:r>
      <w:r>
        <w:rPr>
          <w:rFonts w:ascii="Arial" w:hAnsi="Arial" w:cs="Arial"/>
          <w:iCs/>
          <w:color w:val="104875"/>
          <w:sz w:val="20"/>
          <w:szCs w:val="20"/>
        </w:rPr>
        <w:t xml:space="preserve"> </w:t>
      </w:r>
      <w:r w:rsidRPr="002F4975">
        <w:rPr>
          <w:rFonts w:ascii="Arial" w:hAnsi="Arial" w:cs="Arial"/>
          <w:iCs/>
          <w:color w:val="104875"/>
          <w:sz w:val="20"/>
          <w:szCs w:val="20"/>
        </w:rPr>
        <w:t xml:space="preserve">si registrano, infatti, incrementi a un tasso superiore rispetto alla media europea </w:t>
      </w:r>
      <w:r>
        <w:rPr>
          <w:rFonts w:ascii="Arial" w:hAnsi="Arial" w:cs="Arial"/>
          <w:iCs/>
          <w:color w:val="104875"/>
          <w:sz w:val="20"/>
          <w:szCs w:val="20"/>
        </w:rPr>
        <w:t xml:space="preserve">del settore </w:t>
      </w:r>
      <w:r w:rsidRPr="002F4975">
        <w:rPr>
          <w:rFonts w:ascii="Arial" w:hAnsi="Arial" w:cs="Arial"/>
          <w:iCs/>
          <w:color w:val="104875"/>
          <w:sz w:val="20"/>
          <w:szCs w:val="20"/>
        </w:rPr>
        <w:t xml:space="preserve">da oltre un decennio. </w:t>
      </w:r>
    </w:p>
    <w:p w14:paraId="2254E294" w14:textId="77777777" w:rsidR="00485CC8" w:rsidRPr="002F4975"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Queste dinamiche hanno determinato un aumento della quota del settore farmaceutico nell’interscambio commerciale italiano: le esportazioni in valore, che nel 2015 pesavano meno del 5,0% dell’export, nel 2024 sono arrivate a determinare l’8,7% del totale del valore dei flussi in uscita, percentuale salita al 10,9% nei primi dieci mesi del 2025. Per le importazioni, la quota è invece passata dal 6,0% al 7,4% tra il 2015 e il 2024; nei primi dieci mesi del nuovo anno ha raggiunto il 10% del totale degli acquisti italiani dall’estero.</w:t>
      </w:r>
    </w:p>
    <w:p w14:paraId="2D851159" w14:textId="77777777" w:rsidR="00485CC8" w:rsidRDefault="00485CC8" w:rsidP="00485CC8">
      <w:pPr>
        <w:suppressAutoHyphens/>
        <w:spacing w:after="80"/>
        <w:jc w:val="both"/>
        <w:rPr>
          <w:rFonts w:ascii="Arial" w:hAnsi="Arial" w:cs="Arial"/>
          <w:iCs/>
          <w:color w:val="104875"/>
          <w:sz w:val="20"/>
          <w:szCs w:val="20"/>
        </w:rPr>
      </w:pPr>
      <w:r>
        <w:rPr>
          <w:rFonts w:ascii="Arial" w:hAnsi="Arial" w:cs="Arial"/>
          <w:iCs/>
          <w:color w:val="104875"/>
          <w:sz w:val="20"/>
          <w:szCs w:val="20"/>
        </w:rPr>
        <w:t>Queste</w:t>
      </w:r>
      <w:r w:rsidRPr="002F4975">
        <w:rPr>
          <w:rFonts w:ascii="Arial" w:hAnsi="Arial" w:cs="Arial"/>
          <w:iCs/>
          <w:color w:val="104875"/>
          <w:sz w:val="20"/>
          <w:szCs w:val="20"/>
        </w:rPr>
        <w:t xml:space="preserve"> tendenz</w:t>
      </w:r>
      <w:r>
        <w:rPr>
          <w:rFonts w:ascii="Arial" w:hAnsi="Arial" w:cs="Arial"/>
          <w:iCs/>
          <w:color w:val="104875"/>
          <w:sz w:val="20"/>
          <w:szCs w:val="20"/>
        </w:rPr>
        <w:t>e</w:t>
      </w:r>
      <w:r w:rsidRPr="002F4975">
        <w:rPr>
          <w:rFonts w:ascii="Arial" w:hAnsi="Arial" w:cs="Arial"/>
          <w:iCs/>
          <w:color w:val="104875"/>
          <w:sz w:val="20"/>
          <w:szCs w:val="20"/>
        </w:rPr>
        <w:t xml:space="preserve"> </w:t>
      </w:r>
      <w:r>
        <w:rPr>
          <w:rFonts w:ascii="Arial" w:hAnsi="Arial" w:cs="Arial"/>
          <w:iCs/>
          <w:color w:val="104875"/>
          <w:sz w:val="20"/>
          <w:szCs w:val="20"/>
        </w:rPr>
        <w:t>sono</w:t>
      </w:r>
      <w:r w:rsidRPr="002F4975">
        <w:rPr>
          <w:rFonts w:ascii="Arial" w:hAnsi="Arial" w:cs="Arial"/>
          <w:iCs/>
          <w:color w:val="104875"/>
          <w:sz w:val="20"/>
          <w:szCs w:val="20"/>
        </w:rPr>
        <w:t xml:space="preserve"> stat</w:t>
      </w:r>
      <w:r>
        <w:rPr>
          <w:rFonts w:ascii="Arial" w:hAnsi="Arial" w:cs="Arial"/>
          <w:iCs/>
          <w:color w:val="104875"/>
          <w:sz w:val="20"/>
          <w:szCs w:val="20"/>
        </w:rPr>
        <w:t>e</w:t>
      </w:r>
      <w:r w:rsidRPr="002F4975">
        <w:rPr>
          <w:rFonts w:ascii="Arial" w:hAnsi="Arial" w:cs="Arial"/>
          <w:iCs/>
          <w:color w:val="104875"/>
          <w:sz w:val="20"/>
          <w:szCs w:val="20"/>
        </w:rPr>
        <w:t xml:space="preserve"> particolarmente accentuat</w:t>
      </w:r>
      <w:r>
        <w:rPr>
          <w:rFonts w:ascii="Arial" w:hAnsi="Arial" w:cs="Arial"/>
          <w:iCs/>
          <w:color w:val="104875"/>
          <w:sz w:val="20"/>
          <w:szCs w:val="20"/>
        </w:rPr>
        <w:t>e</w:t>
      </w:r>
      <w:r w:rsidRPr="002F4975">
        <w:rPr>
          <w:rFonts w:ascii="Arial" w:hAnsi="Arial" w:cs="Arial"/>
          <w:iCs/>
          <w:color w:val="104875"/>
          <w:sz w:val="20"/>
          <w:szCs w:val="20"/>
        </w:rPr>
        <w:t xml:space="preserve"> rispetto all’interscambio </w:t>
      </w:r>
      <w:r>
        <w:rPr>
          <w:rFonts w:ascii="Arial" w:hAnsi="Arial" w:cs="Arial"/>
          <w:iCs/>
          <w:color w:val="104875"/>
          <w:sz w:val="20"/>
          <w:szCs w:val="20"/>
        </w:rPr>
        <w:t xml:space="preserve">di prodotti farmaceutici </w:t>
      </w:r>
      <w:r w:rsidRPr="002F4975">
        <w:rPr>
          <w:rFonts w:ascii="Arial" w:hAnsi="Arial" w:cs="Arial"/>
          <w:iCs/>
          <w:color w:val="104875"/>
          <w:sz w:val="20"/>
          <w:szCs w:val="20"/>
        </w:rPr>
        <w:t>con gli Stati Uniti. Nel dettaglio, le esportazioni italiane in valore di prodotti farmaceutici dirette verso il mercato statunitense hanno registrato un graduale aumento nel corso dell’ultimo decennio, evidenziando</w:t>
      </w:r>
      <w:r>
        <w:rPr>
          <w:rFonts w:ascii="Arial" w:hAnsi="Arial" w:cs="Arial"/>
          <w:iCs/>
          <w:color w:val="104875"/>
          <w:sz w:val="20"/>
          <w:szCs w:val="20"/>
        </w:rPr>
        <w:t xml:space="preserve"> una forte accelerazione dopo la pandemia di</w:t>
      </w:r>
      <w:r w:rsidRPr="002F4975">
        <w:rPr>
          <w:rFonts w:ascii="Arial" w:hAnsi="Arial" w:cs="Arial"/>
          <w:iCs/>
          <w:color w:val="104875"/>
          <w:sz w:val="20"/>
          <w:szCs w:val="20"/>
        </w:rPr>
        <w:t xml:space="preserve"> Covid</w:t>
      </w:r>
      <w:r>
        <w:rPr>
          <w:rFonts w:ascii="Arial" w:hAnsi="Arial" w:cs="Arial"/>
          <w:iCs/>
          <w:color w:val="104875"/>
          <w:sz w:val="20"/>
          <w:szCs w:val="20"/>
        </w:rPr>
        <w:t>-19</w:t>
      </w:r>
      <w:r w:rsidRPr="002F4975">
        <w:rPr>
          <w:rFonts w:ascii="Arial" w:hAnsi="Arial" w:cs="Arial"/>
          <w:iCs/>
          <w:color w:val="104875"/>
          <w:sz w:val="20"/>
          <w:szCs w:val="20"/>
        </w:rPr>
        <w:t xml:space="preserve"> (Figura </w:t>
      </w:r>
      <w:r>
        <w:rPr>
          <w:rFonts w:ascii="Arial" w:hAnsi="Arial" w:cs="Arial"/>
          <w:iCs/>
          <w:color w:val="104875"/>
          <w:sz w:val="20"/>
          <w:szCs w:val="20"/>
        </w:rPr>
        <w:t>F</w:t>
      </w:r>
      <w:r w:rsidRPr="002F4975">
        <w:rPr>
          <w:rFonts w:ascii="Arial" w:hAnsi="Arial" w:cs="Arial"/>
          <w:iCs/>
          <w:color w:val="104875"/>
          <w:sz w:val="20"/>
          <w:szCs w:val="20"/>
        </w:rPr>
        <w:t>1): tra il 2022 e il 2024 sono cresciute</w:t>
      </w:r>
      <w:r>
        <w:rPr>
          <w:rFonts w:ascii="Arial" w:hAnsi="Arial" w:cs="Arial"/>
          <w:iCs/>
          <w:color w:val="104875"/>
          <w:sz w:val="20"/>
          <w:szCs w:val="20"/>
        </w:rPr>
        <w:t>,</w:t>
      </w:r>
      <w:r w:rsidRPr="002F4975">
        <w:rPr>
          <w:rFonts w:ascii="Arial" w:hAnsi="Arial" w:cs="Arial"/>
          <w:iCs/>
          <w:color w:val="104875"/>
          <w:sz w:val="20"/>
          <w:szCs w:val="20"/>
        </w:rPr>
        <w:t xml:space="preserve"> in media</w:t>
      </w:r>
      <w:r>
        <w:rPr>
          <w:rFonts w:ascii="Arial" w:hAnsi="Arial" w:cs="Arial"/>
          <w:iCs/>
          <w:color w:val="104875"/>
          <w:sz w:val="20"/>
          <w:szCs w:val="20"/>
        </w:rPr>
        <w:t>,</w:t>
      </w:r>
      <w:r w:rsidRPr="002F4975">
        <w:rPr>
          <w:rFonts w:ascii="Arial" w:hAnsi="Arial" w:cs="Arial"/>
          <w:iCs/>
          <w:color w:val="104875"/>
          <w:sz w:val="20"/>
          <w:szCs w:val="20"/>
        </w:rPr>
        <w:t xml:space="preserve"> di oltre il 30% (contro una media Ue del +17,7%). Nello stesso </w:t>
      </w:r>
      <w:r>
        <w:rPr>
          <w:rFonts w:ascii="Arial" w:hAnsi="Arial" w:cs="Arial"/>
          <w:iCs/>
          <w:color w:val="104875"/>
          <w:sz w:val="20"/>
          <w:szCs w:val="20"/>
        </w:rPr>
        <w:t xml:space="preserve">periodo </w:t>
      </w:r>
      <w:r w:rsidRPr="002F4975">
        <w:rPr>
          <w:rFonts w:ascii="Arial" w:hAnsi="Arial" w:cs="Arial"/>
          <w:iCs/>
          <w:color w:val="104875"/>
          <w:sz w:val="20"/>
          <w:szCs w:val="20"/>
        </w:rPr>
        <w:t xml:space="preserve">le importazioni </w:t>
      </w:r>
      <w:r>
        <w:rPr>
          <w:rFonts w:ascii="Arial" w:hAnsi="Arial" w:cs="Arial"/>
          <w:iCs/>
          <w:color w:val="104875"/>
          <w:sz w:val="20"/>
          <w:szCs w:val="20"/>
        </w:rPr>
        <w:t xml:space="preserve">di prodotti farmaceutici </w:t>
      </w:r>
      <w:r w:rsidRPr="002F4975">
        <w:rPr>
          <w:rFonts w:ascii="Arial" w:hAnsi="Arial" w:cs="Arial"/>
          <w:iCs/>
          <w:color w:val="104875"/>
          <w:sz w:val="20"/>
          <w:szCs w:val="20"/>
        </w:rPr>
        <w:t>sono aumentate in misura anche maggiore (+40,5% contro il +16,7% per la media europea).</w:t>
      </w:r>
    </w:p>
    <w:p w14:paraId="64F7450B" w14:textId="77777777" w:rsidR="00485CC8" w:rsidRPr="002F4975"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 xml:space="preserve">Nel 2024, gli Stati Uniti risultavano il principale mercato di destinazione e di origine per l’interscambio </w:t>
      </w:r>
      <w:r>
        <w:rPr>
          <w:rFonts w:ascii="Arial" w:hAnsi="Arial" w:cs="Arial"/>
          <w:iCs/>
          <w:color w:val="104875"/>
          <w:sz w:val="20"/>
          <w:szCs w:val="20"/>
        </w:rPr>
        <w:t xml:space="preserve">con l’estero </w:t>
      </w:r>
      <w:r w:rsidRPr="002F4975">
        <w:rPr>
          <w:rFonts w:ascii="Arial" w:hAnsi="Arial" w:cs="Arial"/>
          <w:iCs/>
          <w:color w:val="104875"/>
          <w:sz w:val="20"/>
          <w:szCs w:val="20"/>
        </w:rPr>
        <w:t xml:space="preserve">dei prodotti della farmaceutica italiana, con un peso di quasi il 20% sia per l’export sia per l’import totale del comparto, quasi il 40% rispetto al totale dell’export </w:t>
      </w:r>
      <w:r>
        <w:rPr>
          <w:rFonts w:ascii="Arial" w:hAnsi="Arial" w:cs="Arial"/>
          <w:iCs/>
          <w:color w:val="104875"/>
          <w:sz w:val="20"/>
          <w:szCs w:val="20"/>
        </w:rPr>
        <w:t xml:space="preserve">verso i paesi </w:t>
      </w:r>
      <w:r w:rsidRPr="002F4975">
        <w:rPr>
          <w:rFonts w:ascii="Arial" w:hAnsi="Arial" w:cs="Arial"/>
          <w:iCs/>
          <w:color w:val="104875"/>
          <w:sz w:val="20"/>
          <w:szCs w:val="20"/>
        </w:rPr>
        <w:t xml:space="preserve">Extra-UE. La rilevanza degli Stati Uniti come mercato di destinazione/origine dei prodotti farmaceutici è, inoltre, aumentata nel corso dell’ultimo decennio (nel 2015 gli Usa assorbivano il 7,7% delle esportazioni farmaceutiche e il 14,8% delle importazioni italiane). </w:t>
      </w:r>
    </w:p>
    <w:p w14:paraId="7D209C4C" w14:textId="286DB170" w:rsidR="00231458"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Allo stesso tempo, nel periodo considerato, il nostro Paese ha rafforzato il proprio ruolo nell’Ue come partner commerciale degli Stati Uniti, rientrando tra i primi cinque paesi di origine/destinazione di prodotti della farmaceutica</w:t>
      </w:r>
      <w:r>
        <w:rPr>
          <w:rFonts w:ascii="Arial" w:hAnsi="Arial" w:cs="Arial"/>
          <w:iCs/>
          <w:color w:val="104875"/>
          <w:sz w:val="20"/>
          <w:szCs w:val="20"/>
        </w:rPr>
        <w:t xml:space="preserve"> europea</w:t>
      </w:r>
      <w:r w:rsidRPr="002F4975">
        <w:rPr>
          <w:rFonts w:ascii="Arial" w:hAnsi="Arial" w:cs="Arial"/>
          <w:iCs/>
          <w:color w:val="104875"/>
          <w:sz w:val="20"/>
          <w:szCs w:val="20"/>
        </w:rPr>
        <w:t>, insieme alla Germania, l’Irlanda, il Belgio e i Paesi Bassi</w:t>
      </w:r>
      <w:r>
        <w:rPr>
          <w:rStyle w:val="Rimandonotaapidipagina"/>
          <w:rFonts w:ascii="Arial" w:hAnsi="Arial"/>
          <w:iCs/>
          <w:color w:val="104875"/>
          <w:sz w:val="20"/>
          <w:szCs w:val="20"/>
        </w:rPr>
        <w:footnoteReference w:id="3"/>
      </w:r>
      <w:r w:rsidRPr="002F4975">
        <w:rPr>
          <w:rFonts w:ascii="Arial" w:hAnsi="Arial" w:cs="Arial"/>
          <w:iCs/>
          <w:color w:val="104875"/>
          <w:sz w:val="20"/>
          <w:szCs w:val="20"/>
        </w:rPr>
        <w:t xml:space="preserve">: nel 2024, l’Italia determinava oltre l’8,0% dell’export complessivo dell’Ue diretto negli Stati Uniti e assorbiva il 15,2% delle import (il peso era rispettivamente del 3,7% e 11,3% nel 2015). </w:t>
      </w:r>
      <w:r w:rsidR="00231458">
        <w:rPr>
          <w:rFonts w:ascii="Arial" w:hAnsi="Arial" w:cs="Arial"/>
          <w:iCs/>
          <w:color w:val="104875"/>
          <w:sz w:val="20"/>
          <w:szCs w:val="20"/>
        </w:rPr>
        <w:br w:type="page"/>
      </w:r>
    </w:p>
    <w:p w14:paraId="6718FFA0" w14:textId="77777777" w:rsidR="00485CC8" w:rsidRPr="002F4975"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lastRenderedPageBreak/>
        <w:t xml:space="preserve">Nel periodo più recente, si è osservata un’accelerazione della dinamica delle vendite: tra gennaio e ottobre 2025 l’incremento su base tendenziale dell’export </w:t>
      </w:r>
      <w:r>
        <w:rPr>
          <w:rFonts w:ascii="Arial" w:hAnsi="Arial" w:cs="Arial"/>
          <w:iCs/>
          <w:color w:val="104875"/>
          <w:sz w:val="20"/>
          <w:szCs w:val="20"/>
        </w:rPr>
        <w:t xml:space="preserve">nazionale </w:t>
      </w:r>
      <w:r w:rsidRPr="002F4975">
        <w:rPr>
          <w:rFonts w:ascii="Arial" w:hAnsi="Arial" w:cs="Arial"/>
          <w:iCs/>
          <w:color w:val="104875"/>
          <w:sz w:val="20"/>
          <w:szCs w:val="20"/>
        </w:rPr>
        <w:t xml:space="preserve">di prodotti farmaceutici verso il mercato statunitense è stato, nel complesso, di oltre il 60%, un tasso più elevato rispetto a quello osservato per l’insieme dei paesi Ue (comunque molto marcato e pari al 41,7%). Ancora più ampio, nello stesso periodo, è stato il divario relativo alle importazioni: gli acquisti dagli Usa sono più che raddoppiati per l’Italia, mentre sono aumentati di circa il 28% nel caso dell’Ue.  </w:t>
      </w:r>
    </w:p>
    <w:p w14:paraId="45138C3E" w14:textId="77777777" w:rsidR="00485CC8" w:rsidRDefault="00485CC8" w:rsidP="00485CC8">
      <w:pPr>
        <w:suppressAutoHyphens/>
        <w:spacing w:after="80"/>
        <w:jc w:val="both"/>
        <w:rPr>
          <w:rFonts w:ascii="Arial" w:hAnsi="Arial" w:cs="Arial"/>
          <w:iCs/>
          <w:color w:val="104875"/>
          <w:sz w:val="20"/>
          <w:szCs w:val="20"/>
        </w:rPr>
      </w:pPr>
    </w:p>
    <w:p w14:paraId="19F80EAD" w14:textId="77777777" w:rsidR="00485CC8" w:rsidRPr="00943D6C" w:rsidRDefault="00485CC8" w:rsidP="00485CC8">
      <w:pPr>
        <w:suppressAutoHyphens/>
        <w:spacing w:after="80"/>
        <w:jc w:val="both"/>
        <w:rPr>
          <w:rFonts w:ascii="Arial Narrow" w:hAnsi="Arial Narrow" w:cs="Arial"/>
          <w:bCs/>
          <w:iCs/>
          <w:noProof/>
          <w:color w:val="595959" w:themeColor="text1" w:themeTint="A6"/>
          <w:spacing w:val="2"/>
          <w:sz w:val="20"/>
          <w:szCs w:val="20"/>
        </w:rPr>
      </w:pPr>
      <w:bookmarkStart w:id="3" w:name="_Hlk218867183"/>
      <w:r w:rsidRPr="0050029E">
        <w:rPr>
          <w:rFonts w:ascii="Arial Narrow" w:hAnsi="Arial Narrow" w:cs="Arial"/>
          <w:b/>
          <w:iCs/>
          <w:noProof/>
          <w:color w:val="00817F"/>
          <w:sz w:val="22"/>
          <w:szCs w:val="22"/>
        </w:rPr>
        <w:t>FIG</w:t>
      </w:r>
      <w:r w:rsidRPr="00781A4E">
        <w:rPr>
          <w:rFonts w:ascii="Arial Narrow" w:hAnsi="Arial Narrow" w:cs="Arial"/>
          <w:b/>
          <w:iCs/>
          <w:noProof/>
          <w:color w:val="00817F"/>
          <w:sz w:val="22"/>
          <w:szCs w:val="22"/>
        </w:rPr>
        <w:t>URA</w:t>
      </w:r>
      <w:r w:rsidRPr="0050029E">
        <w:rPr>
          <w:rFonts w:ascii="Arial Narrow" w:hAnsi="Arial Narrow" w:cs="Arial"/>
          <w:b/>
          <w:iCs/>
          <w:noProof/>
          <w:color w:val="00817F"/>
          <w:sz w:val="22"/>
          <w:szCs w:val="22"/>
        </w:rPr>
        <w:t xml:space="preserve"> F</w:t>
      </w:r>
      <w:r>
        <w:rPr>
          <w:rFonts w:ascii="Arial Narrow" w:hAnsi="Arial Narrow" w:cs="Arial"/>
          <w:b/>
          <w:iCs/>
          <w:noProof/>
          <w:color w:val="00817F"/>
          <w:sz w:val="22"/>
          <w:szCs w:val="22"/>
        </w:rPr>
        <w:t>1</w:t>
      </w:r>
      <w:r w:rsidRPr="0050029E">
        <w:rPr>
          <w:rFonts w:ascii="Arial Narrow" w:hAnsi="Arial Narrow" w:cs="Arial"/>
          <w:b/>
          <w:iCs/>
          <w:noProof/>
          <w:color w:val="00817F"/>
          <w:sz w:val="22"/>
          <w:szCs w:val="22"/>
        </w:rPr>
        <w:t>.</w:t>
      </w:r>
      <w:r>
        <w:rPr>
          <w:rFonts w:ascii="Arial Narrow" w:hAnsi="Arial Narrow" w:cs="Arial"/>
          <w:b/>
          <w:iCs/>
          <w:noProof/>
          <w:color w:val="595959" w:themeColor="text1" w:themeTint="A6"/>
          <w:spacing w:val="2"/>
          <w:sz w:val="22"/>
          <w:szCs w:val="22"/>
        </w:rPr>
        <w:t xml:space="preserve"> </w:t>
      </w:r>
      <w:r w:rsidRPr="0035440E">
        <w:rPr>
          <w:rFonts w:ascii="Arial Narrow" w:hAnsi="Arial Narrow" w:cs="Arial"/>
          <w:b/>
          <w:iCs/>
          <w:noProof/>
          <w:color w:val="595959" w:themeColor="text1" w:themeTint="A6"/>
          <w:spacing w:val="2"/>
          <w:sz w:val="22"/>
          <w:szCs w:val="22"/>
        </w:rPr>
        <w:t>S</w:t>
      </w:r>
      <w:r>
        <w:rPr>
          <w:rFonts w:ascii="Arial Narrow" w:hAnsi="Arial Narrow" w:cs="Arial"/>
          <w:b/>
          <w:iCs/>
          <w:noProof/>
          <w:color w:val="595959" w:themeColor="text1" w:themeTint="A6"/>
          <w:spacing w:val="2"/>
          <w:sz w:val="22"/>
          <w:szCs w:val="22"/>
        </w:rPr>
        <w:t>CAMBI IN VALORE DI PRODOTTI FARMACEUTICI DELL’ITALIA E DEI PRINCIPALI PAESI UE VERSO IL  MONDO E GLI STATI UNITI</w:t>
      </w:r>
      <w:r w:rsidRPr="0035440E">
        <w:rPr>
          <w:rFonts w:ascii="Arial Narrow" w:hAnsi="Arial Narrow" w:cs="Arial"/>
          <w:b/>
          <w:iCs/>
          <w:noProof/>
          <w:color w:val="595959" w:themeColor="text1" w:themeTint="A6"/>
          <w:spacing w:val="2"/>
          <w:sz w:val="22"/>
          <w:szCs w:val="22"/>
        </w:rPr>
        <w:t>.</w:t>
      </w:r>
      <w:r>
        <w:rPr>
          <w:rFonts w:ascii="Arial Narrow" w:hAnsi="Arial Narrow" w:cs="Arial"/>
          <w:b/>
          <w:iCs/>
          <w:noProof/>
          <w:color w:val="595959" w:themeColor="text1" w:themeTint="A6"/>
          <w:spacing w:val="2"/>
          <w:sz w:val="22"/>
          <w:szCs w:val="22"/>
        </w:rPr>
        <w:t xml:space="preserve"> </w:t>
      </w:r>
      <w:r w:rsidRPr="00943D6C">
        <w:rPr>
          <w:rFonts w:ascii="Arial Narrow" w:hAnsi="Arial Narrow" w:cs="Arial"/>
          <w:bCs/>
          <w:iCs/>
          <w:noProof/>
          <w:color w:val="595959" w:themeColor="text1" w:themeTint="A6"/>
          <w:spacing w:val="2"/>
          <w:sz w:val="20"/>
          <w:szCs w:val="20"/>
        </w:rPr>
        <w:t>Anni 2015-2024 (numeri indici 2015=100)</w:t>
      </w:r>
    </w:p>
    <w:tbl>
      <w:tblPr>
        <w:tblStyle w:val="Grigliatabella"/>
        <w:tblW w:w="10201" w:type="dxa"/>
        <w:tblInd w:w="-3" w:type="dxa"/>
        <w:tblLayout w:type="fixed"/>
        <w:tblCellMar>
          <w:left w:w="70" w:type="dxa"/>
          <w:right w:w="70" w:type="dxa"/>
        </w:tblCellMar>
        <w:tblLook w:val="04A0" w:firstRow="1" w:lastRow="0" w:firstColumn="1" w:lastColumn="0" w:noHBand="0" w:noVBand="1"/>
      </w:tblPr>
      <w:tblGrid>
        <w:gridCol w:w="5100"/>
        <w:gridCol w:w="5101"/>
      </w:tblGrid>
      <w:tr w:rsidR="00485CC8" w14:paraId="36E4BC25" w14:textId="77777777" w:rsidTr="002F50DA">
        <w:trPr>
          <w:trHeight w:val="3402"/>
        </w:trPr>
        <w:tc>
          <w:tcPr>
            <w:tcW w:w="510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C57C8C1" w14:textId="77777777" w:rsidR="00485CC8" w:rsidRPr="00E623BE" w:rsidRDefault="00485CC8" w:rsidP="002F50DA">
            <w:pPr>
              <w:pStyle w:val="016testobulletprimapagina"/>
              <w:spacing w:before="120" w:after="120" w:line="240" w:lineRule="auto"/>
              <w:ind w:left="0" w:right="-6"/>
              <w:rPr>
                <w:sz w:val="12"/>
              </w:rPr>
            </w:pPr>
            <w:bookmarkStart w:id="4" w:name="_Hlk218866273"/>
            <w:bookmarkEnd w:id="3"/>
            <w:r>
              <w:rPr>
                <w:noProof/>
              </w:rPr>
              <w:drawing>
                <wp:inline distT="0" distB="0" distL="0" distR="0" wp14:anchorId="27E309F9" wp14:editId="1E8C3639">
                  <wp:extent cx="3134995" cy="2131060"/>
                  <wp:effectExtent l="0" t="0" r="8255" b="2540"/>
                  <wp:docPr id="3" name="Grafico 3">
                    <a:extLst xmlns:a="http://schemas.openxmlformats.org/drawingml/2006/main">
                      <a:ext uri="{FF2B5EF4-FFF2-40B4-BE49-F238E27FC236}">
                        <a16:creationId xmlns:a16="http://schemas.microsoft.com/office/drawing/2014/main" id="{10DBAADA-1836-4EB5-8342-3966A0B3D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EBD8003" w14:textId="77777777" w:rsidR="00485CC8" w:rsidRDefault="00485CC8" w:rsidP="002F50DA">
            <w:pPr>
              <w:pStyle w:val="016testobulletprimapagina"/>
              <w:spacing w:before="120" w:after="120" w:line="240" w:lineRule="auto"/>
              <w:ind w:left="0" w:right="-8"/>
            </w:pPr>
            <w:r>
              <w:rPr>
                <w:noProof/>
              </w:rPr>
              <w:drawing>
                <wp:inline distT="0" distB="0" distL="0" distR="0" wp14:anchorId="121EA32F" wp14:editId="47B910DF">
                  <wp:extent cx="3135600" cy="2131200"/>
                  <wp:effectExtent l="0" t="0" r="8255" b="2540"/>
                  <wp:docPr id="5" name="Grafico 5">
                    <a:extLst xmlns:a="http://schemas.openxmlformats.org/drawingml/2006/main">
                      <a:ext uri="{FF2B5EF4-FFF2-40B4-BE49-F238E27FC236}">
                        <a16:creationId xmlns:a16="http://schemas.microsoft.com/office/drawing/2014/main" id="{72463D71-1ABC-4AD3-9FEE-4813906A9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bookmarkEnd w:id="4"/>
      <w:tr w:rsidR="00485CC8" w14:paraId="5622FED4" w14:textId="77777777" w:rsidTr="002F50DA">
        <w:trPr>
          <w:trHeight w:val="3402"/>
        </w:trPr>
        <w:tc>
          <w:tcPr>
            <w:tcW w:w="510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12B51B" w14:textId="77777777" w:rsidR="00485CC8" w:rsidRPr="00E623BE" w:rsidRDefault="00485CC8" w:rsidP="002F50DA">
            <w:pPr>
              <w:pStyle w:val="016testobulletprimapagina"/>
              <w:spacing w:before="120" w:after="120" w:line="240" w:lineRule="auto"/>
              <w:ind w:left="0" w:right="-6"/>
              <w:rPr>
                <w:sz w:val="12"/>
              </w:rPr>
            </w:pPr>
            <w:r>
              <w:rPr>
                <w:noProof/>
              </w:rPr>
              <w:drawing>
                <wp:inline distT="0" distB="0" distL="0" distR="0" wp14:anchorId="56CF9DE8" wp14:editId="6142066E">
                  <wp:extent cx="3135600" cy="2131200"/>
                  <wp:effectExtent l="0" t="0" r="8255" b="2540"/>
                  <wp:docPr id="6" name="Grafico 6">
                    <a:extLst xmlns:a="http://schemas.openxmlformats.org/drawingml/2006/main">
                      <a:ext uri="{FF2B5EF4-FFF2-40B4-BE49-F238E27FC236}">
                        <a16:creationId xmlns:a16="http://schemas.microsoft.com/office/drawing/2014/main" id="{B11C0ECC-EBDE-4C77-BE00-B88CF43CF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8BA823B" w14:textId="77777777" w:rsidR="00485CC8" w:rsidRDefault="00485CC8" w:rsidP="002F50DA">
            <w:pPr>
              <w:pStyle w:val="016testobulletprimapagina"/>
              <w:spacing w:before="120" w:after="120" w:line="240" w:lineRule="auto"/>
              <w:ind w:left="0" w:right="-8"/>
            </w:pPr>
            <w:r>
              <w:rPr>
                <w:noProof/>
              </w:rPr>
              <w:drawing>
                <wp:inline distT="0" distB="0" distL="0" distR="0" wp14:anchorId="23EA71D4" wp14:editId="3DA6C852">
                  <wp:extent cx="3135600" cy="2131200"/>
                  <wp:effectExtent l="0" t="0" r="8255" b="2540"/>
                  <wp:docPr id="18" name="Grafico 18">
                    <a:extLst xmlns:a="http://schemas.openxmlformats.org/drawingml/2006/main">
                      <a:ext uri="{FF2B5EF4-FFF2-40B4-BE49-F238E27FC236}">
                        <a16:creationId xmlns:a16="http://schemas.microsoft.com/office/drawing/2014/main" id="{24C4DEF2-B7E5-4F60-8B01-58ECFB917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160112C3" w14:textId="77777777" w:rsidR="00485CC8" w:rsidRDefault="00485CC8" w:rsidP="00943D6C">
      <w:pPr>
        <w:spacing w:before="60"/>
        <w:rPr>
          <w:rFonts w:ascii="Arial Narrow" w:hAnsi="Arial Narrow"/>
          <w:sz w:val="15"/>
          <w:szCs w:val="15"/>
        </w:rPr>
      </w:pPr>
      <w:r w:rsidRPr="00F67631">
        <w:rPr>
          <w:rFonts w:ascii="Arial Narrow" w:hAnsi="Arial Narrow"/>
          <w:sz w:val="15"/>
          <w:szCs w:val="15"/>
        </w:rPr>
        <w:t>Fonte:</w:t>
      </w:r>
      <w:r>
        <w:rPr>
          <w:rFonts w:ascii="Arial Narrow" w:hAnsi="Arial Narrow"/>
          <w:sz w:val="15"/>
          <w:szCs w:val="15"/>
        </w:rPr>
        <w:t xml:space="preserve"> Elaborazioni su dati Eurostat</w:t>
      </w:r>
    </w:p>
    <w:p w14:paraId="423990FE" w14:textId="77777777" w:rsidR="00485CC8" w:rsidRDefault="00485CC8" w:rsidP="00485CC8">
      <w:pPr>
        <w:suppressAutoHyphens/>
        <w:spacing w:after="80"/>
        <w:jc w:val="both"/>
        <w:rPr>
          <w:rFonts w:ascii="Arial" w:hAnsi="Arial" w:cs="Arial"/>
          <w:iCs/>
          <w:color w:val="104875"/>
          <w:sz w:val="20"/>
          <w:szCs w:val="20"/>
        </w:rPr>
      </w:pPr>
    </w:p>
    <w:p w14:paraId="357C250F" w14:textId="77777777" w:rsidR="00485CC8" w:rsidRDefault="00485CC8" w:rsidP="00485CC8">
      <w:pPr>
        <w:suppressAutoHyphens/>
        <w:spacing w:after="80"/>
        <w:jc w:val="both"/>
        <w:rPr>
          <w:rFonts w:ascii="Arial" w:hAnsi="Arial" w:cs="Arial"/>
          <w:iCs/>
          <w:color w:val="104875"/>
          <w:sz w:val="20"/>
          <w:szCs w:val="20"/>
        </w:rPr>
      </w:pPr>
      <w:r w:rsidRPr="002F4975">
        <w:rPr>
          <w:rFonts w:ascii="Arial" w:hAnsi="Arial" w:cs="Arial"/>
          <w:iCs/>
          <w:color w:val="104875"/>
          <w:sz w:val="20"/>
          <w:szCs w:val="20"/>
        </w:rPr>
        <w:t>Tale incremento, va ricordato, ha scontato anche il clima di forte incertezza determinato dalla possibile introduzione di dazi sui prodotti farmaceutici da parte dell’amministrazione statunitense</w:t>
      </w:r>
      <w:r>
        <w:rPr>
          <w:rStyle w:val="Rimandonotaapidipagina"/>
          <w:rFonts w:ascii="Arial" w:hAnsi="Arial"/>
          <w:iCs/>
          <w:color w:val="104875"/>
          <w:sz w:val="20"/>
          <w:szCs w:val="20"/>
        </w:rPr>
        <w:footnoteReference w:id="4"/>
      </w:r>
      <w:r w:rsidRPr="002F4975">
        <w:rPr>
          <w:rFonts w:ascii="Arial" w:hAnsi="Arial" w:cs="Arial"/>
          <w:iCs/>
          <w:color w:val="104875"/>
          <w:sz w:val="20"/>
          <w:szCs w:val="20"/>
        </w:rPr>
        <w:t xml:space="preserve"> che ha causato un’accelerazione degli scambi, in particolare nella prima parte dell’anno (cd </w:t>
      </w:r>
      <w:r>
        <w:rPr>
          <w:rFonts w:ascii="Arial" w:hAnsi="Arial" w:cs="Arial"/>
          <w:iCs/>
          <w:color w:val="104875"/>
          <w:sz w:val="20"/>
          <w:szCs w:val="20"/>
        </w:rPr>
        <w:t>fenomeno di front-</w:t>
      </w:r>
      <w:proofErr w:type="spellStart"/>
      <w:r>
        <w:rPr>
          <w:rFonts w:ascii="Arial" w:hAnsi="Arial" w:cs="Arial"/>
          <w:iCs/>
          <w:color w:val="104875"/>
          <w:sz w:val="20"/>
          <w:szCs w:val="20"/>
        </w:rPr>
        <w:t>loading</w:t>
      </w:r>
      <w:proofErr w:type="spellEnd"/>
      <w:r w:rsidRPr="002F4975">
        <w:rPr>
          <w:rFonts w:ascii="Arial" w:hAnsi="Arial" w:cs="Arial"/>
          <w:iCs/>
          <w:color w:val="104875"/>
          <w:sz w:val="20"/>
          <w:szCs w:val="20"/>
        </w:rPr>
        <w:t>) (</w:t>
      </w:r>
      <w:r>
        <w:rPr>
          <w:rFonts w:ascii="Arial" w:hAnsi="Arial" w:cs="Arial"/>
          <w:iCs/>
          <w:color w:val="104875"/>
          <w:sz w:val="20"/>
          <w:szCs w:val="20"/>
        </w:rPr>
        <w:t>Figura F2</w:t>
      </w:r>
      <w:r w:rsidRPr="002F4975">
        <w:rPr>
          <w:rFonts w:ascii="Arial" w:hAnsi="Arial" w:cs="Arial"/>
          <w:iCs/>
          <w:color w:val="104875"/>
          <w:sz w:val="20"/>
          <w:szCs w:val="20"/>
        </w:rPr>
        <w:t xml:space="preserve">), a cui è tuttavia seguita a partire </w:t>
      </w:r>
      <w:r>
        <w:rPr>
          <w:rFonts w:ascii="Arial" w:hAnsi="Arial" w:cs="Arial"/>
          <w:iCs/>
          <w:color w:val="104875"/>
          <w:sz w:val="20"/>
          <w:szCs w:val="20"/>
        </w:rPr>
        <w:t>da</w:t>
      </w:r>
      <w:r w:rsidRPr="002F4975">
        <w:rPr>
          <w:rFonts w:ascii="Arial" w:hAnsi="Arial" w:cs="Arial"/>
          <w:iCs/>
          <w:color w:val="104875"/>
          <w:sz w:val="20"/>
          <w:szCs w:val="20"/>
        </w:rPr>
        <w:t>i mesi estivi una riduzione delle esportazioni.</w:t>
      </w:r>
    </w:p>
    <w:p w14:paraId="76A6808B" w14:textId="241F9400" w:rsidR="00485CC8" w:rsidRDefault="00485CC8" w:rsidP="00485CC8">
      <w:pPr>
        <w:suppressAutoHyphens/>
        <w:spacing w:after="80"/>
        <w:jc w:val="both"/>
        <w:rPr>
          <w:rFonts w:ascii="Arial" w:hAnsi="Arial" w:cs="Arial"/>
          <w:iCs/>
          <w:color w:val="104875"/>
          <w:sz w:val="20"/>
          <w:szCs w:val="20"/>
        </w:rPr>
      </w:pPr>
      <w:r w:rsidRPr="00B27587">
        <w:rPr>
          <w:rFonts w:ascii="Arial" w:hAnsi="Arial" w:cs="Arial"/>
          <w:iCs/>
          <w:color w:val="104875"/>
          <w:sz w:val="20"/>
          <w:szCs w:val="20"/>
        </w:rPr>
        <w:t xml:space="preserve">Nell’analizzare la dinamica dell’interscambio commerciale del settore farmaceutico, è importante evidenziare il ruolo particolarmente rilevante delle imprese multinazionali. In Italia, le imprese </w:t>
      </w:r>
      <w:r>
        <w:rPr>
          <w:rFonts w:ascii="Arial" w:hAnsi="Arial" w:cs="Arial"/>
          <w:iCs/>
          <w:color w:val="104875"/>
          <w:sz w:val="20"/>
          <w:szCs w:val="20"/>
        </w:rPr>
        <w:t xml:space="preserve">attive nel settore farmaceutico e </w:t>
      </w:r>
      <w:r w:rsidRPr="00B27587">
        <w:rPr>
          <w:rFonts w:ascii="Arial" w:hAnsi="Arial" w:cs="Arial"/>
          <w:iCs/>
          <w:color w:val="104875"/>
          <w:sz w:val="20"/>
          <w:szCs w:val="20"/>
        </w:rPr>
        <w:t xml:space="preserve">controllate da multinazionali estere rappresentavano nel 2023 </w:t>
      </w:r>
      <w:r w:rsidR="00C97D27">
        <w:rPr>
          <w:rFonts w:ascii="Arial" w:hAnsi="Arial" w:cs="Arial"/>
          <w:iCs/>
          <w:color w:val="104875"/>
          <w:sz w:val="20"/>
          <w:szCs w:val="20"/>
        </w:rPr>
        <w:t xml:space="preserve">(ultimo anno disponibile) </w:t>
      </w:r>
      <w:r w:rsidRPr="00B27587">
        <w:rPr>
          <w:rFonts w:ascii="Arial" w:hAnsi="Arial" w:cs="Arial"/>
          <w:iCs/>
          <w:color w:val="104875"/>
          <w:sz w:val="20"/>
          <w:szCs w:val="20"/>
        </w:rPr>
        <w:t>più di un quarto del totale delle imprese</w:t>
      </w:r>
      <w:r>
        <w:rPr>
          <w:rFonts w:ascii="Arial" w:hAnsi="Arial" w:cs="Arial"/>
          <w:iCs/>
          <w:color w:val="104875"/>
          <w:sz w:val="20"/>
          <w:szCs w:val="20"/>
        </w:rPr>
        <w:t xml:space="preserve"> </w:t>
      </w:r>
      <w:r w:rsidRPr="00B502A4">
        <w:rPr>
          <w:rFonts w:ascii="Arial" w:hAnsi="Arial" w:cs="Arial"/>
          <w:iCs/>
          <w:color w:val="104875"/>
          <w:sz w:val="20"/>
          <w:szCs w:val="20"/>
        </w:rPr>
        <w:t>farmaceutiche</w:t>
      </w:r>
      <w:r w:rsidRPr="00B27587">
        <w:rPr>
          <w:rFonts w:ascii="Arial" w:hAnsi="Arial" w:cs="Arial"/>
          <w:iCs/>
          <w:color w:val="104875"/>
          <w:sz w:val="20"/>
          <w:szCs w:val="20"/>
        </w:rPr>
        <w:t xml:space="preserve"> residenti in Italia (il 27,1%)</w:t>
      </w:r>
      <w:r w:rsidRPr="00B502A4">
        <w:rPr>
          <w:rFonts w:cs="Arial"/>
          <w:vertAlign w:val="superscript"/>
        </w:rPr>
        <w:footnoteReference w:id="5"/>
      </w:r>
      <w:r w:rsidRPr="00B27587">
        <w:rPr>
          <w:rFonts w:ascii="Arial" w:hAnsi="Arial" w:cs="Arial"/>
          <w:iCs/>
          <w:color w:val="104875"/>
          <w:sz w:val="20"/>
          <w:szCs w:val="20"/>
        </w:rPr>
        <w:t>, occupavano il 52,9% del totale degli addetti del comparto, e ne determi</w:t>
      </w:r>
      <w:r>
        <w:rPr>
          <w:rFonts w:ascii="Arial" w:hAnsi="Arial" w:cs="Arial"/>
          <w:iCs/>
          <w:color w:val="104875"/>
          <w:sz w:val="20"/>
          <w:szCs w:val="20"/>
        </w:rPr>
        <w:t xml:space="preserve">navano il 47,6% del fatturato, </w:t>
      </w:r>
      <w:r w:rsidRPr="00B27587">
        <w:rPr>
          <w:rFonts w:ascii="Arial" w:hAnsi="Arial" w:cs="Arial"/>
          <w:iCs/>
          <w:color w:val="104875"/>
          <w:sz w:val="20"/>
          <w:szCs w:val="20"/>
        </w:rPr>
        <w:t>il 45,9% del valore aggiunto complessivo</w:t>
      </w:r>
      <w:r>
        <w:rPr>
          <w:rFonts w:ascii="Arial" w:hAnsi="Arial" w:cs="Arial"/>
          <w:iCs/>
          <w:color w:val="104875"/>
          <w:sz w:val="20"/>
          <w:szCs w:val="20"/>
        </w:rPr>
        <w:t xml:space="preserve"> e il 45,5% del totale della spesa in Ricerca e Sviluppo</w:t>
      </w:r>
      <w:r w:rsidRPr="00B27587">
        <w:rPr>
          <w:rFonts w:ascii="Arial" w:hAnsi="Arial" w:cs="Arial"/>
          <w:iCs/>
          <w:color w:val="104875"/>
          <w:sz w:val="20"/>
          <w:szCs w:val="20"/>
        </w:rPr>
        <w:t xml:space="preserve">. </w:t>
      </w:r>
    </w:p>
    <w:p w14:paraId="6C9E5B5D" w14:textId="65180464" w:rsidR="00485CC8" w:rsidRDefault="00485CC8" w:rsidP="00485CC8">
      <w:pPr>
        <w:suppressAutoHyphens/>
        <w:spacing w:after="80"/>
        <w:jc w:val="both"/>
        <w:rPr>
          <w:rFonts w:ascii="Arial" w:hAnsi="Arial" w:cs="Arial"/>
          <w:iCs/>
          <w:color w:val="104875"/>
          <w:sz w:val="20"/>
          <w:szCs w:val="20"/>
        </w:rPr>
      </w:pPr>
      <w:r w:rsidRPr="00B27587">
        <w:rPr>
          <w:rFonts w:ascii="Arial" w:hAnsi="Arial" w:cs="Arial"/>
          <w:iCs/>
          <w:color w:val="104875"/>
          <w:sz w:val="20"/>
          <w:szCs w:val="20"/>
        </w:rPr>
        <w:lastRenderedPageBreak/>
        <w:t xml:space="preserve">La metà di queste unità appartenente a un gruppo multinazionale </w:t>
      </w:r>
      <w:r>
        <w:rPr>
          <w:rFonts w:ascii="Arial" w:hAnsi="Arial" w:cs="Arial"/>
          <w:iCs/>
          <w:color w:val="104875"/>
          <w:sz w:val="20"/>
          <w:szCs w:val="20"/>
        </w:rPr>
        <w:t xml:space="preserve">estero </w:t>
      </w:r>
      <w:r w:rsidR="00C97D27">
        <w:rPr>
          <w:rFonts w:ascii="Arial" w:hAnsi="Arial" w:cs="Arial"/>
          <w:iCs/>
          <w:color w:val="104875"/>
          <w:sz w:val="20"/>
          <w:szCs w:val="20"/>
        </w:rPr>
        <w:t xml:space="preserve">risultava </w:t>
      </w:r>
      <w:r w:rsidRPr="00B27587">
        <w:rPr>
          <w:rFonts w:ascii="Arial" w:hAnsi="Arial" w:cs="Arial"/>
          <w:iCs/>
          <w:color w:val="104875"/>
          <w:sz w:val="20"/>
          <w:szCs w:val="20"/>
        </w:rPr>
        <w:t>con sede in un paese dell’Ue, poco meno di un quarto (il 24%) a un gruppo con sede nel Nord America. Le esportazioni delle unità a controllo estero, inoltre, determinavano più della metà delle vendite del comparto (il 61,4% nel 2023</w:t>
      </w:r>
      <w:r>
        <w:rPr>
          <w:rFonts w:ascii="Arial" w:hAnsi="Arial" w:cs="Arial"/>
          <w:iCs/>
          <w:color w:val="104875"/>
          <w:sz w:val="20"/>
          <w:szCs w:val="20"/>
        </w:rPr>
        <w:t>)</w:t>
      </w:r>
      <w:r w:rsidRPr="00B27587">
        <w:rPr>
          <w:rFonts w:ascii="Arial" w:hAnsi="Arial" w:cs="Arial"/>
          <w:iCs/>
          <w:color w:val="104875"/>
          <w:sz w:val="20"/>
          <w:szCs w:val="20"/>
        </w:rPr>
        <w:t xml:space="preserve"> e il 71,2% delle importazioni; una parte cospicua de</w:t>
      </w:r>
      <w:r w:rsidR="00614802">
        <w:rPr>
          <w:rFonts w:ascii="Arial" w:hAnsi="Arial" w:cs="Arial"/>
          <w:iCs/>
          <w:color w:val="104875"/>
          <w:sz w:val="20"/>
          <w:szCs w:val="20"/>
        </w:rPr>
        <w:t>l totale de</w:t>
      </w:r>
      <w:r w:rsidRPr="00B27587">
        <w:rPr>
          <w:rFonts w:ascii="Arial" w:hAnsi="Arial" w:cs="Arial"/>
          <w:iCs/>
          <w:color w:val="104875"/>
          <w:sz w:val="20"/>
          <w:szCs w:val="20"/>
        </w:rPr>
        <w:t xml:space="preserve">i flussi </w:t>
      </w:r>
      <w:r>
        <w:rPr>
          <w:rFonts w:ascii="Arial" w:hAnsi="Arial" w:cs="Arial"/>
          <w:iCs/>
          <w:color w:val="104875"/>
          <w:sz w:val="20"/>
          <w:szCs w:val="20"/>
        </w:rPr>
        <w:t xml:space="preserve">commerciali </w:t>
      </w:r>
      <w:r w:rsidR="00614802">
        <w:rPr>
          <w:rFonts w:ascii="Arial" w:hAnsi="Arial" w:cs="Arial"/>
          <w:iCs/>
          <w:color w:val="104875"/>
          <w:sz w:val="20"/>
          <w:szCs w:val="20"/>
        </w:rPr>
        <w:t xml:space="preserve">attivati da multinazionali estere nel settore farmaceutico </w:t>
      </w:r>
      <w:r w:rsidRPr="00B27587">
        <w:rPr>
          <w:rFonts w:ascii="Arial" w:hAnsi="Arial" w:cs="Arial"/>
          <w:iCs/>
          <w:color w:val="104875"/>
          <w:sz w:val="20"/>
          <w:szCs w:val="20"/>
        </w:rPr>
        <w:t xml:space="preserve">(circa il 44%) è, inoltre, attribuibile a scambi intra-gruppo. </w:t>
      </w:r>
    </w:p>
    <w:p w14:paraId="656D4F1C" w14:textId="77777777" w:rsidR="00943D6C" w:rsidRPr="00B27587" w:rsidRDefault="00943D6C" w:rsidP="00485CC8">
      <w:pPr>
        <w:suppressAutoHyphens/>
        <w:spacing w:after="80"/>
        <w:jc w:val="both"/>
        <w:rPr>
          <w:rFonts w:ascii="Arial" w:hAnsi="Arial" w:cs="Arial"/>
          <w:iCs/>
          <w:color w:val="104875"/>
          <w:sz w:val="20"/>
          <w:szCs w:val="20"/>
        </w:rPr>
      </w:pPr>
    </w:p>
    <w:p w14:paraId="1223FD31" w14:textId="77777777" w:rsidR="00485CC8" w:rsidRPr="00943D6C" w:rsidRDefault="00485CC8" w:rsidP="00485CC8">
      <w:pPr>
        <w:suppressAutoHyphens/>
        <w:spacing w:after="80"/>
        <w:jc w:val="both"/>
        <w:rPr>
          <w:rFonts w:ascii="Arial" w:hAnsi="Arial" w:cs="Arial"/>
          <w:iCs/>
          <w:color w:val="104875"/>
          <w:sz w:val="20"/>
          <w:szCs w:val="20"/>
        </w:rPr>
      </w:pPr>
      <w:r w:rsidRPr="0050029E">
        <w:rPr>
          <w:rFonts w:ascii="Arial Narrow" w:hAnsi="Arial Narrow" w:cs="Arial"/>
          <w:b/>
          <w:iCs/>
          <w:noProof/>
          <w:color w:val="00817F"/>
          <w:sz w:val="22"/>
          <w:szCs w:val="22"/>
        </w:rPr>
        <w:t>FIG</w:t>
      </w:r>
      <w:r w:rsidRPr="00781A4E">
        <w:rPr>
          <w:rFonts w:ascii="Arial Narrow" w:hAnsi="Arial Narrow" w:cs="Arial"/>
          <w:b/>
          <w:iCs/>
          <w:noProof/>
          <w:color w:val="00817F"/>
          <w:sz w:val="22"/>
          <w:szCs w:val="22"/>
        </w:rPr>
        <w:t>URA</w:t>
      </w:r>
      <w:r w:rsidRPr="0050029E">
        <w:rPr>
          <w:rFonts w:ascii="Arial Narrow" w:hAnsi="Arial Narrow" w:cs="Arial"/>
          <w:b/>
          <w:iCs/>
          <w:noProof/>
          <w:color w:val="00817F"/>
          <w:sz w:val="22"/>
          <w:szCs w:val="22"/>
        </w:rPr>
        <w:t xml:space="preserve"> F</w:t>
      </w:r>
      <w:r>
        <w:rPr>
          <w:rFonts w:ascii="Arial Narrow" w:hAnsi="Arial Narrow" w:cs="Arial"/>
          <w:b/>
          <w:iCs/>
          <w:noProof/>
          <w:color w:val="00817F"/>
          <w:sz w:val="22"/>
          <w:szCs w:val="22"/>
        </w:rPr>
        <w:t>2</w:t>
      </w:r>
      <w:r w:rsidRPr="0050029E">
        <w:rPr>
          <w:rFonts w:ascii="Arial Narrow" w:hAnsi="Arial Narrow" w:cs="Arial"/>
          <w:b/>
          <w:iCs/>
          <w:noProof/>
          <w:color w:val="00817F"/>
          <w:sz w:val="22"/>
          <w:szCs w:val="22"/>
        </w:rPr>
        <w:t>.</w:t>
      </w:r>
      <w:r>
        <w:rPr>
          <w:rFonts w:ascii="Arial Narrow" w:hAnsi="Arial Narrow" w:cs="Arial"/>
          <w:b/>
          <w:iCs/>
          <w:noProof/>
          <w:color w:val="595959" w:themeColor="text1" w:themeTint="A6"/>
          <w:spacing w:val="2"/>
          <w:sz w:val="22"/>
          <w:szCs w:val="22"/>
        </w:rPr>
        <w:t xml:space="preserve"> </w:t>
      </w:r>
      <w:r w:rsidRPr="0035440E">
        <w:rPr>
          <w:rFonts w:ascii="Arial Narrow" w:hAnsi="Arial Narrow" w:cs="Arial"/>
          <w:b/>
          <w:iCs/>
          <w:noProof/>
          <w:color w:val="595959" w:themeColor="text1" w:themeTint="A6"/>
          <w:spacing w:val="2"/>
          <w:sz w:val="22"/>
          <w:szCs w:val="22"/>
        </w:rPr>
        <w:t>S</w:t>
      </w:r>
      <w:r>
        <w:rPr>
          <w:rFonts w:ascii="Arial Narrow" w:hAnsi="Arial Narrow" w:cs="Arial"/>
          <w:b/>
          <w:iCs/>
          <w:noProof/>
          <w:color w:val="595959" w:themeColor="text1" w:themeTint="A6"/>
          <w:spacing w:val="2"/>
          <w:sz w:val="22"/>
          <w:szCs w:val="22"/>
        </w:rPr>
        <w:t xml:space="preserve">CAMBI MENSILI DI PRODOTTI FARMACEUTICI DELL’ITALIA PER MERCATO DI DESTINAZIONE/PROVENIENZA. </w:t>
      </w:r>
      <w:r w:rsidRPr="00943D6C">
        <w:rPr>
          <w:rFonts w:ascii="Arial Narrow" w:hAnsi="Arial Narrow" w:cs="Arial"/>
          <w:bCs/>
          <w:iCs/>
          <w:noProof/>
          <w:color w:val="595959" w:themeColor="text1" w:themeTint="A6"/>
          <w:spacing w:val="2"/>
          <w:sz w:val="20"/>
          <w:szCs w:val="20"/>
        </w:rPr>
        <w:t>Gennaio 2024- Ottobre 2025. Numeri indice gennaio 2024=100 (medie mobili)</w:t>
      </w:r>
    </w:p>
    <w:tbl>
      <w:tblPr>
        <w:tblStyle w:val="Grigliatabella"/>
        <w:tblW w:w="10201" w:type="dxa"/>
        <w:tblInd w:w="-3" w:type="dxa"/>
        <w:tblLayout w:type="fixed"/>
        <w:tblCellMar>
          <w:left w:w="70" w:type="dxa"/>
          <w:right w:w="70" w:type="dxa"/>
        </w:tblCellMar>
        <w:tblLook w:val="04A0" w:firstRow="1" w:lastRow="0" w:firstColumn="1" w:lastColumn="0" w:noHBand="0" w:noVBand="1"/>
      </w:tblPr>
      <w:tblGrid>
        <w:gridCol w:w="5100"/>
        <w:gridCol w:w="5101"/>
      </w:tblGrid>
      <w:tr w:rsidR="00485CC8" w14:paraId="75BCC390" w14:textId="77777777" w:rsidTr="002F50DA">
        <w:trPr>
          <w:trHeight w:val="3402"/>
        </w:trPr>
        <w:tc>
          <w:tcPr>
            <w:tcW w:w="510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9B504C4" w14:textId="77777777" w:rsidR="00485CC8" w:rsidRPr="00E623BE" w:rsidRDefault="00485CC8" w:rsidP="002F50DA">
            <w:pPr>
              <w:pStyle w:val="016testobulletprimapagina"/>
              <w:spacing w:before="120" w:after="120" w:line="240" w:lineRule="auto"/>
              <w:ind w:left="0" w:right="-6"/>
              <w:rPr>
                <w:sz w:val="12"/>
              </w:rPr>
            </w:pPr>
            <w:r>
              <w:rPr>
                <w:noProof/>
              </w:rPr>
              <w:drawing>
                <wp:inline distT="0" distB="0" distL="0" distR="0" wp14:anchorId="2BC50261" wp14:editId="4A5D62BF">
                  <wp:extent cx="3118853" cy="2131200"/>
                  <wp:effectExtent l="0" t="0" r="5715" b="2540"/>
                  <wp:docPr id="7" name="Grafico 7">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847D04" w14:textId="77777777" w:rsidR="00485CC8" w:rsidRDefault="00485CC8" w:rsidP="002F50DA">
            <w:pPr>
              <w:pStyle w:val="016testobulletprimapagina"/>
              <w:spacing w:before="120" w:after="120" w:line="240" w:lineRule="auto"/>
              <w:ind w:left="0" w:right="-8"/>
            </w:pPr>
            <w:r>
              <w:rPr>
                <w:noProof/>
              </w:rPr>
              <w:drawing>
                <wp:inline distT="0" distB="0" distL="0" distR="0" wp14:anchorId="4EB00A0C" wp14:editId="0BD40A2D">
                  <wp:extent cx="3118853" cy="2131200"/>
                  <wp:effectExtent l="0" t="0" r="5715" b="2540"/>
                  <wp:docPr id="8" name="Grafico 8">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14:paraId="65A76598" w14:textId="77777777" w:rsidR="00485CC8" w:rsidRDefault="00485CC8" w:rsidP="00943D6C">
      <w:pPr>
        <w:spacing w:before="60"/>
        <w:rPr>
          <w:rFonts w:ascii="Arial Narrow" w:hAnsi="Arial Narrow"/>
          <w:sz w:val="15"/>
          <w:szCs w:val="15"/>
        </w:rPr>
      </w:pPr>
      <w:r w:rsidRPr="00F67631">
        <w:rPr>
          <w:rFonts w:ascii="Arial Narrow" w:hAnsi="Arial Narrow"/>
          <w:sz w:val="15"/>
          <w:szCs w:val="15"/>
        </w:rPr>
        <w:t xml:space="preserve">Fonte: </w:t>
      </w:r>
      <w:r>
        <w:rPr>
          <w:rFonts w:ascii="Arial Narrow" w:hAnsi="Arial Narrow"/>
          <w:sz w:val="15"/>
          <w:szCs w:val="15"/>
        </w:rPr>
        <w:t>Elaborazioni su dati I</w:t>
      </w:r>
      <w:r w:rsidRPr="00F67631">
        <w:rPr>
          <w:rFonts w:ascii="Arial Narrow" w:hAnsi="Arial Narrow"/>
          <w:sz w:val="15"/>
          <w:szCs w:val="15"/>
        </w:rPr>
        <w:t>stat</w:t>
      </w:r>
    </w:p>
    <w:p w14:paraId="61F16E61" w14:textId="77777777" w:rsidR="00485CC8" w:rsidRDefault="00485CC8" w:rsidP="00485CC8">
      <w:pPr>
        <w:suppressAutoHyphens/>
        <w:spacing w:after="80"/>
        <w:jc w:val="both"/>
        <w:rPr>
          <w:rFonts w:ascii="Arial" w:hAnsi="Arial" w:cs="Arial"/>
          <w:iCs/>
          <w:color w:val="104875"/>
          <w:sz w:val="20"/>
          <w:szCs w:val="20"/>
        </w:rPr>
      </w:pPr>
    </w:p>
    <w:p w14:paraId="06246A3D" w14:textId="0664ABD3" w:rsidR="00485CC8" w:rsidRPr="00B502A4" w:rsidRDefault="00485CC8" w:rsidP="00485CC8">
      <w:pPr>
        <w:suppressAutoHyphens/>
        <w:spacing w:after="80"/>
        <w:jc w:val="both"/>
        <w:rPr>
          <w:rFonts w:ascii="Arial" w:hAnsi="Arial" w:cs="Arial"/>
          <w:iCs/>
          <w:color w:val="104875"/>
          <w:sz w:val="20"/>
          <w:szCs w:val="20"/>
        </w:rPr>
      </w:pPr>
      <w:r w:rsidRPr="00B502A4">
        <w:rPr>
          <w:rFonts w:ascii="Arial" w:hAnsi="Arial" w:cs="Arial"/>
          <w:iCs/>
          <w:color w:val="104875"/>
          <w:sz w:val="20"/>
          <w:szCs w:val="20"/>
        </w:rPr>
        <w:t>Più in generale, considerato il notevole peso delle multinazionali a cont</w:t>
      </w:r>
      <w:r w:rsidR="009C447C">
        <w:rPr>
          <w:rFonts w:ascii="Arial" w:hAnsi="Arial" w:cs="Arial"/>
          <w:iCs/>
          <w:color w:val="104875"/>
          <w:sz w:val="20"/>
          <w:szCs w:val="20"/>
        </w:rPr>
        <w:t>rollo estero sulla produzione e</w:t>
      </w:r>
      <w:r w:rsidRPr="00B502A4">
        <w:rPr>
          <w:rFonts w:ascii="Arial" w:hAnsi="Arial" w:cs="Arial"/>
          <w:iCs/>
          <w:color w:val="104875"/>
          <w:sz w:val="20"/>
          <w:szCs w:val="20"/>
        </w:rPr>
        <w:t xml:space="preserve"> ancor più sull'interscambio commerciale del settore farmac</w:t>
      </w:r>
      <w:r>
        <w:rPr>
          <w:rFonts w:ascii="Arial" w:hAnsi="Arial" w:cs="Arial"/>
          <w:iCs/>
          <w:color w:val="104875"/>
          <w:sz w:val="20"/>
          <w:szCs w:val="20"/>
        </w:rPr>
        <w:t>eutico (</w:t>
      </w:r>
      <w:r w:rsidR="00614802">
        <w:rPr>
          <w:rFonts w:ascii="Arial" w:hAnsi="Arial" w:cs="Arial"/>
          <w:iCs/>
          <w:color w:val="104875"/>
          <w:sz w:val="20"/>
          <w:szCs w:val="20"/>
        </w:rPr>
        <w:t xml:space="preserve">flussi </w:t>
      </w:r>
      <w:r>
        <w:rPr>
          <w:rFonts w:ascii="Arial" w:hAnsi="Arial" w:cs="Arial"/>
          <w:iCs/>
          <w:color w:val="104875"/>
          <w:sz w:val="20"/>
          <w:szCs w:val="20"/>
        </w:rPr>
        <w:t xml:space="preserve">totali e intra-gruppo), </w:t>
      </w:r>
      <w:r w:rsidRPr="00B502A4">
        <w:rPr>
          <w:rFonts w:ascii="Arial" w:hAnsi="Arial" w:cs="Arial"/>
          <w:iCs/>
          <w:color w:val="104875"/>
          <w:sz w:val="20"/>
          <w:szCs w:val="20"/>
        </w:rPr>
        <w:t>le strategie da queste adottate a livello globale per fronteggiare i dazi statunitensi potrebbero incidere in misura rilevante sulle dinamiche dell’interscambio commerciale</w:t>
      </w:r>
      <w:r>
        <w:rPr>
          <w:rFonts w:ascii="Arial" w:hAnsi="Arial" w:cs="Arial"/>
          <w:iCs/>
          <w:color w:val="104875"/>
          <w:sz w:val="20"/>
          <w:szCs w:val="20"/>
        </w:rPr>
        <w:t xml:space="preserve"> </w:t>
      </w:r>
      <w:r w:rsidRPr="00B502A4">
        <w:rPr>
          <w:rFonts w:ascii="Arial" w:hAnsi="Arial" w:cs="Arial"/>
          <w:iCs/>
          <w:color w:val="104875"/>
          <w:sz w:val="20"/>
          <w:szCs w:val="20"/>
        </w:rPr>
        <w:t>di questo settore nei prossimi mesi.</w:t>
      </w:r>
    </w:p>
    <w:p w14:paraId="3E0C6853" w14:textId="77777777" w:rsidR="00485CC8" w:rsidRDefault="00485CC8" w:rsidP="00485CC8">
      <w:pPr>
        <w:spacing w:after="120"/>
        <w:jc w:val="both"/>
        <w:rPr>
          <w:rFonts w:ascii="Arial" w:hAnsi="Arial" w:cs="Arial"/>
          <w:highlight w:val="yellow"/>
        </w:rPr>
      </w:pPr>
    </w:p>
    <w:p w14:paraId="7D0AFA89" w14:textId="77777777" w:rsidR="00485CC8" w:rsidRDefault="00485CC8" w:rsidP="00485CC8">
      <w:pPr>
        <w:spacing w:after="120"/>
        <w:jc w:val="both"/>
        <w:rPr>
          <w:rFonts w:ascii="Arial" w:hAnsi="Arial" w:cs="Arial"/>
          <w:highlight w:val="yellow"/>
        </w:rPr>
      </w:pPr>
    </w:p>
    <w:p w14:paraId="293A576D" w14:textId="77777777" w:rsidR="00485CC8" w:rsidRDefault="00485CC8" w:rsidP="00485CC8">
      <w:pPr>
        <w:spacing w:after="120"/>
        <w:jc w:val="both"/>
        <w:rPr>
          <w:rFonts w:ascii="Arial" w:hAnsi="Arial" w:cs="Arial"/>
          <w:highlight w:val="yellow"/>
        </w:rPr>
      </w:pPr>
    </w:p>
    <w:p w14:paraId="3E38BB9A" w14:textId="3B74C9E0" w:rsidR="00485CC8" w:rsidRDefault="00485CC8" w:rsidP="00485CC8">
      <w:pPr>
        <w:spacing w:after="120"/>
        <w:jc w:val="both"/>
        <w:rPr>
          <w:rFonts w:ascii="Arial" w:hAnsi="Arial" w:cs="Arial"/>
          <w:highlight w:val="yellow"/>
        </w:rPr>
      </w:pPr>
    </w:p>
    <w:p w14:paraId="0A7173D0" w14:textId="15F61E5B" w:rsidR="00A914C0" w:rsidRDefault="00A914C0" w:rsidP="00485CC8">
      <w:pPr>
        <w:spacing w:after="120"/>
        <w:jc w:val="both"/>
        <w:rPr>
          <w:rFonts w:ascii="Arial" w:hAnsi="Arial" w:cs="Arial"/>
          <w:highlight w:val="yellow"/>
        </w:rPr>
      </w:pPr>
    </w:p>
    <w:p w14:paraId="1DF736D8" w14:textId="782A8770" w:rsidR="00A914C0" w:rsidRDefault="00A914C0" w:rsidP="00485CC8">
      <w:pPr>
        <w:spacing w:after="120"/>
        <w:jc w:val="both"/>
        <w:rPr>
          <w:rFonts w:ascii="Arial" w:hAnsi="Arial" w:cs="Arial"/>
          <w:highlight w:val="yellow"/>
        </w:rPr>
      </w:pPr>
    </w:p>
    <w:p w14:paraId="129ABD90" w14:textId="0C8397CD" w:rsidR="00A914C0" w:rsidRDefault="00A914C0" w:rsidP="00485CC8">
      <w:pPr>
        <w:spacing w:after="120"/>
        <w:jc w:val="both"/>
        <w:rPr>
          <w:rFonts w:ascii="Arial" w:hAnsi="Arial" w:cs="Arial"/>
          <w:highlight w:val="yellow"/>
        </w:rPr>
      </w:pPr>
    </w:p>
    <w:p w14:paraId="2F634A3F" w14:textId="38F556A7" w:rsidR="00A914C0" w:rsidRDefault="00A914C0" w:rsidP="00485CC8">
      <w:pPr>
        <w:spacing w:after="120"/>
        <w:jc w:val="both"/>
        <w:rPr>
          <w:rFonts w:ascii="Arial" w:hAnsi="Arial" w:cs="Arial"/>
          <w:highlight w:val="yellow"/>
        </w:rPr>
      </w:pPr>
    </w:p>
    <w:p w14:paraId="370A1212" w14:textId="41108E66" w:rsidR="00A914C0" w:rsidRDefault="00A914C0" w:rsidP="00485CC8">
      <w:pPr>
        <w:spacing w:after="120"/>
        <w:jc w:val="both"/>
        <w:rPr>
          <w:rFonts w:ascii="Arial" w:hAnsi="Arial" w:cs="Arial"/>
          <w:highlight w:val="yellow"/>
        </w:rPr>
      </w:pPr>
    </w:p>
    <w:p w14:paraId="3333A9C2" w14:textId="77777777" w:rsidR="00A914C0" w:rsidRDefault="00A914C0" w:rsidP="00485CC8">
      <w:pPr>
        <w:spacing w:after="120"/>
        <w:jc w:val="both"/>
        <w:rPr>
          <w:rFonts w:ascii="Arial" w:hAnsi="Arial" w:cs="Arial"/>
          <w:highlight w:val="yellow"/>
        </w:rPr>
      </w:pPr>
    </w:p>
    <w:p w14:paraId="2181D5F8" w14:textId="77777777" w:rsidR="00485CC8" w:rsidRDefault="00485CC8" w:rsidP="00485CC8">
      <w:pPr>
        <w:spacing w:after="120"/>
        <w:jc w:val="both"/>
        <w:rPr>
          <w:rFonts w:ascii="Arial" w:hAnsi="Arial" w:cs="Arial"/>
          <w:highlight w:val="yellow"/>
        </w:rPr>
      </w:pPr>
    </w:p>
    <w:p w14:paraId="0CFA4877" w14:textId="77777777" w:rsidR="00485CC8" w:rsidRDefault="00485CC8" w:rsidP="00485CC8">
      <w:pPr>
        <w:spacing w:after="120"/>
        <w:jc w:val="both"/>
        <w:rPr>
          <w:rFonts w:ascii="Arial" w:hAnsi="Arial" w:cs="Arial"/>
          <w:highlight w:val="yellow"/>
        </w:rPr>
      </w:pPr>
    </w:p>
    <w:p w14:paraId="78BAA7A3" w14:textId="2B7C15D9" w:rsidR="00485CC8" w:rsidRPr="00943D6C" w:rsidRDefault="00943D6C" w:rsidP="00485CC8">
      <w:pPr>
        <w:spacing w:after="120"/>
        <w:jc w:val="both"/>
        <w:rPr>
          <w:rFonts w:ascii="Arial" w:hAnsi="Arial" w:cs="Arial"/>
          <w:bCs/>
          <w:color w:val="008080"/>
          <w:sz w:val="40"/>
          <w:szCs w:val="40"/>
          <w:bdr w:val="none" w:sz="0" w:space="0" w:color="auto"/>
          <w:lang w:eastAsia="it-IT"/>
        </w:rPr>
      </w:pPr>
      <w:r w:rsidRPr="002938E6">
        <w:rPr>
          <w:rFonts w:ascii="Times New Roman" w:eastAsia="Times New Roman" w:hAnsi="Times New Roman" w:cs="Times New Roman"/>
          <w:noProof/>
          <w:lang w:eastAsia="it-IT"/>
        </w:rPr>
        <mc:AlternateContent>
          <mc:Choice Requires="wps">
            <w:drawing>
              <wp:anchor distT="4294967295" distB="4294967295" distL="114300" distR="114300" simplePos="0" relativeHeight="251665408" behindDoc="0" locked="0" layoutInCell="1" allowOverlap="1" wp14:anchorId="5CED670D" wp14:editId="4451391B">
                <wp:simplePos x="0" y="0"/>
                <wp:positionH relativeFrom="column">
                  <wp:posOffset>2540</wp:posOffset>
                </wp:positionH>
                <wp:positionV relativeFrom="paragraph">
                  <wp:posOffset>336550</wp:posOffset>
                </wp:positionV>
                <wp:extent cx="4848225" cy="0"/>
                <wp:effectExtent l="0" t="0" r="28575" b="19050"/>
                <wp:wrapNone/>
                <wp:docPr id="16" name="Connettore dirit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48225" cy="0"/>
                        </a:xfrm>
                        <a:prstGeom prst="line">
                          <a:avLst/>
                        </a:prstGeom>
                        <a:noFill/>
                        <a:ln w="9525"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E2872B" id="Connettore diritto 1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26.5pt" to="381.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" strokecolor="#7f7f7f">
                <v:stroke joinstyle="miter"/>
                <o:lock v:ext="edit" shapetype="f"/>
              </v:line>
            </w:pict>
          </mc:Fallback>
        </mc:AlternateContent>
      </w:r>
      <w:r w:rsidRPr="00943D6C">
        <w:rPr>
          <w:rFonts w:ascii="Arial" w:hAnsi="Arial" w:cs="Arial"/>
          <w:bCs/>
          <w:color w:val="008080"/>
          <w:sz w:val="40"/>
          <w:szCs w:val="40"/>
          <w:bdr w:val="none" w:sz="0" w:space="0" w:color="auto"/>
          <w:lang w:eastAsia="it-IT"/>
        </w:rPr>
        <w:t>Per chiarimenti tecnici e metodologici</w:t>
      </w:r>
    </w:p>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94"/>
        <w:gridCol w:w="5094"/>
      </w:tblGrid>
      <w:tr w:rsidR="00943D6C" w14:paraId="47A9FDB7" w14:textId="77777777" w:rsidTr="00026D80">
        <w:tc>
          <w:tcPr>
            <w:tcW w:w="5094" w:type="dxa"/>
          </w:tcPr>
          <w:p w14:paraId="20F59C55" w14:textId="77777777" w:rsidR="00943D6C" w:rsidRDefault="00943D6C" w:rsidP="00026D80">
            <w:pPr>
              <w:spacing w:after="0"/>
              <w:rPr>
                <w:rFonts w:ascii="Arial" w:hAnsi="Arial" w:cs="Arial"/>
                <w:b/>
                <w:bCs/>
                <w:color w:val="008080"/>
                <w:sz w:val="22"/>
                <w:szCs w:val="22"/>
              </w:rPr>
            </w:pPr>
          </w:p>
          <w:p w14:paraId="2E0DF2B1" w14:textId="32DB4512" w:rsidR="00943D6C" w:rsidRPr="002938E6" w:rsidRDefault="00943D6C" w:rsidP="00026D80">
            <w:pPr>
              <w:spacing w:after="0"/>
              <w:rPr>
                <w:rFonts w:ascii="Arial" w:hAnsi="Arial" w:cs="Arial"/>
                <w:b/>
                <w:bCs/>
                <w:color w:val="008080"/>
                <w:sz w:val="22"/>
                <w:szCs w:val="22"/>
              </w:rPr>
            </w:pPr>
            <w:r w:rsidRPr="002938E6">
              <w:rPr>
                <w:rFonts w:ascii="Arial" w:hAnsi="Arial" w:cs="Arial"/>
                <w:b/>
                <w:bCs/>
                <w:color w:val="008080"/>
                <w:sz w:val="22"/>
                <w:szCs w:val="22"/>
              </w:rPr>
              <w:t xml:space="preserve">Roberta De </w:t>
            </w:r>
            <w:proofErr w:type="spellStart"/>
            <w:r w:rsidRPr="002938E6">
              <w:rPr>
                <w:rFonts w:ascii="Arial" w:hAnsi="Arial" w:cs="Arial"/>
                <w:b/>
                <w:bCs/>
                <w:color w:val="008080"/>
                <w:sz w:val="22"/>
                <w:szCs w:val="22"/>
              </w:rPr>
              <w:t>Santis</w:t>
            </w:r>
            <w:proofErr w:type="spellEnd"/>
          </w:p>
          <w:p w14:paraId="68242F77" w14:textId="77777777" w:rsidR="00943D6C" w:rsidRPr="002938E6" w:rsidRDefault="00943D6C" w:rsidP="00026D80">
            <w:pPr>
              <w:spacing w:after="0"/>
              <w:rPr>
                <w:rFonts w:ascii="Arial" w:hAnsi="Arial" w:cs="Arial"/>
              </w:rPr>
            </w:pPr>
            <w:r w:rsidRPr="002938E6">
              <w:rPr>
                <w:rFonts w:ascii="Arial" w:hAnsi="Arial" w:cs="Arial"/>
              </w:rPr>
              <w:t>tel.+39 06 4673 7294</w:t>
            </w:r>
          </w:p>
          <w:p w14:paraId="4F3DC6CA" w14:textId="77777777" w:rsidR="00943D6C" w:rsidRDefault="00183679" w:rsidP="00026D80">
            <w:pPr>
              <w:spacing w:after="0"/>
              <w:rPr>
                <w:rFonts w:ascii="Arial" w:hAnsi="Arial" w:cs="Arial"/>
                <w:b/>
                <w:bCs/>
                <w:color w:val="008080"/>
                <w:sz w:val="22"/>
                <w:szCs w:val="22"/>
              </w:rPr>
            </w:pPr>
            <w:hyperlink r:id="rId41" w:history="1">
              <w:r w:rsidR="00943D6C" w:rsidRPr="002938E6">
                <w:rPr>
                  <w:rFonts w:ascii="Arial" w:eastAsiaTheme="majorEastAsia" w:hAnsi="Arial" w:cs="Arial"/>
                  <w:color w:val="0000FF"/>
                  <w:u w:val="single"/>
                </w:rPr>
                <w:t>rdesantis@istat.it</w:t>
              </w:r>
            </w:hyperlink>
          </w:p>
        </w:tc>
        <w:tc>
          <w:tcPr>
            <w:tcW w:w="5094" w:type="dxa"/>
          </w:tcPr>
          <w:p w14:paraId="503159DF" w14:textId="77777777" w:rsidR="00943D6C" w:rsidRDefault="00943D6C" w:rsidP="00026D80">
            <w:pPr>
              <w:spacing w:after="0"/>
              <w:rPr>
                <w:rFonts w:ascii="Arial" w:hAnsi="Arial" w:cs="Arial"/>
                <w:b/>
                <w:bCs/>
                <w:color w:val="008080"/>
                <w:sz w:val="22"/>
                <w:szCs w:val="22"/>
              </w:rPr>
            </w:pPr>
          </w:p>
          <w:p w14:paraId="10001611" w14:textId="77CB6011" w:rsidR="00943D6C" w:rsidRPr="002938E6" w:rsidRDefault="00943D6C" w:rsidP="00026D80">
            <w:pPr>
              <w:spacing w:after="0"/>
              <w:rPr>
                <w:rFonts w:ascii="Arial" w:hAnsi="Arial" w:cs="Arial"/>
                <w:b/>
                <w:bCs/>
                <w:color w:val="008080"/>
                <w:sz w:val="22"/>
                <w:szCs w:val="22"/>
              </w:rPr>
            </w:pPr>
            <w:r w:rsidRPr="002938E6">
              <w:rPr>
                <w:rFonts w:ascii="Arial" w:hAnsi="Arial" w:cs="Arial"/>
                <w:b/>
                <w:bCs/>
                <w:color w:val="008080"/>
                <w:sz w:val="22"/>
                <w:szCs w:val="22"/>
              </w:rPr>
              <w:t>Claudio Vicarelli</w:t>
            </w:r>
          </w:p>
          <w:p w14:paraId="6E5B461E" w14:textId="77777777" w:rsidR="00943D6C" w:rsidRPr="002938E6" w:rsidRDefault="00943D6C" w:rsidP="00026D80">
            <w:pPr>
              <w:spacing w:after="0"/>
              <w:rPr>
                <w:rFonts w:ascii="Arial" w:hAnsi="Arial" w:cs="Arial"/>
              </w:rPr>
            </w:pPr>
            <w:r w:rsidRPr="002938E6">
              <w:rPr>
                <w:rFonts w:ascii="Arial" w:hAnsi="Arial" w:cs="Arial"/>
              </w:rPr>
              <w:t>tel.+39 06 4673 7313</w:t>
            </w:r>
          </w:p>
          <w:p w14:paraId="3E9DD2BA" w14:textId="77777777" w:rsidR="00943D6C" w:rsidRDefault="00183679" w:rsidP="00026D80">
            <w:pPr>
              <w:spacing w:after="0"/>
              <w:rPr>
                <w:rFonts w:ascii="Arial" w:hAnsi="Arial" w:cs="Arial"/>
                <w:b/>
                <w:bCs/>
                <w:color w:val="008080"/>
                <w:sz w:val="22"/>
                <w:szCs w:val="22"/>
              </w:rPr>
            </w:pPr>
            <w:hyperlink r:id="rId42" w:history="1">
              <w:r w:rsidR="00943D6C" w:rsidRPr="002938E6">
                <w:rPr>
                  <w:rFonts w:ascii="Arial" w:eastAsiaTheme="majorEastAsia" w:hAnsi="Arial" w:cs="Arial"/>
                  <w:color w:val="0000FF"/>
                  <w:u w:val="single"/>
                </w:rPr>
                <w:t>cvicarelli@istat.it</w:t>
              </w:r>
            </w:hyperlink>
            <w:r w:rsidR="00943D6C" w:rsidRPr="002938E6">
              <w:rPr>
                <w:rFonts w:ascii="Arial" w:hAnsi="Arial" w:cs="Arial"/>
              </w:rPr>
              <w:t xml:space="preserve"> </w:t>
            </w:r>
            <w:r w:rsidR="00943D6C" w:rsidRPr="002938E6">
              <w:rPr>
                <w:rFonts w:ascii="Arial" w:eastAsiaTheme="majorEastAsia" w:hAnsi="Arial" w:cs="Arial"/>
                <w:color w:val="0000FF"/>
                <w:u w:val="single"/>
              </w:rPr>
              <w:t xml:space="preserve"> </w:t>
            </w:r>
          </w:p>
        </w:tc>
      </w:tr>
    </w:tbl>
    <w:p w14:paraId="270E8EBA" w14:textId="1D1F6452" w:rsidR="0058450B" w:rsidRDefault="0058450B" w:rsidP="000E03CD">
      <w:pPr>
        <w:tabs>
          <w:tab w:val="left" w:pos="2160"/>
        </w:tabs>
      </w:pPr>
    </w:p>
    <w:sectPr w:rsidR="0058450B">
      <w:headerReference w:type="default" r:id="rId43"/>
      <w:footerReference w:type="default" r:id="rId44"/>
      <w:footerReference w:type="first" r:id="rId45"/>
      <w:pgSz w:w="11900" w:h="16840"/>
      <w:pgMar w:top="1418" w:right="851" w:bottom="1097" w:left="851" w:header="709" w:footer="55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AAD974" w16cex:dateUtc="2026-01-11T18:19:00Z"/>
  <w16cex:commentExtensible w16cex:durableId="33263CA8" w16cex:dateUtc="2026-01-11T18:13:00Z"/>
  <w16cex:commentExtensible w16cex:durableId="6B32C591" w16cex:dateUtc="2026-01-11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414EA" w16cid:durableId="3962B854"/>
  <w16cid:commentId w16cid:paraId="3A2DC866" w16cid:durableId="3FAAD974"/>
  <w16cid:commentId w16cid:paraId="6E4BC3F7" w16cid:durableId="33263CA8"/>
  <w16cid:commentId w16cid:paraId="14515E91" w16cid:durableId="6B32C591"/>
  <w16cid:commentId w16cid:paraId="50C2A49E" w16cid:durableId="2D0F45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8067" w14:textId="77777777" w:rsidR="00183679" w:rsidRDefault="00183679">
      <w:r>
        <w:separator/>
      </w:r>
    </w:p>
  </w:endnote>
  <w:endnote w:type="continuationSeparator" w:id="0">
    <w:p w14:paraId="38371703" w14:textId="77777777" w:rsidR="00183679" w:rsidRDefault="0018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64D9" w14:textId="1004A217" w:rsidR="0058450B" w:rsidRDefault="00614F23">
    <w:pPr>
      <w:pStyle w:val="Pidipagina"/>
      <w:jc w:val="center"/>
    </w:pPr>
    <w:r>
      <w:fldChar w:fldCharType="begin"/>
    </w:r>
    <w:r>
      <w:instrText xml:space="preserve"> PAGE </w:instrText>
    </w:r>
    <w:r>
      <w:fldChar w:fldCharType="separate"/>
    </w:r>
    <w:r w:rsidR="00B34F22">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CEE6" w14:textId="77777777" w:rsidR="00231458" w:rsidRPr="00C66F58" w:rsidRDefault="00183679" w:rsidP="00231458">
    <w:pPr>
      <w:framePr w:w="5362" w:wrap="around" w:vAnchor="page" w:hAnchor="page" w:x="831" w:y="15871"/>
      <w:tabs>
        <w:tab w:val="left" w:pos="1985"/>
        <w:tab w:val="left" w:pos="4111"/>
      </w:tabs>
      <w:spacing w:after="60"/>
      <w:ind w:right="-147"/>
      <w:suppressOverlap/>
      <w:rPr>
        <w:rFonts w:ascii="Arial" w:hAnsi="Arial" w:cs="Arial"/>
        <w:b/>
        <w:bCs/>
        <w:color w:val="7F7F7F" w:themeColor="text1" w:themeTint="80"/>
        <w:sz w:val="15"/>
        <w:szCs w:val="15"/>
      </w:rPr>
    </w:pPr>
    <w:hyperlink r:id="rId1" w:history="1">
      <w:r w:rsidR="00231458" w:rsidRPr="00C3248E">
        <w:rPr>
          <w:rStyle w:val="Collegamentoipertestuale"/>
          <w:rFonts w:ascii="Arial" w:hAnsi="Arial" w:cs="Arial"/>
          <w:b/>
          <w:bCs/>
          <w:color w:val="C00000"/>
          <w:sz w:val="21"/>
          <w:szCs w:val="21"/>
        </w:rPr>
        <w:t>www.istat.it</w:t>
      </w:r>
    </w:hyperlink>
    <w:r w:rsidR="00231458" w:rsidRPr="00C3248E">
      <w:rPr>
        <w:rFonts w:ascii="Arial" w:hAnsi="Arial" w:cs="Arial"/>
        <w:b/>
        <w:bCs/>
        <w:color w:val="C00000"/>
        <w:sz w:val="21"/>
        <w:szCs w:val="21"/>
      </w:rPr>
      <w:tab/>
    </w:r>
    <w:r w:rsidR="00231458" w:rsidRPr="00C66F58">
      <w:rPr>
        <w:rFonts w:ascii="Arial" w:hAnsi="Arial" w:cs="Arial"/>
        <w:b/>
        <w:bCs/>
        <w:color w:val="7F7F7F" w:themeColor="text1" w:themeTint="80"/>
        <w:sz w:val="15"/>
        <w:szCs w:val="15"/>
      </w:rPr>
      <w:t>Ufficio Stampa</w:t>
    </w:r>
    <w:r w:rsidR="00231458" w:rsidRPr="0034201A">
      <w:rPr>
        <w:rFonts w:ascii="Arial" w:hAnsi="Arial" w:cs="Arial"/>
        <w:b/>
        <w:bCs/>
        <w:color w:val="7F7F7F" w:themeColor="text1" w:themeTint="80"/>
        <w:sz w:val="15"/>
        <w:szCs w:val="15"/>
      </w:rPr>
      <w:tab/>
    </w:r>
    <w:proofErr w:type="spellStart"/>
    <w:r w:rsidR="00231458" w:rsidRPr="00C66F58">
      <w:rPr>
        <w:rFonts w:ascii="Arial" w:hAnsi="Arial" w:cs="Arial"/>
        <w:b/>
        <w:bCs/>
        <w:color w:val="7F7F7F" w:themeColor="text1" w:themeTint="80"/>
        <w:sz w:val="15"/>
        <w:szCs w:val="15"/>
      </w:rPr>
      <w:t>Contact</w:t>
    </w:r>
    <w:proofErr w:type="spellEnd"/>
    <w:r w:rsidR="00231458" w:rsidRPr="00C66F58">
      <w:rPr>
        <w:rFonts w:ascii="Arial" w:hAnsi="Arial" w:cs="Arial"/>
        <w:b/>
        <w:bCs/>
        <w:color w:val="7F7F7F" w:themeColor="text1" w:themeTint="80"/>
        <w:sz w:val="15"/>
        <w:szCs w:val="15"/>
      </w:rPr>
      <w:t xml:space="preserve"> Centre</w:t>
    </w:r>
  </w:p>
  <w:p w14:paraId="76AD1BA1" w14:textId="77777777" w:rsidR="00231458" w:rsidRPr="00AC4027" w:rsidRDefault="00231458" w:rsidP="00231458">
    <w:pPr>
      <w:framePr w:w="5362" w:wrap="around" w:vAnchor="page" w:hAnchor="page" w:x="831" w:y="15871"/>
      <w:tabs>
        <w:tab w:val="left" w:pos="1985"/>
        <w:tab w:val="left" w:pos="4111"/>
      </w:tabs>
      <w:ind w:right="-147"/>
      <w:suppressOverlap/>
      <w:rPr>
        <w:rFonts w:ascii="Arial" w:hAnsi="Arial" w:cs="Arial"/>
        <w:color w:val="7F7F7F" w:themeColor="text1" w:themeTint="80"/>
        <w:sz w:val="15"/>
        <w:szCs w:val="15"/>
      </w:rPr>
    </w:pPr>
    <w:r w:rsidRPr="00C66F58">
      <w:rPr>
        <w:rFonts w:ascii="Arial" w:hAnsi="Arial" w:cs="Arial"/>
        <w:color w:val="7F7F7F" w:themeColor="text1" w:themeTint="80"/>
        <w:sz w:val="15"/>
        <w:szCs w:val="15"/>
      </w:rPr>
      <w:tab/>
      <w:t xml:space="preserve">Tel. +39 06 </w:t>
    </w:r>
    <w:r>
      <w:rPr>
        <w:rFonts w:ascii="Arial" w:hAnsi="Arial" w:cs="Arial"/>
        <w:color w:val="7F7F7F" w:themeColor="text1" w:themeTint="80"/>
        <w:sz w:val="15"/>
        <w:szCs w:val="15"/>
      </w:rPr>
      <w:t>46</w:t>
    </w:r>
    <w:r w:rsidRPr="00C66F58">
      <w:rPr>
        <w:rFonts w:ascii="Arial" w:hAnsi="Arial" w:cs="Arial"/>
        <w:color w:val="7F7F7F" w:themeColor="text1" w:themeTint="80"/>
        <w:sz w:val="15"/>
        <w:szCs w:val="15"/>
      </w:rPr>
      <w:t>73.2243/44</w:t>
    </w:r>
    <w:r w:rsidRPr="00C66F58">
      <w:rPr>
        <w:rFonts w:ascii="Arial" w:hAnsi="Arial" w:cs="Arial"/>
        <w:color w:val="7F7F7F" w:themeColor="text1" w:themeTint="80"/>
        <w:sz w:val="15"/>
        <w:szCs w:val="15"/>
      </w:rPr>
      <w:tab/>
    </w:r>
    <w:hyperlink r:id="rId2" w:history="1">
      <w:r w:rsidRPr="00AC4027">
        <w:rPr>
          <w:rStyle w:val="Collegamentoipertestuale"/>
          <w:rFonts w:ascii="Arial" w:hAnsi="Arial" w:cs="Arial"/>
          <w:color w:val="7F7F7F" w:themeColor="text1" w:themeTint="80"/>
          <w:sz w:val="15"/>
          <w:szCs w:val="15"/>
        </w:rPr>
        <w:t>Sportello media</w:t>
      </w:r>
    </w:hyperlink>
  </w:p>
  <w:p w14:paraId="6A09D3AA" w14:textId="77777777" w:rsidR="00231458" w:rsidRPr="00C66F58" w:rsidRDefault="00231458" w:rsidP="00231458">
    <w:pPr>
      <w:framePr w:w="5362" w:wrap="around" w:vAnchor="page" w:hAnchor="page" w:x="831" w:y="15871"/>
      <w:tabs>
        <w:tab w:val="left" w:pos="1985"/>
        <w:tab w:val="left" w:pos="4111"/>
      </w:tabs>
      <w:ind w:right="-147"/>
      <w:suppressOverlap/>
      <w:rPr>
        <w:rFonts w:ascii="Arial" w:hAnsi="Arial" w:cs="Arial"/>
        <w:color w:val="7F7F7F" w:themeColor="text1" w:themeTint="80"/>
        <w:sz w:val="15"/>
        <w:szCs w:val="15"/>
      </w:rPr>
    </w:pPr>
    <w:r w:rsidRPr="00C66F58">
      <w:rPr>
        <w:rFonts w:ascii="Arial" w:hAnsi="Arial" w:cs="Arial"/>
        <w:color w:val="7F7F7F" w:themeColor="text1" w:themeTint="80"/>
        <w:sz w:val="15"/>
        <w:szCs w:val="15"/>
      </w:rPr>
      <w:tab/>
    </w:r>
    <w:hyperlink r:id="rId3" w:history="1">
      <w:r w:rsidRPr="00252B1B">
        <w:rPr>
          <w:rStyle w:val="Collegamentoipertestuale"/>
          <w:rFonts w:ascii="Arial" w:hAnsi="Arial" w:cs="Arial"/>
          <w:color w:val="7F7F7F" w:themeColor="text1" w:themeTint="80"/>
          <w:sz w:val="15"/>
          <w:szCs w:val="15"/>
        </w:rPr>
        <w:t>ufficiostampa@istat.it</w:t>
      </w:r>
    </w:hyperlink>
    <w:r w:rsidRPr="00C66F58">
      <w:rPr>
        <w:rFonts w:ascii="Arial" w:hAnsi="Arial" w:cs="Arial"/>
        <w:noProof/>
        <w:color w:val="7F7F7F" w:themeColor="text1" w:themeTint="80"/>
        <w:spacing w:val="-6"/>
        <w:w w:val="110"/>
        <w:sz w:val="15"/>
        <w:szCs w:val="15"/>
      </w:rPr>
      <w:tab/>
    </w:r>
  </w:p>
  <w:p w14:paraId="79F7CB81" w14:textId="4CDCDDC8" w:rsidR="0058450B" w:rsidRPr="00231458" w:rsidRDefault="00231458" w:rsidP="00231458">
    <w:pPr>
      <w:pStyle w:val="Pidipagina"/>
    </w:pPr>
    <w:r>
      <w:rPr>
        <w:noProof/>
        <w:lang w:eastAsia="it-IT"/>
      </w:rPr>
      <mc:AlternateContent>
        <mc:Choice Requires="wps">
          <w:drawing>
            <wp:anchor distT="152400" distB="152400" distL="152400" distR="152400" simplePos="0" relativeHeight="251656192" behindDoc="1" locked="0" layoutInCell="1" allowOverlap="1" wp14:anchorId="791E69D3" wp14:editId="0966DE93">
              <wp:simplePos x="0" y="0"/>
              <wp:positionH relativeFrom="page">
                <wp:posOffset>526415</wp:posOffset>
              </wp:positionH>
              <wp:positionV relativeFrom="page">
                <wp:posOffset>9978390</wp:posOffset>
              </wp:positionV>
              <wp:extent cx="6479541" cy="0"/>
              <wp:effectExtent l="0" t="0" r="0" b="0"/>
              <wp:wrapNone/>
              <wp:docPr id="1073741830" name="officeArt object" descr="Connettore 1 2"/>
              <wp:cNvGraphicFramePr/>
              <a:graphic xmlns:a="http://schemas.openxmlformats.org/drawingml/2006/main">
                <a:graphicData uri="http://schemas.microsoft.com/office/word/2010/wordprocessingShape">
                  <wps:wsp>
                    <wps:cNvCnPr/>
                    <wps:spPr>
                      <a:xfrm>
                        <a:off x="0" y="0"/>
                        <a:ext cx="6479541" cy="0"/>
                      </a:xfrm>
                      <a:prstGeom prst="line">
                        <a:avLst/>
                      </a:prstGeom>
                      <a:noFill/>
                      <a:ln w="6350" cap="flat">
                        <a:solidFill>
                          <a:srgbClr val="808080"/>
                        </a:solidFill>
                        <a:prstDash val="solid"/>
                        <a:miter lim="800000"/>
                      </a:ln>
                      <a:effectLst/>
                    </wps:spPr>
                    <wps:bodyPr/>
                  </wps:wsp>
                </a:graphicData>
              </a:graphic>
            </wp:anchor>
          </w:drawing>
        </mc:Choice>
        <mc:Fallback>
          <w:pict>
            <v:line w14:anchorId="5BC4872C" id="officeArt object" o:spid="_x0000_s1026" alt="Connettore 1 2"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41.45pt,785.7pt" to="551.6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" strokecolor="gray"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5E325" w14:textId="77777777" w:rsidR="00183679" w:rsidRDefault="00183679">
      <w:r>
        <w:separator/>
      </w:r>
    </w:p>
  </w:footnote>
  <w:footnote w:type="continuationSeparator" w:id="0">
    <w:p w14:paraId="3E720DBA" w14:textId="77777777" w:rsidR="00183679" w:rsidRDefault="00183679">
      <w:r>
        <w:continuationSeparator/>
      </w:r>
    </w:p>
  </w:footnote>
  <w:footnote w:type="continuationNotice" w:id="1">
    <w:p w14:paraId="6FE535F2" w14:textId="77777777" w:rsidR="00183679" w:rsidRDefault="00183679"/>
  </w:footnote>
  <w:footnote w:id="2">
    <w:p w14:paraId="5159E190" w14:textId="77777777" w:rsidR="00485CC8" w:rsidRPr="00274149" w:rsidRDefault="00485CC8" w:rsidP="00485CC8">
      <w:pPr>
        <w:pStyle w:val="Testonotaapidipagina"/>
        <w:spacing w:after="40"/>
        <w:rPr>
          <w:rFonts w:ascii="Arial" w:hAnsi="Arial" w:cs="Arial"/>
          <w:sz w:val="16"/>
          <w:szCs w:val="16"/>
        </w:rPr>
      </w:pPr>
      <w:r w:rsidRPr="00274149">
        <w:rPr>
          <w:rFonts w:ascii="Arial" w:hAnsi="Arial" w:cs="Arial"/>
          <w:sz w:val="16"/>
          <w:szCs w:val="16"/>
        </w:rPr>
        <w:t xml:space="preserve">* </w:t>
      </w:r>
      <w:r w:rsidRPr="00274149">
        <w:rPr>
          <w:rFonts w:ascii="Arial" w:hAnsi="Arial" w:cs="Arial"/>
          <w:iCs/>
          <w:sz w:val="16"/>
          <w:szCs w:val="16"/>
        </w:rPr>
        <w:t>Il Focus è stato realizzato da Francesca Luchetti.</w:t>
      </w:r>
    </w:p>
  </w:footnote>
  <w:footnote w:id="3">
    <w:p w14:paraId="002F22C4" w14:textId="3C52E269" w:rsidR="00485CC8" w:rsidRDefault="00485CC8" w:rsidP="00485CC8">
      <w:pPr>
        <w:pStyle w:val="Testonotaapidipagina"/>
        <w:rPr>
          <w:rFonts w:ascii="Arial" w:hAnsi="Arial" w:cs="Arial"/>
          <w:sz w:val="16"/>
          <w:szCs w:val="16"/>
        </w:rPr>
      </w:pPr>
      <w:r w:rsidRPr="00274149">
        <w:rPr>
          <w:rStyle w:val="Rimandonotaapidipagina"/>
          <w:rFonts w:ascii="Arial" w:hAnsi="Arial" w:cs="Arial"/>
          <w:sz w:val="16"/>
          <w:szCs w:val="16"/>
        </w:rPr>
        <w:footnoteRef/>
      </w:r>
      <w:r w:rsidRPr="00274149">
        <w:rPr>
          <w:rFonts w:ascii="Arial" w:hAnsi="Arial" w:cs="Arial"/>
          <w:sz w:val="16"/>
          <w:szCs w:val="16"/>
        </w:rPr>
        <w:t xml:space="preserve"> Quando si fa riferimento a paesi quali il Belgio e i Paesi Bassi bisogna, tuttavia, considerare che le transazioni di questi paesi e la loro rilevanza negli scambi sono influenzate dalla presenza dei Porti di Anversa e Rotterdam da cui transitano merci da/per l’Ue che poi vengono riesportate all’interno dell’Unione il cd “Effetto Rotterdam”. (</w:t>
      </w:r>
      <w:hyperlink r:id="rId1" w:history="1">
        <w:r w:rsidRPr="00274149">
          <w:rPr>
            <w:rStyle w:val="Collegamentoipertestuale"/>
            <w:rFonts w:ascii="Arial" w:hAnsi="Arial" w:cs="Arial"/>
            <w:sz w:val="16"/>
            <w:szCs w:val="16"/>
          </w:rPr>
          <w:t>https://ec.europa.eu/eurostat/statistics-explained/index.php?title=International_trade_statistics_-_background</w:t>
        </w:r>
      </w:hyperlink>
      <w:r w:rsidRPr="00274149">
        <w:rPr>
          <w:rFonts w:ascii="Arial" w:hAnsi="Arial" w:cs="Arial"/>
          <w:sz w:val="16"/>
          <w:szCs w:val="16"/>
        </w:rPr>
        <w:t xml:space="preserve"> ). Da segnalare inoltre anche il caso dell’Irlanda, che grazie alla forte presenza di multinazionali assume un ruolo rilevante come </w:t>
      </w:r>
      <w:proofErr w:type="spellStart"/>
      <w:r w:rsidRPr="00274149">
        <w:rPr>
          <w:rFonts w:ascii="Arial" w:hAnsi="Arial" w:cs="Arial"/>
          <w:sz w:val="16"/>
          <w:szCs w:val="16"/>
        </w:rPr>
        <w:t>hub</w:t>
      </w:r>
      <w:proofErr w:type="spellEnd"/>
      <w:r w:rsidRPr="00274149">
        <w:rPr>
          <w:rFonts w:ascii="Arial" w:hAnsi="Arial" w:cs="Arial"/>
          <w:sz w:val="16"/>
          <w:szCs w:val="16"/>
        </w:rPr>
        <w:t xml:space="preserve"> strategico, determinando oltre il 40% del totale delle esportazioni europee di prodotti della farmaceutica dirette nel mercato statunitense.</w:t>
      </w:r>
    </w:p>
    <w:p w14:paraId="52C49A2E" w14:textId="77777777" w:rsidR="00231458" w:rsidRPr="00274149" w:rsidRDefault="00231458" w:rsidP="00485CC8">
      <w:pPr>
        <w:pStyle w:val="Testonotaapidipagina"/>
        <w:rPr>
          <w:rFonts w:ascii="Arial" w:hAnsi="Arial" w:cs="Arial"/>
          <w:sz w:val="16"/>
          <w:szCs w:val="16"/>
        </w:rPr>
      </w:pPr>
    </w:p>
  </w:footnote>
  <w:footnote w:id="4">
    <w:p w14:paraId="2B555753" w14:textId="77777777" w:rsidR="00485CC8" w:rsidRPr="00274149" w:rsidRDefault="00485CC8" w:rsidP="00485CC8">
      <w:pPr>
        <w:pStyle w:val="Testonotaapidipagina"/>
        <w:rPr>
          <w:rFonts w:ascii="Arial" w:hAnsi="Arial" w:cs="Arial"/>
          <w:sz w:val="16"/>
          <w:szCs w:val="16"/>
        </w:rPr>
      </w:pPr>
      <w:r w:rsidRPr="00274149">
        <w:rPr>
          <w:rStyle w:val="Rimandonotaapidipagina"/>
          <w:rFonts w:ascii="Arial" w:hAnsi="Arial" w:cs="Arial"/>
          <w:sz w:val="16"/>
          <w:szCs w:val="16"/>
        </w:rPr>
        <w:footnoteRef/>
      </w:r>
      <w:r w:rsidRPr="00274149">
        <w:rPr>
          <w:rFonts w:ascii="Arial" w:hAnsi="Arial" w:cs="Arial"/>
          <w:sz w:val="16"/>
          <w:szCs w:val="16"/>
        </w:rPr>
        <w:t xml:space="preserve"> Nel mese di agosto è stato formalizzato un accordo tra Ue e Stati Uniti che ha determinato un dazio per i prodotti farmaceutici con un tetto fissato al 15% e un’esenzione dei generici a partire dal 1° settembre 2025. Per le imprese italiane, ciò ha significato un onere tariffario inferiore a quello inizialmente atteso, pur rimanendo un costo aggiuntivo da gestire nelle strategie produttive e commerciali.  Per maggiori informazioni sull’accordo tra l’Unione europea e gli Stati Uniti si veda: </w:t>
      </w:r>
      <w:hyperlink r:id="rId2" w:history="1">
        <w:r w:rsidRPr="00274149">
          <w:rPr>
            <w:rStyle w:val="Collegamentoipertestuale"/>
            <w:rFonts w:ascii="Arial" w:hAnsi="Arial" w:cs="Arial"/>
            <w:sz w:val="16"/>
            <w:szCs w:val="16"/>
          </w:rPr>
          <w:t>https://policy.trade.ec.europa.eu/news/joint-statement-united-states-european-union-framework-agreement-reciprocal-fair-and-balanced-trade-2025-08-21_en</w:t>
        </w:r>
      </w:hyperlink>
      <w:r w:rsidRPr="00274149">
        <w:rPr>
          <w:rFonts w:ascii="Arial" w:hAnsi="Arial" w:cs="Arial"/>
          <w:sz w:val="16"/>
          <w:szCs w:val="16"/>
        </w:rPr>
        <w:t xml:space="preserve"> </w:t>
      </w:r>
    </w:p>
  </w:footnote>
  <w:footnote w:id="5">
    <w:p w14:paraId="0403E5BF" w14:textId="2D9E4A7F" w:rsidR="00485CC8" w:rsidRDefault="00485CC8" w:rsidP="00485CC8">
      <w:pPr>
        <w:pStyle w:val="Testonotaapidipagina"/>
        <w:rPr>
          <w:rStyle w:val="Collegamentoipertestuale"/>
          <w:rFonts w:ascii="Arial" w:hAnsi="Arial" w:cs="Arial"/>
          <w:sz w:val="16"/>
          <w:szCs w:val="16"/>
        </w:rPr>
      </w:pPr>
      <w:r w:rsidRPr="00274149">
        <w:rPr>
          <w:rStyle w:val="Rimandonotaapidipagina"/>
          <w:rFonts w:ascii="Arial" w:hAnsi="Arial" w:cs="Arial"/>
          <w:sz w:val="16"/>
          <w:szCs w:val="16"/>
        </w:rPr>
        <w:footnoteRef/>
      </w:r>
      <w:r w:rsidRPr="00274149">
        <w:rPr>
          <w:rFonts w:ascii="Arial" w:hAnsi="Arial" w:cs="Arial"/>
          <w:sz w:val="16"/>
          <w:szCs w:val="16"/>
        </w:rPr>
        <w:t xml:space="preserve"> Si veda il Report su “Struttura e competitività delle imp</w:t>
      </w:r>
      <w:r w:rsidR="00D90ABE">
        <w:rPr>
          <w:rFonts w:ascii="Arial" w:hAnsi="Arial" w:cs="Arial"/>
          <w:sz w:val="16"/>
          <w:szCs w:val="16"/>
        </w:rPr>
        <w:t>rese multinazionali. Anno 2023”</w:t>
      </w:r>
      <w:r w:rsidR="00102C5F">
        <w:rPr>
          <w:rFonts w:ascii="Arial" w:hAnsi="Arial" w:cs="Arial"/>
          <w:sz w:val="16"/>
          <w:szCs w:val="16"/>
        </w:rPr>
        <w:t>, n</w:t>
      </w:r>
      <w:r w:rsidRPr="00274149">
        <w:rPr>
          <w:rFonts w:ascii="Arial" w:hAnsi="Arial" w:cs="Arial"/>
          <w:sz w:val="16"/>
          <w:szCs w:val="16"/>
        </w:rPr>
        <w:t xml:space="preserve">ovembre 2025. </w:t>
      </w:r>
      <w:hyperlink r:id="rId3" w:history="1">
        <w:r w:rsidRPr="00D90ABE">
          <w:rPr>
            <w:rStyle w:val="Collegamentoipertestuale"/>
            <w:rFonts w:ascii="Arial" w:hAnsi="Arial" w:cs="Arial"/>
            <w:sz w:val="16"/>
            <w:szCs w:val="16"/>
          </w:rPr>
          <w:t>https://www.istat.it/comunicato-stampa/struttura-e-competitivita-delle-imprese-multinazionali-anno-2023/</w:t>
        </w:r>
      </w:hyperlink>
    </w:p>
    <w:p w14:paraId="4474820A" w14:textId="77777777" w:rsidR="00943D6C" w:rsidRPr="00274149" w:rsidRDefault="00943D6C" w:rsidP="00485CC8">
      <w:pPr>
        <w:pStyle w:val="Testonotaapidipagina"/>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2392" w14:textId="415F099D" w:rsidR="0058450B" w:rsidRDefault="00614F23">
    <w:pPr>
      <w:pStyle w:val="052tabella-figurasottotitolo"/>
    </w:pPr>
    <w:r>
      <w:rPr>
        <w:noProof/>
        <w:lang w:val="it-IT" w:eastAsia="it-IT"/>
      </w:rPr>
      <w:drawing>
        <wp:anchor distT="152400" distB="152400" distL="152400" distR="152400" simplePos="0" relativeHeight="251655168" behindDoc="1" locked="0" layoutInCell="1" allowOverlap="1" wp14:anchorId="05AD3F12" wp14:editId="20B91DCA">
          <wp:simplePos x="0" y="0"/>
          <wp:positionH relativeFrom="page">
            <wp:posOffset>539115</wp:posOffset>
          </wp:positionH>
          <wp:positionV relativeFrom="page">
            <wp:posOffset>342265</wp:posOffset>
          </wp:positionV>
          <wp:extent cx="2682716" cy="421253"/>
          <wp:effectExtent l="0" t="0" r="0" b="0"/>
          <wp:wrapNone/>
          <wp:docPr id="1073741825" name="officeArt object" descr="Immagine che contiene Carattere, Elementi grafici, testo,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Carattere, Elementi grafici, testo, graficaDescrizione generata automaticamente" descr="Immagine che contiene Carattere, Elementi grafici, testo, graficaDescrizione generata automaticamente"/>
                  <pic:cNvPicPr>
                    <a:picLocks noChangeAspect="1"/>
                  </pic:cNvPicPr>
                </pic:nvPicPr>
                <pic:blipFill>
                  <a:blip r:embed="rId1"/>
                  <a:stretch>
                    <a:fillRect/>
                  </a:stretch>
                </pic:blipFill>
                <pic:spPr>
                  <a:xfrm>
                    <a:off x="0" y="0"/>
                    <a:ext cx="2682716" cy="421253"/>
                  </a:xfrm>
                  <a:prstGeom prst="rect">
                    <a:avLst/>
                  </a:prstGeom>
                  <a:ln w="12700" cap="flat">
                    <a:noFill/>
                    <a:miter lim="400000"/>
                  </a:ln>
                  <a:effectLst/>
                </pic:spPr>
              </pic:pic>
            </a:graphicData>
          </a:graphic>
        </wp:anchor>
      </w:drawing>
    </w:r>
    <w:r>
      <w:rPr>
        <w:noProof/>
        <w:lang w:val="it-IT" w:eastAsia="it-IT"/>
      </w:rPr>
      <mc:AlternateContent>
        <mc:Choice Requires="wps">
          <w:drawing>
            <wp:anchor distT="152400" distB="152400" distL="152400" distR="152400" simplePos="0" relativeHeight="251657216" behindDoc="1" locked="0" layoutInCell="1" allowOverlap="1" wp14:anchorId="179AA162" wp14:editId="222DFC8D">
              <wp:simplePos x="0" y="0"/>
              <wp:positionH relativeFrom="page">
                <wp:posOffset>1877059</wp:posOffset>
              </wp:positionH>
              <wp:positionV relativeFrom="page">
                <wp:posOffset>636079</wp:posOffset>
              </wp:positionV>
              <wp:extent cx="2495550" cy="109411"/>
              <wp:effectExtent l="0" t="0" r="0" b="0"/>
              <wp:wrapNone/>
              <wp:docPr id="1073741826" name="officeArt object" descr="Casella di testo 4"/>
              <wp:cNvGraphicFramePr/>
              <a:graphic xmlns:a="http://schemas.openxmlformats.org/drawingml/2006/main">
                <a:graphicData uri="http://schemas.microsoft.com/office/word/2010/wordprocessingShape">
                  <wps:wsp>
                    <wps:cNvSpPr txBox="1"/>
                    <wps:spPr>
                      <a:xfrm>
                        <a:off x="0" y="0"/>
                        <a:ext cx="2495550" cy="109411"/>
                      </a:xfrm>
                      <a:prstGeom prst="rect">
                        <a:avLst/>
                      </a:prstGeom>
                      <a:noFill/>
                      <a:ln w="12700" cap="flat">
                        <a:noFill/>
                        <a:miter lim="400000"/>
                      </a:ln>
                      <a:effectLst/>
                    </wps:spPr>
                    <wps:txbx>
                      <w:txbxContent>
                        <w:p w14:paraId="580CFBA4" w14:textId="77777777" w:rsidR="0058450B" w:rsidRDefault="00614F23">
                          <w:r>
                            <w:rPr>
                              <w:rFonts w:ascii="Arial" w:hAnsi="Arial"/>
                              <w:color w:val="008497"/>
                              <w:sz w:val="16"/>
                              <w:szCs w:val="16"/>
                              <w:u w:color="008497"/>
                            </w:rPr>
                            <w:t>GENNAIO 2026</w:t>
                          </w:r>
                        </w:p>
                      </w:txbxContent>
                    </wps:txbx>
                    <wps:bodyPr wrap="square" lIns="0" tIns="0" rIns="0" bIns="0" numCol="1" anchor="t">
                      <a:noAutofit/>
                    </wps:bodyPr>
                  </wps:wsp>
                </a:graphicData>
              </a:graphic>
            </wp:anchor>
          </w:drawing>
        </mc:Choice>
        <mc:Fallback>
          <w:pict>
            <v:shapetype w14:anchorId="179AA162" id="_x0000_t202" coordsize="21600,21600" o:spt="202" path="m,l,21600r21600,l21600,xe">
              <v:stroke joinstyle="miter"/>
              <v:path gradientshapeok="t" o:connecttype="rect"/>
            </v:shapetype>
            <v:shape id="_x0000_s1028" type="#_x0000_t202" alt="Casella di testo 4" style="position:absolute;margin-left:147.8pt;margin-top:50.1pt;width:196.5pt;height:8.6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" filled="f" stroked="f" strokeweight="1pt">
              <v:stroke miterlimit="4"/>
              <v:textbox inset="0,0,0,0">
                <w:txbxContent>
                  <w:p w14:paraId="580CFBA4" w14:textId="77777777" w:rsidR="0058450B" w:rsidRDefault="00614F23">
                    <w:r>
                      <w:rPr>
                        <w:rFonts w:ascii="Arial" w:hAnsi="Arial"/>
                        <w:color w:val="008497"/>
                        <w:sz w:val="16"/>
                        <w:szCs w:val="16"/>
                        <w:u w:color="008497"/>
                      </w:rPr>
                      <w:t>GENNAIO 2026</w:t>
                    </w:r>
                  </w:p>
                </w:txbxContent>
              </v:textbox>
              <w10:wrap anchorx="page" anchory="page"/>
            </v:shape>
          </w:pict>
        </mc:Fallback>
      </mc:AlternateContent>
    </w:r>
    <w:r>
      <w:rPr>
        <w:noProof/>
        <w:lang w:val="it-IT" w:eastAsia="it-IT"/>
      </w:rPr>
      <w:drawing>
        <wp:anchor distT="152400" distB="152400" distL="152400" distR="152400" simplePos="0" relativeHeight="251658240" behindDoc="1" locked="0" layoutInCell="1" allowOverlap="1" wp14:anchorId="593E7FCB" wp14:editId="3AF03956">
          <wp:simplePos x="0" y="0"/>
          <wp:positionH relativeFrom="page">
            <wp:posOffset>5704839</wp:posOffset>
          </wp:positionH>
          <wp:positionV relativeFrom="page">
            <wp:posOffset>496627</wp:posOffset>
          </wp:positionV>
          <wp:extent cx="1302827" cy="222371"/>
          <wp:effectExtent l="0" t="0" r="0" b="0"/>
          <wp:wrapNone/>
          <wp:docPr id="1073741827" name="officeArt object" descr="Immagine che contiene testo, Carattere, Elementi grafici,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testo, Carattere, Elementi grafici, schermataDescrizione generata automaticamente" descr="Immagine che contiene testo, Carattere, Elementi grafici, schermataDescrizione generata automaticamente"/>
                  <pic:cNvPicPr>
                    <a:picLocks noChangeAspect="1"/>
                  </pic:cNvPicPr>
                </pic:nvPicPr>
                <pic:blipFill>
                  <a:blip r:embed="rId2"/>
                  <a:stretch>
                    <a:fillRect/>
                  </a:stretch>
                </pic:blipFill>
                <pic:spPr>
                  <a:xfrm>
                    <a:off x="0" y="0"/>
                    <a:ext cx="1302827" cy="222371"/>
                  </a:xfrm>
                  <a:prstGeom prst="rect">
                    <a:avLst/>
                  </a:prstGeom>
                  <a:ln w="12700" cap="flat">
                    <a:noFill/>
                    <a:miter lim="400000"/>
                  </a:ln>
                  <a:effectLst/>
                </pic:spPr>
              </pic:pic>
            </a:graphicData>
          </a:graphic>
        </wp:anchor>
      </w:drawing>
    </w:r>
    <w:r>
      <w:rPr>
        <w:noProof/>
        <w:lang w:val="it-IT" w:eastAsia="it-IT"/>
      </w:rPr>
      <mc:AlternateContent>
        <mc:Choice Requires="wps">
          <w:drawing>
            <wp:anchor distT="152400" distB="152400" distL="152400" distR="152400" simplePos="0" relativeHeight="251660288" behindDoc="1" locked="0" layoutInCell="1" allowOverlap="1" wp14:anchorId="0BC667F9" wp14:editId="558F64E4">
              <wp:simplePos x="0" y="0"/>
              <wp:positionH relativeFrom="page">
                <wp:posOffset>540384</wp:posOffset>
              </wp:positionH>
              <wp:positionV relativeFrom="page">
                <wp:posOffset>9937750</wp:posOffset>
              </wp:positionV>
              <wp:extent cx="6479541" cy="0"/>
              <wp:effectExtent l="0" t="0" r="0" b="0"/>
              <wp:wrapNone/>
              <wp:docPr id="1073741829" name="officeArt object" descr="Connettore 1 2"/>
              <wp:cNvGraphicFramePr/>
              <a:graphic xmlns:a="http://schemas.openxmlformats.org/drawingml/2006/main">
                <a:graphicData uri="http://schemas.microsoft.com/office/word/2010/wordprocessingShape">
                  <wps:wsp>
                    <wps:cNvCnPr/>
                    <wps:spPr>
                      <a:xfrm>
                        <a:off x="0" y="0"/>
                        <a:ext cx="6479541" cy="0"/>
                      </a:xfrm>
                      <a:prstGeom prst="line">
                        <a:avLst/>
                      </a:prstGeom>
                      <a:noFill/>
                      <a:ln w="6350" cap="flat">
                        <a:solidFill>
                          <a:srgbClr val="80808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30" style="visibility:visible;position:absolute;margin-left:42.5pt;margin-top:782.5pt;width:510.2pt;height:0.0pt;z-index:-251654144;mso-position-horizontal:absolute;mso-position-horizontal-relative:page;mso-position-vertical:absolute;mso-position-vertical-relative:page;mso-wrap-distance-left:12.0pt;mso-wrap-distance-top:12.0pt;mso-wrap-distance-right:12.0pt;mso-wrap-distance-bottom:12.0pt;">
              <v:fill on="f"/>
              <v:stroke filltype="solid" color="#808080" opacity="100.0%" weight="0.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14:paraId="735C4B70" w14:textId="7A2A97EC" w:rsidR="0058450B" w:rsidRDefault="0058450B">
    <w:pPr>
      <w:pStyle w:val="052tabella-figurasottotitolo"/>
    </w:pPr>
  </w:p>
  <w:p w14:paraId="36C6F8C1" w14:textId="7600940A" w:rsidR="0058450B" w:rsidRDefault="00231458">
    <w:r>
      <w:rPr>
        <w:noProof/>
        <w:lang w:eastAsia="it-IT"/>
      </w:rPr>
      <mc:AlternateContent>
        <mc:Choice Requires="wps">
          <w:drawing>
            <wp:anchor distT="152400" distB="152400" distL="152400" distR="152400" simplePos="0" relativeHeight="251659264" behindDoc="1" locked="0" layoutInCell="1" allowOverlap="1" wp14:anchorId="5DE5490A" wp14:editId="77A24777">
              <wp:simplePos x="0" y="0"/>
              <wp:positionH relativeFrom="page">
                <wp:posOffset>556260</wp:posOffset>
              </wp:positionH>
              <wp:positionV relativeFrom="page">
                <wp:posOffset>843915</wp:posOffset>
              </wp:positionV>
              <wp:extent cx="6474231" cy="0"/>
              <wp:effectExtent l="0" t="0" r="0" b="0"/>
              <wp:wrapNone/>
              <wp:docPr id="1073741828" name="officeArt object" descr="Connettore 1 2"/>
              <wp:cNvGraphicFramePr/>
              <a:graphic xmlns:a="http://schemas.openxmlformats.org/drawingml/2006/main">
                <a:graphicData uri="http://schemas.microsoft.com/office/word/2010/wordprocessingShape">
                  <wps:wsp>
                    <wps:cNvCnPr/>
                    <wps:spPr>
                      <a:xfrm>
                        <a:off x="0" y="0"/>
                        <a:ext cx="6474231" cy="0"/>
                      </a:xfrm>
                      <a:prstGeom prst="line">
                        <a:avLst/>
                      </a:prstGeom>
                      <a:noFill/>
                      <a:ln w="6350" cap="flat">
                        <a:solidFill>
                          <a:srgbClr val="808080"/>
                        </a:solidFill>
                        <a:prstDash val="solid"/>
                        <a:miter lim="800000"/>
                      </a:ln>
                      <a:effectLst/>
                    </wps:spPr>
                    <wps:bodyPr/>
                  </wps:wsp>
                </a:graphicData>
              </a:graphic>
            </wp:anchor>
          </w:drawing>
        </mc:Choice>
        <mc:Fallback>
          <w:pict>
            <v:line w14:anchorId="20707DEB" id="officeArt object" o:spid="_x0000_s1026" alt="Connettore 1 2"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43.8pt,66.45pt" to="553.6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" strokecolor="gray"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58C5"/>
    <w:multiLevelType w:val="hybridMultilevel"/>
    <w:tmpl w:val="7F184228"/>
    <w:styleLink w:val="Stileimportato2"/>
    <w:lvl w:ilvl="0" w:tplc="6AF4800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color w:val="0C97AA"/>
        <w:spacing w:val="0"/>
        <w:w w:val="100"/>
        <w:kern w:val="0"/>
        <w:position w:val="0"/>
        <w:sz w:val="36"/>
        <w:szCs w:val="36"/>
        <w:highlight w:val="none"/>
        <w:vertAlign w:val="baseline"/>
      </w:rPr>
    </w:lvl>
    <w:lvl w:ilvl="1" w:tplc="18BC438E">
      <w:start w:val="1"/>
      <w:numFmt w:val="bullet"/>
      <w:lvlText w:val="o"/>
      <w:lvlJc w:val="left"/>
      <w:pPr>
        <w:ind w:left="1364" w:hanging="284"/>
      </w:pPr>
      <w:rPr>
        <w:rFonts w:ascii="Arial Unicode MS" w:eastAsia="Arial Unicode MS" w:hAnsi="Arial Unicode MS" w:cs="Arial Unicode MS"/>
        <w:b w:val="0"/>
        <w:bCs w:val="0"/>
        <w:i w:val="0"/>
        <w:iCs w:val="0"/>
        <w:caps w:val="0"/>
        <w:smallCaps w:val="0"/>
        <w:strike w:val="0"/>
        <w:dstrike w:val="0"/>
        <w:outline w:val="0"/>
        <w:emboss w:val="0"/>
        <w:imprint w:val="0"/>
        <w:color w:val="0C97AA"/>
        <w:spacing w:val="0"/>
        <w:w w:val="100"/>
        <w:kern w:val="0"/>
        <w:position w:val="0"/>
        <w:highlight w:val="none"/>
        <w:vertAlign w:val="baseline"/>
      </w:rPr>
    </w:lvl>
    <w:lvl w:ilvl="2" w:tplc="1B0AC6DA">
      <w:start w:val="1"/>
      <w:numFmt w:val="bullet"/>
      <w:lvlText w:val="▪"/>
      <w:lvlJc w:val="left"/>
      <w:pPr>
        <w:ind w:left="2084" w:hanging="284"/>
      </w:pPr>
      <w:rPr>
        <w:rFonts w:ascii="Arial Unicode MS" w:eastAsia="Arial Unicode MS" w:hAnsi="Arial Unicode MS" w:cs="Arial Unicode MS"/>
        <w:b w:val="0"/>
        <w:bCs w:val="0"/>
        <w:i w:val="0"/>
        <w:iCs w:val="0"/>
        <w:caps w:val="0"/>
        <w:smallCaps w:val="0"/>
        <w:strike w:val="0"/>
        <w:dstrike w:val="0"/>
        <w:outline w:val="0"/>
        <w:emboss w:val="0"/>
        <w:imprint w:val="0"/>
        <w:color w:val="0C97AA"/>
        <w:spacing w:val="0"/>
        <w:w w:val="100"/>
        <w:kern w:val="0"/>
        <w:position w:val="0"/>
        <w:highlight w:val="none"/>
        <w:vertAlign w:val="baseline"/>
      </w:rPr>
    </w:lvl>
    <w:lvl w:ilvl="3" w:tplc="1EE6D4C4">
      <w:start w:val="1"/>
      <w:numFmt w:val="bullet"/>
      <w:lvlText w:val="·"/>
      <w:lvlJc w:val="left"/>
      <w:pPr>
        <w:ind w:left="2804" w:hanging="284"/>
      </w:pPr>
      <w:rPr>
        <w:rFonts w:ascii="Symbol" w:eastAsia="Symbol" w:hAnsi="Symbol" w:cs="Symbol"/>
        <w:b w:val="0"/>
        <w:bCs w:val="0"/>
        <w:i w:val="0"/>
        <w:iCs w:val="0"/>
        <w:caps w:val="0"/>
        <w:smallCaps w:val="0"/>
        <w:strike w:val="0"/>
        <w:dstrike w:val="0"/>
        <w:outline w:val="0"/>
        <w:emboss w:val="0"/>
        <w:imprint w:val="0"/>
        <w:color w:val="0C97AA"/>
        <w:spacing w:val="0"/>
        <w:w w:val="100"/>
        <w:kern w:val="0"/>
        <w:position w:val="0"/>
        <w:highlight w:val="none"/>
        <w:vertAlign w:val="baseline"/>
      </w:rPr>
    </w:lvl>
    <w:lvl w:ilvl="4" w:tplc="F7CC164A">
      <w:start w:val="1"/>
      <w:numFmt w:val="bullet"/>
      <w:lvlText w:val="o"/>
      <w:lvlJc w:val="left"/>
      <w:pPr>
        <w:ind w:left="3524" w:hanging="284"/>
      </w:pPr>
      <w:rPr>
        <w:rFonts w:ascii="Arial Unicode MS" w:eastAsia="Arial Unicode MS" w:hAnsi="Arial Unicode MS" w:cs="Arial Unicode MS"/>
        <w:b w:val="0"/>
        <w:bCs w:val="0"/>
        <w:i w:val="0"/>
        <w:iCs w:val="0"/>
        <w:caps w:val="0"/>
        <w:smallCaps w:val="0"/>
        <w:strike w:val="0"/>
        <w:dstrike w:val="0"/>
        <w:outline w:val="0"/>
        <w:emboss w:val="0"/>
        <w:imprint w:val="0"/>
        <w:color w:val="0C97AA"/>
        <w:spacing w:val="0"/>
        <w:w w:val="100"/>
        <w:kern w:val="0"/>
        <w:position w:val="0"/>
        <w:highlight w:val="none"/>
        <w:vertAlign w:val="baseline"/>
      </w:rPr>
    </w:lvl>
    <w:lvl w:ilvl="5" w:tplc="68F87312">
      <w:start w:val="1"/>
      <w:numFmt w:val="bullet"/>
      <w:lvlText w:val="▪"/>
      <w:lvlJc w:val="left"/>
      <w:pPr>
        <w:ind w:left="4244" w:hanging="284"/>
      </w:pPr>
      <w:rPr>
        <w:rFonts w:ascii="Arial Unicode MS" w:eastAsia="Arial Unicode MS" w:hAnsi="Arial Unicode MS" w:cs="Arial Unicode MS"/>
        <w:b w:val="0"/>
        <w:bCs w:val="0"/>
        <w:i w:val="0"/>
        <w:iCs w:val="0"/>
        <w:caps w:val="0"/>
        <w:smallCaps w:val="0"/>
        <w:strike w:val="0"/>
        <w:dstrike w:val="0"/>
        <w:outline w:val="0"/>
        <w:emboss w:val="0"/>
        <w:imprint w:val="0"/>
        <w:color w:val="0C97AA"/>
        <w:spacing w:val="0"/>
        <w:w w:val="100"/>
        <w:kern w:val="0"/>
        <w:position w:val="0"/>
        <w:highlight w:val="none"/>
        <w:vertAlign w:val="baseline"/>
      </w:rPr>
    </w:lvl>
    <w:lvl w:ilvl="6" w:tplc="00D6926C">
      <w:start w:val="1"/>
      <w:numFmt w:val="bullet"/>
      <w:lvlText w:val="·"/>
      <w:lvlJc w:val="left"/>
      <w:pPr>
        <w:ind w:left="4964" w:hanging="284"/>
      </w:pPr>
      <w:rPr>
        <w:rFonts w:ascii="Symbol" w:eastAsia="Symbol" w:hAnsi="Symbol" w:cs="Symbol"/>
        <w:b w:val="0"/>
        <w:bCs w:val="0"/>
        <w:i w:val="0"/>
        <w:iCs w:val="0"/>
        <w:caps w:val="0"/>
        <w:smallCaps w:val="0"/>
        <w:strike w:val="0"/>
        <w:dstrike w:val="0"/>
        <w:outline w:val="0"/>
        <w:emboss w:val="0"/>
        <w:imprint w:val="0"/>
        <w:color w:val="0C97AA"/>
        <w:spacing w:val="0"/>
        <w:w w:val="100"/>
        <w:kern w:val="0"/>
        <w:position w:val="0"/>
        <w:highlight w:val="none"/>
        <w:vertAlign w:val="baseline"/>
      </w:rPr>
    </w:lvl>
    <w:lvl w:ilvl="7" w:tplc="B596E8F8">
      <w:start w:val="1"/>
      <w:numFmt w:val="bullet"/>
      <w:lvlText w:val="o"/>
      <w:lvlJc w:val="left"/>
      <w:pPr>
        <w:ind w:left="5684" w:hanging="284"/>
      </w:pPr>
      <w:rPr>
        <w:rFonts w:ascii="Arial Unicode MS" w:eastAsia="Arial Unicode MS" w:hAnsi="Arial Unicode MS" w:cs="Arial Unicode MS"/>
        <w:b w:val="0"/>
        <w:bCs w:val="0"/>
        <w:i w:val="0"/>
        <w:iCs w:val="0"/>
        <w:caps w:val="0"/>
        <w:smallCaps w:val="0"/>
        <w:strike w:val="0"/>
        <w:dstrike w:val="0"/>
        <w:outline w:val="0"/>
        <w:emboss w:val="0"/>
        <w:imprint w:val="0"/>
        <w:color w:val="0C97AA"/>
        <w:spacing w:val="0"/>
        <w:w w:val="100"/>
        <w:kern w:val="0"/>
        <w:position w:val="0"/>
        <w:highlight w:val="none"/>
        <w:vertAlign w:val="baseline"/>
      </w:rPr>
    </w:lvl>
    <w:lvl w:ilvl="8" w:tplc="33FE07A6">
      <w:start w:val="1"/>
      <w:numFmt w:val="bullet"/>
      <w:lvlText w:val="▪"/>
      <w:lvlJc w:val="left"/>
      <w:pPr>
        <w:ind w:left="6404" w:hanging="284"/>
      </w:pPr>
      <w:rPr>
        <w:rFonts w:ascii="Arial Unicode MS" w:eastAsia="Arial Unicode MS" w:hAnsi="Arial Unicode MS" w:cs="Arial Unicode MS"/>
        <w:b w:val="0"/>
        <w:bCs w:val="0"/>
        <w:i w:val="0"/>
        <w:iCs w:val="0"/>
        <w:caps w:val="0"/>
        <w:smallCaps w:val="0"/>
        <w:strike w:val="0"/>
        <w:dstrike w:val="0"/>
        <w:outline w:val="0"/>
        <w:emboss w:val="0"/>
        <w:imprint w:val="0"/>
        <w:color w:val="0C97AA"/>
        <w:spacing w:val="0"/>
        <w:w w:val="100"/>
        <w:kern w:val="0"/>
        <w:position w:val="0"/>
        <w:highlight w:val="none"/>
        <w:vertAlign w:val="baseline"/>
      </w:rPr>
    </w:lvl>
  </w:abstractNum>
  <w:abstractNum w:abstractNumId="1" w15:restartNumberingAfterBreak="0">
    <w:nsid w:val="49CF611D"/>
    <w:multiLevelType w:val="hybridMultilevel"/>
    <w:tmpl w:val="7F184228"/>
    <w:numStyleLink w:val="Stileimportato2"/>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0B"/>
    <w:rsid w:val="00026D31"/>
    <w:rsid w:val="00034DF8"/>
    <w:rsid w:val="00062746"/>
    <w:rsid w:val="000B297A"/>
    <w:rsid w:val="000C35A6"/>
    <w:rsid w:val="000E03CD"/>
    <w:rsid w:val="00102C5F"/>
    <w:rsid w:val="00103C61"/>
    <w:rsid w:val="00105F29"/>
    <w:rsid w:val="00106CE2"/>
    <w:rsid w:val="0014227A"/>
    <w:rsid w:val="00166817"/>
    <w:rsid w:val="00183679"/>
    <w:rsid w:val="00185F58"/>
    <w:rsid w:val="00186057"/>
    <w:rsid w:val="001C0590"/>
    <w:rsid w:val="001D5A24"/>
    <w:rsid w:val="001D6E01"/>
    <w:rsid w:val="001F0A2A"/>
    <w:rsid w:val="002053E2"/>
    <w:rsid w:val="0020771C"/>
    <w:rsid w:val="00224BDC"/>
    <w:rsid w:val="00231458"/>
    <w:rsid w:val="00234D7D"/>
    <w:rsid w:val="00274149"/>
    <w:rsid w:val="002801F9"/>
    <w:rsid w:val="00290892"/>
    <w:rsid w:val="00293848"/>
    <w:rsid w:val="002A640D"/>
    <w:rsid w:val="002A6434"/>
    <w:rsid w:val="002B6F41"/>
    <w:rsid w:val="002C1AF6"/>
    <w:rsid w:val="002E7717"/>
    <w:rsid w:val="002F0D54"/>
    <w:rsid w:val="00302EB1"/>
    <w:rsid w:val="003131AC"/>
    <w:rsid w:val="003173A0"/>
    <w:rsid w:val="00320E26"/>
    <w:rsid w:val="003275B7"/>
    <w:rsid w:val="00334BFA"/>
    <w:rsid w:val="00347068"/>
    <w:rsid w:val="00353949"/>
    <w:rsid w:val="003D39EB"/>
    <w:rsid w:val="00414BA3"/>
    <w:rsid w:val="00421C10"/>
    <w:rsid w:val="004230F9"/>
    <w:rsid w:val="00430CF9"/>
    <w:rsid w:val="00482ADF"/>
    <w:rsid w:val="00485CC8"/>
    <w:rsid w:val="00497A64"/>
    <w:rsid w:val="004A3882"/>
    <w:rsid w:val="004A7DC7"/>
    <w:rsid w:val="0051508E"/>
    <w:rsid w:val="005168C9"/>
    <w:rsid w:val="005571B4"/>
    <w:rsid w:val="0058450B"/>
    <w:rsid w:val="005C71E7"/>
    <w:rsid w:val="005D14BF"/>
    <w:rsid w:val="005D7AE0"/>
    <w:rsid w:val="005E7699"/>
    <w:rsid w:val="005E7B11"/>
    <w:rsid w:val="005F69B3"/>
    <w:rsid w:val="00612F53"/>
    <w:rsid w:val="00614802"/>
    <w:rsid w:val="00614F23"/>
    <w:rsid w:val="00650AD2"/>
    <w:rsid w:val="006568AE"/>
    <w:rsid w:val="006913C1"/>
    <w:rsid w:val="006978C6"/>
    <w:rsid w:val="006C18B5"/>
    <w:rsid w:val="006F0065"/>
    <w:rsid w:val="00717ABF"/>
    <w:rsid w:val="007410B9"/>
    <w:rsid w:val="0085740A"/>
    <w:rsid w:val="0087489F"/>
    <w:rsid w:val="0088229A"/>
    <w:rsid w:val="008A542D"/>
    <w:rsid w:val="008F5965"/>
    <w:rsid w:val="00943D6C"/>
    <w:rsid w:val="009812DA"/>
    <w:rsid w:val="00984D59"/>
    <w:rsid w:val="009A36AC"/>
    <w:rsid w:val="009C447C"/>
    <w:rsid w:val="009F2266"/>
    <w:rsid w:val="00A3500F"/>
    <w:rsid w:val="00A914C0"/>
    <w:rsid w:val="00A9655A"/>
    <w:rsid w:val="00AA0B28"/>
    <w:rsid w:val="00AB3783"/>
    <w:rsid w:val="00AB7896"/>
    <w:rsid w:val="00AC6DA7"/>
    <w:rsid w:val="00B34F22"/>
    <w:rsid w:val="00B62F61"/>
    <w:rsid w:val="00BE0E83"/>
    <w:rsid w:val="00BE63AE"/>
    <w:rsid w:val="00BF4220"/>
    <w:rsid w:val="00C0148C"/>
    <w:rsid w:val="00C039DA"/>
    <w:rsid w:val="00C1015A"/>
    <w:rsid w:val="00C300DA"/>
    <w:rsid w:val="00C631F4"/>
    <w:rsid w:val="00C71817"/>
    <w:rsid w:val="00C93148"/>
    <w:rsid w:val="00C97D27"/>
    <w:rsid w:val="00CA0261"/>
    <w:rsid w:val="00CB20D1"/>
    <w:rsid w:val="00D2493E"/>
    <w:rsid w:val="00D90ABE"/>
    <w:rsid w:val="00DB7F99"/>
    <w:rsid w:val="00E041E5"/>
    <w:rsid w:val="00E12B85"/>
    <w:rsid w:val="00E549AE"/>
    <w:rsid w:val="00E628AF"/>
    <w:rsid w:val="00E85008"/>
    <w:rsid w:val="00EA01FD"/>
    <w:rsid w:val="00EA24D4"/>
    <w:rsid w:val="00EC0CA0"/>
    <w:rsid w:val="00EC2FE8"/>
    <w:rsid w:val="00ED196E"/>
    <w:rsid w:val="00F4409A"/>
    <w:rsid w:val="00F4747C"/>
    <w:rsid w:val="00F623D8"/>
    <w:rsid w:val="00FC2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E499"/>
  <w15:docId w15:val="{691C6229-A796-4A83-96C1-72BC3C96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ptos" w:eastAsia="Aptos" w:hAnsi="Aptos" w:cs="Aptos"/>
      <w:color w:val="000000"/>
      <w:sz w:val="24"/>
      <w:szCs w:val="24"/>
      <w:u w:color="00000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052tabella-figurasottotitolo">
    <w:name w:val="052_tabella-figura sottotitolo"/>
    <w:pPr>
      <w:tabs>
        <w:tab w:val="left" w:pos="567"/>
        <w:tab w:val="right" w:pos="7938"/>
      </w:tabs>
      <w:spacing w:after="40"/>
    </w:pPr>
    <w:rPr>
      <w:rFonts w:ascii="Arial Narrow" w:hAnsi="Arial Narrow" w:cs="Arial Unicode MS"/>
      <w:color w:val="008080"/>
      <w:sz w:val="21"/>
      <w:szCs w:val="21"/>
      <w:u w:color="008080"/>
    </w:rPr>
  </w:style>
  <w:style w:type="paragraph" w:styleId="Pidipagina">
    <w:name w:val="footer"/>
    <w:pPr>
      <w:tabs>
        <w:tab w:val="center" w:pos="4819"/>
        <w:tab w:val="right" w:pos="9638"/>
      </w:tabs>
    </w:pPr>
    <w:rPr>
      <w:rFonts w:ascii="Aptos" w:eastAsia="Aptos" w:hAnsi="Aptos" w:cs="Aptos"/>
      <w:color w:val="000000"/>
      <w:sz w:val="24"/>
      <w:szCs w:val="24"/>
      <w:u w:color="000000"/>
      <w:lang w:val="it-IT"/>
    </w:rPr>
  </w:style>
  <w:style w:type="character" w:styleId="Numeropagina">
    <w:name w:val="page numbe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b/>
      <w:bCs/>
      <w:outline w:val="0"/>
      <w:color w:val="C00000"/>
      <w:sz w:val="21"/>
      <w:szCs w:val="21"/>
      <w:u w:val="single" w:color="C00000"/>
    </w:rPr>
  </w:style>
  <w:style w:type="character" w:customStyle="1" w:styleId="Hyperlink1">
    <w:name w:val="Hyperlink.1"/>
    <w:basedOn w:val="Link"/>
    <w:rPr>
      <w:rFonts w:ascii="Arial" w:eastAsia="Arial" w:hAnsi="Arial" w:cs="Arial"/>
      <w:outline w:val="0"/>
      <w:color w:val="7F7F7F"/>
      <w:sz w:val="15"/>
      <w:szCs w:val="15"/>
      <w:u w:val="single" w:color="7F7F7F"/>
    </w:rPr>
  </w:style>
  <w:style w:type="paragraph" w:customStyle="1" w:styleId="StilePALLINO">
    <w:name w:val="StilePALLINO"/>
    <w:pPr>
      <w:spacing w:after="200" w:line="276" w:lineRule="auto"/>
    </w:pPr>
    <w:rPr>
      <w:rFonts w:ascii="Calibri" w:eastAsia="Calibri" w:hAnsi="Calibri" w:cs="Calibri"/>
      <w:color w:val="000000"/>
      <w:sz w:val="22"/>
      <w:szCs w:val="22"/>
      <w:u w:color="000000"/>
      <w:lang w:val="it-IT"/>
    </w:rPr>
  </w:style>
  <w:style w:type="numbering" w:customStyle="1" w:styleId="Stileimportato2">
    <w:name w:val="Stile importato 2"/>
    <w:pPr>
      <w:numPr>
        <w:numId w:val="1"/>
      </w:numPr>
    </w:p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051tabella-figuratitolo">
    <w:name w:val="051_tabella-figura titolo"/>
    <w:next w:val="Normale"/>
    <w:pPr>
      <w:tabs>
        <w:tab w:val="right" w:pos="7938"/>
      </w:tabs>
      <w:spacing w:before="40" w:after="40"/>
      <w:jc w:val="both"/>
    </w:pPr>
    <w:rPr>
      <w:rFonts w:ascii="Arial Narrow" w:hAnsi="Arial Narrow" w:cs="Arial Unicode MS"/>
      <w:b/>
      <w:bCs/>
      <w:color w:val="008080"/>
      <w:sz w:val="21"/>
      <w:szCs w:val="21"/>
      <w:u w:color="008080"/>
    </w:rPr>
  </w:style>
  <w:style w:type="paragraph" w:customStyle="1" w:styleId="054tabella-figuranote">
    <w:name w:val="054_tabella-figura note"/>
    <w:pPr>
      <w:spacing w:before="20" w:after="20"/>
      <w:ind w:left="227" w:hanging="227"/>
      <w:jc w:val="both"/>
    </w:pPr>
    <w:rPr>
      <w:rFonts w:ascii="Arial Narrow" w:eastAsia="Arial Narrow" w:hAnsi="Arial Narrow" w:cs="Arial Narrow"/>
      <w:color w:val="000000"/>
      <w:sz w:val="15"/>
      <w:szCs w:val="15"/>
      <w:u w:color="000000"/>
      <w:lang w:val="it-IT"/>
    </w:rPr>
  </w:style>
  <w:style w:type="paragraph" w:customStyle="1" w:styleId="012titoloparagrafo">
    <w:name w:val="012_titolo paragrafo"/>
    <w:pPr>
      <w:spacing w:before="360" w:after="240"/>
    </w:pPr>
    <w:rPr>
      <w:rFonts w:ascii="Arial" w:hAnsi="Arial" w:cs="Arial Unicode MS"/>
      <w:b/>
      <w:bCs/>
      <w:color w:val="008080"/>
      <w:spacing w:val="-2"/>
      <w:sz w:val="26"/>
      <w:szCs w:val="26"/>
      <w:u w:color="008080"/>
      <w:lang w:val="it-IT"/>
    </w:rPr>
  </w:style>
  <w:style w:type="paragraph" w:customStyle="1" w:styleId="016testobulletprimapagina">
    <w:name w:val="016_testo_bullet_prima_pagina"/>
    <w:uiPriority w:val="99"/>
    <w:pPr>
      <w:spacing w:after="180" w:line="264" w:lineRule="auto"/>
      <w:ind w:left="284" w:right="284"/>
      <w:jc w:val="both"/>
    </w:pPr>
    <w:rPr>
      <w:rFonts w:ascii="Arial" w:eastAsia="Arial" w:hAnsi="Arial" w:cs="Arial"/>
      <w:color w:val="008080"/>
      <w:sz w:val="24"/>
      <w:szCs w:val="24"/>
      <w:u w:color="008080"/>
      <w:lang w:val="it-IT"/>
    </w:rPr>
  </w:style>
  <w:style w:type="character" w:customStyle="1" w:styleId="Hyperlink2">
    <w:name w:val="Hyperlink.2"/>
    <w:basedOn w:val="Link"/>
    <w:rPr>
      <w:rFonts w:ascii="Arial" w:eastAsia="Arial" w:hAnsi="Arial" w:cs="Arial"/>
      <w:outline w:val="0"/>
      <w:color w:val="0000FF"/>
      <w:sz w:val="22"/>
      <w:szCs w:val="22"/>
      <w:u w:val="single" w:color="0000FF"/>
    </w:rPr>
  </w:style>
  <w:style w:type="paragraph" w:styleId="NormaleWeb">
    <w:name w:val="Normal (Web)"/>
    <w:pPr>
      <w:spacing w:before="100" w:after="100"/>
    </w:pPr>
    <w:rPr>
      <w:rFonts w:eastAsia="Times New Roman"/>
      <w:color w:val="000000"/>
      <w:sz w:val="24"/>
      <w:szCs w:val="24"/>
      <w:u w:color="000000"/>
      <w:lang w:val="it-IT"/>
    </w:rPr>
  </w:style>
  <w:style w:type="character" w:customStyle="1" w:styleId="Hyperlink3">
    <w:name w:val="Hyperlink.3"/>
    <w:basedOn w:val="Link"/>
    <w:rPr>
      <w:rFonts w:ascii="Arial" w:eastAsia="Arial" w:hAnsi="Arial" w:cs="Arial"/>
      <w:outline w:val="0"/>
      <w:color w:val="0000FF"/>
      <w:spacing w:val="-3"/>
      <w:sz w:val="22"/>
      <w:szCs w:val="22"/>
      <w:u w:val="single" w:color="0000FF"/>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link w:val="TestonotaapidipaginaCarattere"/>
    <w:uiPriority w:val="99"/>
    <w:pPr>
      <w:jc w:val="both"/>
    </w:pPr>
    <w:rPr>
      <w:rFonts w:eastAsia="Times New Roman"/>
      <w:color w:val="000000"/>
      <w:u w:color="000000"/>
      <w:lang w:val="it-IT"/>
    </w:rPr>
  </w:style>
  <w:style w:type="character" w:customStyle="1" w:styleId="Hyperlink4">
    <w:name w:val="Hyperlink.4"/>
    <w:basedOn w:val="Link"/>
    <w:rPr>
      <w:rFonts w:ascii="Arial" w:eastAsia="Arial" w:hAnsi="Arial" w:cs="Arial"/>
      <w:outline w:val="0"/>
      <w:color w:val="0000FF"/>
      <w:sz w:val="16"/>
      <w:szCs w:val="16"/>
      <w:u w:val="single" w:color="0000FF"/>
    </w:rPr>
  </w:style>
  <w:style w:type="character" w:customStyle="1" w:styleId="Hyperlink5">
    <w:name w:val="Hyperlink.5"/>
    <w:basedOn w:val="Link"/>
    <w:rPr>
      <w:rFonts w:ascii="Arial" w:eastAsia="Arial" w:hAnsi="Arial" w:cs="Arial"/>
      <w:outline w:val="0"/>
      <w:color w:val="0000FF"/>
      <w:u w:val="single" w:color="0000FF"/>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rFonts w:ascii="Aptos" w:eastAsia="Aptos" w:hAnsi="Aptos" w:cs="Aptos"/>
      <w:color w:val="000000"/>
      <w:u w:color="000000"/>
      <w:lang w:val="it-IT"/>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EA24D4"/>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ptos"/>
      <w:color w:val="000000"/>
      <w:sz w:val="24"/>
      <w:szCs w:val="24"/>
      <w:u w:color="000000"/>
      <w:lang w:val="it-IT"/>
    </w:rPr>
  </w:style>
  <w:style w:type="paragraph" w:styleId="Soggettocommento">
    <w:name w:val="annotation subject"/>
    <w:basedOn w:val="Testocommento"/>
    <w:next w:val="Testocommento"/>
    <w:link w:val="SoggettocommentoCarattere"/>
    <w:uiPriority w:val="99"/>
    <w:semiHidden/>
    <w:unhideWhenUsed/>
    <w:rsid w:val="00EA24D4"/>
    <w:rPr>
      <w:b/>
      <w:bCs/>
    </w:rPr>
  </w:style>
  <w:style w:type="character" w:customStyle="1" w:styleId="SoggettocommentoCarattere">
    <w:name w:val="Soggetto commento Carattere"/>
    <w:basedOn w:val="TestocommentoCarattere"/>
    <w:link w:val="Soggettocommento"/>
    <w:uiPriority w:val="99"/>
    <w:semiHidden/>
    <w:rsid w:val="00EA24D4"/>
    <w:rPr>
      <w:rFonts w:ascii="Aptos" w:eastAsia="Aptos" w:hAnsi="Aptos" w:cs="Aptos"/>
      <w:b/>
      <w:bCs/>
      <w:color w:val="000000"/>
      <w:u w:color="000000"/>
      <w:lang w:val="it-IT"/>
    </w:rPr>
  </w:style>
  <w:style w:type="paragraph" w:styleId="Testofumetto">
    <w:name w:val="Balloon Text"/>
    <w:basedOn w:val="Normale"/>
    <w:link w:val="TestofumettoCarattere"/>
    <w:uiPriority w:val="99"/>
    <w:semiHidden/>
    <w:unhideWhenUsed/>
    <w:rsid w:val="000C35A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35A6"/>
    <w:rPr>
      <w:rFonts w:ascii="Segoe UI" w:eastAsia="Aptos" w:hAnsi="Segoe UI" w:cs="Segoe UI"/>
      <w:color w:val="000000"/>
      <w:sz w:val="18"/>
      <w:szCs w:val="18"/>
      <w:u w:color="000000"/>
      <w:lang w:val="it-IT"/>
    </w:rPr>
  </w:style>
  <w:style w:type="table" w:styleId="Grigliatabella">
    <w:name w:val="Table Grid"/>
    <w:basedOn w:val="Tabellanormale"/>
    <w:uiPriority w:val="39"/>
    <w:rsid w:val="005168C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dr w:val="none" w:sz="0" w:space="0" w:color="auto"/>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aliases w:val="Rimando nota a piè di pagina_relazione,Footnote Reference Superscript"/>
    <w:uiPriority w:val="99"/>
    <w:qFormat/>
    <w:rsid w:val="005168C9"/>
    <w:rPr>
      <w:rFonts w:cs="Times New Roman"/>
      <w:vertAlign w:val="superscript"/>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168C9"/>
    <w:rPr>
      <w:rFonts w:eastAsia="Times New Roman"/>
      <w:color w:val="000000"/>
      <w:u w:color="000000"/>
      <w:lang w:val="it-IT"/>
    </w:rPr>
  </w:style>
  <w:style w:type="paragraph" w:styleId="Intestazione">
    <w:name w:val="header"/>
    <w:basedOn w:val="Normale"/>
    <w:link w:val="IntestazioneCarattere"/>
    <w:uiPriority w:val="99"/>
    <w:unhideWhenUsed/>
    <w:rsid w:val="00320E26"/>
    <w:pPr>
      <w:tabs>
        <w:tab w:val="center" w:pos="4819"/>
        <w:tab w:val="right" w:pos="9638"/>
      </w:tabs>
    </w:pPr>
  </w:style>
  <w:style w:type="character" w:customStyle="1" w:styleId="IntestazioneCarattere">
    <w:name w:val="Intestazione Carattere"/>
    <w:basedOn w:val="Carpredefinitoparagrafo"/>
    <w:link w:val="Intestazione"/>
    <w:uiPriority w:val="99"/>
    <w:rsid w:val="00320E26"/>
    <w:rPr>
      <w:rFonts w:ascii="Aptos" w:eastAsia="Aptos" w:hAnsi="Aptos" w:cs="Aptos"/>
      <w:color w:val="000000"/>
      <w:sz w:val="24"/>
      <w:szCs w:val="24"/>
      <w:u w:color="000000"/>
      <w:lang w:val="it-IT"/>
    </w:rPr>
  </w:style>
  <w:style w:type="character" w:styleId="Collegamentovisitato">
    <w:name w:val="FollowedHyperlink"/>
    <w:basedOn w:val="Carpredefinitoparagrafo"/>
    <w:uiPriority w:val="99"/>
    <w:semiHidden/>
    <w:unhideWhenUsed/>
    <w:rsid w:val="005571B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55722">
      <w:bodyDiv w:val="1"/>
      <w:marLeft w:val="0"/>
      <w:marRight w:val="0"/>
      <w:marTop w:val="0"/>
      <w:marBottom w:val="0"/>
      <w:divBdr>
        <w:top w:val="none" w:sz="0" w:space="0" w:color="auto"/>
        <w:left w:val="none" w:sz="0" w:space="0" w:color="auto"/>
        <w:bottom w:val="none" w:sz="0" w:space="0" w:color="auto"/>
        <w:right w:val="none" w:sz="0" w:space="0" w:color="auto"/>
      </w:divBdr>
      <w:divsChild>
        <w:div w:id="1296520588">
          <w:marLeft w:val="0"/>
          <w:marRight w:val="0"/>
          <w:marTop w:val="0"/>
          <w:marBottom w:val="0"/>
          <w:divBdr>
            <w:top w:val="none" w:sz="0" w:space="0" w:color="auto"/>
            <w:left w:val="none" w:sz="0" w:space="0" w:color="auto"/>
            <w:bottom w:val="none" w:sz="0" w:space="0" w:color="auto"/>
            <w:right w:val="none" w:sz="0" w:space="0" w:color="auto"/>
          </w:divBdr>
        </w:div>
        <w:div w:id="188184797">
          <w:marLeft w:val="0"/>
          <w:marRight w:val="0"/>
          <w:marTop w:val="0"/>
          <w:marBottom w:val="0"/>
          <w:divBdr>
            <w:top w:val="none" w:sz="0" w:space="0" w:color="auto"/>
            <w:left w:val="none" w:sz="0" w:space="0" w:color="auto"/>
            <w:bottom w:val="none" w:sz="0" w:space="0" w:color="auto"/>
            <w:right w:val="none" w:sz="0" w:space="0" w:color="auto"/>
          </w:divBdr>
        </w:div>
        <w:div w:id="1468887756">
          <w:marLeft w:val="0"/>
          <w:marRight w:val="0"/>
          <w:marTop w:val="0"/>
          <w:marBottom w:val="0"/>
          <w:divBdr>
            <w:top w:val="none" w:sz="0" w:space="0" w:color="auto"/>
            <w:left w:val="none" w:sz="0" w:space="0" w:color="auto"/>
            <w:bottom w:val="none" w:sz="0" w:space="0" w:color="auto"/>
            <w:right w:val="none" w:sz="0" w:space="0" w:color="auto"/>
          </w:divBdr>
        </w:div>
      </w:divsChild>
    </w:div>
    <w:div w:id="961571493">
      <w:bodyDiv w:val="1"/>
      <w:marLeft w:val="0"/>
      <w:marRight w:val="0"/>
      <w:marTop w:val="0"/>
      <w:marBottom w:val="0"/>
      <w:divBdr>
        <w:top w:val="none" w:sz="0" w:space="0" w:color="auto"/>
        <w:left w:val="none" w:sz="0" w:space="0" w:color="auto"/>
        <w:bottom w:val="none" w:sz="0" w:space="0" w:color="auto"/>
        <w:right w:val="none" w:sz="0" w:space="0" w:color="auto"/>
      </w:divBdr>
      <w:divsChild>
        <w:div w:id="1036852280">
          <w:marLeft w:val="0"/>
          <w:marRight w:val="0"/>
          <w:marTop w:val="0"/>
          <w:marBottom w:val="0"/>
          <w:divBdr>
            <w:top w:val="none" w:sz="0" w:space="0" w:color="auto"/>
            <w:left w:val="none" w:sz="0" w:space="0" w:color="auto"/>
            <w:bottom w:val="none" w:sz="0" w:space="0" w:color="auto"/>
            <w:right w:val="none" w:sz="0" w:space="0" w:color="auto"/>
          </w:divBdr>
        </w:div>
        <w:div w:id="840002694">
          <w:marLeft w:val="0"/>
          <w:marRight w:val="0"/>
          <w:marTop w:val="0"/>
          <w:marBottom w:val="0"/>
          <w:divBdr>
            <w:top w:val="none" w:sz="0" w:space="0" w:color="auto"/>
            <w:left w:val="none" w:sz="0" w:space="0" w:color="auto"/>
            <w:bottom w:val="none" w:sz="0" w:space="0" w:color="auto"/>
            <w:right w:val="none" w:sz="0" w:space="0" w:color="auto"/>
          </w:divBdr>
        </w:div>
        <w:div w:id="68424597">
          <w:marLeft w:val="0"/>
          <w:marRight w:val="0"/>
          <w:marTop w:val="0"/>
          <w:marBottom w:val="0"/>
          <w:divBdr>
            <w:top w:val="none" w:sz="0" w:space="0" w:color="auto"/>
            <w:left w:val="none" w:sz="0" w:space="0" w:color="auto"/>
            <w:bottom w:val="none" w:sz="0" w:space="0" w:color="auto"/>
            <w:right w:val="none" w:sz="0" w:space="0" w:color="auto"/>
          </w:divBdr>
        </w:div>
      </w:divsChild>
    </w:div>
    <w:div w:id="1327436867">
      <w:bodyDiv w:val="1"/>
      <w:marLeft w:val="0"/>
      <w:marRight w:val="0"/>
      <w:marTop w:val="0"/>
      <w:marBottom w:val="0"/>
      <w:divBdr>
        <w:top w:val="none" w:sz="0" w:space="0" w:color="auto"/>
        <w:left w:val="none" w:sz="0" w:space="0" w:color="auto"/>
        <w:bottom w:val="none" w:sz="0" w:space="0" w:color="auto"/>
        <w:right w:val="none" w:sz="0" w:space="0" w:color="auto"/>
      </w:divBdr>
      <w:divsChild>
        <w:div w:id="761414839">
          <w:marLeft w:val="0"/>
          <w:marRight w:val="0"/>
          <w:marTop w:val="0"/>
          <w:marBottom w:val="0"/>
          <w:divBdr>
            <w:top w:val="none" w:sz="0" w:space="0" w:color="auto"/>
            <w:left w:val="none" w:sz="0" w:space="0" w:color="auto"/>
            <w:bottom w:val="none" w:sz="0" w:space="0" w:color="auto"/>
            <w:right w:val="none" w:sz="0" w:space="0" w:color="auto"/>
          </w:divBdr>
        </w:div>
        <w:div w:id="1282300532">
          <w:marLeft w:val="0"/>
          <w:marRight w:val="0"/>
          <w:marTop w:val="0"/>
          <w:marBottom w:val="0"/>
          <w:divBdr>
            <w:top w:val="none" w:sz="0" w:space="0" w:color="auto"/>
            <w:left w:val="none" w:sz="0" w:space="0" w:color="auto"/>
            <w:bottom w:val="none" w:sz="0" w:space="0" w:color="auto"/>
            <w:right w:val="none" w:sz="0" w:space="0" w:color="auto"/>
          </w:divBdr>
        </w:div>
        <w:div w:id="6679751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tat.it/wp-content/uploads/2025/11/CET_25q3.pdf" TargetMode="External"/><Relationship Id="rId18" Type="http://schemas.openxmlformats.org/officeDocument/2006/relationships/hyperlink" Target="https://www.istat.it/comunicato-stampa/conto-trimestrale-ap-reddito-famiglie-profitti-societa-iii-trimestre-2025/" TargetMode="External"/><Relationship Id="rId26" Type="http://schemas.openxmlformats.org/officeDocument/2006/relationships/hyperlink" Target="https://www.istat.it/comunicato-stampa/conto-trimestrale-ap-reddito-famiglie-profitti-societa-iii-trimestre-2025/" TargetMode="External"/><Relationship Id="rId39" Type="http://schemas.openxmlformats.org/officeDocument/2006/relationships/chart" Target="charts/chart6.xml"/><Relationship Id="rId21" Type="http://schemas.openxmlformats.org/officeDocument/2006/relationships/image" Target="media/image4.png"/><Relationship Id="rId34" Type="http://schemas.openxmlformats.org/officeDocument/2006/relationships/image" Target="media/image7.png"/><Relationship Id="rId42" Type="http://schemas.openxmlformats.org/officeDocument/2006/relationships/hyperlink" Target="mailto:cvicarelli@istat.it" TargetMode="External"/><Relationship Id="rId47" Type="http://schemas.openxmlformats.org/officeDocument/2006/relationships/theme" Target="theme/theme1.xml"/><Relationship Id="rId50"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stat.it/comunicato-stampa/prezzi-delle-abitazioni-dati-provvisori-iii-trimestre-2025/" TargetMode="External"/><Relationship Id="rId29" Type="http://schemas.openxmlformats.org/officeDocument/2006/relationships/hyperlink" Target="https://www.istat.it/comunicato-stampa/prezzi-al-consumo-dati-provvisori-dicembre-2025/" TargetMode="Externa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s://www.istat.it/wp-content/uploads/2025/12/PPI_PPC_1125.pdf" TargetMode="External"/><Relationship Id="rId37" Type="http://schemas.openxmlformats.org/officeDocument/2006/relationships/chart" Target="charts/chart4.xml"/><Relationship Id="rId40" Type="http://schemas.openxmlformats.org/officeDocument/2006/relationships/chart" Target="charts/chart7.xm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istat.it/comunicato-stampa/produzione-nelle-costruzioni-ottobre-2025/" TargetMode="External"/><Relationship Id="rId23" Type="http://schemas.openxmlformats.org/officeDocument/2006/relationships/hyperlink" Target="https://www.istat.it/comunicato-stampa/occupati-e-disoccupati-dati-provvisori-novembre-2025/" TargetMode="External"/><Relationship Id="rId28" Type="http://schemas.openxmlformats.org/officeDocument/2006/relationships/hyperlink" Target="https://www.istat.it/comunicato-stampa/commercio-al-dettaglio-novembre-2025/" TargetMode="External"/><Relationship Id="rId36" Type="http://schemas.openxmlformats.org/officeDocument/2006/relationships/chart" Target="charts/chart3.xml"/><Relationship Id="rId49"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yperlink" Target="https://www.istat.it/comunicato-stampa/fiducia-dei-consumatori-e-delle-imprese-dicembre-2025/" TargetMode="External"/><Relationship Id="rId31" Type="http://schemas.openxmlformats.org/officeDocument/2006/relationships/hyperlink" Target="https://www.istat.it/comunicato-stampa/commercio-con-lestero-e-prezzi-allimport-ottobre-2025/"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tat.it/comunicato-stampa/produzione-industriale-ottobre-2025/" TargetMode="External"/><Relationship Id="rId22" Type="http://schemas.openxmlformats.org/officeDocument/2006/relationships/hyperlink" Target="https://www.istat.it/comunicato-stampa/commercio-con-lestero-e-prezzi-allimport-ottobre-2025/" TargetMode="External"/><Relationship Id="rId27" Type="http://schemas.openxmlformats.org/officeDocument/2006/relationships/hyperlink" Target="https://www.istat.it/comunicato-stampa/fiducia-dei-consumatori-e-delle-imprese-dicembre-2025/" TargetMode="External"/><Relationship Id="rId30" Type="http://schemas.openxmlformats.org/officeDocument/2006/relationships/hyperlink" Target="https://www.istat.it/comunicato-stampa/prezzi-al-consumo-dati-provvisori-dicembre-2025/" TargetMode="External"/><Relationship Id="rId35" Type="http://schemas.openxmlformats.org/officeDocument/2006/relationships/chart" Target="charts/chart2.xm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www.istat.it/comunicato-stampa/fatturato-dellindustria-e-dei-servizi-ottobre-2025/" TargetMode="External"/><Relationship Id="rId25" Type="http://schemas.openxmlformats.org/officeDocument/2006/relationships/image" Target="media/image6.png"/><Relationship Id="rId33" Type="http://schemas.openxmlformats.org/officeDocument/2006/relationships/hyperlink" Target="https://www.istat.it/comunicato-stampa/fiducia-dei-consumatori-e-delle-imprese-dicembre-2025/" TargetMode="External"/><Relationship Id="rId38" Type="http://schemas.openxmlformats.org/officeDocument/2006/relationships/chart" Target="charts/chart5.xm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mailto:rdesantis@istat.it"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mailto:ufficiostampa@istat.it" TargetMode="External"/><Relationship Id="rId2" Type="http://schemas.openxmlformats.org/officeDocument/2006/relationships/hyperlink" Target="https://contact.istat.it/s/?language=it" TargetMode="External"/><Relationship Id="rId1" Type="http://schemas.openxmlformats.org/officeDocument/2006/relationships/hyperlink" Target="http://www.istat.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stat.it/comunicato-stampa/struttura-e-competitivita-delle-imprese-multinazionali-anno-2023/" TargetMode="External"/><Relationship Id="rId2" Type="http://schemas.openxmlformats.org/officeDocument/2006/relationships/hyperlink" Target="https://policy.trade.ec.europa.eu/news/joint-statement-united-states-european-union-framework-agreement-reciprocal-fair-and-balanced-trade-2025-08-21_en" TargetMode="External"/><Relationship Id="rId1" Type="http://schemas.openxmlformats.org/officeDocument/2006/relationships/hyperlink" Target="https://ec.europa.eu/eurostat/statistics-explained/index.php?title=International_trade_statistics_-_backgrou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piergiuseppe.cossu\Desktop\FIGURA_2_N_6_202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iergiuseppe.cossu\Desktop\Figura%20F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iergiuseppe.cossu\Desktop\Figura%20F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iergiuseppe.cossu\Desktop\Figura%20F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iergiuseppe.cossu\Desktop\Figura%20F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iergiuseppe.cossu\Desktop\Figura%20F2_v2_rev_2%20(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piergiuseppe.cossu\Desktop\Figura%20F2_v2_rev_2%20(1).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56617540933655E-2"/>
          <c:y val="0.15597477946835589"/>
          <c:w val="0.86970734126984128"/>
          <c:h val="0.61824166716002604"/>
        </c:manualLayout>
      </c:layout>
      <c:lineChart>
        <c:grouping val="standard"/>
        <c:varyColors val="0"/>
        <c:ser>
          <c:idx val="1"/>
          <c:order val="0"/>
          <c:tx>
            <c:strRef>
              <c:f>'fig 2 ita'!$C$1</c:f>
              <c:strCache>
                <c:ptCount val="1"/>
                <c:pt idx="0">
                  <c:v>Italia</c:v>
                </c:pt>
              </c:strCache>
            </c:strRef>
          </c:tx>
          <c:spPr>
            <a:ln w="19050">
              <a:solidFill>
                <a:srgbClr val="004172"/>
              </a:solidFill>
            </a:ln>
          </c:spPr>
          <c:marker>
            <c:symbol val="none"/>
          </c:marker>
          <c:cat>
            <c:multiLvlStrRef>
              <c:f>'fig 2 ita'!$A$2:$B$25</c:f>
              <c:multiLvlStrCache>
                <c:ptCount val="24"/>
                <c:lvl>
                  <c:pt idx="1">
                    <c:v>feb</c:v>
                  </c:pt>
                  <c:pt idx="3">
                    <c:v>apr</c:v>
                  </c:pt>
                  <c:pt idx="5">
                    <c:v>giu</c:v>
                  </c:pt>
                  <c:pt idx="7">
                    <c:v>ago</c:v>
                  </c:pt>
                  <c:pt idx="9">
                    <c:v>ott</c:v>
                  </c:pt>
                  <c:pt idx="11">
                    <c:v>dic</c:v>
                  </c:pt>
                  <c:pt idx="13">
                    <c:v>feb</c:v>
                  </c:pt>
                  <c:pt idx="15">
                    <c:v>apr</c:v>
                  </c:pt>
                  <c:pt idx="17">
                    <c:v>giu</c:v>
                  </c:pt>
                  <c:pt idx="19">
                    <c:v>ago</c:v>
                  </c:pt>
                  <c:pt idx="21">
                    <c:v>ott</c:v>
                  </c:pt>
                  <c:pt idx="23">
                    <c:v>dic</c:v>
                  </c:pt>
                </c:lvl>
                <c:lvl>
                  <c:pt idx="0">
                    <c:v>2024</c:v>
                  </c:pt>
                  <c:pt idx="12">
                    <c:v>2025</c:v>
                  </c:pt>
                </c:lvl>
              </c:multiLvlStrCache>
            </c:multiLvlStrRef>
          </c:cat>
          <c:val>
            <c:numRef>
              <c:f>'fig 2 ita'!$C$2:$C$25</c:f>
              <c:numCache>
                <c:formatCode>0.0</c:formatCode>
                <c:ptCount val="24"/>
                <c:pt idx="0">
                  <c:v>100.9</c:v>
                </c:pt>
                <c:pt idx="1">
                  <c:v>99.3</c:v>
                </c:pt>
                <c:pt idx="2">
                  <c:v>100.9</c:v>
                </c:pt>
                <c:pt idx="3">
                  <c:v>99.6</c:v>
                </c:pt>
                <c:pt idx="4">
                  <c:v>101.2</c:v>
                </c:pt>
                <c:pt idx="5">
                  <c:v>100.7</c:v>
                </c:pt>
                <c:pt idx="6">
                  <c:v>100.3</c:v>
                </c:pt>
                <c:pt idx="7">
                  <c:v>99.8</c:v>
                </c:pt>
                <c:pt idx="8">
                  <c:v>98.1</c:v>
                </c:pt>
                <c:pt idx="9">
                  <c:v>97.5</c:v>
                </c:pt>
                <c:pt idx="10">
                  <c:v>99.1</c:v>
                </c:pt>
                <c:pt idx="11">
                  <c:v>98.2</c:v>
                </c:pt>
                <c:pt idx="12">
                  <c:v>99.9</c:v>
                </c:pt>
                <c:pt idx="13">
                  <c:v>99.6</c:v>
                </c:pt>
                <c:pt idx="14">
                  <c:v>97.7</c:v>
                </c:pt>
                <c:pt idx="15">
                  <c:v>95.9</c:v>
                </c:pt>
                <c:pt idx="16">
                  <c:v>98.7</c:v>
                </c:pt>
                <c:pt idx="17">
                  <c:v>99</c:v>
                </c:pt>
                <c:pt idx="18">
                  <c:v>99.5</c:v>
                </c:pt>
                <c:pt idx="19">
                  <c:v>98.5</c:v>
                </c:pt>
                <c:pt idx="20">
                  <c:v>99.3</c:v>
                </c:pt>
                <c:pt idx="21">
                  <c:v>100.6</c:v>
                </c:pt>
                <c:pt idx="22">
                  <c:v>101.7</c:v>
                </c:pt>
                <c:pt idx="23">
                  <c:v>101.1</c:v>
                </c:pt>
              </c:numCache>
            </c:numRef>
          </c:val>
          <c:smooth val="0"/>
          <c:extLst>
            <c:ext xmlns:c16="http://schemas.microsoft.com/office/drawing/2014/chart" uri="{C3380CC4-5D6E-409C-BE32-E72D297353CC}">
              <c16:uniqueId val="{00000000-D113-4D75-A143-F88CE2C6627B}"/>
            </c:ext>
          </c:extLst>
        </c:ser>
        <c:ser>
          <c:idx val="2"/>
          <c:order val="1"/>
          <c:tx>
            <c:strRef>
              <c:f>'fig 2 ita'!$D$1</c:f>
              <c:strCache>
                <c:ptCount val="1"/>
                <c:pt idx="0">
                  <c:v>Area euro</c:v>
                </c:pt>
              </c:strCache>
            </c:strRef>
          </c:tx>
          <c:spPr>
            <a:ln w="19050">
              <a:solidFill>
                <a:srgbClr val="00817F"/>
              </a:solidFill>
            </a:ln>
          </c:spPr>
          <c:marker>
            <c:symbol val="none"/>
          </c:marker>
          <c:cat>
            <c:multiLvlStrRef>
              <c:f>'fig 2 ita'!$A$2:$B$25</c:f>
              <c:multiLvlStrCache>
                <c:ptCount val="24"/>
                <c:lvl>
                  <c:pt idx="1">
                    <c:v>feb</c:v>
                  </c:pt>
                  <c:pt idx="3">
                    <c:v>apr</c:v>
                  </c:pt>
                  <c:pt idx="5">
                    <c:v>giu</c:v>
                  </c:pt>
                  <c:pt idx="7">
                    <c:v>ago</c:v>
                  </c:pt>
                  <c:pt idx="9">
                    <c:v>ott</c:v>
                  </c:pt>
                  <c:pt idx="11">
                    <c:v>dic</c:v>
                  </c:pt>
                  <c:pt idx="13">
                    <c:v>feb</c:v>
                  </c:pt>
                  <c:pt idx="15">
                    <c:v>apr</c:v>
                  </c:pt>
                  <c:pt idx="17">
                    <c:v>giu</c:v>
                  </c:pt>
                  <c:pt idx="19">
                    <c:v>ago</c:v>
                  </c:pt>
                  <c:pt idx="21">
                    <c:v>ott</c:v>
                  </c:pt>
                  <c:pt idx="23">
                    <c:v>dic</c:v>
                  </c:pt>
                </c:lvl>
                <c:lvl>
                  <c:pt idx="0">
                    <c:v>2024</c:v>
                  </c:pt>
                  <c:pt idx="12">
                    <c:v>2025</c:v>
                  </c:pt>
                </c:lvl>
              </c:multiLvlStrCache>
            </c:multiLvlStrRef>
          </c:cat>
          <c:val>
            <c:numRef>
              <c:f>'fig 2 ita'!$D$2:$D$25</c:f>
              <c:numCache>
                <c:formatCode>0.0</c:formatCode>
                <c:ptCount val="24"/>
                <c:pt idx="0">
                  <c:v>96.1</c:v>
                </c:pt>
                <c:pt idx="1">
                  <c:v>95.5</c:v>
                </c:pt>
                <c:pt idx="2">
                  <c:v>96.3</c:v>
                </c:pt>
                <c:pt idx="3">
                  <c:v>95.6</c:v>
                </c:pt>
                <c:pt idx="4">
                  <c:v>96.7</c:v>
                </c:pt>
                <c:pt idx="5">
                  <c:v>95.7</c:v>
                </c:pt>
                <c:pt idx="6">
                  <c:v>94.8</c:v>
                </c:pt>
                <c:pt idx="7">
                  <c:v>94</c:v>
                </c:pt>
                <c:pt idx="8">
                  <c:v>94</c:v>
                </c:pt>
                <c:pt idx="9">
                  <c:v>93.9</c:v>
                </c:pt>
                <c:pt idx="10">
                  <c:v>95.7</c:v>
                </c:pt>
                <c:pt idx="11">
                  <c:v>93.5</c:v>
                </c:pt>
                <c:pt idx="12">
                  <c:v>95.2</c:v>
                </c:pt>
                <c:pt idx="13">
                  <c:v>96.2</c:v>
                </c:pt>
                <c:pt idx="14">
                  <c:v>95.2</c:v>
                </c:pt>
                <c:pt idx="15">
                  <c:v>93.9</c:v>
                </c:pt>
                <c:pt idx="16">
                  <c:v>95</c:v>
                </c:pt>
                <c:pt idx="17">
                  <c:v>94.2</c:v>
                </c:pt>
                <c:pt idx="18">
                  <c:v>95.8</c:v>
                </c:pt>
                <c:pt idx="19">
                  <c:v>95.5</c:v>
                </c:pt>
                <c:pt idx="20">
                  <c:v>95.7</c:v>
                </c:pt>
                <c:pt idx="21">
                  <c:v>96.9</c:v>
                </c:pt>
                <c:pt idx="22">
                  <c:v>97.1</c:v>
                </c:pt>
                <c:pt idx="23">
                  <c:v>96.7</c:v>
                </c:pt>
              </c:numCache>
            </c:numRef>
          </c:val>
          <c:smooth val="0"/>
          <c:extLst>
            <c:ext xmlns:c16="http://schemas.microsoft.com/office/drawing/2014/chart" uri="{C3380CC4-5D6E-409C-BE32-E72D297353CC}">
              <c16:uniqueId val="{00000001-D113-4D75-A143-F88CE2C6627B}"/>
            </c:ext>
          </c:extLst>
        </c:ser>
        <c:dLbls>
          <c:showLegendKey val="0"/>
          <c:showVal val="0"/>
          <c:showCatName val="0"/>
          <c:showSerName val="0"/>
          <c:showPercent val="0"/>
          <c:showBubbleSize val="0"/>
        </c:dLbls>
        <c:smooth val="0"/>
        <c:axId val="-1811779872"/>
        <c:axId val="-1811784224"/>
      </c:lineChart>
      <c:catAx>
        <c:axId val="-1811779872"/>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low"/>
        <c:spPr>
          <a:ln w="9525">
            <a:solidFill>
              <a:sysClr val="window" lastClr="FFFFFF">
                <a:lumMod val="65000"/>
              </a:sysClr>
            </a:solidFill>
          </a:ln>
        </c:spPr>
        <c:txPr>
          <a:bodyPr/>
          <a:lstStyle/>
          <a:p>
            <a:pPr>
              <a:defRPr sz="750"/>
            </a:pPr>
            <a:endParaRPr lang="it-IT"/>
          </a:p>
        </c:txPr>
        <c:crossAx val="-1811784224"/>
        <c:crosses val="autoZero"/>
        <c:auto val="1"/>
        <c:lblAlgn val="ctr"/>
        <c:lblOffset val="100"/>
        <c:tickLblSkip val="1"/>
        <c:noMultiLvlLbl val="0"/>
      </c:catAx>
      <c:valAx>
        <c:axId val="-1811784224"/>
        <c:scaling>
          <c:orientation val="minMax"/>
          <c:max val="105"/>
          <c:min val="90"/>
        </c:scaling>
        <c:delete val="0"/>
        <c:axPos val="l"/>
        <c:majorGridlines>
          <c:spPr>
            <a:ln w="3175">
              <a:solidFill>
                <a:sysClr val="window" lastClr="FFFFFF">
                  <a:lumMod val="85000"/>
                </a:sysClr>
              </a:solidFill>
            </a:ln>
          </c:spPr>
        </c:majorGridlines>
        <c:numFmt formatCode="0" sourceLinked="0"/>
        <c:majorTickMark val="out"/>
        <c:minorTickMark val="none"/>
        <c:tickLblPos val="nextTo"/>
        <c:spPr>
          <a:ln w="9525">
            <a:solidFill>
              <a:sysClr val="window" lastClr="FFFFFF">
                <a:lumMod val="65000"/>
              </a:sysClr>
            </a:solidFill>
          </a:ln>
        </c:spPr>
        <c:txPr>
          <a:bodyPr/>
          <a:lstStyle/>
          <a:p>
            <a:pPr>
              <a:defRPr sz="750"/>
            </a:pPr>
            <a:endParaRPr lang="it-IT"/>
          </a:p>
        </c:txPr>
        <c:crossAx val="-1811779872"/>
        <c:crosses val="autoZero"/>
        <c:crossBetween val="between"/>
        <c:majorUnit val="5"/>
      </c:valAx>
      <c:spPr>
        <a:noFill/>
        <a:ln w="25400">
          <a:noFill/>
        </a:ln>
      </c:spPr>
    </c:plotArea>
    <c:legend>
      <c:legendPos val="t"/>
      <c:layout>
        <c:manualLayout>
          <c:xMode val="edge"/>
          <c:yMode val="edge"/>
          <c:x val="0.1070089965841846"/>
          <c:y val="2.2556390977443608E-2"/>
          <c:w val="0.70696645940429625"/>
          <c:h val="8.5536635388564514E-2"/>
        </c:manualLayout>
      </c:layout>
      <c:overlay val="0"/>
      <c:txPr>
        <a:bodyPr/>
        <a:lstStyle/>
        <a:p>
          <a:pPr>
            <a:defRPr sz="750"/>
          </a:pPr>
          <a:endParaRPr lang="it-IT"/>
        </a:p>
      </c:txPr>
    </c:legend>
    <c:plotVisOnly val="1"/>
    <c:dispBlanksAs val="gap"/>
    <c:showDLblsOverMax val="0"/>
  </c:chart>
  <c:spPr>
    <a:noFill/>
    <a:ln>
      <a:noFill/>
    </a:ln>
  </c:spPr>
  <c:txPr>
    <a:bodyPr/>
    <a:lstStyle/>
    <a:p>
      <a:pPr>
        <a:defRPr sz="700" b="0" i="0" baseline="0">
          <a:latin typeface="Arial Narrow"/>
          <a:ea typeface="Arial Narrow"/>
          <a:cs typeface="Arial Narrow"/>
        </a:defRPr>
      </a:pPr>
      <a:endParaRPr lang="it-I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50"/>
            </a:pPr>
            <a:r>
              <a:rPr lang="it-IT" sz="850"/>
              <a:t>ESPORTAZIONI</a:t>
            </a:r>
            <a:r>
              <a:rPr lang="it-IT" sz="850" baseline="0"/>
              <a:t> VERSO MONDO</a:t>
            </a:r>
            <a:endParaRPr lang="it-IT" sz="850"/>
          </a:p>
        </c:rich>
      </c:tx>
      <c:layout>
        <c:manualLayout>
          <c:xMode val="edge"/>
          <c:yMode val="edge"/>
          <c:x val="0.25837553169941258"/>
          <c:y val="0"/>
        </c:manualLayout>
      </c:layout>
      <c:overlay val="0"/>
    </c:title>
    <c:autoTitleDeleted val="0"/>
    <c:plotArea>
      <c:layout>
        <c:manualLayout>
          <c:layoutTarget val="inner"/>
          <c:xMode val="edge"/>
          <c:yMode val="edge"/>
          <c:x val="7.9247682411273349E-2"/>
          <c:y val="0.21882490403836591"/>
          <c:w val="0.88464663860186243"/>
          <c:h val="0.59066661661332853"/>
        </c:manualLayout>
      </c:layout>
      <c:lineChart>
        <c:grouping val="standard"/>
        <c:varyColors val="0"/>
        <c:ser>
          <c:idx val="2"/>
          <c:order val="0"/>
          <c:tx>
            <c:strRef>
              <c:f>'fig F1 export'!$B$16</c:f>
              <c:strCache>
                <c:ptCount val="1"/>
                <c:pt idx="0">
                  <c:v>UE</c:v>
                </c:pt>
              </c:strCache>
            </c:strRef>
          </c:tx>
          <c:spPr>
            <a:ln w="19050">
              <a:solidFill>
                <a:srgbClr val="00817F"/>
              </a:solidFill>
            </a:ln>
          </c:spPr>
          <c:marker>
            <c:symbol val="none"/>
          </c:marker>
          <c:cat>
            <c:numRef>
              <c:f>'fig F1 export'!$A$17:$A$26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export'!$B$17:$B$26</c:f>
              <c:numCache>
                <c:formatCode>General</c:formatCode>
                <c:ptCount val="10"/>
                <c:pt idx="0">
                  <c:v>100</c:v>
                </c:pt>
                <c:pt idx="1">
                  <c:v>101.20656669016439</c:v>
                </c:pt>
                <c:pt idx="2">
                  <c:v>108.3714832739735</c:v>
                </c:pt>
                <c:pt idx="3">
                  <c:v>120.14689514510941</c:v>
                </c:pt>
                <c:pt idx="4">
                  <c:v>133.04775978971554</c:v>
                </c:pt>
                <c:pt idx="5">
                  <c:v>144.82444726972795</c:v>
                </c:pt>
                <c:pt idx="6">
                  <c:v>162.28817026224834</c:v>
                </c:pt>
                <c:pt idx="7">
                  <c:v>202.70632359083348</c:v>
                </c:pt>
                <c:pt idx="8">
                  <c:v>194.93522690553294</c:v>
                </c:pt>
                <c:pt idx="9">
                  <c:v>213.1151832165385</c:v>
                </c:pt>
              </c:numCache>
            </c:numRef>
          </c:val>
          <c:smooth val="0"/>
          <c:extLst xmlns:c15="http://schemas.microsoft.com/office/drawing/2012/chart">
            <c:ext xmlns:c16="http://schemas.microsoft.com/office/drawing/2014/chart" uri="{C3380CC4-5D6E-409C-BE32-E72D297353CC}">
              <c16:uniqueId val="{00000000-0EDF-418F-875C-80CB8EB0A4FC}"/>
            </c:ext>
          </c:extLst>
        </c:ser>
        <c:ser>
          <c:idx val="1"/>
          <c:order val="1"/>
          <c:tx>
            <c:strRef>
              <c:f>'fig F1 export'!$C$16</c:f>
              <c:strCache>
                <c:ptCount val="1"/>
                <c:pt idx="0">
                  <c:v>Germania</c:v>
                </c:pt>
              </c:strCache>
            </c:strRef>
          </c:tx>
          <c:spPr>
            <a:ln w="19050">
              <a:solidFill>
                <a:srgbClr val="FABB00"/>
              </a:solidFill>
            </a:ln>
          </c:spPr>
          <c:marker>
            <c:symbol val="none"/>
          </c:marker>
          <c:cat>
            <c:numRef>
              <c:f>'fig F1 export'!$A$17:$A$26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export'!$C$17:$C$26</c:f>
              <c:numCache>
                <c:formatCode>General</c:formatCode>
                <c:ptCount val="10"/>
                <c:pt idx="0">
                  <c:v>100</c:v>
                </c:pt>
                <c:pt idx="1">
                  <c:v>100.91623622814394</c:v>
                </c:pt>
                <c:pt idx="2">
                  <c:v>108.8536052654798</c:v>
                </c:pt>
                <c:pt idx="3">
                  <c:v>119.80339807360491</c:v>
                </c:pt>
                <c:pt idx="4">
                  <c:v>119.48476152961669</c:v>
                </c:pt>
                <c:pt idx="5">
                  <c:v>127.35433629262829</c:v>
                </c:pt>
                <c:pt idx="6">
                  <c:v>147.37446802019662</c:v>
                </c:pt>
                <c:pt idx="7">
                  <c:v>177.20002235876044</c:v>
                </c:pt>
                <c:pt idx="8">
                  <c:v>165.39375345215637</c:v>
                </c:pt>
                <c:pt idx="9">
                  <c:v>168.89356699567318</c:v>
                </c:pt>
              </c:numCache>
            </c:numRef>
          </c:val>
          <c:smooth val="0"/>
          <c:extLst>
            <c:ext xmlns:c16="http://schemas.microsoft.com/office/drawing/2014/chart" uri="{C3380CC4-5D6E-409C-BE32-E72D297353CC}">
              <c16:uniqueId val="{00000001-0EDF-418F-875C-80CB8EB0A4FC}"/>
            </c:ext>
          </c:extLst>
        </c:ser>
        <c:ser>
          <c:idx val="0"/>
          <c:order val="2"/>
          <c:tx>
            <c:strRef>
              <c:f>'fig F1 export'!$D$16</c:f>
              <c:strCache>
                <c:ptCount val="1"/>
                <c:pt idx="0">
                  <c:v>Irlanda</c:v>
                </c:pt>
              </c:strCache>
            </c:strRef>
          </c:tx>
          <c:spPr>
            <a:ln w="19050">
              <a:solidFill>
                <a:srgbClr val="004172"/>
              </a:solidFill>
            </a:ln>
          </c:spPr>
          <c:marker>
            <c:symbol val="none"/>
          </c:marker>
          <c:cat>
            <c:numRef>
              <c:f>'fig F1 export'!$A$17:$A$26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export'!$D$17:$D$26</c:f>
              <c:numCache>
                <c:formatCode>General</c:formatCode>
                <c:ptCount val="10"/>
                <c:pt idx="0">
                  <c:v>100</c:v>
                </c:pt>
                <c:pt idx="1">
                  <c:v>100.58660797791099</c:v>
                </c:pt>
                <c:pt idx="2">
                  <c:v>111.63095547113035</c:v>
                </c:pt>
                <c:pt idx="3">
                  <c:v>142.63004154794382</c:v>
                </c:pt>
                <c:pt idx="4">
                  <c:v>151.24742587023889</c:v>
                </c:pt>
                <c:pt idx="5">
                  <c:v>174.99367036071351</c:v>
                </c:pt>
                <c:pt idx="6">
                  <c:v>176.08346076410442</c:v>
                </c:pt>
                <c:pt idx="7">
                  <c:v>219.97695995046112</c:v>
                </c:pt>
                <c:pt idx="8">
                  <c:v>216.42274351997335</c:v>
                </c:pt>
                <c:pt idx="9">
                  <c:v>273.14571958236115</c:v>
                </c:pt>
              </c:numCache>
            </c:numRef>
          </c:val>
          <c:smooth val="0"/>
          <c:extLst xmlns:c15="http://schemas.microsoft.com/office/drawing/2012/chart">
            <c:ext xmlns:c16="http://schemas.microsoft.com/office/drawing/2014/chart" uri="{C3380CC4-5D6E-409C-BE32-E72D297353CC}">
              <c16:uniqueId val="{00000002-0EDF-418F-875C-80CB8EB0A4FC}"/>
            </c:ext>
          </c:extLst>
        </c:ser>
        <c:ser>
          <c:idx val="3"/>
          <c:order val="3"/>
          <c:tx>
            <c:strRef>
              <c:f>'fig F1 export'!$E$16</c:f>
              <c:strCache>
                <c:ptCount val="1"/>
                <c:pt idx="0">
                  <c:v>Belgio</c:v>
                </c:pt>
              </c:strCache>
            </c:strRef>
          </c:tx>
          <c:spPr>
            <a:ln w="19050">
              <a:prstDash val="sysDash"/>
            </a:ln>
          </c:spPr>
          <c:marker>
            <c:symbol val="none"/>
          </c:marker>
          <c:cat>
            <c:numRef>
              <c:f>'fig F1 export'!$A$17:$A$26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export'!$E$17:$E$26</c:f>
              <c:numCache>
                <c:formatCode>General</c:formatCode>
                <c:ptCount val="10"/>
                <c:pt idx="0">
                  <c:v>100</c:v>
                </c:pt>
                <c:pt idx="1">
                  <c:v>100.29046892164874</c:v>
                </c:pt>
                <c:pt idx="2">
                  <c:v>96.779046127919216</c:v>
                </c:pt>
                <c:pt idx="3">
                  <c:v>105.4394935266364</c:v>
                </c:pt>
                <c:pt idx="4">
                  <c:v>122.63269583303951</c:v>
                </c:pt>
                <c:pt idx="5">
                  <c:v>138.30264114423446</c:v>
                </c:pt>
                <c:pt idx="6">
                  <c:v>201.25055686501619</c:v>
                </c:pt>
                <c:pt idx="7">
                  <c:v>234.50892101897301</c:v>
                </c:pt>
                <c:pt idx="8">
                  <c:v>183.96455480485449</c:v>
                </c:pt>
                <c:pt idx="9">
                  <c:v>185.78809366672533</c:v>
                </c:pt>
              </c:numCache>
            </c:numRef>
          </c:val>
          <c:smooth val="0"/>
          <c:extLst>
            <c:ext xmlns:c16="http://schemas.microsoft.com/office/drawing/2014/chart" uri="{C3380CC4-5D6E-409C-BE32-E72D297353CC}">
              <c16:uniqueId val="{00000003-0EDF-418F-875C-80CB8EB0A4FC}"/>
            </c:ext>
          </c:extLst>
        </c:ser>
        <c:ser>
          <c:idx val="4"/>
          <c:order val="4"/>
          <c:tx>
            <c:strRef>
              <c:f>'fig F1 export'!$F$16</c:f>
              <c:strCache>
                <c:ptCount val="1"/>
                <c:pt idx="0">
                  <c:v>Paesi Bassi</c:v>
                </c:pt>
              </c:strCache>
            </c:strRef>
          </c:tx>
          <c:spPr>
            <a:ln>
              <a:solidFill>
                <a:srgbClr val="419324"/>
              </a:solidFill>
            </a:ln>
          </c:spPr>
          <c:marker>
            <c:symbol val="none"/>
          </c:marker>
          <c:cat>
            <c:numRef>
              <c:f>'fig F1 export'!$A$17:$A$26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export'!$F$17:$F$26</c:f>
              <c:numCache>
                <c:formatCode>General</c:formatCode>
                <c:ptCount val="10"/>
                <c:pt idx="0">
                  <c:v>100</c:v>
                </c:pt>
                <c:pt idx="1">
                  <c:v>101.2175045143851</c:v>
                </c:pt>
                <c:pt idx="2">
                  <c:v>114.54032357001131</c:v>
                </c:pt>
                <c:pt idx="3">
                  <c:v>139.93583926704449</c:v>
                </c:pt>
                <c:pt idx="4">
                  <c:v>158.53304700634337</c:v>
                </c:pt>
                <c:pt idx="5">
                  <c:v>159.92208867127908</c:v>
                </c:pt>
                <c:pt idx="6">
                  <c:v>159.28721278151338</c:v>
                </c:pt>
                <c:pt idx="7">
                  <c:v>187.69910127995328</c:v>
                </c:pt>
                <c:pt idx="8">
                  <c:v>197.72134795168122</c:v>
                </c:pt>
                <c:pt idx="9">
                  <c:v>220.45781075674228</c:v>
                </c:pt>
              </c:numCache>
            </c:numRef>
          </c:val>
          <c:smooth val="0"/>
          <c:extLst>
            <c:ext xmlns:c16="http://schemas.microsoft.com/office/drawing/2014/chart" uri="{C3380CC4-5D6E-409C-BE32-E72D297353CC}">
              <c16:uniqueId val="{00000004-0EDF-418F-875C-80CB8EB0A4FC}"/>
            </c:ext>
          </c:extLst>
        </c:ser>
        <c:ser>
          <c:idx val="5"/>
          <c:order val="5"/>
          <c:tx>
            <c:strRef>
              <c:f>'fig F1 export'!$G$16</c:f>
              <c:strCache>
                <c:ptCount val="1"/>
                <c:pt idx="0">
                  <c:v>Italia</c:v>
                </c:pt>
              </c:strCache>
            </c:strRef>
          </c:tx>
          <c:spPr>
            <a:ln>
              <a:solidFill>
                <a:srgbClr val="00324B"/>
              </a:solidFill>
            </a:ln>
          </c:spPr>
          <c:marker>
            <c:symbol val="none"/>
          </c:marker>
          <c:cat>
            <c:numRef>
              <c:f>'fig F1 export'!$A$17:$A$26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export'!$G$17:$G$26</c:f>
              <c:numCache>
                <c:formatCode>General</c:formatCode>
                <c:ptCount val="10"/>
                <c:pt idx="0">
                  <c:v>100</c:v>
                </c:pt>
                <c:pt idx="1">
                  <c:v>107.29166096996553</c:v>
                </c:pt>
                <c:pt idx="2">
                  <c:v>124.15553535678976</c:v>
                </c:pt>
                <c:pt idx="3">
                  <c:v>130.10944024449688</c:v>
                </c:pt>
                <c:pt idx="4">
                  <c:v>164.09617406816065</c:v>
                </c:pt>
                <c:pt idx="5">
                  <c:v>170.50512658006022</c:v>
                </c:pt>
                <c:pt idx="6">
                  <c:v>167.108390975247</c:v>
                </c:pt>
                <c:pt idx="7">
                  <c:v>239.17419694666489</c:v>
                </c:pt>
                <c:pt idx="8">
                  <c:v>246.31113253019771</c:v>
                </c:pt>
                <c:pt idx="9">
                  <c:v>270.14479113100867</c:v>
                </c:pt>
              </c:numCache>
            </c:numRef>
          </c:val>
          <c:smooth val="0"/>
          <c:extLst>
            <c:ext xmlns:c16="http://schemas.microsoft.com/office/drawing/2014/chart" uri="{C3380CC4-5D6E-409C-BE32-E72D297353CC}">
              <c16:uniqueId val="{00000005-0EDF-418F-875C-80CB8EB0A4FC}"/>
            </c:ext>
          </c:extLst>
        </c:ser>
        <c:ser>
          <c:idx val="6"/>
          <c:order val="6"/>
          <c:tx>
            <c:strRef>
              <c:f>'fig F1 export'!$H$16</c:f>
              <c:strCache>
                <c:ptCount val="1"/>
                <c:pt idx="0">
                  <c:v>Francia</c:v>
                </c:pt>
              </c:strCache>
            </c:strRef>
          </c:tx>
          <c:spPr>
            <a:ln w="19050" cap="rnd" cmpd="sng" algn="ctr">
              <a:solidFill>
                <a:srgbClr val="538DD5"/>
              </a:solidFill>
              <a:prstDash val="solid"/>
              <a:round/>
            </a:ln>
            <a:effectLst/>
          </c:spPr>
          <c:marker>
            <c:symbol val="none"/>
          </c:marker>
          <c:cat>
            <c:numRef>
              <c:f>'fig F1 export'!$A$17:$A$26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export'!$H$17:$H$26</c:f>
              <c:numCache>
                <c:formatCode>General</c:formatCode>
                <c:ptCount val="10"/>
                <c:pt idx="0">
                  <c:v>100</c:v>
                </c:pt>
                <c:pt idx="1">
                  <c:v>100.33311348267723</c:v>
                </c:pt>
                <c:pt idx="2">
                  <c:v>101.70569109617493</c:v>
                </c:pt>
                <c:pt idx="3">
                  <c:v>104.40210135075279</c:v>
                </c:pt>
                <c:pt idx="4">
                  <c:v>115.54041725662452</c:v>
                </c:pt>
                <c:pt idx="5">
                  <c:v>120.94695158511801</c:v>
                </c:pt>
                <c:pt idx="6">
                  <c:v>122.5037614813925</c:v>
                </c:pt>
                <c:pt idx="7">
                  <c:v>132.78562755725667</c:v>
                </c:pt>
                <c:pt idx="8">
                  <c:v>129.30828903288059</c:v>
                </c:pt>
                <c:pt idx="9">
                  <c:v>131.042720868679</c:v>
                </c:pt>
              </c:numCache>
            </c:numRef>
          </c:val>
          <c:smooth val="0"/>
          <c:extLst>
            <c:ext xmlns:c16="http://schemas.microsoft.com/office/drawing/2014/chart" uri="{C3380CC4-5D6E-409C-BE32-E72D297353CC}">
              <c16:uniqueId val="{00000006-0EDF-418F-875C-80CB8EB0A4FC}"/>
            </c:ext>
          </c:extLst>
        </c:ser>
        <c:dLbls>
          <c:showLegendKey val="0"/>
          <c:showVal val="0"/>
          <c:showCatName val="0"/>
          <c:showSerName val="0"/>
          <c:showPercent val="0"/>
          <c:showBubbleSize val="0"/>
        </c:dLbls>
        <c:smooth val="0"/>
        <c:axId val="1938237616"/>
        <c:axId val="1"/>
        <c:extLst/>
      </c:lineChart>
      <c:catAx>
        <c:axId val="1938237616"/>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vert="horz"/>
          <a:lstStyle/>
          <a:p>
            <a:pPr>
              <a:defRPr sz="750" b="0"/>
            </a:pPr>
            <a:endParaRPr lang="it-IT"/>
          </a:p>
        </c:txPr>
        <c:crossAx val="1"/>
        <c:crosses val="autoZero"/>
        <c:auto val="1"/>
        <c:lblAlgn val="ctr"/>
        <c:lblOffset val="100"/>
        <c:tickMarkSkip val="1"/>
        <c:noMultiLvlLbl val="0"/>
      </c:catAx>
      <c:valAx>
        <c:axId val="1"/>
        <c:scaling>
          <c:orientation val="minMax"/>
          <c:max val="400"/>
          <c:min val="0"/>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w="9525">
            <a:solidFill>
              <a:sysClr val="window" lastClr="FFFFFF">
                <a:lumMod val="65000"/>
              </a:sysClr>
            </a:solidFill>
          </a:ln>
          <a:effectLst/>
        </c:spPr>
        <c:txPr>
          <a:bodyPr rot="-60000000" vert="horz"/>
          <a:lstStyle/>
          <a:p>
            <a:pPr>
              <a:defRPr sz="750"/>
            </a:pPr>
            <a:endParaRPr lang="it-IT"/>
          </a:p>
        </c:txPr>
        <c:crossAx val="1938237616"/>
        <c:crossesAt val="1"/>
        <c:crossBetween val="between"/>
        <c:majorUnit val="100"/>
      </c:valAx>
      <c:spPr>
        <a:noFill/>
        <a:ln w="25400">
          <a:noFill/>
        </a:ln>
      </c:spPr>
    </c:plotArea>
    <c:legend>
      <c:legendPos val="t"/>
      <c:layout>
        <c:manualLayout>
          <c:xMode val="edge"/>
          <c:yMode val="edge"/>
          <c:x val="8.6452450482377166E-2"/>
          <c:y val="7.0014452901373023E-2"/>
          <c:w val="0.87304503125398647"/>
          <c:h val="0.13896417745159687"/>
        </c:manualLayout>
      </c:layout>
      <c:overlay val="0"/>
      <c:spPr>
        <a:noFill/>
        <a:ln w="25400">
          <a:noFill/>
        </a:ln>
      </c:spPr>
      <c:txPr>
        <a:bodyPr rot="0" vert="horz"/>
        <a:lstStyle/>
        <a:p>
          <a:pPr>
            <a:defRPr sz="750"/>
          </a:pPr>
          <a:endParaRPr lang="it-IT"/>
        </a:p>
      </c:txPr>
    </c:legend>
    <c:plotVisOnly val="1"/>
    <c:dispBlanksAs val="gap"/>
    <c:showDLblsOverMax val="0"/>
  </c:chart>
  <c:spPr>
    <a:solidFill>
      <a:sysClr val="window" lastClr="FFFFFF"/>
    </a:solidFill>
    <a:ln w="9525">
      <a:noFill/>
    </a:ln>
  </c:spPr>
  <c:txPr>
    <a:bodyPr/>
    <a:lstStyle/>
    <a:p>
      <a:pPr>
        <a:defRPr sz="800" baseline="0">
          <a:latin typeface="Arial Narrow" panose="020B0606020202030204" pitchFamily="34" charset="0"/>
        </a:defRPr>
      </a:pPr>
      <a:endParaRPr lang="it-I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50"/>
            </a:pPr>
            <a:r>
              <a:rPr lang="it-IT" sz="850"/>
              <a:t>ESPORTAZIONI VERSO USA</a:t>
            </a:r>
          </a:p>
        </c:rich>
      </c:tx>
      <c:layout>
        <c:manualLayout>
          <c:xMode val="edge"/>
          <c:yMode val="edge"/>
          <c:x val="0.29484512734470075"/>
          <c:y val="0"/>
        </c:manualLayout>
      </c:layout>
      <c:overlay val="0"/>
    </c:title>
    <c:autoTitleDeleted val="0"/>
    <c:plotArea>
      <c:layout>
        <c:manualLayout>
          <c:layoutTarget val="inner"/>
          <c:xMode val="edge"/>
          <c:yMode val="edge"/>
          <c:x val="7.9247682411273349E-2"/>
          <c:y val="0.21286542847221571"/>
          <c:w val="0.88464663860186243"/>
          <c:h val="0.59662609217947871"/>
        </c:manualLayout>
      </c:layout>
      <c:lineChart>
        <c:grouping val="standard"/>
        <c:varyColors val="0"/>
        <c:ser>
          <c:idx val="2"/>
          <c:order val="0"/>
          <c:tx>
            <c:strRef>
              <c:f>'fig F1 export'!$B$29</c:f>
              <c:strCache>
                <c:ptCount val="1"/>
                <c:pt idx="0">
                  <c:v>UE</c:v>
                </c:pt>
              </c:strCache>
            </c:strRef>
          </c:tx>
          <c:spPr>
            <a:ln w="19050">
              <a:solidFill>
                <a:srgbClr val="00817F"/>
              </a:solidFill>
            </a:ln>
          </c:spPr>
          <c:marker>
            <c:symbol val="none"/>
          </c:marker>
          <c:cat>
            <c:numRef>
              <c:f>'fig F1 export'!$A$30:$A$39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export'!$B$30:$B$39</c:f>
              <c:numCache>
                <c:formatCode>General</c:formatCode>
                <c:ptCount val="10"/>
                <c:pt idx="0">
                  <c:v>100</c:v>
                </c:pt>
                <c:pt idx="1">
                  <c:v>100.73338962417704</c:v>
                </c:pt>
                <c:pt idx="2">
                  <c:v>109.71862522886555</c:v>
                </c:pt>
                <c:pt idx="3">
                  <c:v>138.63216710565192</c:v>
                </c:pt>
                <c:pt idx="4">
                  <c:v>170.11788070603288</c:v>
                </c:pt>
                <c:pt idx="5">
                  <c:v>192.77321858593376</c:v>
                </c:pt>
                <c:pt idx="6">
                  <c:v>193.48288685910265</c:v>
                </c:pt>
                <c:pt idx="7">
                  <c:v>240.79803536749452</c:v>
                </c:pt>
                <c:pt idx="8">
                  <c:v>237.9081106252475</c:v>
                </c:pt>
                <c:pt idx="9">
                  <c:v>308.67612523024656</c:v>
                </c:pt>
              </c:numCache>
            </c:numRef>
          </c:val>
          <c:smooth val="0"/>
          <c:extLst xmlns:c15="http://schemas.microsoft.com/office/drawing/2012/chart">
            <c:ext xmlns:c16="http://schemas.microsoft.com/office/drawing/2014/chart" uri="{C3380CC4-5D6E-409C-BE32-E72D297353CC}">
              <c16:uniqueId val="{00000000-DC68-4458-9E65-DEF20B2983B2}"/>
            </c:ext>
          </c:extLst>
        </c:ser>
        <c:ser>
          <c:idx val="1"/>
          <c:order val="1"/>
          <c:tx>
            <c:strRef>
              <c:f>'fig F1 export'!$C$29</c:f>
              <c:strCache>
                <c:ptCount val="1"/>
                <c:pt idx="0">
                  <c:v>Irlanda</c:v>
                </c:pt>
              </c:strCache>
            </c:strRef>
          </c:tx>
          <c:spPr>
            <a:ln w="19050">
              <a:solidFill>
                <a:srgbClr val="00DBD6"/>
              </a:solidFill>
            </a:ln>
          </c:spPr>
          <c:marker>
            <c:symbol val="none"/>
          </c:marker>
          <c:cat>
            <c:numRef>
              <c:f>'fig F1 export'!$A$30:$A$39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export'!$C$30:$C$39</c:f>
              <c:numCache>
                <c:formatCode>General</c:formatCode>
                <c:ptCount val="10"/>
                <c:pt idx="0">
                  <c:v>100</c:v>
                </c:pt>
                <c:pt idx="1">
                  <c:v>107.86858426191444</c:v>
                </c:pt>
                <c:pt idx="2">
                  <c:v>134.49760206668466</c:v>
                </c:pt>
                <c:pt idx="3">
                  <c:v>200.62845344302883</c:v>
                </c:pt>
                <c:pt idx="4">
                  <c:v>244.75667318421861</c:v>
                </c:pt>
                <c:pt idx="5">
                  <c:v>285.32758668848351</c:v>
                </c:pt>
                <c:pt idx="6">
                  <c:v>300.54947594171676</c:v>
                </c:pt>
                <c:pt idx="7">
                  <c:v>328.38834980941988</c:v>
                </c:pt>
                <c:pt idx="8">
                  <c:v>299.46195158925224</c:v>
                </c:pt>
                <c:pt idx="9">
                  <c:v>487.78244808706796</c:v>
                </c:pt>
              </c:numCache>
            </c:numRef>
          </c:val>
          <c:smooth val="0"/>
          <c:extLst>
            <c:ext xmlns:c16="http://schemas.microsoft.com/office/drawing/2014/chart" uri="{C3380CC4-5D6E-409C-BE32-E72D297353CC}">
              <c16:uniqueId val="{00000001-DC68-4458-9E65-DEF20B2983B2}"/>
            </c:ext>
          </c:extLst>
        </c:ser>
        <c:ser>
          <c:idx val="0"/>
          <c:order val="2"/>
          <c:tx>
            <c:strRef>
              <c:f>'fig F1 export'!$D$29</c:f>
              <c:strCache>
                <c:ptCount val="1"/>
                <c:pt idx="0">
                  <c:v>Germania</c:v>
                </c:pt>
              </c:strCache>
            </c:strRef>
          </c:tx>
          <c:spPr>
            <a:ln w="19050">
              <a:solidFill>
                <a:srgbClr val="FABB00"/>
              </a:solidFill>
            </a:ln>
          </c:spPr>
          <c:marker>
            <c:symbol val="none"/>
          </c:marker>
          <c:cat>
            <c:numRef>
              <c:f>'fig F1 export'!$A$30:$A$39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export'!$D$30:$D$39</c:f>
              <c:numCache>
                <c:formatCode>General</c:formatCode>
                <c:ptCount val="10"/>
                <c:pt idx="0">
                  <c:v>100</c:v>
                </c:pt>
                <c:pt idx="1">
                  <c:v>95.418388514052324</c:v>
                </c:pt>
                <c:pt idx="2">
                  <c:v>101.79398974429846</c:v>
                </c:pt>
                <c:pt idx="3">
                  <c:v>103.94280051494252</c:v>
                </c:pt>
                <c:pt idx="4">
                  <c:v>108.50862704929386</c:v>
                </c:pt>
                <c:pt idx="5">
                  <c:v>122.30902988908858</c:v>
                </c:pt>
                <c:pt idx="6">
                  <c:v>133.60256288625945</c:v>
                </c:pt>
                <c:pt idx="7">
                  <c:v>194.69046998870158</c:v>
                </c:pt>
                <c:pt idx="8">
                  <c:v>197.3694556323052</c:v>
                </c:pt>
                <c:pt idx="9">
                  <c:v>209.36747855143722</c:v>
                </c:pt>
              </c:numCache>
            </c:numRef>
          </c:val>
          <c:smooth val="0"/>
          <c:extLst xmlns:c15="http://schemas.microsoft.com/office/drawing/2012/chart">
            <c:ext xmlns:c16="http://schemas.microsoft.com/office/drawing/2014/chart" uri="{C3380CC4-5D6E-409C-BE32-E72D297353CC}">
              <c16:uniqueId val="{00000002-DC68-4458-9E65-DEF20B2983B2}"/>
            </c:ext>
          </c:extLst>
        </c:ser>
        <c:ser>
          <c:idx val="3"/>
          <c:order val="3"/>
          <c:tx>
            <c:strRef>
              <c:f>'fig F1 export'!$E$29</c:f>
              <c:strCache>
                <c:ptCount val="1"/>
                <c:pt idx="0">
                  <c:v>Belgio</c:v>
                </c:pt>
              </c:strCache>
            </c:strRef>
          </c:tx>
          <c:spPr>
            <a:ln w="19050">
              <a:solidFill>
                <a:srgbClr val="7F7F7F"/>
              </a:solidFill>
              <a:prstDash val="sysDash"/>
            </a:ln>
          </c:spPr>
          <c:marker>
            <c:symbol val="none"/>
          </c:marker>
          <c:cat>
            <c:numRef>
              <c:f>'fig F1 export'!$A$30:$A$39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export'!$E$30:$E$39</c:f>
              <c:numCache>
                <c:formatCode>General</c:formatCode>
                <c:ptCount val="10"/>
                <c:pt idx="0">
                  <c:v>100</c:v>
                </c:pt>
                <c:pt idx="1">
                  <c:v>93.86156205361732</c:v>
                </c:pt>
                <c:pt idx="2">
                  <c:v>79.281311280639116</c:v>
                </c:pt>
                <c:pt idx="3">
                  <c:v>100.27314078516225</c:v>
                </c:pt>
                <c:pt idx="4">
                  <c:v>148.92571988068991</c:v>
                </c:pt>
                <c:pt idx="5">
                  <c:v>183.72952381628357</c:v>
                </c:pt>
                <c:pt idx="6">
                  <c:v>172.76065220080611</c:v>
                </c:pt>
                <c:pt idx="7">
                  <c:v>223.74420994811368</c:v>
                </c:pt>
                <c:pt idx="8">
                  <c:v>202.37906432671463</c:v>
                </c:pt>
                <c:pt idx="9">
                  <c:v>230.9040272164851</c:v>
                </c:pt>
              </c:numCache>
            </c:numRef>
          </c:val>
          <c:smooth val="0"/>
          <c:extLst>
            <c:ext xmlns:c16="http://schemas.microsoft.com/office/drawing/2014/chart" uri="{C3380CC4-5D6E-409C-BE32-E72D297353CC}">
              <c16:uniqueId val="{00000003-DC68-4458-9E65-DEF20B2983B2}"/>
            </c:ext>
          </c:extLst>
        </c:ser>
        <c:ser>
          <c:idx val="4"/>
          <c:order val="4"/>
          <c:tx>
            <c:strRef>
              <c:f>'fig F1 export'!$F$29</c:f>
              <c:strCache>
                <c:ptCount val="1"/>
                <c:pt idx="0">
                  <c:v>Italia</c:v>
                </c:pt>
              </c:strCache>
            </c:strRef>
          </c:tx>
          <c:spPr>
            <a:ln>
              <a:solidFill>
                <a:srgbClr val="00324B"/>
              </a:solidFill>
            </a:ln>
          </c:spPr>
          <c:marker>
            <c:symbol val="none"/>
          </c:marker>
          <c:cat>
            <c:numRef>
              <c:f>'fig F1 export'!$A$30:$A$39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export'!$F$30:$F$39</c:f>
              <c:numCache>
                <c:formatCode>General</c:formatCode>
                <c:ptCount val="10"/>
                <c:pt idx="0">
                  <c:v>100</c:v>
                </c:pt>
                <c:pt idx="1">
                  <c:v>126.75276451075128</c:v>
                </c:pt>
                <c:pt idx="2">
                  <c:v>260.21046277694768</c:v>
                </c:pt>
                <c:pt idx="3">
                  <c:v>243.10073983459355</c:v>
                </c:pt>
                <c:pt idx="4">
                  <c:v>381.45038617950854</c:v>
                </c:pt>
                <c:pt idx="5">
                  <c:v>384.99708727586011</c:v>
                </c:pt>
                <c:pt idx="6">
                  <c:v>302.48128214521893</c:v>
                </c:pt>
                <c:pt idx="7">
                  <c:v>471.64377539574343</c:v>
                </c:pt>
                <c:pt idx="8">
                  <c:v>521.27114429410994</c:v>
                </c:pt>
                <c:pt idx="9">
                  <c:v>667.44424398712601</c:v>
                </c:pt>
              </c:numCache>
            </c:numRef>
          </c:val>
          <c:smooth val="0"/>
          <c:extLst>
            <c:ext xmlns:c16="http://schemas.microsoft.com/office/drawing/2014/chart" uri="{C3380CC4-5D6E-409C-BE32-E72D297353CC}">
              <c16:uniqueId val="{00000004-DC68-4458-9E65-DEF20B2983B2}"/>
            </c:ext>
          </c:extLst>
        </c:ser>
        <c:ser>
          <c:idx val="5"/>
          <c:order val="5"/>
          <c:tx>
            <c:strRef>
              <c:f>'fig F1 export'!$G$29</c:f>
              <c:strCache>
                <c:ptCount val="1"/>
                <c:pt idx="0">
                  <c:v>Paesi Bassi</c:v>
                </c:pt>
              </c:strCache>
            </c:strRef>
          </c:tx>
          <c:spPr>
            <a:ln>
              <a:solidFill>
                <a:srgbClr val="419324"/>
              </a:solidFill>
            </a:ln>
          </c:spPr>
          <c:marker>
            <c:symbol val="none"/>
          </c:marker>
          <c:cat>
            <c:numRef>
              <c:f>'fig F1 export'!$A$30:$A$39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export'!$G$30:$G$39</c:f>
              <c:numCache>
                <c:formatCode>General</c:formatCode>
                <c:ptCount val="10"/>
                <c:pt idx="0">
                  <c:v>100</c:v>
                </c:pt>
                <c:pt idx="1">
                  <c:v>75.510326583741289</c:v>
                </c:pt>
                <c:pt idx="2">
                  <c:v>105.84742400292835</c:v>
                </c:pt>
                <c:pt idx="3">
                  <c:v>391.0185359010797</c:v>
                </c:pt>
                <c:pt idx="4">
                  <c:v>397.31265305876866</c:v>
                </c:pt>
                <c:pt idx="5">
                  <c:v>403.7266163451186</c:v>
                </c:pt>
                <c:pt idx="6">
                  <c:v>303.0215694893667</c:v>
                </c:pt>
                <c:pt idx="7">
                  <c:v>347.34366760346143</c:v>
                </c:pt>
                <c:pt idx="8">
                  <c:v>441.48488050981092</c:v>
                </c:pt>
                <c:pt idx="9">
                  <c:v>649.75080252656062</c:v>
                </c:pt>
              </c:numCache>
            </c:numRef>
          </c:val>
          <c:smooth val="0"/>
          <c:extLst>
            <c:ext xmlns:c16="http://schemas.microsoft.com/office/drawing/2014/chart" uri="{C3380CC4-5D6E-409C-BE32-E72D297353CC}">
              <c16:uniqueId val="{00000005-DC68-4458-9E65-DEF20B2983B2}"/>
            </c:ext>
          </c:extLst>
        </c:ser>
        <c:ser>
          <c:idx val="7"/>
          <c:order val="6"/>
          <c:tx>
            <c:strRef>
              <c:f>'fig F1 export'!$H$29</c:f>
              <c:strCache>
                <c:ptCount val="1"/>
                <c:pt idx="0">
                  <c:v>Francia</c:v>
                </c:pt>
              </c:strCache>
            </c:strRef>
          </c:tx>
          <c:spPr>
            <a:ln w="19050" cap="rnd" cmpd="sng" algn="ctr">
              <a:solidFill>
                <a:srgbClr val="538DD5"/>
              </a:solidFill>
              <a:prstDash val="solid"/>
              <a:round/>
            </a:ln>
            <a:effectLst/>
          </c:spPr>
          <c:marker>
            <c:symbol val="none"/>
          </c:marker>
          <c:cat>
            <c:numRef>
              <c:f>'fig F1 export'!$A$30:$A$39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export'!$H$30:$H$39</c:f>
              <c:numCache>
                <c:formatCode>General</c:formatCode>
                <c:ptCount val="10"/>
                <c:pt idx="0">
                  <c:v>100</c:v>
                </c:pt>
                <c:pt idx="1">
                  <c:v>107.51636300325811</c:v>
                </c:pt>
                <c:pt idx="2">
                  <c:v>115.90852192583696</c:v>
                </c:pt>
                <c:pt idx="3">
                  <c:v>153.40076340732003</c:v>
                </c:pt>
                <c:pt idx="4">
                  <c:v>176.26491314314322</c:v>
                </c:pt>
                <c:pt idx="5">
                  <c:v>170.85143399112096</c:v>
                </c:pt>
                <c:pt idx="6">
                  <c:v>177.26742701733247</c:v>
                </c:pt>
                <c:pt idx="7">
                  <c:v>180.57484258669305</c:v>
                </c:pt>
                <c:pt idx="8">
                  <c:v>155.82224748309486</c:v>
                </c:pt>
                <c:pt idx="9">
                  <c:v>147.25650774259196</c:v>
                </c:pt>
              </c:numCache>
            </c:numRef>
          </c:val>
          <c:smooth val="0"/>
          <c:extLst>
            <c:ext xmlns:c16="http://schemas.microsoft.com/office/drawing/2014/chart" uri="{C3380CC4-5D6E-409C-BE32-E72D297353CC}">
              <c16:uniqueId val="{00000006-DC68-4458-9E65-DEF20B2983B2}"/>
            </c:ext>
          </c:extLst>
        </c:ser>
        <c:dLbls>
          <c:showLegendKey val="0"/>
          <c:showVal val="0"/>
          <c:showCatName val="0"/>
          <c:showSerName val="0"/>
          <c:showPercent val="0"/>
          <c:showBubbleSize val="0"/>
        </c:dLbls>
        <c:smooth val="0"/>
        <c:axId val="1938237616"/>
        <c:axId val="1"/>
        <c:extLst/>
      </c:lineChart>
      <c:catAx>
        <c:axId val="1938237616"/>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vert="horz"/>
          <a:lstStyle/>
          <a:p>
            <a:pPr>
              <a:defRPr sz="750" b="0"/>
            </a:pPr>
            <a:endParaRPr lang="it-IT"/>
          </a:p>
        </c:txPr>
        <c:crossAx val="1"/>
        <c:crosses val="autoZero"/>
        <c:auto val="1"/>
        <c:lblAlgn val="ctr"/>
        <c:lblOffset val="100"/>
        <c:tickMarkSkip val="1"/>
        <c:noMultiLvlLbl val="0"/>
      </c:catAx>
      <c:valAx>
        <c:axId val="1"/>
        <c:scaling>
          <c:orientation val="minMax"/>
          <c:max val="800"/>
          <c:min val="0"/>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w="9525">
            <a:solidFill>
              <a:sysClr val="window" lastClr="FFFFFF">
                <a:lumMod val="65000"/>
              </a:sysClr>
            </a:solidFill>
          </a:ln>
          <a:effectLst/>
        </c:spPr>
        <c:txPr>
          <a:bodyPr rot="-60000000" vert="horz"/>
          <a:lstStyle/>
          <a:p>
            <a:pPr>
              <a:defRPr sz="750"/>
            </a:pPr>
            <a:endParaRPr lang="it-IT"/>
          </a:p>
        </c:txPr>
        <c:crossAx val="1938237616"/>
        <c:crossesAt val="1"/>
        <c:crossBetween val="between"/>
        <c:majorUnit val="200"/>
      </c:valAx>
      <c:spPr>
        <a:noFill/>
        <a:ln w="25400">
          <a:noFill/>
        </a:ln>
      </c:spPr>
    </c:plotArea>
    <c:legend>
      <c:legendPos val="t"/>
      <c:layout>
        <c:manualLayout>
          <c:xMode val="edge"/>
          <c:yMode val="edge"/>
          <c:x val="7.8351002154708374E-2"/>
          <c:y val="7.5973459217478626E-2"/>
          <c:w val="0.79739762724837338"/>
          <c:h val="0.13544574061734535"/>
        </c:manualLayout>
      </c:layout>
      <c:overlay val="0"/>
      <c:spPr>
        <a:noFill/>
        <a:ln w="25400">
          <a:noFill/>
        </a:ln>
      </c:spPr>
      <c:txPr>
        <a:bodyPr rot="0" vert="horz"/>
        <a:lstStyle/>
        <a:p>
          <a:pPr>
            <a:defRPr sz="750"/>
          </a:pPr>
          <a:endParaRPr lang="it-IT"/>
        </a:p>
      </c:txPr>
    </c:legend>
    <c:plotVisOnly val="1"/>
    <c:dispBlanksAs val="gap"/>
    <c:showDLblsOverMax val="0"/>
  </c:chart>
  <c:spPr>
    <a:solidFill>
      <a:sysClr val="window" lastClr="FFFFFF"/>
    </a:solidFill>
    <a:ln w="9525">
      <a:noFill/>
    </a:ln>
  </c:spPr>
  <c:txPr>
    <a:bodyPr/>
    <a:lstStyle/>
    <a:p>
      <a:pPr>
        <a:defRPr sz="800" baseline="0">
          <a:latin typeface="Arial Narrow" panose="020B0606020202030204" pitchFamily="34" charset="0"/>
        </a:defRPr>
      </a:pPr>
      <a:endParaRPr lang="it-I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50"/>
            </a:pPr>
            <a:r>
              <a:rPr lang="it-IT" sz="850"/>
              <a:t>IMPORTAZIONI</a:t>
            </a:r>
            <a:r>
              <a:rPr lang="it-IT" sz="850" baseline="0"/>
              <a:t> MONDO</a:t>
            </a:r>
            <a:endParaRPr lang="it-IT" sz="850"/>
          </a:p>
        </c:rich>
      </c:tx>
      <c:layout>
        <c:manualLayout>
          <c:xMode val="edge"/>
          <c:yMode val="edge"/>
          <c:x val="0.32704071298359333"/>
          <c:y val="0"/>
        </c:manualLayout>
      </c:layout>
      <c:overlay val="0"/>
    </c:title>
    <c:autoTitleDeleted val="0"/>
    <c:plotArea>
      <c:layout>
        <c:manualLayout>
          <c:layoutTarget val="inner"/>
          <c:xMode val="edge"/>
          <c:yMode val="edge"/>
          <c:x val="7.9247682411273349E-2"/>
          <c:y val="0.26054123300141713"/>
          <c:w val="0.88464663860186243"/>
          <c:h val="0.54895028765027731"/>
        </c:manualLayout>
      </c:layout>
      <c:lineChart>
        <c:grouping val="standard"/>
        <c:varyColors val="0"/>
        <c:ser>
          <c:idx val="2"/>
          <c:order val="0"/>
          <c:tx>
            <c:strRef>
              <c:f>'fig F1 import'!$B$16</c:f>
              <c:strCache>
                <c:ptCount val="1"/>
                <c:pt idx="0">
                  <c:v>UE </c:v>
                </c:pt>
              </c:strCache>
            </c:strRef>
          </c:tx>
          <c:spPr>
            <a:ln w="19050">
              <a:solidFill>
                <a:srgbClr val="00817F"/>
              </a:solidFill>
            </a:ln>
          </c:spPr>
          <c:marker>
            <c:symbol val="none"/>
          </c:marker>
          <c:cat>
            <c:numRef>
              <c:f>'fig F1 import'!$A$17:$A$26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import'!$B$17:$B$26</c:f>
              <c:numCache>
                <c:formatCode>General</c:formatCode>
                <c:ptCount val="10"/>
                <c:pt idx="0">
                  <c:v>100</c:v>
                </c:pt>
                <c:pt idx="1">
                  <c:v>102.93914144104686</c:v>
                </c:pt>
                <c:pt idx="2">
                  <c:v>110.08839315439718</c:v>
                </c:pt>
                <c:pt idx="3">
                  <c:v>117.85128246965073</c:v>
                </c:pt>
                <c:pt idx="4">
                  <c:v>127.06579552204917</c:v>
                </c:pt>
                <c:pt idx="5">
                  <c:v>138.14394718572001</c:v>
                </c:pt>
                <c:pt idx="6">
                  <c:v>158.44446414414364</c:v>
                </c:pt>
                <c:pt idx="7">
                  <c:v>185.82576782941911</c:v>
                </c:pt>
                <c:pt idx="8">
                  <c:v>183.14370244555028</c:v>
                </c:pt>
                <c:pt idx="9">
                  <c:v>193.25975004418163</c:v>
                </c:pt>
              </c:numCache>
            </c:numRef>
          </c:val>
          <c:smooth val="0"/>
          <c:extLst xmlns:c15="http://schemas.microsoft.com/office/drawing/2012/chart">
            <c:ext xmlns:c16="http://schemas.microsoft.com/office/drawing/2014/chart" uri="{C3380CC4-5D6E-409C-BE32-E72D297353CC}">
              <c16:uniqueId val="{00000000-B520-4E7C-B269-702FEC7C2703}"/>
            </c:ext>
          </c:extLst>
        </c:ser>
        <c:ser>
          <c:idx val="1"/>
          <c:order val="1"/>
          <c:tx>
            <c:strRef>
              <c:f>'fig F1 import'!$C$16</c:f>
              <c:strCache>
                <c:ptCount val="1"/>
                <c:pt idx="0">
                  <c:v>Germania</c:v>
                </c:pt>
              </c:strCache>
            </c:strRef>
          </c:tx>
          <c:spPr>
            <a:ln w="19050">
              <a:solidFill>
                <a:srgbClr val="FABB00"/>
              </a:solidFill>
            </a:ln>
          </c:spPr>
          <c:marker>
            <c:symbol val="none"/>
          </c:marker>
          <c:cat>
            <c:numRef>
              <c:f>'fig F1 import'!$A$17:$A$26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import'!$C$17:$C$26</c:f>
              <c:numCache>
                <c:formatCode>General</c:formatCode>
                <c:ptCount val="10"/>
                <c:pt idx="0">
                  <c:v>100</c:v>
                </c:pt>
                <c:pt idx="1">
                  <c:v>106.54988061657551</c:v>
                </c:pt>
                <c:pt idx="2">
                  <c:v>116.76745642992282</c:v>
                </c:pt>
                <c:pt idx="3">
                  <c:v>124.49453634288064</c:v>
                </c:pt>
                <c:pt idx="4">
                  <c:v>127.14306566424514</c:v>
                </c:pt>
                <c:pt idx="5">
                  <c:v>139.406054402601</c:v>
                </c:pt>
                <c:pt idx="6">
                  <c:v>158.51186270408934</c:v>
                </c:pt>
                <c:pt idx="7">
                  <c:v>183.69347477383795</c:v>
                </c:pt>
                <c:pt idx="8">
                  <c:v>166.11009197133976</c:v>
                </c:pt>
                <c:pt idx="9">
                  <c:v>173.46365463153532</c:v>
                </c:pt>
              </c:numCache>
            </c:numRef>
          </c:val>
          <c:smooth val="0"/>
          <c:extLst>
            <c:ext xmlns:c16="http://schemas.microsoft.com/office/drawing/2014/chart" uri="{C3380CC4-5D6E-409C-BE32-E72D297353CC}">
              <c16:uniqueId val="{00000001-B520-4E7C-B269-702FEC7C2703}"/>
            </c:ext>
          </c:extLst>
        </c:ser>
        <c:ser>
          <c:idx val="0"/>
          <c:order val="2"/>
          <c:tx>
            <c:strRef>
              <c:f>'fig F1 import'!$D$16</c:f>
              <c:strCache>
                <c:ptCount val="1"/>
                <c:pt idx="0">
                  <c:v>Irlanda</c:v>
                </c:pt>
              </c:strCache>
            </c:strRef>
          </c:tx>
          <c:spPr>
            <a:ln w="19050">
              <a:solidFill>
                <a:srgbClr val="004172"/>
              </a:solidFill>
            </a:ln>
          </c:spPr>
          <c:marker>
            <c:symbol val="none"/>
          </c:marker>
          <c:cat>
            <c:numRef>
              <c:f>'fig F1 import'!$A$17:$A$26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import'!$D$17:$D$26</c:f>
              <c:numCache>
                <c:formatCode>General</c:formatCode>
                <c:ptCount val="10"/>
                <c:pt idx="0">
                  <c:v>100</c:v>
                </c:pt>
                <c:pt idx="1">
                  <c:v>107.46759436132456</c:v>
                </c:pt>
                <c:pt idx="2">
                  <c:v>157.89393731335332</c:v>
                </c:pt>
                <c:pt idx="3">
                  <c:v>193.55636821926166</c:v>
                </c:pt>
                <c:pt idx="4">
                  <c:v>131.23775618877255</c:v>
                </c:pt>
                <c:pt idx="5">
                  <c:v>153.7791669719945</c:v>
                </c:pt>
                <c:pt idx="6">
                  <c:v>171.58435667021723</c:v>
                </c:pt>
                <c:pt idx="7">
                  <c:v>189.30928123380241</c:v>
                </c:pt>
                <c:pt idx="8">
                  <c:v>216.40512100040846</c:v>
                </c:pt>
                <c:pt idx="9">
                  <c:v>257.79825212524185</c:v>
                </c:pt>
              </c:numCache>
            </c:numRef>
          </c:val>
          <c:smooth val="0"/>
          <c:extLst xmlns:c15="http://schemas.microsoft.com/office/drawing/2012/chart">
            <c:ext xmlns:c16="http://schemas.microsoft.com/office/drawing/2014/chart" uri="{C3380CC4-5D6E-409C-BE32-E72D297353CC}">
              <c16:uniqueId val="{00000002-B520-4E7C-B269-702FEC7C2703}"/>
            </c:ext>
          </c:extLst>
        </c:ser>
        <c:ser>
          <c:idx val="3"/>
          <c:order val="3"/>
          <c:tx>
            <c:strRef>
              <c:f>'fig F1 import'!$E$16</c:f>
              <c:strCache>
                <c:ptCount val="1"/>
                <c:pt idx="0">
                  <c:v>Belgio</c:v>
                </c:pt>
              </c:strCache>
            </c:strRef>
          </c:tx>
          <c:spPr>
            <a:ln w="19050">
              <a:prstDash val="sysDash"/>
            </a:ln>
          </c:spPr>
          <c:marker>
            <c:symbol val="none"/>
          </c:marker>
          <c:cat>
            <c:numRef>
              <c:f>'fig F1 import'!$A$17:$A$26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import'!$E$17:$E$26</c:f>
              <c:numCache>
                <c:formatCode>General</c:formatCode>
                <c:ptCount val="10"/>
                <c:pt idx="0">
                  <c:v>100</c:v>
                </c:pt>
                <c:pt idx="1">
                  <c:v>99.251831031265453</c:v>
                </c:pt>
                <c:pt idx="2">
                  <c:v>96.228698148333052</c:v>
                </c:pt>
                <c:pt idx="3">
                  <c:v>106.16898497039149</c:v>
                </c:pt>
                <c:pt idx="4">
                  <c:v>123.7127174797581</c:v>
                </c:pt>
                <c:pt idx="5">
                  <c:v>133.79437699926075</c:v>
                </c:pt>
                <c:pt idx="6">
                  <c:v>175.466304748428</c:v>
                </c:pt>
                <c:pt idx="7">
                  <c:v>216.81191644867499</c:v>
                </c:pt>
                <c:pt idx="8">
                  <c:v>192.98351405056655</c:v>
                </c:pt>
                <c:pt idx="9">
                  <c:v>174.04773864231234</c:v>
                </c:pt>
              </c:numCache>
            </c:numRef>
          </c:val>
          <c:smooth val="0"/>
          <c:extLst>
            <c:ext xmlns:c16="http://schemas.microsoft.com/office/drawing/2014/chart" uri="{C3380CC4-5D6E-409C-BE32-E72D297353CC}">
              <c16:uniqueId val="{00000003-B520-4E7C-B269-702FEC7C2703}"/>
            </c:ext>
          </c:extLst>
        </c:ser>
        <c:ser>
          <c:idx val="4"/>
          <c:order val="4"/>
          <c:tx>
            <c:strRef>
              <c:f>'fig F1 import'!$F$16</c:f>
              <c:strCache>
                <c:ptCount val="1"/>
                <c:pt idx="0">
                  <c:v>Paesi Bassi</c:v>
                </c:pt>
              </c:strCache>
            </c:strRef>
          </c:tx>
          <c:spPr>
            <a:ln>
              <a:solidFill>
                <a:srgbClr val="419324"/>
              </a:solidFill>
            </a:ln>
          </c:spPr>
          <c:marker>
            <c:symbol val="none"/>
          </c:marker>
          <c:cat>
            <c:numRef>
              <c:f>'fig F1 import'!$A$17:$A$26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import'!$F$17:$F$26</c:f>
              <c:numCache>
                <c:formatCode>General</c:formatCode>
                <c:ptCount val="10"/>
                <c:pt idx="0">
                  <c:v>100</c:v>
                </c:pt>
                <c:pt idx="1">
                  <c:v>105.45690575554613</c:v>
                </c:pt>
                <c:pt idx="2">
                  <c:v>122.47613897850698</c:v>
                </c:pt>
                <c:pt idx="3">
                  <c:v>130.46888813239826</c:v>
                </c:pt>
                <c:pt idx="4">
                  <c:v>152.30379798310216</c:v>
                </c:pt>
                <c:pt idx="5">
                  <c:v>152.65956360154598</c:v>
                </c:pt>
                <c:pt idx="6">
                  <c:v>162.17074439382924</c:v>
                </c:pt>
                <c:pt idx="7">
                  <c:v>208.2835358842313</c:v>
                </c:pt>
                <c:pt idx="8">
                  <c:v>217.17656212524804</c:v>
                </c:pt>
                <c:pt idx="9">
                  <c:v>242.85836420007391</c:v>
                </c:pt>
              </c:numCache>
            </c:numRef>
          </c:val>
          <c:smooth val="0"/>
          <c:extLst>
            <c:ext xmlns:c16="http://schemas.microsoft.com/office/drawing/2014/chart" uri="{C3380CC4-5D6E-409C-BE32-E72D297353CC}">
              <c16:uniqueId val="{00000004-B520-4E7C-B269-702FEC7C2703}"/>
            </c:ext>
          </c:extLst>
        </c:ser>
        <c:ser>
          <c:idx val="5"/>
          <c:order val="5"/>
          <c:tx>
            <c:strRef>
              <c:f>'fig F1 import'!$G$16</c:f>
              <c:strCache>
                <c:ptCount val="1"/>
                <c:pt idx="0">
                  <c:v>Italia</c:v>
                </c:pt>
              </c:strCache>
            </c:strRef>
          </c:tx>
          <c:spPr>
            <a:ln>
              <a:solidFill>
                <a:srgbClr val="00324B"/>
              </a:solidFill>
            </a:ln>
          </c:spPr>
          <c:marker>
            <c:symbol val="none"/>
          </c:marker>
          <c:cat>
            <c:numRef>
              <c:f>'fig F1 import'!$A$17:$A$26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import'!$G$17:$G$26</c:f>
              <c:numCache>
                <c:formatCode>General</c:formatCode>
                <c:ptCount val="10"/>
                <c:pt idx="0">
                  <c:v>100</c:v>
                </c:pt>
                <c:pt idx="1">
                  <c:v>103.77053170580326</c:v>
                </c:pt>
                <c:pt idx="2">
                  <c:v>109.44149974154958</c:v>
                </c:pt>
                <c:pt idx="3">
                  <c:v>119.50184076597772</c:v>
                </c:pt>
                <c:pt idx="4">
                  <c:v>130.35144123527024</c:v>
                </c:pt>
                <c:pt idx="5">
                  <c:v>133.38143539311724</c:v>
                </c:pt>
                <c:pt idx="6">
                  <c:v>136.54078542507975</c:v>
                </c:pt>
                <c:pt idx="7">
                  <c:v>173.97250085238787</c:v>
                </c:pt>
                <c:pt idx="8">
                  <c:v>173.84730436261501</c:v>
                </c:pt>
                <c:pt idx="9">
                  <c:v>192.83433059776092</c:v>
                </c:pt>
              </c:numCache>
            </c:numRef>
          </c:val>
          <c:smooth val="0"/>
          <c:extLst>
            <c:ext xmlns:c16="http://schemas.microsoft.com/office/drawing/2014/chart" uri="{C3380CC4-5D6E-409C-BE32-E72D297353CC}">
              <c16:uniqueId val="{00000005-B520-4E7C-B269-702FEC7C2703}"/>
            </c:ext>
          </c:extLst>
        </c:ser>
        <c:ser>
          <c:idx val="6"/>
          <c:order val="6"/>
          <c:tx>
            <c:strRef>
              <c:f>'fig F1 import'!$H$16</c:f>
              <c:strCache>
                <c:ptCount val="1"/>
                <c:pt idx="0">
                  <c:v>Francia</c:v>
                </c:pt>
              </c:strCache>
            </c:strRef>
          </c:tx>
          <c:spPr>
            <a:ln w="19050" cap="rnd" cmpd="sng" algn="ctr">
              <a:solidFill>
                <a:srgbClr val="538DD5"/>
              </a:solidFill>
              <a:prstDash val="solid"/>
              <a:round/>
            </a:ln>
            <a:effectLst/>
          </c:spPr>
          <c:marker>
            <c:symbol val="none"/>
          </c:marker>
          <c:cat>
            <c:numRef>
              <c:f>'fig F1 import'!$A$17:$A$26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import'!$H$17:$H$26</c:f>
              <c:numCache>
                <c:formatCode>General</c:formatCode>
                <c:ptCount val="10"/>
                <c:pt idx="0">
                  <c:v>100</c:v>
                </c:pt>
                <c:pt idx="1">
                  <c:v>98.597643487813286</c:v>
                </c:pt>
                <c:pt idx="2">
                  <c:v>102.19694477241741</c:v>
                </c:pt>
                <c:pt idx="3">
                  <c:v>101.17331827332501</c:v>
                </c:pt>
                <c:pt idx="4">
                  <c:v>106.69588200928644</c:v>
                </c:pt>
                <c:pt idx="5">
                  <c:v>117.57755219066533</c:v>
                </c:pt>
                <c:pt idx="6">
                  <c:v>127.04377385695254</c:v>
                </c:pt>
                <c:pt idx="7">
                  <c:v>136.96342283675759</c:v>
                </c:pt>
                <c:pt idx="8">
                  <c:v>142.97926087093879</c:v>
                </c:pt>
                <c:pt idx="9">
                  <c:v>130.55163312351624</c:v>
                </c:pt>
              </c:numCache>
            </c:numRef>
          </c:val>
          <c:smooth val="0"/>
          <c:extLst>
            <c:ext xmlns:c16="http://schemas.microsoft.com/office/drawing/2014/chart" uri="{C3380CC4-5D6E-409C-BE32-E72D297353CC}">
              <c16:uniqueId val="{00000006-B520-4E7C-B269-702FEC7C2703}"/>
            </c:ext>
          </c:extLst>
        </c:ser>
        <c:dLbls>
          <c:showLegendKey val="0"/>
          <c:showVal val="0"/>
          <c:showCatName val="0"/>
          <c:showSerName val="0"/>
          <c:showPercent val="0"/>
          <c:showBubbleSize val="0"/>
        </c:dLbls>
        <c:smooth val="0"/>
        <c:axId val="1938237616"/>
        <c:axId val="1"/>
        <c:extLst/>
      </c:lineChart>
      <c:catAx>
        <c:axId val="1938237616"/>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vert="horz"/>
          <a:lstStyle/>
          <a:p>
            <a:pPr>
              <a:defRPr sz="750" b="0"/>
            </a:pPr>
            <a:endParaRPr lang="it-IT"/>
          </a:p>
        </c:txPr>
        <c:crossAx val="1"/>
        <c:crosses val="autoZero"/>
        <c:auto val="1"/>
        <c:lblAlgn val="ctr"/>
        <c:lblOffset val="100"/>
        <c:tickMarkSkip val="1"/>
        <c:noMultiLvlLbl val="0"/>
      </c:catAx>
      <c:valAx>
        <c:axId val="1"/>
        <c:scaling>
          <c:orientation val="minMax"/>
          <c:max val="400"/>
          <c:min val="0"/>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w="9525">
            <a:solidFill>
              <a:sysClr val="window" lastClr="FFFFFF">
                <a:lumMod val="65000"/>
              </a:sysClr>
            </a:solidFill>
          </a:ln>
          <a:effectLst/>
        </c:spPr>
        <c:txPr>
          <a:bodyPr rot="-60000000" vert="horz"/>
          <a:lstStyle/>
          <a:p>
            <a:pPr>
              <a:defRPr sz="750"/>
            </a:pPr>
            <a:endParaRPr lang="it-IT"/>
          </a:p>
        </c:txPr>
        <c:crossAx val="1938237616"/>
        <c:crossesAt val="1"/>
        <c:crossBetween val="between"/>
        <c:majorUnit val="100"/>
      </c:valAx>
      <c:spPr>
        <a:noFill/>
        <a:ln w="25400">
          <a:noFill/>
        </a:ln>
      </c:spPr>
    </c:plotArea>
    <c:legend>
      <c:legendPos val="t"/>
      <c:layout>
        <c:manualLayout>
          <c:xMode val="edge"/>
          <c:yMode val="edge"/>
          <c:x val="0"/>
          <c:y val="8.7892879599823559E-2"/>
          <c:w val="0.99862743002779908"/>
          <c:h val="0.16280217717717718"/>
        </c:manualLayout>
      </c:layout>
      <c:overlay val="0"/>
      <c:spPr>
        <a:noFill/>
        <a:ln w="25400">
          <a:noFill/>
        </a:ln>
      </c:spPr>
      <c:txPr>
        <a:bodyPr rot="0" vert="horz"/>
        <a:lstStyle/>
        <a:p>
          <a:pPr>
            <a:defRPr sz="750"/>
          </a:pPr>
          <a:endParaRPr lang="it-IT"/>
        </a:p>
      </c:txPr>
    </c:legend>
    <c:plotVisOnly val="1"/>
    <c:dispBlanksAs val="gap"/>
    <c:showDLblsOverMax val="0"/>
  </c:chart>
  <c:spPr>
    <a:solidFill>
      <a:sysClr val="window" lastClr="FFFFFF"/>
    </a:solidFill>
    <a:ln w="9525">
      <a:noFill/>
    </a:ln>
  </c:spPr>
  <c:txPr>
    <a:bodyPr/>
    <a:lstStyle/>
    <a:p>
      <a:pPr>
        <a:defRPr sz="800" baseline="0">
          <a:latin typeface="Arial Narrow" panose="020B0606020202030204" pitchFamily="34" charset="0"/>
        </a:defRPr>
      </a:pPr>
      <a:endParaRPr lang="it-I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50"/>
            </a:pPr>
            <a:r>
              <a:rPr lang="it-IT" sz="850"/>
              <a:t>IMPORTAZIONI USA</a:t>
            </a:r>
          </a:p>
        </c:rich>
      </c:tx>
      <c:layout>
        <c:manualLayout>
          <c:xMode val="edge"/>
          <c:yMode val="edge"/>
          <c:x val="0.34730613605444349"/>
          <c:y val="0"/>
        </c:manualLayout>
      </c:layout>
      <c:overlay val="0"/>
    </c:title>
    <c:autoTitleDeleted val="0"/>
    <c:plotArea>
      <c:layout>
        <c:manualLayout>
          <c:layoutTarget val="inner"/>
          <c:xMode val="edge"/>
          <c:yMode val="edge"/>
          <c:x val="7.9247682411273349E-2"/>
          <c:y val="0.23670333073681643"/>
          <c:w val="0.88464663860186243"/>
          <c:h val="0.57278818991487801"/>
        </c:manualLayout>
      </c:layout>
      <c:lineChart>
        <c:grouping val="standard"/>
        <c:varyColors val="0"/>
        <c:ser>
          <c:idx val="2"/>
          <c:order val="0"/>
          <c:tx>
            <c:strRef>
              <c:f>'fig F1 import'!$B$29</c:f>
              <c:strCache>
                <c:ptCount val="1"/>
                <c:pt idx="0">
                  <c:v>UE</c:v>
                </c:pt>
              </c:strCache>
            </c:strRef>
          </c:tx>
          <c:spPr>
            <a:ln w="19050">
              <a:solidFill>
                <a:srgbClr val="00817F"/>
              </a:solidFill>
            </a:ln>
          </c:spPr>
          <c:marker>
            <c:symbol val="none"/>
          </c:marker>
          <c:cat>
            <c:numRef>
              <c:f>'fig F1 import'!$A$30:$A$39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import'!$B$30:$B$39</c:f>
              <c:numCache>
                <c:formatCode>General</c:formatCode>
                <c:ptCount val="10"/>
                <c:pt idx="0">
                  <c:v>100</c:v>
                </c:pt>
                <c:pt idx="1">
                  <c:v>101.29932110113802</c:v>
                </c:pt>
                <c:pt idx="2">
                  <c:v>98.973430164616644</c:v>
                </c:pt>
                <c:pt idx="3">
                  <c:v>91.993557529794273</c:v>
                </c:pt>
                <c:pt idx="4">
                  <c:v>100.72225899637724</c:v>
                </c:pt>
                <c:pt idx="5">
                  <c:v>90.800797340200191</c:v>
                </c:pt>
                <c:pt idx="6">
                  <c:v>104.26872990060789</c:v>
                </c:pt>
                <c:pt idx="7">
                  <c:v>135.9774565265854</c:v>
                </c:pt>
                <c:pt idx="8">
                  <c:v>162.07042888390055</c:v>
                </c:pt>
                <c:pt idx="9">
                  <c:v>163.0969467631659</c:v>
                </c:pt>
              </c:numCache>
            </c:numRef>
          </c:val>
          <c:smooth val="0"/>
          <c:extLst xmlns:c15="http://schemas.microsoft.com/office/drawing/2012/chart">
            <c:ext xmlns:c16="http://schemas.microsoft.com/office/drawing/2014/chart" uri="{C3380CC4-5D6E-409C-BE32-E72D297353CC}">
              <c16:uniqueId val="{00000000-5C73-4D8E-81E4-2F2A16CCCAC3}"/>
            </c:ext>
          </c:extLst>
        </c:ser>
        <c:ser>
          <c:idx val="1"/>
          <c:order val="1"/>
          <c:tx>
            <c:strRef>
              <c:f>'fig F1 import'!$C$29</c:f>
              <c:strCache>
                <c:ptCount val="1"/>
                <c:pt idx="0">
                  <c:v>Irlanda</c:v>
                </c:pt>
              </c:strCache>
            </c:strRef>
          </c:tx>
          <c:spPr>
            <a:ln w="19050">
              <a:solidFill>
                <a:srgbClr val="00DBD6"/>
              </a:solidFill>
            </a:ln>
          </c:spPr>
          <c:marker>
            <c:symbol val="none"/>
          </c:marker>
          <c:cat>
            <c:numRef>
              <c:f>'fig F1 import'!$A$30:$A$39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import'!$C$30:$C$39</c:f>
              <c:numCache>
                <c:formatCode>General</c:formatCode>
                <c:ptCount val="10"/>
                <c:pt idx="0">
                  <c:v>100</c:v>
                </c:pt>
                <c:pt idx="1">
                  <c:v>112.96641390370799</c:v>
                </c:pt>
                <c:pt idx="2">
                  <c:v>202.53117896864899</c:v>
                </c:pt>
                <c:pt idx="3">
                  <c:v>131.65386809522616</c:v>
                </c:pt>
                <c:pt idx="4">
                  <c:v>90.903201612784258</c:v>
                </c:pt>
                <c:pt idx="5">
                  <c:v>124.57578045305391</c:v>
                </c:pt>
                <c:pt idx="6">
                  <c:v>171.56319760690013</c:v>
                </c:pt>
                <c:pt idx="7">
                  <c:v>184.23582115017362</c:v>
                </c:pt>
                <c:pt idx="8">
                  <c:v>189.0699027378414</c:v>
                </c:pt>
                <c:pt idx="9">
                  <c:v>187.82610583956577</c:v>
                </c:pt>
              </c:numCache>
            </c:numRef>
          </c:val>
          <c:smooth val="0"/>
          <c:extLst>
            <c:ext xmlns:c16="http://schemas.microsoft.com/office/drawing/2014/chart" uri="{C3380CC4-5D6E-409C-BE32-E72D297353CC}">
              <c16:uniqueId val="{00000001-5C73-4D8E-81E4-2F2A16CCCAC3}"/>
            </c:ext>
          </c:extLst>
        </c:ser>
        <c:ser>
          <c:idx val="0"/>
          <c:order val="2"/>
          <c:tx>
            <c:strRef>
              <c:f>'fig F1 import'!$D$29</c:f>
              <c:strCache>
                <c:ptCount val="1"/>
                <c:pt idx="0">
                  <c:v>Germania</c:v>
                </c:pt>
              </c:strCache>
            </c:strRef>
          </c:tx>
          <c:spPr>
            <a:ln w="19050">
              <a:solidFill>
                <a:srgbClr val="FABB00"/>
              </a:solidFill>
            </a:ln>
          </c:spPr>
          <c:marker>
            <c:symbol val="none"/>
          </c:marker>
          <c:cat>
            <c:numRef>
              <c:f>'fig F1 import'!$A$30:$A$39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import'!$D$30:$D$39</c:f>
              <c:numCache>
                <c:formatCode>General</c:formatCode>
                <c:ptCount val="10"/>
                <c:pt idx="0">
                  <c:v>100</c:v>
                </c:pt>
                <c:pt idx="1">
                  <c:v>105.925608430444</c:v>
                </c:pt>
                <c:pt idx="2">
                  <c:v>113.13537393285546</c:v>
                </c:pt>
                <c:pt idx="3">
                  <c:v>107.39151724787213</c:v>
                </c:pt>
                <c:pt idx="4">
                  <c:v>131.08291844921084</c:v>
                </c:pt>
                <c:pt idx="5">
                  <c:v>144.98574848989585</c:v>
                </c:pt>
                <c:pt idx="6">
                  <c:v>135.41757309051337</c:v>
                </c:pt>
                <c:pt idx="7">
                  <c:v>171.29966532995468</c:v>
                </c:pt>
                <c:pt idx="8">
                  <c:v>220.43935807505085</c:v>
                </c:pt>
                <c:pt idx="9">
                  <c:v>255.77074768512009</c:v>
                </c:pt>
              </c:numCache>
            </c:numRef>
          </c:val>
          <c:smooth val="0"/>
          <c:extLst xmlns:c15="http://schemas.microsoft.com/office/drawing/2012/chart">
            <c:ext xmlns:c16="http://schemas.microsoft.com/office/drawing/2014/chart" uri="{C3380CC4-5D6E-409C-BE32-E72D297353CC}">
              <c16:uniqueId val="{00000002-5C73-4D8E-81E4-2F2A16CCCAC3}"/>
            </c:ext>
          </c:extLst>
        </c:ser>
        <c:ser>
          <c:idx val="3"/>
          <c:order val="3"/>
          <c:tx>
            <c:strRef>
              <c:f>'fig F1 import'!$E$29</c:f>
              <c:strCache>
                <c:ptCount val="1"/>
                <c:pt idx="0">
                  <c:v>Belgio</c:v>
                </c:pt>
              </c:strCache>
            </c:strRef>
          </c:tx>
          <c:spPr>
            <a:ln w="19050">
              <a:solidFill>
                <a:srgbClr val="7F7F7F"/>
              </a:solidFill>
              <a:prstDash val="sysDash"/>
            </a:ln>
          </c:spPr>
          <c:marker>
            <c:symbol val="none"/>
          </c:marker>
          <c:cat>
            <c:numRef>
              <c:f>'fig F1 import'!$A$30:$A$39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import'!$E$30:$E$39</c:f>
              <c:numCache>
                <c:formatCode>General</c:formatCode>
                <c:ptCount val="10"/>
                <c:pt idx="0">
                  <c:v>100</c:v>
                </c:pt>
                <c:pt idx="1">
                  <c:v>91.862667621264265</c:v>
                </c:pt>
                <c:pt idx="2">
                  <c:v>69.558779722460855</c:v>
                </c:pt>
                <c:pt idx="3">
                  <c:v>73.29082940344054</c:v>
                </c:pt>
                <c:pt idx="4">
                  <c:v>73.678708543223522</c:v>
                </c:pt>
                <c:pt idx="5">
                  <c:v>54.549180370364681</c:v>
                </c:pt>
                <c:pt idx="6">
                  <c:v>77.337740628475188</c:v>
                </c:pt>
                <c:pt idx="7">
                  <c:v>83.541872105652871</c:v>
                </c:pt>
                <c:pt idx="8">
                  <c:v>134.5077996168373</c:v>
                </c:pt>
                <c:pt idx="9">
                  <c:v>93.054575149018177</c:v>
                </c:pt>
              </c:numCache>
            </c:numRef>
          </c:val>
          <c:smooth val="0"/>
          <c:extLst>
            <c:ext xmlns:c16="http://schemas.microsoft.com/office/drawing/2014/chart" uri="{C3380CC4-5D6E-409C-BE32-E72D297353CC}">
              <c16:uniqueId val="{00000003-5C73-4D8E-81E4-2F2A16CCCAC3}"/>
            </c:ext>
          </c:extLst>
        </c:ser>
        <c:ser>
          <c:idx val="4"/>
          <c:order val="4"/>
          <c:tx>
            <c:strRef>
              <c:f>'fig F1 import'!$F$29</c:f>
              <c:strCache>
                <c:ptCount val="1"/>
                <c:pt idx="0">
                  <c:v>Italia</c:v>
                </c:pt>
              </c:strCache>
            </c:strRef>
          </c:tx>
          <c:spPr>
            <a:ln>
              <a:solidFill>
                <a:srgbClr val="00324B"/>
              </a:solidFill>
            </a:ln>
          </c:spPr>
          <c:marker>
            <c:symbol val="none"/>
          </c:marker>
          <c:cat>
            <c:numRef>
              <c:f>'fig F1 import'!$A$30:$A$39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import'!$F$30:$F$39</c:f>
              <c:numCache>
                <c:formatCode>General</c:formatCode>
                <c:ptCount val="10"/>
                <c:pt idx="0">
                  <c:v>100</c:v>
                </c:pt>
                <c:pt idx="1">
                  <c:v>119.10321047507786</c:v>
                </c:pt>
                <c:pt idx="2">
                  <c:v>112.23356133470735</c:v>
                </c:pt>
                <c:pt idx="3">
                  <c:v>108.53376983439924</c:v>
                </c:pt>
                <c:pt idx="4">
                  <c:v>125.56987666190638</c:v>
                </c:pt>
                <c:pt idx="5">
                  <c:v>96.341750586903757</c:v>
                </c:pt>
                <c:pt idx="6">
                  <c:v>82.616548591675667</c:v>
                </c:pt>
                <c:pt idx="7">
                  <c:v>110.24042364455275</c:v>
                </c:pt>
                <c:pt idx="8">
                  <c:v>131.77751506652237</c:v>
                </c:pt>
                <c:pt idx="9">
                  <c:v>222.18904981284035</c:v>
                </c:pt>
              </c:numCache>
            </c:numRef>
          </c:val>
          <c:smooth val="0"/>
          <c:extLst>
            <c:ext xmlns:c16="http://schemas.microsoft.com/office/drawing/2014/chart" uri="{C3380CC4-5D6E-409C-BE32-E72D297353CC}">
              <c16:uniqueId val="{00000004-5C73-4D8E-81E4-2F2A16CCCAC3}"/>
            </c:ext>
          </c:extLst>
        </c:ser>
        <c:ser>
          <c:idx val="5"/>
          <c:order val="5"/>
          <c:tx>
            <c:strRef>
              <c:f>'fig F1 import'!$G$29</c:f>
              <c:strCache>
                <c:ptCount val="1"/>
                <c:pt idx="0">
                  <c:v>Paesi Bassi</c:v>
                </c:pt>
              </c:strCache>
            </c:strRef>
          </c:tx>
          <c:spPr>
            <a:ln>
              <a:solidFill>
                <a:srgbClr val="419324"/>
              </a:solidFill>
            </a:ln>
          </c:spPr>
          <c:marker>
            <c:symbol val="none"/>
          </c:marker>
          <c:cat>
            <c:numRef>
              <c:f>'fig F1 import'!$A$30:$A$39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import'!$G$30:$G$39</c:f>
              <c:numCache>
                <c:formatCode>General</c:formatCode>
                <c:ptCount val="10"/>
                <c:pt idx="0">
                  <c:v>100</c:v>
                </c:pt>
                <c:pt idx="1">
                  <c:v>108.42054571500515</c:v>
                </c:pt>
                <c:pt idx="2">
                  <c:v>91.254975202782106</c:v>
                </c:pt>
                <c:pt idx="3">
                  <c:v>95.80005233151924</c:v>
                </c:pt>
                <c:pt idx="4">
                  <c:v>109.27031469397284</c:v>
                </c:pt>
                <c:pt idx="5">
                  <c:v>106.73793230198525</c:v>
                </c:pt>
                <c:pt idx="6">
                  <c:v>108.20189971916147</c:v>
                </c:pt>
                <c:pt idx="7">
                  <c:v>190.37396434767487</c:v>
                </c:pt>
                <c:pt idx="8">
                  <c:v>171.74052475330632</c:v>
                </c:pt>
                <c:pt idx="9">
                  <c:v>171.83183764802536</c:v>
                </c:pt>
              </c:numCache>
            </c:numRef>
          </c:val>
          <c:smooth val="0"/>
          <c:extLst>
            <c:ext xmlns:c16="http://schemas.microsoft.com/office/drawing/2014/chart" uri="{C3380CC4-5D6E-409C-BE32-E72D297353CC}">
              <c16:uniqueId val="{00000005-5C73-4D8E-81E4-2F2A16CCCAC3}"/>
            </c:ext>
          </c:extLst>
        </c:ser>
        <c:ser>
          <c:idx val="7"/>
          <c:order val="6"/>
          <c:tx>
            <c:strRef>
              <c:f>'fig F1 import'!$H$29</c:f>
              <c:strCache>
                <c:ptCount val="1"/>
                <c:pt idx="0">
                  <c:v>Francia</c:v>
                </c:pt>
              </c:strCache>
            </c:strRef>
          </c:tx>
          <c:spPr>
            <a:ln w="19050" cap="rnd" cmpd="sng" algn="ctr">
              <a:solidFill>
                <a:srgbClr val="538DD5"/>
              </a:solidFill>
              <a:prstDash val="solid"/>
              <a:round/>
            </a:ln>
            <a:effectLst/>
          </c:spPr>
          <c:marker>
            <c:symbol val="none"/>
          </c:marker>
          <c:cat>
            <c:numRef>
              <c:f>'fig F1 import'!$A$30:$A$39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'fig F1 import'!$H$30:$H$39</c:f>
              <c:numCache>
                <c:formatCode>General</c:formatCode>
                <c:ptCount val="10"/>
                <c:pt idx="0">
                  <c:v>100</c:v>
                </c:pt>
                <c:pt idx="1">
                  <c:v>90.430748199572733</c:v>
                </c:pt>
                <c:pt idx="2">
                  <c:v>97.337164775972667</c:v>
                </c:pt>
                <c:pt idx="3">
                  <c:v>67.362971565414995</c:v>
                </c:pt>
                <c:pt idx="4">
                  <c:v>73.424447469310493</c:v>
                </c:pt>
                <c:pt idx="5">
                  <c:v>82.197690412571944</c:v>
                </c:pt>
                <c:pt idx="6">
                  <c:v>83.266462815049465</c:v>
                </c:pt>
                <c:pt idx="7">
                  <c:v>86.788637044995056</c:v>
                </c:pt>
                <c:pt idx="8">
                  <c:v>93.026526787694024</c:v>
                </c:pt>
                <c:pt idx="9">
                  <c:v>98.919807257382445</c:v>
                </c:pt>
              </c:numCache>
            </c:numRef>
          </c:val>
          <c:smooth val="0"/>
          <c:extLst>
            <c:ext xmlns:c16="http://schemas.microsoft.com/office/drawing/2014/chart" uri="{C3380CC4-5D6E-409C-BE32-E72D297353CC}">
              <c16:uniqueId val="{00000006-5C73-4D8E-81E4-2F2A16CCCAC3}"/>
            </c:ext>
          </c:extLst>
        </c:ser>
        <c:dLbls>
          <c:showLegendKey val="0"/>
          <c:showVal val="0"/>
          <c:showCatName val="0"/>
          <c:showSerName val="0"/>
          <c:showPercent val="0"/>
          <c:showBubbleSize val="0"/>
        </c:dLbls>
        <c:smooth val="0"/>
        <c:axId val="1938237616"/>
        <c:axId val="1"/>
        <c:extLst/>
      </c:lineChart>
      <c:catAx>
        <c:axId val="1938237616"/>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vert="horz"/>
          <a:lstStyle/>
          <a:p>
            <a:pPr>
              <a:defRPr sz="750" b="0"/>
            </a:pPr>
            <a:endParaRPr lang="it-IT"/>
          </a:p>
        </c:txPr>
        <c:crossAx val="1"/>
        <c:crosses val="autoZero"/>
        <c:auto val="1"/>
        <c:lblAlgn val="ctr"/>
        <c:lblOffset val="100"/>
        <c:tickMarkSkip val="1"/>
        <c:noMultiLvlLbl val="0"/>
      </c:catAx>
      <c:valAx>
        <c:axId val="1"/>
        <c:scaling>
          <c:orientation val="minMax"/>
          <c:max val="300"/>
          <c:min val="0"/>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w="9525">
            <a:solidFill>
              <a:sysClr val="window" lastClr="FFFFFF">
                <a:lumMod val="65000"/>
              </a:sysClr>
            </a:solidFill>
          </a:ln>
          <a:effectLst/>
        </c:spPr>
        <c:txPr>
          <a:bodyPr rot="-60000000" vert="horz"/>
          <a:lstStyle/>
          <a:p>
            <a:pPr>
              <a:defRPr sz="750"/>
            </a:pPr>
            <a:endParaRPr lang="it-IT"/>
          </a:p>
        </c:txPr>
        <c:crossAx val="1938237616"/>
        <c:crossesAt val="1"/>
        <c:crossBetween val="between"/>
        <c:majorUnit val="100"/>
      </c:valAx>
      <c:spPr>
        <a:noFill/>
        <a:ln w="25400">
          <a:noFill/>
        </a:ln>
      </c:spPr>
    </c:plotArea>
    <c:legend>
      <c:legendPos val="t"/>
      <c:layout>
        <c:manualLayout>
          <c:xMode val="edge"/>
          <c:yMode val="edge"/>
          <c:x val="0"/>
          <c:y val="7.5973459217478626E-2"/>
          <c:w val="0.99589887703170177"/>
          <c:h val="0.14140521618349552"/>
        </c:manualLayout>
      </c:layout>
      <c:overlay val="0"/>
      <c:spPr>
        <a:noFill/>
        <a:ln w="25400">
          <a:noFill/>
        </a:ln>
      </c:spPr>
      <c:txPr>
        <a:bodyPr rot="0" vert="horz"/>
        <a:lstStyle/>
        <a:p>
          <a:pPr>
            <a:defRPr sz="750"/>
          </a:pPr>
          <a:endParaRPr lang="it-IT"/>
        </a:p>
      </c:txPr>
    </c:legend>
    <c:plotVisOnly val="1"/>
    <c:dispBlanksAs val="gap"/>
    <c:showDLblsOverMax val="0"/>
  </c:chart>
  <c:spPr>
    <a:solidFill>
      <a:sysClr val="window" lastClr="FFFFFF"/>
    </a:solidFill>
    <a:ln w="9525">
      <a:noFill/>
    </a:ln>
  </c:spPr>
  <c:txPr>
    <a:bodyPr/>
    <a:lstStyle/>
    <a:p>
      <a:pPr>
        <a:defRPr sz="800" baseline="0">
          <a:latin typeface="Arial Narrow" panose="020B0606020202030204" pitchFamily="34" charset="0"/>
        </a:defRPr>
      </a:pPr>
      <a:endParaRPr lang="it-I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50"/>
            </a:pPr>
            <a:r>
              <a:rPr lang="it-IT" sz="850"/>
              <a:t>ESPORTAZIONI</a:t>
            </a:r>
          </a:p>
        </c:rich>
      </c:tx>
      <c:layout>
        <c:manualLayout>
          <c:xMode val="edge"/>
          <c:yMode val="edge"/>
          <c:x val="0.38130726939523518"/>
          <c:y val="0"/>
        </c:manualLayout>
      </c:layout>
      <c:overlay val="0"/>
    </c:title>
    <c:autoTitleDeleted val="0"/>
    <c:plotArea>
      <c:layout>
        <c:manualLayout>
          <c:layoutTarget val="inner"/>
          <c:xMode val="edge"/>
          <c:yMode val="edge"/>
          <c:x val="7.9247682411273349E-2"/>
          <c:y val="0.15923013125503155"/>
          <c:w val="0.88464663860186243"/>
          <c:h val="0.65026134985923023"/>
        </c:manualLayout>
      </c:layout>
      <c:lineChart>
        <c:grouping val="standard"/>
        <c:varyColors val="0"/>
        <c:ser>
          <c:idx val="2"/>
          <c:order val="0"/>
          <c:tx>
            <c:strRef>
              <c:f>'fig F2'!$H$16</c:f>
              <c:strCache>
                <c:ptCount val="1"/>
                <c:pt idx="0">
                  <c:v>USA</c:v>
                </c:pt>
              </c:strCache>
            </c:strRef>
          </c:tx>
          <c:spPr>
            <a:ln w="19050">
              <a:solidFill>
                <a:srgbClr val="00817F"/>
              </a:solidFill>
            </a:ln>
          </c:spPr>
          <c:marker>
            <c:symbol val="none"/>
          </c:marker>
          <c:cat>
            <c:multiLvlStrRef>
              <c:f>'fig F2'!$F$17:$G$37</c:f>
              <c:multiLvlStrCache>
                <c:ptCount val="21"/>
                <c:lvl>
                  <c:pt idx="0">
                    <c:v>gen</c:v>
                  </c:pt>
                  <c:pt idx="2">
                    <c:v>mar</c:v>
                  </c:pt>
                  <c:pt idx="4">
                    <c:v>mag</c:v>
                  </c:pt>
                  <c:pt idx="6">
                    <c:v>lug</c:v>
                  </c:pt>
                  <c:pt idx="8">
                    <c:v>set</c:v>
                  </c:pt>
                  <c:pt idx="10">
                    <c:v>nov</c:v>
                  </c:pt>
                  <c:pt idx="12">
                    <c:v>gen</c:v>
                  </c:pt>
                  <c:pt idx="14">
                    <c:v>mar</c:v>
                  </c:pt>
                  <c:pt idx="16">
                    <c:v>mag</c:v>
                  </c:pt>
                  <c:pt idx="18">
                    <c:v>lug</c:v>
                  </c:pt>
                  <c:pt idx="20">
                    <c:v>set</c:v>
                  </c:pt>
                </c:lvl>
                <c:lvl>
                  <c:pt idx="0">
                    <c:v>2024</c:v>
                  </c:pt>
                  <c:pt idx="12">
                    <c:v>2025</c:v>
                  </c:pt>
                </c:lvl>
              </c:multiLvlStrCache>
            </c:multiLvlStrRef>
          </c:cat>
          <c:val>
            <c:numRef>
              <c:f>'fig F2'!$H$17:$H$37</c:f>
              <c:numCache>
                <c:formatCode>General</c:formatCode>
                <c:ptCount val="21"/>
                <c:pt idx="0" formatCode="0.0">
                  <c:v>100</c:v>
                </c:pt>
                <c:pt idx="1">
                  <c:v>94.443181882658848</c:v>
                </c:pt>
                <c:pt idx="2">
                  <c:v>100.23996797269523</c:v>
                </c:pt>
                <c:pt idx="3">
                  <c:v>96.2671330686061</c:v>
                </c:pt>
                <c:pt idx="4">
                  <c:v>108.77120451911698</c:v>
                </c:pt>
                <c:pt idx="5">
                  <c:v>101.05091049676416</c:v>
                </c:pt>
                <c:pt idx="6">
                  <c:v>108.88874756988575</c:v>
                </c:pt>
                <c:pt idx="7">
                  <c:v>100.73385127723327</c:v>
                </c:pt>
                <c:pt idx="8">
                  <c:v>103.76372000011816</c:v>
                </c:pt>
                <c:pt idx="9">
                  <c:v>111.06098368547676</c:v>
                </c:pt>
                <c:pt idx="10">
                  <c:v>113.41636285543126</c:v>
                </c:pt>
                <c:pt idx="11">
                  <c:v>122.1439859371856</c:v>
                </c:pt>
                <c:pt idx="12">
                  <c:v>124.86668042171448</c:v>
                </c:pt>
                <c:pt idx="13">
                  <c:v>168.5456488433509</c:v>
                </c:pt>
                <c:pt idx="14">
                  <c:v>175.28668942520153</c:v>
                </c:pt>
                <c:pt idx="15">
                  <c:v>186.27112228351177</c:v>
                </c:pt>
                <c:pt idx="16">
                  <c:v>178.40867763416045</c:v>
                </c:pt>
                <c:pt idx="17">
                  <c:v>187.88405615458439</c:v>
                </c:pt>
                <c:pt idx="18">
                  <c:v>154.62801550797997</c:v>
                </c:pt>
                <c:pt idx="19">
                  <c:v>134.31612446262645</c:v>
                </c:pt>
                <c:pt idx="20">
                  <c:v>137.17943430304342</c:v>
                </c:pt>
              </c:numCache>
            </c:numRef>
          </c:val>
          <c:smooth val="0"/>
          <c:extLst xmlns:c15="http://schemas.microsoft.com/office/drawing/2012/chart">
            <c:ext xmlns:c16="http://schemas.microsoft.com/office/drawing/2014/chart" uri="{C3380CC4-5D6E-409C-BE32-E72D297353CC}">
              <c16:uniqueId val="{00000000-3577-4392-9EAF-DEEA15CF9286}"/>
            </c:ext>
          </c:extLst>
        </c:ser>
        <c:ser>
          <c:idx val="1"/>
          <c:order val="1"/>
          <c:tx>
            <c:strRef>
              <c:f>'fig F2'!$I$16</c:f>
              <c:strCache>
                <c:ptCount val="1"/>
                <c:pt idx="0">
                  <c:v>Mondo</c:v>
                </c:pt>
              </c:strCache>
            </c:strRef>
          </c:tx>
          <c:spPr>
            <a:ln w="19050">
              <a:solidFill>
                <a:srgbClr val="00DBD6"/>
              </a:solidFill>
            </a:ln>
          </c:spPr>
          <c:marker>
            <c:symbol val="none"/>
          </c:marker>
          <c:cat>
            <c:multiLvlStrRef>
              <c:f>'fig F2'!$F$17:$G$37</c:f>
              <c:multiLvlStrCache>
                <c:ptCount val="21"/>
                <c:lvl>
                  <c:pt idx="0">
                    <c:v>gen</c:v>
                  </c:pt>
                  <c:pt idx="2">
                    <c:v>mar</c:v>
                  </c:pt>
                  <c:pt idx="4">
                    <c:v>mag</c:v>
                  </c:pt>
                  <c:pt idx="6">
                    <c:v>lug</c:v>
                  </c:pt>
                  <c:pt idx="8">
                    <c:v>set</c:v>
                  </c:pt>
                  <c:pt idx="10">
                    <c:v>nov</c:v>
                  </c:pt>
                  <c:pt idx="12">
                    <c:v>gen</c:v>
                  </c:pt>
                  <c:pt idx="14">
                    <c:v>mar</c:v>
                  </c:pt>
                  <c:pt idx="16">
                    <c:v>mag</c:v>
                  </c:pt>
                  <c:pt idx="18">
                    <c:v>lug</c:v>
                  </c:pt>
                  <c:pt idx="20">
                    <c:v>set</c:v>
                  </c:pt>
                </c:lvl>
                <c:lvl>
                  <c:pt idx="0">
                    <c:v>2024</c:v>
                  </c:pt>
                  <c:pt idx="12">
                    <c:v>2025</c:v>
                  </c:pt>
                </c:lvl>
              </c:multiLvlStrCache>
            </c:multiLvlStrRef>
          </c:cat>
          <c:val>
            <c:numRef>
              <c:f>'fig F2'!$I$17:$I$37</c:f>
              <c:numCache>
                <c:formatCode>General</c:formatCode>
                <c:ptCount val="21"/>
                <c:pt idx="0" formatCode="0.0">
                  <c:v>100</c:v>
                </c:pt>
                <c:pt idx="1">
                  <c:v>103.367763058778</c:v>
                </c:pt>
                <c:pt idx="2">
                  <c:v>107.27366897257565</c:v>
                </c:pt>
                <c:pt idx="3">
                  <c:v>110.77407557817953</c:v>
                </c:pt>
                <c:pt idx="4">
                  <c:v>114.91583508344779</c:v>
                </c:pt>
                <c:pt idx="5">
                  <c:v>118.18099789481325</c:v>
                </c:pt>
                <c:pt idx="6">
                  <c:v>110.24872636541402</c:v>
                </c:pt>
                <c:pt idx="7">
                  <c:v>109.32046592124566</c:v>
                </c:pt>
                <c:pt idx="8">
                  <c:v>112.8982888076323</c:v>
                </c:pt>
                <c:pt idx="9">
                  <c:v>124.77251413917732</c:v>
                </c:pt>
                <c:pt idx="10">
                  <c:v>127.66504377823598</c:v>
                </c:pt>
                <c:pt idx="11">
                  <c:v>127.14890269801322</c:v>
                </c:pt>
                <c:pt idx="12">
                  <c:v>130.58651373318455</c:v>
                </c:pt>
                <c:pt idx="13">
                  <c:v>144.76971010781278</c:v>
                </c:pt>
                <c:pt idx="14">
                  <c:v>149.75683220040244</c:v>
                </c:pt>
                <c:pt idx="15">
                  <c:v>158.11942948279784</c:v>
                </c:pt>
                <c:pt idx="16">
                  <c:v>156.96762654098669</c:v>
                </c:pt>
                <c:pt idx="17">
                  <c:v>160.63520320653353</c:v>
                </c:pt>
                <c:pt idx="18">
                  <c:v>141.9731178301229</c:v>
                </c:pt>
                <c:pt idx="19">
                  <c:v>142.9586340941558</c:v>
                </c:pt>
                <c:pt idx="20">
                  <c:v>142.97429740821752</c:v>
                </c:pt>
              </c:numCache>
            </c:numRef>
          </c:val>
          <c:smooth val="0"/>
          <c:extLst>
            <c:ext xmlns:c16="http://schemas.microsoft.com/office/drawing/2014/chart" uri="{C3380CC4-5D6E-409C-BE32-E72D297353CC}">
              <c16:uniqueId val="{00000001-3577-4392-9EAF-DEEA15CF9286}"/>
            </c:ext>
          </c:extLst>
        </c:ser>
        <c:ser>
          <c:idx val="0"/>
          <c:order val="2"/>
          <c:tx>
            <c:strRef>
              <c:f>'fig F2'!$J$16</c:f>
              <c:strCache>
                <c:ptCount val="1"/>
                <c:pt idx="0">
                  <c:v>Extra UE</c:v>
                </c:pt>
              </c:strCache>
            </c:strRef>
          </c:tx>
          <c:spPr>
            <a:ln w="19050">
              <a:solidFill>
                <a:srgbClr val="004172"/>
              </a:solidFill>
            </a:ln>
          </c:spPr>
          <c:marker>
            <c:symbol val="none"/>
          </c:marker>
          <c:cat>
            <c:multiLvlStrRef>
              <c:f>'fig F2'!$F$17:$G$37</c:f>
              <c:multiLvlStrCache>
                <c:ptCount val="21"/>
                <c:lvl>
                  <c:pt idx="0">
                    <c:v>gen</c:v>
                  </c:pt>
                  <c:pt idx="2">
                    <c:v>mar</c:v>
                  </c:pt>
                  <c:pt idx="4">
                    <c:v>mag</c:v>
                  </c:pt>
                  <c:pt idx="6">
                    <c:v>lug</c:v>
                  </c:pt>
                  <c:pt idx="8">
                    <c:v>set</c:v>
                  </c:pt>
                  <c:pt idx="10">
                    <c:v>nov</c:v>
                  </c:pt>
                  <c:pt idx="12">
                    <c:v>gen</c:v>
                  </c:pt>
                  <c:pt idx="14">
                    <c:v>mar</c:v>
                  </c:pt>
                  <c:pt idx="16">
                    <c:v>mag</c:v>
                  </c:pt>
                  <c:pt idx="18">
                    <c:v>lug</c:v>
                  </c:pt>
                  <c:pt idx="20">
                    <c:v>set</c:v>
                  </c:pt>
                </c:lvl>
                <c:lvl>
                  <c:pt idx="0">
                    <c:v>2024</c:v>
                  </c:pt>
                  <c:pt idx="12">
                    <c:v>2025</c:v>
                  </c:pt>
                </c:lvl>
              </c:multiLvlStrCache>
            </c:multiLvlStrRef>
          </c:cat>
          <c:val>
            <c:numRef>
              <c:f>'fig F2'!$J$17:$J$37</c:f>
              <c:numCache>
                <c:formatCode>General</c:formatCode>
                <c:ptCount val="21"/>
                <c:pt idx="0" formatCode="0.0">
                  <c:v>100</c:v>
                </c:pt>
                <c:pt idx="1">
                  <c:v>104.75213682254832</c:v>
                </c:pt>
                <c:pt idx="2">
                  <c:v>110.39092667038551</c:v>
                </c:pt>
                <c:pt idx="3">
                  <c:v>115.54151612691817</c:v>
                </c:pt>
                <c:pt idx="4">
                  <c:v>126.04618585139097</c:v>
                </c:pt>
                <c:pt idx="5">
                  <c:v>127.77274187152496</c:v>
                </c:pt>
                <c:pt idx="6">
                  <c:v>123.20124076654737</c:v>
                </c:pt>
                <c:pt idx="7">
                  <c:v>116.73806714835511</c:v>
                </c:pt>
                <c:pt idx="8">
                  <c:v>122.22250038473832</c:v>
                </c:pt>
                <c:pt idx="9">
                  <c:v>132.56279997213389</c:v>
                </c:pt>
                <c:pt idx="10">
                  <c:v>141.27768150787566</c:v>
                </c:pt>
                <c:pt idx="11">
                  <c:v>137.46683042619392</c:v>
                </c:pt>
                <c:pt idx="12">
                  <c:v>144.22575719268161</c:v>
                </c:pt>
                <c:pt idx="13">
                  <c:v>159.81504817641633</c:v>
                </c:pt>
                <c:pt idx="14">
                  <c:v>165.9789354487464</c:v>
                </c:pt>
                <c:pt idx="15">
                  <c:v>168.12859191170239</c:v>
                </c:pt>
                <c:pt idx="16">
                  <c:v>164.40615807979177</c:v>
                </c:pt>
                <c:pt idx="17">
                  <c:v>173.41835263915368</c:v>
                </c:pt>
                <c:pt idx="18">
                  <c:v>147.53819924688571</c:v>
                </c:pt>
                <c:pt idx="19">
                  <c:v>142.20888399435739</c:v>
                </c:pt>
                <c:pt idx="20">
                  <c:v>146.65813234855429</c:v>
                </c:pt>
              </c:numCache>
            </c:numRef>
          </c:val>
          <c:smooth val="0"/>
          <c:extLst xmlns:c15="http://schemas.microsoft.com/office/drawing/2012/chart">
            <c:ext xmlns:c16="http://schemas.microsoft.com/office/drawing/2014/chart" uri="{C3380CC4-5D6E-409C-BE32-E72D297353CC}">
              <c16:uniqueId val="{00000002-3577-4392-9EAF-DEEA15CF9286}"/>
            </c:ext>
          </c:extLst>
        </c:ser>
        <c:dLbls>
          <c:showLegendKey val="0"/>
          <c:showVal val="0"/>
          <c:showCatName val="0"/>
          <c:showSerName val="0"/>
          <c:showPercent val="0"/>
          <c:showBubbleSize val="0"/>
        </c:dLbls>
        <c:smooth val="0"/>
        <c:axId val="1938237616"/>
        <c:axId val="1"/>
        <c:extLst/>
      </c:lineChart>
      <c:catAx>
        <c:axId val="1938237616"/>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vert="horz"/>
          <a:lstStyle/>
          <a:p>
            <a:pPr>
              <a:defRPr sz="750" b="0"/>
            </a:pPr>
            <a:endParaRPr lang="it-IT"/>
          </a:p>
        </c:txPr>
        <c:crossAx val="1"/>
        <c:crosses val="autoZero"/>
        <c:auto val="1"/>
        <c:lblAlgn val="ctr"/>
        <c:lblOffset val="100"/>
        <c:tickMarkSkip val="1"/>
        <c:noMultiLvlLbl val="0"/>
      </c:catAx>
      <c:valAx>
        <c:axId val="1"/>
        <c:scaling>
          <c:orientation val="minMax"/>
          <c:max val="250"/>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w="9525">
            <a:solidFill>
              <a:sysClr val="window" lastClr="FFFFFF">
                <a:lumMod val="65000"/>
              </a:sysClr>
            </a:solidFill>
          </a:ln>
          <a:effectLst/>
        </c:spPr>
        <c:txPr>
          <a:bodyPr rot="-60000000" vert="horz"/>
          <a:lstStyle/>
          <a:p>
            <a:pPr>
              <a:defRPr sz="750"/>
            </a:pPr>
            <a:endParaRPr lang="it-IT"/>
          </a:p>
        </c:txPr>
        <c:crossAx val="1938237616"/>
        <c:crossesAt val="1"/>
        <c:crossBetween val="between"/>
        <c:majorUnit val="50"/>
      </c:valAx>
      <c:spPr>
        <a:noFill/>
        <a:ln w="25400">
          <a:noFill/>
        </a:ln>
      </c:spPr>
    </c:plotArea>
    <c:legend>
      <c:legendPos val="t"/>
      <c:layout>
        <c:manualLayout>
          <c:xMode val="edge"/>
          <c:yMode val="edge"/>
          <c:x val="0.11075377947945877"/>
          <c:y val="7.5973459217478626E-2"/>
          <c:w val="0.82304503125398631"/>
          <c:h val="8.5870401651651648E-2"/>
        </c:manualLayout>
      </c:layout>
      <c:overlay val="0"/>
      <c:spPr>
        <a:noFill/>
        <a:ln w="25400">
          <a:noFill/>
        </a:ln>
      </c:spPr>
      <c:txPr>
        <a:bodyPr rot="0" vert="horz"/>
        <a:lstStyle/>
        <a:p>
          <a:pPr>
            <a:defRPr sz="750"/>
          </a:pPr>
          <a:endParaRPr lang="it-IT"/>
        </a:p>
      </c:txPr>
    </c:legend>
    <c:plotVisOnly val="1"/>
    <c:dispBlanksAs val="gap"/>
    <c:showDLblsOverMax val="0"/>
  </c:chart>
  <c:spPr>
    <a:solidFill>
      <a:sysClr val="window" lastClr="FFFFFF"/>
    </a:solidFill>
    <a:ln w="9525">
      <a:noFill/>
    </a:ln>
  </c:spPr>
  <c:txPr>
    <a:bodyPr/>
    <a:lstStyle/>
    <a:p>
      <a:pPr>
        <a:defRPr sz="800" baseline="0">
          <a:latin typeface="Arial Narrow" panose="020B0606020202030204" pitchFamily="34" charset="0"/>
        </a:defRPr>
      </a:pPr>
      <a:endParaRPr lang="it-I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50"/>
            </a:pPr>
            <a:r>
              <a:rPr lang="it-IT" sz="850"/>
              <a:t>IMPORTAZIONI</a:t>
            </a:r>
          </a:p>
        </c:rich>
      </c:tx>
      <c:layout>
        <c:manualLayout>
          <c:xMode val="edge"/>
          <c:yMode val="edge"/>
          <c:x val="0.37632856980232399"/>
          <c:y val="0"/>
        </c:manualLayout>
      </c:layout>
      <c:overlay val="0"/>
    </c:title>
    <c:autoTitleDeleted val="0"/>
    <c:plotArea>
      <c:layout>
        <c:manualLayout>
          <c:layoutTarget val="inner"/>
          <c:xMode val="edge"/>
          <c:yMode val="edge"/>
          <c:x val="7.9247682411273349E-2"/>
          <c:y val="0.15923013125503155"/>
          <c:w val="0.88464663860186243"/>
          <c:h val="0.65026134985923023"/>
        </c:manualLayout>
      </c:layout>
      <c:lineChart>
        <c:grouping val="standard"/>
        <c:varyColors val="0"/>
        <c:ser>
          <c:idx val="2"/>
          <c:order val="0"/>
          <c:tx>
            <c:strRef>
              <c:f>'fig F2'!$C$16</c:f>
              <c:strCache>
                <c:ptCount val="1"/>
                <c:pt idx="0">
                  <c:v>USA</c:v>
                </c:pt>
              </c:strCache>
            </c:strRef>
          </c:tx>
          <c:spPr>
            <a:ln w="19050">
              <a:solidFill>
                <a:srgbClr val="00817F"/>
              </a:solidFill>
            </a:ln>
          </c:spPr>
          <c:marker>
            <c:symbol val="none"/>
          </c:marker>
          <c:cat>
            <c:multiLvlStrRef>
              <c:f>'fig F2'!$A$17:$B$37</c:f>
              <c:multiLvlStrCache>
                <c:ptCount val="21"/>
                <c:lvl>
                  <c:pt idx="0">
                    <c:v>gen</c:v>
                  </c:pt>
                  <c:pt idx="2">
                    <c:v>mar</c:v>
                  </c:pt>
                  <c:pt idx="4">
                    <c:v>mag</c:v>
                  </c:pt>
                  <c:pt idx="6">
                    <c:v>lug</c:v>
                  </c:pt>
                  <c:pt idx="8">
                    <c:v>set</c:v>
                  </c:pt>
                  <c:pt idx="10">
                    <c:v>nov</c:v>
                  </c:pt>
                  <c:pt idx="12">
                    <c:v>gen</c:v>
                  </c:pt>
                  <c:pt idx="14">
                    <c:v>mar</c:v>
                  </c:pt>
                  <c:pt idx="16">
                    <c:v>mag</c:v>
                  </c:pt>
                  <c:pt idx="18">
                    <c:v>lug</c:v>
                  </c:pt>
                  <c:pt idx="20">
                    <c:v>set</c:v>
                  </c:pt>
                </c:lvl>
                <c:lvl>
                  <c:pt idx="0">
                    <c:v>2024</c:v>
                  </c:pt>
                  <c:pt idx="12">
                    <c:v>2025</c:v>
                  </c:pt>
                </c:lvl>
              </c:multiLvlStrCache>
            </c:multiLvlStrRef>
          </c:cat>
          <c:val>
            <c:numRef>
              <c:f>'fig F2'!$C$17:$C$37</c:f>
              <c:numCache>
                <c:formatCode>General</c:formatCode>
                <c:ptCount val="21"/>
                <c:pt idx="0" formatCode="0.0">
                  <c:v>100</c:v>
                </c:pt>
                <c:pt idx="1">
                  <c:v>97.164904362921291</c:v>
                </c:pt>
                <c:pt idx="2">
                  <c:v>74.736030719669969</c:v>
                </c:pt>
                <c:pt idx="3">
                  <c:v>81.706413260508626</c:v>
                </c:pt>
                <c:pt idx="4">
                  <c:v>85.346585982723113</c:v>
                </c:pt>
                <c:pt idx="5">
                  <c:v>91.39973259858219</c:v>
                </c:pt>
                <c:pt idx="6">
                  <c:v>65.079819192383056</c:v>
                </c:pt>
                <c:pt idx="7">
                  <c:v>56.66715041708229</c:v>
                </c:pt>
                <c:pt idx="8">
                  <c:v>63.802978870858404</c:v>
                </c:pt>
                <c:pt idx="9">
                  <c:v>127.52149631157245</c:v>
                </c:pt>
                <c:pt idx="10">
                  <c:v>103.64583502713731</c:v>
                </c:pt>
                <c:pt idx="11">
                  <c:v>108.28127089219595</c:v>
                </c:pt>
                <c:pt idx="12">
                  <c:v>58.231261808734068</c:v>
                </c:pt>
                <c:pt idx="13">
                  <c:v>63.416944964500665</c:v>
                </c:pt>
                <c:pt idx="14">
                  <c:v>89.433245386358337</c:v>
                </c:pt>
                <c:pt idx="15">
                  <c:v>115.87747377150383</c:v>
                </c:pt>
                <c:pt idx="16">
                  <c:v>163.15878410012891</c:v>
                </c:pt>
                <c:pt idx="17">
                  <c:v>211.73487257828083</c:v>
                </c:pt>
                <c:pt idx="18">
                  <c:v>205.89690205355393</c:v>
                </c:pt>
                <c:pt idx="19">
                  <c:v>256.67917203310492</c:v>
                </c:pt>
                <c:pt idx="20">
                  <c:v>270.79772943357511</c:v>
                </c:pt>
              </c:numCache>
            </c:numRef>
          </c:val>
          <c:smooth val="0"/>
          <c:extLst xmlns:c15="http://schemas.microsoft.com/office/drawing/2012/chart">
            <c:ext xmlns:c16="http://schemas.microsoft.com/office/drawing/2014/chart" uri="{C3380CC4-5D6E-409C-BE32-E72D297353CC}">
              <c16:uniqueId val="{00000000-BAB7-4FA3-8C09-5BC5746786AE}"/>
            </c:ext>
          </c:extLst>
        </c:ser>
        <c:ser>
          <c:idx val="1"/>
          <c:order val="1"/>
          <c:tx>
            <c:strRef>
              <c:f>'fig F2'!$D$16</c:f>
              <c:strCache>
                <c:ptCount val="1"/>
                <c:pt idx="0">
                  <c:v>Mondo</c:v>
                </c:pt>
              </c:strCache>
            </c:strRef>
          </c:tx>
          <c:spPr>
            <a:ln w="19050">
              <a:solidFill>
                <a:srgbClr val="00DBD6"/>
              </a:solidFill>
            </a:ln>
          </c:spPr>
          <c:marker>
            <c:symbol val="none"/>
          </c:marker>
          <c:cat>
            <c:multiLvlStrRef>
              <c:f>'fig F2'!$A$17:$B$37</c:f>
              <c:multiLvlStrCache>
                <c:ptCount val="21"/>
                <c:lvl>
                  <c:pt idx="0">
                    <c:v>gen</c:v>
                  </c:pt>
                  <c:pt idx="2">
                    <c:v>mar</c:v>
                  </c:pt>
                  <c:pt idx="4">
                    <c:v>mag</c:v>
                  </c:pt>
                  <c:pt idx="6">
                    <c:v>lug</c:v>
                  </c:pt>
                  <c:pt idx="8">
                    <c:v>set</c:v>
                  </c:pt>
                  <c:pt idx="10">
                    <c:v>nov</c:v>
                  </c:pt>
                  <c:pt idx="12">
                    <c:v>gen</c:v>
                  </c:pt>
                  <c:pt idx="14">
                    <c:v>mar</c:v>
                  </c:pt>
                  <c:pt idx="16">
                    <c:v>mag</c:v>
                  </c:pt>
                  <c:pt idx="18">
                    <c:v>lug</c:v>
                  </c:pt>
                  <c:pt idx="20">
                    <c:v>set</c:v>
                  </c:pt>
                </c:lvl>
                <c:lvl>
                  <c:pt idx="0">
                    <c:v>2024</c:v>
                  </c:pt>
                  <c:pt idx="12">
                    <c:v>2025</c:v>
                  </c:pt>
                </c:lvl>
              </c:multiLvlStrCache>
            </c:multiLvlStrRef>
          </c:cat>
          <c:val>
            <c:numRef>
              <c:f>'fig F2'!$D$17:$D$37</c:f>
              <c:numCache>
                <c:formatCode>General</c:formatCode>
                <c:ptCount val="21"/>
                <c:pt idx="0" formatCode="0.0">
                  <c:v>100</c:v>
                </c:pt>
                <c:pt idx="1">
                  <c:v>98.813628182633337</c:v>
                </c:pt>
                <c:pt idx="2">
                  <c:v>93.602101277020765</c:v>
                </c:pt>
                <c:pt idx="3">
                  <c:v>95.536827360142581</c:v>
                </c:pt>
                <c:pt idx="4">
                  <c:v>94.878665810643909</c:v>
                </c:pt>
                <c:pt idx="5">
                  <c:v>96.530492495596945</c:v>
                </c:pt>
                <c:pt idx="6">
                  <c:v>85.867111081700443</c:v>
                </c:pt>
                <c:pt idx="7">
                  <c:v>85.067253607197998</c:v>
                </c:pt>
                <c:pt idx="8">
                  <c:v>91.571041723806488</c:v>
                </c:pt>
                <c:pt idx="9">
                  <c:v>114.25388078928142</c:v>
                </c:pt>
                <c:pt idx="10">
                  <c:v>105.56203132873323</c:v>
                </c:pt>
                <c:pt idx="11">
                  <c:v>107.91852524971959</c:v>
                </c:pt>
                <c:pt idx="12">
                  <c:v>100.60780184235932</c:v>
                </c:pt>
                <c:pt idx="13">
                  <c:v>122.18978631309596</c:v>
                </c:pt>
                <c:pt idx="14">
                  <c:v>133.40445216234548</c:v>
                </c:pt>
                <c:pt idx="15">
                  <c:v>140.87824098867767</c:v>
                </c:pt>
                <c:pt idx="16">
                  <c:v>138.51333289086281</c:v>
                </c:pt>
                <c:pt idx="17">
                  <c:v>143.57903479059647</c:v>
                </c:pt>
                <c:pt idx="18">
                  <c:v>127.82689208663625</c:v>
                </c:pt>
                <c:pt idx="19">
                  <c:v>139.91755931803718</c:v>
                </c:pt>
                <c:pt idx="20">
                  <c:v>139.99825848618988</c:v>
                </c:pt>
              </c:numCache>
            </c:numRef>
          </c:val>
          <c:smooth val="0"/>
          <c:extLst>
            <c:ext xmlns:c16="http://schemas.microsoft.com/office/drawing/2014/chart" uri="{C3380CC4-5D6E-409C-BE32-E72D297353CC}">
              <c16:uniqueId val="{00000001-BAB7-4FA3-8C09-5BC5746786AE}"/>
            </c:ext>
          </c:extLst>
        </c:ser>
        <c:ser>
          <c:idx val="3"/>
          <c:order val="2"/>
          <c:tx>
            <c:strRef>
              <c:f>'fig F2'!$E$16</c:f>
              <c:strCache>
                <c:ptCount val="1"/>
                <c:pt idx="0">
                  <c:v>Extra UE</c:v>
                </c:pt>
              </c:strCache>
            </c:strRef>
          </c:tx>
          <c:spPr>
            <a:ln w="19050">
              <a:solidFill>
                <a:srgbClr val="004172"/>
              </a:solidFill>
            </a:ln>
          </c:spPr>
          <c:marker>
            <c:symbol val="none"/>
          </c:marker>
          <c:cat>
            <c:multiLvlStrRef>
              <c:f>'fig F2'!$A$17:$B$37</c:f>
              <c:multiLvlStrCache>
                <c:ptCount val="21"/>
                <c:lvl>
                  <c:pt idx="0">
                    <c:v>gen</c:v>
                  </c:pt>
                  <c:pt idx="2">
                    <c:v>mar</c:v>
                  </c:pt>
                  <c:pt idx="4">
                    <c:v>mag</c:v>
                  </c:pt>
                  <c:pt idx="6">
                    <c:v>lug</c:v>
                  </c:pt>
                  <c:pt idx="8">
                    <c:v>set</c:v>
                  </c:pt>
                  <c:pt idx="10">
                    <c:v>nov</c:v>
                  </c:pt>
                  <c:pt idx="12">
                    <c:v>gen</c:v>
                  </c:pt>
                  <c:pt idx="14">
                    <c:v>mar</c:v>
                  </c:pt>
                  <c:pt idx="16">
                    <c:v>mag</c:v>
                  </c:pt>
                  <c:pt idx="18">
                    <c:v>lug</c:v>
                  </c:pt>
                  <c:pt idx="20">
                    <c:v>set</c:v>
                  </c:pt>
                </c:lvl>
                <c:lvl>
                  <c:pt idx="0">
                    <c:v>2024</c:v>
                  </c:pt>
                  <c:pt idx="12">
                    <c:v>2025</c:v>
                  </c:pt>
                </c:lvl>
              </c:multiLvlStrCache>
            </c:multiLvlStrRef>
          </c:cat>
          <c:val>
            <c:numRef>
              <c:f>'fig F2'!$E$17:$E$37</c:f>
              <c:numCache>
                <c:formatCode>General</c:formatCode>
                <c:ptCount val="21"/>
                <c:pt idx="0" formatCode="0.0">
                  <c:v>100</c:v>
                </c:pt>
                <c:pt idx="1">
                  <c:v>95.56334453966474</c:v>
                </c:pt>
                <c:pt idx="2">
                  <c:v>83.484690132276668</c:v>
                </c:pt>
                <c:pt idx="3">
                  <c:v>87.856862816143575</c:v>
                </c:pt>
                <c:pt idx="4">
                  <c:v>91.54808221311869</c:v>
                </c:pt>
                <c:pt idx="5">
                  <c:v>92.302919196443995</c:v>
                </c:pt>
                <c:pt idx="6">
                  <c:v>72.772664570053678</c:v>
                </c:pt>
                <c:pt idx="7">
                  <c:v>65.530753465140108</c:v>
                </c:pt>
                <c:pt idx="8">
                  <c:v>75.814031177542915</c:v>
                </c:pt>
                <c:pt idx="9">
                  <c:v>121.41780066681001</c:v>
                </c:pt>
                <c:pt idx="10">
                  <c:v>107.08768602785341</c:v>
                </c:pt>
                <c:pt idx="11">
                  <c:v>111.18879349019797</c:v>
                </c:pt>
                <c:pt idx="12">
                  <c:v>89.500928295695374</c:v>
                </c:pt>
                <c:pt idx="13">
                  <c:v>128.40721388410276</c:v>
                </c:pt>
                <c:pt idx="14">
                  <c:v>167.53048769634975</c:v>
                </c:pt>
                <c:pt idx="15">
                  <c:v>182.07968766852267</c:v>
                </c:pt>
                <c:pt idx="16">
                  <c:v>184.09107444779525</c:v>
                </c:pt>
                <c:pt idx="17">
                  <c:v>192.48472985971208</c:v>
                </c:pt>
                <c:pt idx="18">
                  <c:v>176.55016869202629</c:v>
                </c:pt>
                <c:pt idx="19">
                  <c:v>211.1192653511068</c:v>
                </c:pt>
                <c:pt idx="20">
                  <c:v>213.80438958297847</c:v>
                </c:pt>
              </c:numCache>
            </c:numRef>
          </c:val>
          <c:smooth val="0"/>
          <c:extLst>
            <c:ext xmlns:c16="http://schemas.microsoft.com/office/drawing/2014/chart" uri="{C3380CC4-5D6E-409C-BE32-E72D297353CC}">
              <c16:uniqueId val="{00000002-BAB7-4FA3-8C09-5BC5746786AE}"/>
            </c:ext>
          </c:extLst>
        </c:ser>
        <c:dLbls>
          <c:showLegendKey val="0"/>
          <c:showVal val="0"/>
          <c:showCatName val="0"/>
          <c:showSerName val="0"/>
          <c:showPercent val="0"/>
          <c:showBubbleSize val="0"/>
        </c:dLbls>
        <c:smooth val="0"/>
        <c:axId val="1938237616"/>
        <c:axId val="1"/>
        <c:extLst/>
      </c:lineChart>
      <c:catAx>
        <c:axId val="1938237616"/>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vert="horz"/>
          <a:lstStyle/>
          <a:p>
            <a:pPr>
              <a:defRPr sz="750" b="0"/>
            </a:pPr>
            <a:endParaRPr lang="it-IT"/>
          </a:p>
        </c:txPr>
        <c:crossAx val="1"/>
        <c:crosses val="autoZero"/>
        <c:auto val="1"/>
        <c:lblAlgn val="ctr"/>
        <c:lblOffset val="100"/>
        <c:tickMarkSkip val="1"/>
        <c:noMultiLvlLbl val="0"/>
      </c:catAx>
      <c:valAx>
        <c:axId val="1"/>
        <c:scaling>
          <c:orientation val="minMax"/>
          <c:max val="300"/>
          <c:min val="0"/>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w="9525">
            <a:solidFill>
              <a:sysClr val="window" lastClr="FFFFFF">
                <a:lumMod val="65000"/>
              </a:sysClr>
            </a:solidFill>
          </a:ln>
          <a:effectLst/>
        </c:spPr>
        <c:txPr>
          <a:bodyPr rot="-60000000" vert="horz"/>
          <a:lstStyle/>
          <a:p>
            <a:pPr>
              <a:defRPr sz="750"/>
            </a:pPr>
            <a:endParaRPr lang="it-IT"/>
          </a:p>
        </c:txPr>
        <c:crossAx val="1938237616"/>
        <c:crossesAt val="1"/>
        <c:crossBetween val="between"/>
        <c:majorUnit val="50"/>
      </c:valAx>
      <c:spPr>
        <a:noFill/>
        <a:ln w="25400">
          <a:noFill/>
        </a:ln>
      </c:spPr>
    </c:plotArea>
    <c:legend>
      <c:legendPos val="t"/>
      <c:layout>
        <c:manualLayout>
          <c:xMode val="edge"/>
          <c:yMode val="edge"/>
          <c:x val="6.2150691762185802E-2"/>
          <c:y val="8.1932934783628814E-2"/>
          <c:w val="0.81089424671514221"/>
          <c:h val="8.5870401651651648E-2"/>
        </c:manualLayout>
      </c:layout>
      <c:overlay val="0"/>
      <c:spPr>
        <a:noFill/>
        <a:ln w="25400">
          <a:noFill/>
        </a:ln>
      </c:spPr>
      <c:txPr>
        <a:bodyPr rot="0" vert="horz"/>
        <a:lstStyle/>
        <a:p>
          <a:pPr>
            <a:defRPr sz="750"/>
          </a:pPr>
          <a:endParaRPr lang="it-IT"/>
        </a:p>
      </c:txPr>
    </c:legend>
    <c:plotVisOnly val="1"/>
    <c:dispBlanksAs val="gap"/>
    <c:showDLblsOverMax val="0"/>
  </c:chart>
  <c:spPr>
    <a:solidFill>
      <a:sysClr val="window" lastClr="FFFFFF"/>
    </a:solidFill>
    <a:ln w="9525">
      <a:noFill/>
    </a:ln>
  </c:spPr>
  <c:txPr>
    <a:bodyPr/>
    <a:lstStyle/>
    <a:p>
      <a:pPr>
        <a:defRPr sz="800" baseline="0">
          <a:latin typeface="Arial Narrow" panose="020B0606020202030204" pitchFamily="34" charset="0"/>
        </a:defRPr>
      </a:pPr>
      <a:endParaRPr lang="it-IT"/>
    </a:p>
  </c:txPr>
  <c:externalData r:id="rId2">
    <c:autoUpdate val="0"/>
  </c:externalData>
</c:chartSpace>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B0053F9E131147B9CEAC54314E0F9D" ma:contentTypeVersion="9" ma:contentTypeDescription="Create a new document." ma:contentTypeScope="" ma:versionID="6e616f6543dbc196e488e9d87afaa3ab">
  <xsd:schema xmlns:xsd="http://www.w3.org/2001/XMLSchema" xmlns:xs="http://www.w3.org/2001/XMLSchema" xmlns:p="http://schemas.microsoft.com/office/2006/metadata/properties" xmlns:ns3="21ec187e-ae73-48b1-af9f-48398156d65c" targetNamespace="http://schemas.microsoft.com/office/2006/metadata/properties" ma:root="true" ma:fieldsID="c83897038a6b8d792b83cb94f087f6b1" ns3:_="">
    <xsd:import namespace="21ec187e-ae73-48b1-af9f-48398156d6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c187e-ae73-48b1-af9f-48398156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BD94C-A6CD-42E0-AD8C-C5EF4B5D0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FFCDE9-F7A0-403F-B7FA-593F012CC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c187e-ae73-48b1-af9f-48398156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E56B0-735F-408B-92F1-4767C65AC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5043</Words>
  <Characters>28751</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andamento economia</dc:title>
  <dc:creator>Istat</dc:creator>
  <cp:lastModifiedBy>Enza Lucia Rocca Agnese Vaccaro</cp:lastModifiedBy>
  <cp:revision>2</cp:revision>
  <dcterms:created xsi:type="dcterms:W3CDTF">2026-01-13T08:17:00Z</dcterms:created>
  <dcterms:modified xsi:type="dcterms:W3CDTF">2026-01-13T08:17:00Z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0x01010050B0053F9E131147B9CEAC54314E0F9D</vt:lpwstr>
  </property>
</Properties>
</file>