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9C15A" w14:textId="77777777" w:rsidR="00FF2772" w:rsidRPr="00FF2772" w:rsidRDefault="00FF2772" w:rsidP="00FB2FFA">
      <w:pPr>
        <w:tabs>
          <w:tab w:val="left" w:pos="1990"/>
        </w:tabs>
        <w:spacing w:before="0" w:after="0" w:line="140" w:lineRule="exact"/>
        <w:ind w:left="1990"/>
        <w:rPr>
          <w:rFonts w:ascii="Arial" w:hAnsi="Arial" w:cs="Arial"/>
          <w:color w:val="5F5F5F"/>
          <w:sz w:val="16"/>
          <w:szCs w:val="28"/>
        </w:rPr>
      </w:pPr>
    </w:p>
    <w:p w14:paraId="0CFB7F3A" w14:textId="77777777" w:rsidR="00010B11" w:rsidRPr="003643F1" w:rsidRDefault="00010B11" w:rsidP="00010B11">
      <w:pPr>
        <w:pStyle w:val="Paragrafoelenco"/>
        <w:tabs>
          <w:tab w:val="left" w:pos="10206"/>
        </w:tabs>
        <w:spacing w:line="230" w:lineRule="exact"/>
        <w:ind w:left="284"/>
        <w:contextualSpacing w:val="0"/>
        <w:jc w:val="both"/>
        <w:rPr>
          <w:rFonts w:ascii="Arial" w:hAnsi="Arial" w:cs="Arial"/>
          <w:noProof/>
          <w:color w:val="5F5F5F"/>
          <w:sz w:val="16"/>
          <w:szCs w:val="28"/>
        </w:rPr>
      </w:pPr>
    </w:p>
    <w:p w14:paraId="274C8C45" w14:textId="1DA05C8A" w:rsidR="00382674" w:rsidRPr="0060260E" w:rsidRDefault="003C7616" w:rsidP="0009734F">
      <w:pPr>
        <w:spacing w:before="0" w:after="0"/>
        <w:ind w:left="1814"/>
        <w:rPr>
          <w:rFonts w:ascii="Arial" w:hAnsi="Arial" w:cs="Arial"/>
          <w:color w:val="5F5F5F"/>
          <w:sz w:val="28"/>
          <w:szCs w:val="28"/>
        </w:rPr>
      </w:pPr>
      <w:r>
        <w:rPr>
          <w:rFonts w:ascii="Arial" w:hAnsi="Arial" w:cs="Arial"/>
          <w:color w:val="5F5F5F"/>
          <w:sz w:val="28"/>
          <w:szCs w:val="28"/>
        </w:rPr>
        <w:t>Gennaio</w:t>
      </w:r>
      <w:r w:rsidR="008E4B64" w:rsidRPr="008E4B64">
        <w:rPr>
          <w:rFonts w:ascii="Arial" w:hAnsi="Arial" w:cs="Arial"/>
          <w:color w:val="5F5F5F"/>
          <w:sz w:val="28"/>
          <w:szCs w:val="28"/>
        </w:rPr>
        <w:t xml:space="preserve"> </w:t>
      </w:r>
      <w:r w:rsidR="000E42DF">
        <w:rPr>
          <w:rFonts w:ascii="Arial" w:hAnsi="Arial" w:cs="Arial"/>
          <w:color w:val="5F5F5F"/>
          <w:sz w:val="28"/>
          <w:szCs w:val="28"/>
        </w:rPr>
        <w:t>202</w:t>
      </w:r>
      <w:r>
        <w:rPr>
          <w:rFonts w:ascii="Arial" w:hAnsi="Arial" w:cs="Arial"/>
          <w:color w:val="5F5F5F"/>
          <w:sz w:val="28"/>
          <w:szCs w:val="28"/>
        </w:rPr>
        <w:t>6</w:t>
      </w:r>
    </w:p>
    <w:p w14:paraId="3EADEF62" w14:textId="77777777" w:rsidR="00382674" w:rsidRPr="00816166" w:rsidRDefault="00382674" w:rsidP="00816166">
      <w:pPr>
        <w:tabs>
          <w:tab w:val="left" w:pos="142"/>
        </w:tabs>
        <w:spacing w:before="0" w:after="0"/>
        <w:ind w:left="1814"/>
        <w:rPr>
          <w:rFonts w:ascii="Calibri" w:hAnsi="Calibri" w:cs="Arial"/>
          <w:b/>
          <w:bCs/>
          <w:caps/>
          <w:color w:val="5F5F5F"/>
          <w:sz w:val="52"/>
          <w:szCs w:val="52"/>
        </w:rPr>
      </w:pPr>
      <w:r w:rsidRPr="00816166">
        <w:rPr>
          <w:rFonts w:ascii="Calibri" w:hAnsi="Calibri" w:cs="Arial"/>
          <w:b/>
          <w:bCs/>
          <w:caps/>
          <w:color w:val="5F5F5F"/>
          <w:sz w:val="52"/>
          <w:szCs w:val="52"/>
        </w:rPr>
        <w:t xml:space="preserve">PREZZI </w:t>
      </w:r>
      <w:r w:rsidR="00140552" w:rsidRPr="00816166">
        <w:rPr>
          <w:rFonts w:ascii="Calibri" w:hAnsi="Calibri" w:cs="Arial"/>
          <w:b/>
          <w:bCs/>
          <w:caps/>
          <w:color w:val="5F5F5F"/>
          <w:sz w:val="52"/>
          <w:szCs w:val="52"/>
        </w:rPr>
        <w:t>AL CONSUMO</w:t>
      </w:r>
    </w:p>
    <w:p w14:paraId="31C564E9" w14:textId="77777777" w:rsidR="00A646A5" w:rsidRPr="00A3249A" w:rsidRDefault="00382674" w:rsidP="00382674">
      <w:pPr>
        <w:spacing w:before="0" w:after="0"/>
        <w:ind w:left="1814"/>
        <w:rPr>
          <w:rFonts w:ascii="Arial" w:hAnsi="Arial" w:cs="Arial"/>
          <w:color w:val="808080"/>
          <w:sz w:val="28"/>
          <w:szCs w:val="28"/>
        </w:rPr>
      </w:pPr>
      <w:r w:rsidRPr="00A3249A">
        <w:rPr>
          <w:rFonts w:ascii="Arial" w:hAnsi="Arial" w:cs="Arial"/>
          <w:color w:val="808080"/>
          <w:sz w:val="28"/>
          <w:szCs w:val="28"/>
        </w:rPr>
        <w:t>Dati provvisori</w:t>
      </w:r>
      <w:r w:rsidR="00BE7554" w:rsidRPr="00A3249A">
        <w:rPr>
          <w:rFonts w:ascii="Arial Narrow" w:hAnsi="Arial Narrow" w:cs="Arial"/>
          <w:sz w:val="18"/>
          <w:szCs w:val="16"/>
        </w:rPr>
        <w:t xml:space="preserve"> </w:t>
      </w:r>
      <w:bookmarkStart w:id="0" w:name="_GoBack"/>
      <w:bookmarkEnd w:id="0"/>
    </w:p>
    <w:p w14:paraId="7CBCFE1B" w14:textId="77777777" w:rsidR="00933064" w:rsidRPr="0090790A" w:rsidRDefault="00933064" w:rsidP="00382674">
      <w:pPr>
        <w:spacing w:before="0" w:after="0"/>
        <w:ind w:left="1814"/>
        <w:rPr>
          <w:rFonts w:ascii="Arial" w:hAnsi="Arial" w:cs="Arial"/>
          <w:color w:val="808080"/>
          <w:sz w:val="22"/>
          <w:szCs w:val="22"/>
        </w:rPr>
      </w:pPr>
    </w:p>
    <w:p w14:paraId="0B16AF4F" w14:textId="08160902" w:rsidR="004C00AB" w:rsidRPr="002721FD" w:rsidRDefault="004C00AB" w:rsidP="002F535A">
      <w:pPr>
        <w:pStyle w:val="Paragrafoelenco"/>
        <w:numPr>
          <w:ilvl w:val="0"/>
          <w:numId w:val="4"/>
        </w:numPr>
        <w:tabs>
          <w:tab w:val="left" w:pos="10206"/>
        </w:tabs>
        <w:spacing w:after="100" w:line="230" w:lineRule="exact"/>
        <w:ind w:left="284" w:hanging="284"/>
        <w:contextualSpacing w:val="0"/>
        <w:jc w:val="both"/>
        <w:rPr>
          <w:rFonts w:ascii="Arial" w:hAnsi="Arial" w:cs="Arial"/>
          <w:sz w:val="21"/>
          <w:szCs w:val="21"/>
        </w:rPr>
      </w:pPr>
      <w:r w:rsidRPr="002721FD">
        <w:rPr>
          <w:rFonts w:ascii="Arial" w:hAnsi="Arial" w:cs="Arial"/>
          <w:sz w:val="21"/>
          <w:szCs w:val="21"/>
        </w:rPr>
        <w:t xml:space="preserve">Con il rilascio dei dati provvisori di </w:t>
      </w:r>
      <w:r w:rsidR="003D0395" w:rsidRPr="002721FD">
        <w:rPr>
          <w:rFonts w:ascii="Arial" w:hAnsi="Arial" w:cs="Arial"/>
          <w:sz w:val="21"/>
          <w:szCs w:val="21"/>
        </w:rPr>
        <w:t>g</w:t>
      </w:r>
      <w:r w:rsidRPr="002721FD">
        <w:rPr>
          <w:rFonts w:ascii="Arial" w:hAnsi="Arial" w:cs="Arial"/>
          <w:sz w:val="21"/>
          <w:szCs w:val="21"/>
        </w:rPr>
        <w:t>ennaio 2026 l’Istat avvia la diffusione degli indici dei prezzi al consumo secondo la versione 2 della classificazione ECOICOP</w:t>
      </w:r>
      <w:r w:rsidR="003D0395" w:rsidRPr="002721FD">
        <w:rPr>
          <w:rFonts w:ascii="Arial" w:hAnsi="Arial" w:cs="Arial"/>
          <w:sz w:val="21"/>
          <w:szCs w:val="21"/>
        </w:rPr>
        <w:t>,</w:t>
      </w:r>
      <w:r w:rsidRPr="002721FD">
        <w:rPr>
          <w:rFonts w:ascii="Arial" w:hAnsi="Arial" w:cs="Arial"/>
          <w:sz w:val="21"/>
          <w:szCs w:val="21"/>
        </w:rPr>
        <w:t xml:space="preserve"> </w:t>
      </w:r>
      <w:r w:rsidR="003D0395" w:rsidRPr="002721FD">
        <w:rPr>
          <w:rFonts w:ascii="Arial" w:hAnsi="Arial" w:cs="Arial"/>
          <w:sz w:val="21"/>
          <w:szCs w:val="21"/>
        </w:rPr>
        <w:t>contestualmente al passaggio al</w:t>
      </w:r>
      <w:r w:rsidRPr="002721FD">
        <w:rPr>
          <w:rFonts w:ascii="Arial" w:hAnsi="Arial" w:cs="Arial"/>
          <w:sz w:val="21"/>
          <w:szCs w:val="21"/>
        </w:rPr>
        <w:t>la nuova base di riferimento 2025=100.</w:t>
      </w:r>
    </w:p>
    <w:p w14:paraId="796D4C3D" w14:textId="31CCFBD5" w:rsidR="00500422" w:rsidRDefault="00237E3E" w:rsidP="002F535A">
      <w:pPr>
        <w:pStyle w:val="Paragrafoelenco"/>
        <w:numPr>
          <w:ilvl w:val="0"/>
          <w:numId w:val="4"/>
        </w:numPr>
        <w:tabs>
          <w:tab w:val="left" w:pos="10206"/>
        </w:tabs>
        <w:spacing w:after="100" w:line="230" w:lineRule="exact"/>
        <w:ind w:left="284" w:hanging="284"/>
        <w:contextualSpacing w:val="0"/>
        <w:jc w:val="both"/>
        <w:rPr>
          <w:rFonts w:ascii="Arial" w:hAnsi="Arial" w:cs="Arial"/>
          <w:sz w:val="21"/>
          <w:szCs w:val="21"/>
        </w:rPr>
      </w:pPr>
      <w:r w:rsidRPr="008650A7">
        <w:rPr>
          <w:rFonts w:ascii="Arial" w:hAnsi="Arial" w:cs="Arial"/>
          <w:sz w:val="21"/>
          <w:szCs w:val="21"/>
        </w:rPr>
        <w:t xml:space="preserve">Secondo le stime preliminari, nel mese di </w:t>
      </w:r>
      <w:r w:rsidR="002721FD">
        <w:rPr>
          <w:rFonts w:ascii="Arial" w:hAnsi="Arial" w:cs="Arial"/>
          <w:sz w:val="21"/>
          <w:szCs w:val="21"/>
        </w:rPr>
        <w:t>gennaio</w:t>
      </w:r>
      <w:r w:rsidRPr="008650A7">
        <w:rPr>
          <w:rFonts w:ascii="Arial" w:hAnsi="Arial" w:cs="Arial"/>
          <w:sz w:val="21"/>
          <w:szCs w:val="21"/>
        </w:rPr>
        <w:t xml:space="preserve"> 202</w:t>
      </w:r>
      <w:r w:rsidR="002721FD">
        <w:rPr>
          <w:rFonts w:ascii="Arial" w:hAnsi="Arial" w:cs="Arial"/>
          <w:sz w:val="21"/>
          <w:szCs w:val="21"/>
        </w:rPr>
        <w:t>6</w:t>
      </w:r>
      <w:r w:rsidRPr="008650A7">
        <w:rPr>
          <w:rFonts w:ascii="Arial" w:hAnsi="Arial" w:cs="Arial"/>
          <w:sz w:val="21"/>
          <w:szCs w:val="21"/>
        </w:rPr>
        <w:t xml:space="preserve"> l’indice nazionale dei prezzi al consumo per l’intera collettività (NIC), al lordo dei tabacchi, </w:t>
      </w:r>
      <w:r w:rsidR="007465C2">
        <w:rPr>
          <w:rFonts w:ascii="Arial" w:hAnsi="Arial" w:cs="Arial"/>
          <w:sz w:val="21"/>
          <w:szCs w:val="21"/>
        </w:rPr>
        <w:t>registra</w:t>
      </w:r>
      <w:r w:rsidR="00257953">
        <w:rPr>
          <w:rFonts w:ascii="Arial" w:hAnsi="Arial" w:cs="Arial"/>
          <w:sz w:val="21"/>
          <w:szCs w:val="21"/>
        </w:rPr>
        <w:t xml:space="preserve"> una </w:t>
      </w:r>
      <w:r w:rsidRPr="008650A7">
        <w:rPr>
          <w:rFonts w:ascii="Arial" w:hAnsi="Arial" w:cs="Arial"/>
          <w:sz w:val="21"/>
          <w:szCs w:val="21"/>
        </w:rPr>
        <w:t>varia</w:t>
      </w:r>
      <w:r w:rsidR="00257953">
        <w:rPr>
          <w:rFonts w:ascii="Arial" w:hAnsi="Arial" w:cs="Arial"/>
          <w:sz w:val="21"/>
          <w:szCs w:val="21"/>
        </w:rPr>
        <w:t>zione</w:t>
      </w:r>
      <w:r w:rsidRPr="008650A7">
        <w:rPr>
          <w:rFonts w:ascii="Arial" w:hAnsi="Arial" w:cs="Arial"/>
          <w:sz w:val="21"/>
          <w:szCs w:val="21"/>
        </w:rPr>
        <w:t xml:space="preserve"> </w:t>
      </w:r>
      <w:r w:rsidR="000E4876">
        <w:rPr>
          <w:rFonts w:ascii="Arial" w:hAnsi="Arial" w:cs="Arial"/>
          <w:sz w:val="21"/>
          <w:szCs w:val="21"/>
        </w:rPr>
        <w:t>del</w:t>
      </w:r>
      <w:r w:rsidR="00EE119A">
        <w:rPr>
          <w:rFonts w:ascii="Arial" w:hAnsi="Arial" w:cs="Arial"/>
          <w:sz w:val="21"/>
          <w:szCs w:val="21"/>
        </w:rPr>
        <w:t xml:space="preserve"> </w:t>
      </w:r>
      <w:r w:rsidR="002721FD">
        <w:rPr>
          <w:rFonts w:ascii="Arial" w:hAnsi="Arial" w:cs="Arial"/>
          <w:sz w:val="21"/>
          <w:szCs w:val="21"/>
        </w:rPr>
        <w:t>+</w:t>
      </w:r>
      <w:r>
        <w:rPr>
          <w:rFonts w:ascii="Arial" w:hAnsi="Arial" w:cs="Arial"/>
          <w:sz w:val="21"/>
          <w:szCs w:val="21"/>
        </w:rPr>
        <w:t>0,</w:t>
      </w:r>
      <w:r w:rsidR="002721FD">
        <w:rPr>
          <w:rFonts w:ascii="Arial" w:hAnsi="Arial" w:cs="Arial"/>
          <w:sz w:val="21"/>
          <w:szCs w:val="21"/>
        </w:rPr>
        <w:t>4</w:t>
      </w:r>
      <w:r w:rsidRPr="008650A7">
        <w:rPr>
          <w:rFonts w:ascii="Arial" w:hAnsi="Arial" w:cs="Arial"/>
          <w:sz w:val="21"/>
          <w:szCs w:val="21"/>
        </w:rPr>
        <w:t>%</w:t>
      </w:r>
      <w:r w:rsidR="002721FD">
        <w:rPr>
          <w:rFonts w:ascii="Arial" w:hAnsi="Arial" w:cs="Arial"/>
          <w:sz w:val="21"/>
          <w:szCs w:val="21"/>
        </w:rPr>
        <w:t xml:space="preserve"> su base mensile</w:t>
      </w:r>
      <w:r w:rsidRPr="008650A7">
        <w:rPr>
          <w:rFonts w:ascii="Arial" w:hAnsi="Arial" w:cs="Arial"/>
          <w:sz w:val="21"/>
          <w:szCs w:val="21"/>
        </w:rPr>
        <w:t xml:space="preserve"> </w:t>
      </w:r>
      <w:r>
        <w:rPr>
          <w:rFonts w:ascii="Arial" w:hAnsi="Arial" w:cs="Arial"/>
          <w:sz w:val="21"/>
          <w:szCs w:val="21"/>
        </w:rPr>
        <w:t xml:space="preserve">e </w:t>
      </w:r>
      <w:r w:rsidR="000E4876">
        <w:rPr>
          <w:rFonts w:ascii="Arial" w:hAnsi="Arial" w:cs="Arial"/>
          <w:sz w:val="21"/>
          <w:szCs w:val="21"/>
        </w:rPr>
        <w:t>del</w:t>
      </w:r>
      <w:r>
        <w:rPr>
          <w:rFonts w:ascii="Arial" w:hAnsi="Arial" w:cs="Arial"/>
          <w:sz w:val="21"/>
          <w:szCs w:val="21"/>
        </w:rPr>
        <w:t xml:space="preserve"> +1,</w:t>
      </w:r>
      <w:r w:rsidR="002721FD">
        <w:rPr>
          <w:rFonts w:ascii="Arial" w:hAnsi="Arial" w:cs="Arial"/>
          <w:sz w:val="21"/>
          <w:szCs w:val="21"/>
        </w:rPr>
        <w:t>0</w:t>
      </w:r>
      <w:r>
        <w:rPr>
          <w:rFonts w:ascii="Arial" w:hAnsi="Arial" w:cs="Arial"/>
          <w:sz w:val="21"/>
          <w:szCs w:val="21"/>
        </w:rPr>
        <w:t xml:space="preserve">% </w:t>
      </w:r>
      <w:r w:rsidR="002721FD">
        <w:rPr>
          <w:rFonts w:ascii="Arial" w:hAnsi="Arial" w:cs="Arial"/>
          <w:sz w:val="21"/>
          <w:szCs w:val="21"/>
        </w:rPr>
        <w:t>su base annua (da +1,2% di dicembre)</w:t>
      </w:r>
      <w:r w:rsidR="00971F88" w:rsidRPr="008650A7">
        <w:rPr>
          <w:rFonts w:ascii="Arial" w:hAnsi="Arial" w:cs="Arial"/>
          <w:sz w:val="21"/>
          <w:szCs w:val="21"/>
        </w:rPr>
        <w:t>.</w:t>
      </w:r>
    </w:p>
    <w:p w14:paraId="2DFAEAC8" w14:textId="49D46B7F" w:rsidR="00991B35" w:rsidRPr="00CC6A4C" w:rsidRDefault="00991B35" w:rsidP="002F535A">
      <w:pPr>
        <w:pStyle w:val="Paragrafoelenco"/>
        <w:numPr>
          <w:ilvl w:val="0"/>
          <w:numId w:val="4"/>
        </w:numPr>
        <w:tabs>
          <w:tab w:val="left" w:pos="10206"/>
        </w:tabs>
        <w:spacing w:after="100" w:line="230" w:lineRule="exact"/>
        <w:ind w:left="284" w:hanging="284"/>
        <w:contextualSpacing w:val="0"/>
        <w:jc w:val="both"/>
        <w:rPr>
          <w:rFonts w:ascii="Arial" w:hAnsi="Arial" w:cs="Arial"/>
          <w:sz w:val="21"/>
          <w:szCs w:val="21"/>
        </w:rPr>
      </w:pPr>
      <w:r w:rsidRPr="00CC6A4C">
        <w:rPr>
          <w:rFonts w:ascii="Arial" w:hAnsi="Arial" w:cs="Arial"/>
          <w:sz w:val="21"/>
          <w:szCs w:val="21"/>
        </w:rPr>
        <w:t xml:space="preserve">Un sostegno all’inflazione si deve </w:t>
      </w:r>
      <w:r w:rsidR="00CC6A4C">
        <w:rPr>
          <w:rFonts w:ascii="Arial" w:hAnsi="Arial" w:cs="Arial"/>
          <w:sz w:val="21"/>
          <w:szCs w:val="21"/>
        </w:rPr>
        <w:t>prevalentemente a</w:t>
      </w:r>
      <w:r w:rsidR="00487B5A">
        <w:rPr>
          <w:rFonts w:ascii="Arial" w:hAnsi="Arial" w:cs="Arial"/>
          <w:sz w:val="21"/>
          <w:szCs w:val="21"/>
        </w:rPr>
        <w:t xml:space="preserve">lla dinamica dei prezzi dei </w:t>
      </w:r>
      <w:r w:rsidR="00CC6A4C">
        <w:rPr>
          <w:rFonts w:ascii="Arial" w:hAnsi="Arial" w:cs="Arial"/>
          <w:sz w:val="21"/>
          <w:szCs w:val="21"/>
        </w:rPr>
        <w:t>Beni alimentari</w:t>
      </w:r>
      <w:r w:rsidR="00486EDA">
        <w:rPr>
          <w:rFonts w:ascii="Arial" w:hAnsi="Arial" w:cs="Arial"/>
          <w:sz w:val="21"/>
          <w:szCs w:val="21"/>
        </w:rPr>
        <w:t xml:space="preserve">, </w:t>
      </w:r>
      <w:r w:rsidR="00CC6A4C">
        <w:rPr>
          <w:rFonts w:ascii="Arial" w:hAnsi="Arial" w:cs="Arial"/>
          <w:sz w:val="21"/>
          <w:szCs w:val="21"/>
        </w:rPr>
        <w:t xml:space="preserve">non lavorati (+2,5%) e lavorati (+2,2%), </w:t>
      </w:r>
      <w:r w:rsidR="00486EDA">
        <w:rPr>
          <w:rFonts w:ascii="Arial" w:hAnsi="Arial" w:cs="Arial"/>
          <w:sz w:val="21"/>
          <w:szCs w:val="21"/>
        </w:rPr>
        <w:t xml:space="preserve">a quella dei prezzi </w:t>
      </w:r>
      <w:r w:rsidR="00487B5A">
        <w:rPr>
          <w:rFonts w:ascii="Arial" w:hAnsi="Arial" w:cs="Arial"/>
          <w:sz w:val="21"/>
          <w:szCs w:val="21"/>
        </w:rPr>
        <w:t>dei</w:t>
      </w:r>
      <w:r w:rsidR="00CC6A4C">
        <w:rPr>
          <w:rFonts w:ascii="Arial" w:hAnsi="Arial" w:cs="Arial"/>
          <w:sz w:val="21"/>
          <w:szCs w:val="21"/>
        </w:rPr>
        <w:t xml:space="preserve"> Servizi relativi all’abitazione (+4,4%), </w:t>
      </w:r>
      <w:r w:rsidR="00487B5A">
        <w:rPr>
          <w:rFonts w:ascii="Arial" w:hAnsi="Arial" w:cs="Arial"/>
          <w:sz w:val="21"/>
          <w:szCs w:val="21"/>
        </w:rPr>
        <w:t>dei</w:t>
      </w:r>
      <w:r w:rsidR="00CC6A4C">
        <w:rPr>
          <w:rFonts w:ascii="Arial" w:hAnsi="Arial" w:cs="Arial"/>
          <w:sz w:val="21"/>
          <w:szCs w:val="21"/>
        </w:rPr>
        <w:t xml:space="preserve"> Tabacchi (+3,3%) e </w:t>
      </w:r>
      <w:r w:rsidR="00487B5A">
        <w:rPr>
          <w:rFonts w:ascii="Arial" w:hAnsi="Arial" w:cs="Arial"/>
          <w:sz w:val="21"/>
          <w:szCs w:val="21"/>
        </w:rPr>
        <w:t>de</w:t>
      </w:r>
      <w:r w:rsidR="00CC6A4C">
        <w:rPr>
          <w:rFonts w:ascii="Arial" w:hAnsi="Arial" w:cs="Arial"/>
          <w:sz w:val="21"/>
          <w:szCs w:val="21"/>
        </w:rPr>
        <w:t>i Servizi ricreativi, culturali e per la cura della persona (+3,0%).</w:t>
      </w:r>
    </w:p>
    <w:p w14:paraId="764B0E76" w14:textId="48389707" w:rsidR="00500422" w:rsidRPr="00CC6A4C" w:rsidRDefault="00663C11" w:rsidP="00082164">
      <w:pPr>
        <w:pStyle w:val="Paragrafoelenco"/>
        <w:numPr>
          <w:ilvl w:val="0"/>
          <w:numId w:val="4"/>
        </w:numPr>
        <w:tabs>
          <w:tab w:val="left" w:pos="10206"/>
        </w:tabs>
        <w:spacing w:after="100" w:line="230" w:lineRule="exact"/>
        <w:ind w:left="284" w:hanging="284"/>
        <w:contextualSpacing w:val="0"/>
        <w:jc w:val="both"/>
        <w:rPr>
          <w:rFonts w:ascii="Arial" w:hAnsi="Arial" w:cs="Arial"/>
          <w:sz w:val="21"/>
          <w:szCs w:val="21"/>
        </w:rPr>
      </w:pPr>
      <w:r w:rsidRPr="00CC6A4C">
        <w:rPr>
          <w:rFonts w:ascii="Arial" w:hAnsi="Arial" w:cs="Arial"/>
          <w:sz w:val="21"/>
          <w:szCs w:val="21"/>
        </w:rPr>
        <w:t xml:space="preserve">Nel mese di </w:t>
      </w:r>
      <w:r w:rsidR="00C03BA7">
        <w:rPr>
          <w:rFonts w:ascii="Arial" w:hAnsi="Arial" w:cs="Arial"/>
          <w:sz w:val="21"/>
          <w:szCs w:val="21"/>
        </w:rPr>
        <w:t>gennaio</w:t>
      </w:r>
      <w:r w:rsidR="00B01BE2" w:rsidRPr="00CC6A4C">
        <w:rPr>
          <w:rFonts w:ascii="Arial" w:hAnsi="Arial" w:cs="Arial"/>
          <w:sz w:val="21"/>
          <w:szCs w:val="21"/>
        </w:rPr>
        <w:t xml:space="preserve"> </w:t>
      </w:r>
      <w:r w:rsidRPr="00CC6A4C">
        <w:rPr>
          <w:rFonts w:ascii="Arial" w:hAnsi="Arial" w:cs="Arial"/>
          <w:sz w:val="21"/>
          <w:szCs w:val="21"/>
        </w:rPr>
        <w:t>l</w:t>
      </w:r>
      <w:r w:rsidR="00500422" w:rsidRPr="00CC6A4C">
        <w:rPr>
          <w:rFonts w:ascii="Arial" w:hAnsi="Arial" w:cs="Arial"/>
          <w:sz w:val="21"/>
          <w:szCs w:val="21"/>
        </w:rPr>
        <w:t>’“inflazione di fondo”, al netto degli energeti</w:t>
      </w:r>
      <w:r w:rsidR="00C63740" w:rsidRPr="00CC6A4C">
        <w:rPr>
          <w:rFonts w:ascii="Arial" w:hAnsi="Arial" w:cs="Arial"/>
          <w:sz w:val="21"/>
          <w:szCs w:val="21"/>
        </w:rPr>
        <w:t>ci e degli ali</w:t>
      </w:r>
      <w:r w:rsidR="00A70231" w:rsidRPr="00CC6A4C">
        <w:rPr>
          <w:rFonts w:ascii="Arial" w:hAnsi="Arial" w:cs="Arial"/>
          <w:sz w:val="21"/>
          <w:szCs w:val="21"/>
        </w:rPr>
        <w:t>mentari freschi</w:t>
      </w:r>
      <w:r w:rsidR="00486EDA">
        <w:rPr>
          <w:rFonts w:ascii="Arial" w:hAnsi="Arial" w:cs="Arial"/>
          <w:sz w:val="21"/>
          <w:szCs w:val="21"/>
        </w:rPr>
        <w:t>,</w:t>
      </w:r>
      <w:r w:rsidR="00C03BA7">
        <w:rPr>
          <w:rFonts w:ascii="Arial" w:hAnsi="Arial" w:cs="Arial"/>
          <w:sz w:val="21"/>
          <w:szCs w:val="21"/>
        </w:rPr>
        <w:t xml:space="preserve"> è pari a +1,8%</w:t>
      </w:r>
      <w:r w:rsidR="00F15E37" w:rsidRPr="00CC6A4C">
        <w:rPr>
          <w:rFonts w:ascii="Arial" w:hAnsi="Arial" w:cs="Arial"/>
          <w:sz w:val="21"/>
          <w:szCs w:val="21"/>
        </w:rPr>
        <w:t xml:space="preserve"> </w:t>
      </w:r>
      <w:r w:rsidR="00730C51" w:rsidRPr="00CC6A4C">
        <w:rPr>
          <w:rFonts w:ascii="Arial" w:hAnsi="Arial" w:cs="Arial"/>
          <w:sz w:val="21"/>
          <w:szCs w:val="21"/>
        </w:rPr>
        <w:t xml:space="preserve">e </w:t>
      </w:r>
      <w:r w:rsidR="00500422" w:rsidRPr="00CC6A4C">
        <w:rPr>
          <w:rFonts w:ascii="Arial" w:hAnsi="Arial" w:cs="Arial"/>
          <w:sz w:val="21"/>
          <w:szCs w:val="21"/>
        </w:rPr>
        <w:t>quella al netto dei soli beni energetici</w:t>
      </w:r>
      <w:r w:rsidR="00730C51" w:rsidRPr="00CC6A4C">
        <w:rPr>
          <w:rFonts w:ascii="Arial" w:hAnsi="Arial" w:cs="Arial"/>
          <w:sz w:val="21"/>
          <w:szCs w:val="21"/>
        </w:rPr>
        <w:t xml:space="preserve"> </w:t>
      </w:r>
      <w:r w:rsidR="00C03BA7">
        <w:rPr>
          <w:rFonts w:ascii="Arial" w:hAnsi="Arial" w:cs="Arial"/>
          <w:sz w:val="21"/>
          <w:szCs w:val="21"/>
        </w:rPr>
        <w:t>a +1,9%</w:t>
      </w:r>
      <w:r w:rsidR="00F15E37" w:rsidRPr="00CC6A4C">
        <w:rPr>
          <w:rFonts w:ascii="Arial" w:hAnsi="Arial" w:cs="Arial"/>
          <w:sz w:val="21"/>
          <w:szCs w:val="21"/>
        </w:rPr>
        <w:t>.</w:t>
      </w:r>
    </w:p>
    <w:p w14:paraId="3876C1C6" w14:textId="5010F2B5" w:rsidR="009D708C" w:rsidRPr="00CC6A4C" w:rsidRDefault="000D0BB5" w:rsidP="002F535A">
      <w:pPr>
        <w:pStyle w:val="Paragrafoelenco"/>
        <w:numPr>
          <w:ilvl w:val="0"/>
          <w:numId w:val="4"/>
        </w:numPr>
        <w:tabs>
          <w:tab w:val="left" w:pos="10206"/>
        </w:tabs>
        <w:spacing w:after="100" w:line="230" w:lineRule="exact"/>
        <w:ind w:left="284" w:hanging="284"/>
        <w:contextualSpacing w:val="0"/>
        <w:jc w:val="both"/>
        <w:rPr>
          <w:rFonts w:ascii="Arial" w:hAnsi="Arial" w:cs="Arial"/>
          <w:sz w:val="21"/>
          <w:szCs w:val="21"/>
        </w:rPr>
      </w:pPr>
      <w:r>
        <w:rPr>
          <w:rFonts w:ascii="Arial" w:hAnsi="Arial" w:cs="Arial"/>
          <w:sz w:val="21"/>
          <w:szCs w:val="21"/>
        </w:rPr>
        <w:t xml:space="preserve">A gennaio </w:t>
      </w:r>
      <w:r w:rsidR="00EB2250">
        <w:rPr>
          <w:rFonts w:ascii="Arial" w:hAnsi="Arial" w:cs="Arial"/>
          <w:sz w:val="21"/>
          <w:szCs w:val="21"/>
        </w:rPr>
        <w:t xml:space="preserve">2026 </w:t>
      </w:r>
      <w:r>
        <w:rPr>
          <w:rFonts w:ascii="Arial" w:hAnsi="Arial" w:cs="Arial"/>
          <w:sz w:val="21"/>
          <w:szCs w:val="21"/>
        </w:rPr>
        <w:t>i prezzi dei beni registrano una variazione del -0,2% rispetto allo stesso mese dell’anno precedente</w:t>
      </w:r>
      <w:r w:rsidR="00486EDA">
        <w:rPr>
          <w:rFonts w:ascii="Arial" w:hAnsi="Arial" w:cs="Arial"/>
          <w:sz w:val="21"/>
          <w:szCs w:val="21"/>
        </w:rPr>
        <w:t>, mentre i</w:t>
      </w:r>
      <w:r>
        <w:rPr>
          <w:rFonts w:ascii="Arial" w:hAnsi="Arial" w:cs="Arial"/>
          <w:sz w:val="21"/>
          <w:szCs w:val="21"/>
        </w:rPr>
        <w:t xml:space="preserve"> prezzi dei servizi risultano in crescita</w:t>
      </w:r>
      <w:r w:rsidR="00486EDA">
        <w:rPr>
          <w:rFonts w:ascii="Arial" w:hAnsi="Arial" w:cs="Arial"/>
          <w:sz w:val="21"/>
          <w:szCs w:val="21"/>
        </w:rPr>
        <w:t>,</w:t>
      </w:r>
      <w:r>
        <w:rPr>
          <w:rFonts w:ascii="Arial" w:hAnsi="Arial" w:cs="Arial"/>
          <w:sz w:val="21"/>
          <w:szCs w:val="21"/>
        </w:rPr>
        <w:t xml:space="preserve"> su base tendenziale</w:t>
      </w:r>
      <w:r w:rsidR="00486EDA">
        <w:rPr>
          <w:rFonts w:ascii="Arial" w:hAnsi="Arial" w:cs="Arial"/>
          <w:sz w:val="21"/>
          <w:szCs w:val="21"/>
        </w:rPr>
        <w:t>,</w:t>
      </w:r>
      <w:r>
        <w:rPr>
          <w:rFonts w:ascii="Arial" w:hAnsi="Arial" w:cs="Arial"/>
          <w:sz w:val="21"/>
          <w:szCs w:val="21"/>
        </w:rPr>
        <w:t xml:space="preserve"> del +2,5%. Il differenziale </w:t>
      </w:r>
      <w:r w:rsidR="009D708C" w:rsidRPr="00CC6A4C">
        <w:rPr>
          <w:rFonts w:ascii="Arial" w:hAnsi="Arial" w:cs="Arial"/>
          <w:sz w:val="21"/>
          <w:szCs w:val="21"/>
        </w:rPr>
        <w:t>tra il comparto dei servizi e quello dei beni</w:t>
      </w:r>
      <w:r w:rsidR="00F15E37" w:rsidRPr="00CC6A4C">
        <w:rPr>
          <w:rFonts w:ascii="Arial" w:hAnsi="Arial" w:cs="Arial"/>
          <w:sz w:val="21"/>
          <w:szCs w:val="21"/>
        </w:rPr>
        <w:t>, dunque,</w:t>
      </w:r>
      <w:r w:rsidR="009D708C" w:rsidRPr="00CC6A4C">
        <w:rPr>
          <w:rFonts w:ascii="Arial" w:hAnsi="Arial" w:cs="Arial"/>
          <w:sz w:val="21"/>
          <w:szCs w:val="21"/>
        </w:rPr>
        <w:t xml:space="preserve"> </w:t>
      </w:r>
      <w:r>
        <w:rPr>
          <w:rFonts w:ascii="Arial" w:hAnsi="Arial" w:cs="Arial"/>
          <w:sz w:val="21"/>
          <w:szCs w:val="21"/>
        </w:rPr>
        <w:t>è pari</w:t>
      </w:r>
      <w:r w:rsidR="00F15E37" w:rsidRPr="00CC6A4C">
        <w:rPr>
          <w:rFonts w:ascii="Arial" w:hAnsi="Arial" w:cs="Arial"/>
          <w:sz w:val="21"/>
          <w:szCs w:val="21"/>
        </w:rPr>
        <w:t xml:space="preserve"> a +</w:t>
      </w:r>
      <w:r>
        <w:rPr>
          <w:rFonts w:ascii="Arial" w:hAnsi="Arial" w:cs="Arial"/>
          <w:sz w:val="21"/>
          <w:szCs w:val="21"/>
        </w:rPr>
        <w:t>2,7</w:t>
      </w:r>
      <w:r w:rsidR="00F15E37" w:rsidRPr="00CC6A4C">
        <w:rPr>
          <w:rFonts w:ascii="Arial" w:hAnsi="Arial" w:cs="Arial"/>
          <w:sz w:val="21"/>
          <w:szCs w:val="21"/>
        </w:rPr>
        <w:t xml:space="preserve"> punti percentuali</w:t>
      </w:r>
      <w:r w:rsidR="009D708C" w:rsidRPr="00CC6A4C">
        <w:rPr>
          <w:rFonts w:ascii="Arial" w:hAnsi="Arial" w:cs="Arial"/>
          <w:sz w:val="21"/>
          <w:szCs w:val="21"/>
        </w:rPr>
        <w:t>.</w:t>
      </w:r>
    </w:p>
    <w:p w14:paraId="11F8464B" w14:textId="353BF5E0" w:rsidR="00971F88" w:rsidRPr="00CC6A4C" w:rsidRDefault="00971F88" w:rsidP="00971F88">
      <w:pPr>
        <w:pStyle w:val="Paragrafoelenco"/>
        <w:numPr>
          <w:ilvl w:val="0"/>
          <w:numId w:val="4"/>
        </w:numPr>
        <w:tabs>
          <w:tab w:val="left" w:pos="10206"/>
        </w:tabs>
        <w:spacing w:after="100" w:line="230" w:lineRule="exact"/>
        <w:ind w:left="284" w:hanging="284"/>
        <w:contextualSpacing w:val="0"/>
        <w:jc w:val="both"/>
        <w:rPr>
          <w:rFonts w:ascii="Arial" w:hAnsi="Arial" w:cs="Arial"/>
          <w:sz w:val="21"/>
          <w:szCs w:val="21"/>
        </w:rPr>
      </w:pPr>
      <w:r w:rsidRPr="00CC6A4C">
        <w:rPr>
          <w:rFonts w:ascii="Arial" w:hAnsi="Arial" w:cs="Arial"/>
          <w:sz w:val="21"/>
          <w:szCs w:val="21"/>
        </w:rPr>
        <w:t>I prezzi dei Beni alimentari, per la cura della casa e della persona</w:t>
      </w:r>
      <w:r w:rsidR="00A85850">
        <w:rPr>
          <w:rFonts w:ascii="Arial" w:hAnsi="Arial" w:cs="Arial"/>
          <w:sz w:val="21"/>
          <w:szCs w:val="21"/>
        </w:rPr>
        <w:t xml:space="preserve"> aumentano del 2,1%</w:t>
      </w:r>
      <w:r w:rsidR="00486EDA">
        <w:rPr>
          <w:rFonts w:ascii="Arial" w:hAnsi="Arial" w:cs="Arial"/>
          <w:sz w:val="21"/>
          <w:szCs w:val="21"/>
        </w:rPr>
        <w:t xml:space="preserve"> rispetto a gennaio 2025</w:t>
      </w:r>
      <w:r w:rsidR="002640C9" w:rsidRPr="00CC6A4C">
        <w:rPr>
          <w:rFonts w:ascii="Arial" w:hAnsi="Arial" w:cs="Arial"/>
          <w:sz w:val="21"/>
          <w:szCs w:val="21"/>
        </w:rPr>
        <w:t>.</w:t>
      </w:r>
    </w:p>
    <w:p w14:paraId="4C942270" w14:textId="7597349B" w:rsidR="00BC3204" w:rsidRPr="00CC6A4C" w:rsidRDefault="00621E98" w:rsidP="002F535A">
      <w:pPr>
        <w:pStyle w:val="Paragrafoelenco"/>
        <w:numPr>
          <w:ilvl w:val="0"/>
          <w:numId w:val="4"/>
        </w:numPr>
        <w:tabs>
          <w:tab w:val="left" w:pos="10206"/>
        </w:tabs>
        <w:spacing w:after="100" w:line="230" w:lineRule="exact"/>
        <w:ind w:left="284" w:hanging="284"/>
        <w:contextualSpacing w:val="0"/>
        <w:jc w:val="both"/>
        <w:rPr>
          <w:rFonts w:ascii="Arial" w:hAnsi="Arial" w:cs="Arial"/>
          <w:sz w:val="21"/>
          <w:szCs w:val="21"/>
        </w:rPr>
      </w:pPr>
      <w:r w:rsidRPr="00CC6A4C">
        <w:rPr>
          <w:rFonts w:ascii="Arial" w:hAnsi="Arial" w:cs="Arial"/>
          <w:sz w:val="21"/>
          <w:szCs w:val="21"/>
        </w:rPr>
        <w:t>L</w:t>
      </w:r>
      <w:r w:rsidR="00481328" w:rsidRPr="00CC6A4C">
        <w:rPr>
          <w:rFonts w:ascii="Arial" w:hAnsi="Arial" w:cs="Arial"/>
          <w:sz w:val="21"/>
          <w:szCs w:val="21"/>
        </w:rPr>
        <w:t>a variazione</w:t>
      </w:r>
      <w:r w:rsidRPr="00CC6A4C">
        <w:rPr>
          <w:rFonts w:ascii="Arial" w:hAnsi="Arial" w:cs="Arial"/>
          <w:sz w:val="21"/>
          <w:szCs w:val="21"/>
        </w:rPr>
        <w:t xml:space="preserve"> </w:t>
      </w:r>
      <w:r w:rsidR="00500422" w:rsidRPr="00CC6A4C">
        <w:rPr>
          <w:rFonts w:ascii="Arial" w:hAnsi="Arial" w:cs="Arial"/>
          <w:sz w:val="21"/>
          <w:szCs w:val="21"/>
        </w:rPr>
        <w:t>congiunturale dell’indice generale</w:t>
      </w:r>
      <w:r w:rsidR="00C4289B" w:rsidRPr="00CC6A4C">
        <w:rPr>
          <w:rFonts w:ascii="Arial" w:hAnsi="Arial" w:cs="Arial"/>
          <w:sz w:val="21"/>
          <w:szCs w:val="21"/>
        </w:rPr>
        <w:t xml:space="preserve"> </w:t>
      </w:r>
      <w:r w:rsidR="00A85850">
        <w:rPr>
          <w:rFonts w:ascii="Arial" w:hAnsi="Arial" w:cs="Arial"/>
          <w:sz w:val="21"/>
          <w:szCs w:val="21"/>
        </w:rPr>
        <w:t xml:space="preserve">(+0,4%) </w:t>
      </w:r>
      <w:r w:rsidR="00716ECD">
        <w:rPr>
          <w:rFonts w:ascii="Arial" w:hAnsi="Arial" w:cs="Arial"/>
          <w:sz w:val="21"/>
          <w:szCs w:val="21"/>
        </w:rPr>
        <w:t xml:space="preserve">risente principalmente dell’aumento dei prezzi degli </w:t>
      </w:r>
      <w:r w:rsidR="00BC3204" w:rsidRPr="00CC6A4C">
        <w:rPr>
          <w:rFonts w:ascii="Arial" w:hAnsi="Arial" w:cs="Arial"/>
          <w:sz w:val="21"/>
          <w:szCs w:val="21"/>
        </w:rPr>
        <w:t>Energetici regolamentati (+</w:t>
      </w:r>
      <w:r w:rsidR="00716ECD">
        <w:rPr>
          <w:rFonts w:ascii="Arial" w:hAnsi="Arial" w:cs="Arial"/>
          <w:sz w:val="21"/>
          <w:szCs w:val="21"/>
        </w:rPr>
        <w:t>8,7</w:t>
      </w:r>
      <w:r w:rsidR="00BC3204" w:rsidRPr="00CC6A4C">
        <w:rPr>
          <w:rFonts w:ascii="Arial" w:hAnsi="Arial" w:cs="Arial"/>
          <w:sz w:val="21"/>
          <w:szCs w:val="21"/>
        </w:rPr>
        <w:t>%)</w:t>
      </w:r>
      <w:r w:rsidR="00716ECD">
        <w:rPr>
          <w:rFonts w:ascii="Arial" w:hAnsi="Arial" w:cs="Arial"/>
          <w:sz w:val="21"/>
          <w:szCs w:val="21"/>
        </w:rPr>
        <w:t xml:space="preserve">, dei Servizi relativi all’abitazione (+1,9%), degli </w:t>
      </w:r>
      <w:r w:rsidR="00BC3204" w:rsidRPr="00CC6A4C">
        <w:rPr>
          <w:rFonts w:ascii="Arial" w:hAnsi="Arial" w:cs="Arial"/>
          <w:sz w:val="21"/>
          <w:szCs w:val="21"/>
        </w:rPr>
        <w:t>Alimentari</w:t>
      </w:r>
      <w:r w:rsidR="00716ECD">
        <w:rPr>
          <w:rFonts w:ascii="Arial" w:hAnsi="Arial" w:cs="Arial"/>
          <w:sz w:val="21"/>
          <w:szCs w:val="21"/>
        </w:rPr>
        <w:t xml:space="preserve"> non</w:t>
      </w:r>
      <w:r w:rsidR="00BC3204" w:rsidRPr="00CC6A4C">
        <w:rPr>
          <w:rFonts w:ascii="Arial" w:hAnsi="Arial" w:cs="Arial"/>
          <w:sz w:val="21"/>
          <w:szCs w:val="21"/>
        </w:rPr>
        <w:t xml:space="preserve"> lavorati (+</w:t>
      </w:r>
      <w:r w:rsidR="00716ECD">
        <w:rPr>
          <w:rFonts w:ascii="Arial" w:hAnsi="Arial" w:cs="Arial"/>
          <w:sz w:val="21"/>
          <w:szCs w:val="21"/>
        </w:rPr>
        <w:t>1,2</w:t>
      </w:r>
      <w:r w:rsidR="00BC3204" w:rsidRPr="00CC6A4C">
        <w:rPr>
          <w:rFonts w:ascii="Arial" w:hAnsi="Arial" w:cs="Arial"/>
          <w:sz w:val="21"/>
          <w:szCs w:val="21"/>
        </w:rPr>
        <w:t>%)</w:t>
      </w:r>
      <w:r w:rsidR="00716ECD">
        <w:rPr>
          <w:rFonts w:ascii="Arial" w:hAnsi="Arial" w:cs="Arial"/>
          <w:sz w:val="21"/>
          <w:szCs w:val="21"/>
        </w:rPr>
        <w:t xml:space="preserve"> e lavorati (+0,9%), degli Energetici non regolamentati (+0,8%), dei Servizi ricreativi, culturali e per la cura della persona (+0,7</w:t>
      </w:r>
      <w:r w:rsidR="00AC7CC9">
        <w:rPr>
          <w:rFonts w:ascii="Arial" w:hAnsi="Arial" w:cs="Arial"/>
          <w:sz w:val="21"/>
          <w:szCs w:val="21"/>
        </w:rPr>
        <w:t>%</w:t>
      </w:r>
      <w:r w:rsidR="00716ECD">
        <w:rPr>
          <w:rFonts w:ascii="Arial" w:hAnsi="Arial" w:cs="Arial"/>
          <w:sz w:val="21"/>
          <w:szCs w:val="21"/>
        </w:rPr>
        <w:t>). L’unica riduzione su base congiunturale si registra per i prezzi dei Servizi di trasporto (-3,7%).</w:t>
      </w:r>
    </w:p>
    <w:p w14:paraId="5D73C5EB" w14:textId="56AB967F" w:rsidR="005654F4" w:rsidRPr="00CC6A4C" w:rsidRDefault="00881845" w:rsidP="00881845">
      <w:pPr>
        <w:pStyle w:val="Paragrafoelenco"/>
        <w:numPr>
          <w:ilvl w:val="0"/>
          <w:numId w:val="4"/>
        </w:numPr>
        <w:tabs>
          <w:tab w:val="left" w:pos="10206"/>
        </w:tabs>
        <w:spacing w:after="100" w:line="230" w:lineRule="exact"/>
        <w:ind w:left="284" w:hanging="284"/>
        <w:contextualSpacing w:val="0"/>
        <w:jc w:val="both"/>
        <w:rPr>
          <w:rFonts w:ascii="Arial" w:hAnsi="Arial" w:cs="Arial"/>
          <w:sz w:val="21"/>
          <w:szCs w:val="21"/>
        </w:rPr>
      </w:pPr>
      <w:r w:rsidRPr="00CC6A4C">
        <w:rPr>
          <w:rFonts w:ascii="Arial" w:hAnsi="Arial" w:cs="Arial"/>
          <w:sz w:val="21"/>
          <w:szCs w:val="21"/>
        </w:rPr>
        <w:t>L’inflazione acquisita per il 202</w:t>
      </w:r>
      <w:r w:rsidR="00716ECD">
        <w:rPr>
          <w:rFonts w:ascii="Arial" w:hAnsi="Arial" w:cs="Arial"/>
          <w:sz w:val="21"/>
          <w:szCs w:val="21"/>
        </w:rPr>
        <w:t>6</w:t>
      </w:r>
      <w:r w:rsidRPr="00CC6A4C">
        <w:rPr>
          <w:rFonts w:ascii="Arial" w:hAnsi="Arial" w:cs="Arial"/>
          <w:sz w:val="21"/>
          <w:szCs w:val="21"/>
        </w:rPr>
        <w:t xml:space="preserve"> è pari a +</w:t>
      </w:r>
      <w:r w:rsidR="00716ECD">
        <w:rPr>
          <w:rFonts w:ascii="Arial" w:hAnsi="Arial" w:cs="Arial"/>
          <w:sz w:val="21"/>
          <w:szCs w:val="21"/>
        </w:rPr>
        <w:t>0,4</w:t>
      </w:r>
      <w:r w:rsidRPr="00CC6A4C">
        <w:rPr>
          <w:rFonts w:ascii="Arial" w:hAnsi="Arial" w:cs="Arial"/>
          <w:sz w:val="21"/>
          <w:szCs w:val="21"/>
        </w:rPr>
        <w:t>% per l’indice generale</w:t>
      </w:r>
      <w:r w:rsidR="00716ECD">
        <w:rPr>
          <w:rFonts w:ascii="Arial" w:hAnsi="Arial" w:cs="Arial"/>
          <w:sz w:val="21"/>
          <w:szCs w:val="21"/>
        </w:rPr>
        <w:t xml:space="preserve"> (a dicembre era nulla)</w:t>
      </w:r>
      <w:r w:rsidRPr="00CC6A4C">
        <w:rPr>
          <w:rFonts w:ascii="Arial" w:hAnsi="Arial" w:cs="Arial"/>
          <w:sz w:val="21"/>
          <w:szCs w:val="21"/>
        </w:rPr>
        <w:t xml:space="preserve"> e a +</w:t>
      </w:r>
      <w:r w:rsidR="00716ECD">
        <w:rPr>
          <w:rFonts w:ascii="Arial" w:hAnsi="Arial" w:cs="Arial"/>
          <w:sz w:val="21"/>
          <w:szCs w:val="21"/>
        </w:rPr>
        <w:t>0,5</w:t>
      </w:r>
      <w:r w:rsidRPr="00CC6A4C">
        <w:rPr>
          <w:rFonts w:ascii="Arial" w:hAnsi="Arial" w:cs="Arial"/>
          <w:sz w:val="21"/>
          <w:szCs w:val="21"/>
        </w:rPr>
        <w:t>% per la componente di fondo</w:t>
      </w:r>
      <w:r w:rsidR="00716ECD">
        <w:rPr>
          <w:rFonts w:ascii="Arial" w:hAnsi="Arial" w:cs="Arial"/>
          <w:sz w:val="21"/>
          <w:szCs w:val="21"/>
        </w:rPr>
        <w:t xml:space="preserve"> (+0,2% a dicembre)</w:t>
      </w:r>
      <w:r w:rsidRPr="00CC6A4C">
        <w:rPr>
          <w:rFonts w:ascii="Arial" w:hAnsi="Arial" w:cs="Arial"/>
          <w:sz w:val="21"/>
          <w:szCs w:val="21"/>
        </w:rPr>
        <w:t>.</w:t>
      </w:r>
    </w:p>
    <w:p w14:paraId="3D7CBC5C" w14:textId="1B130C48" w:rsidR="00BF773D" w:rsidRPr="00CC6A4C" w:rsidRDefault="009D708C" w:rsidP="002F535A">
      <w:pPr>
        <w:pStyle w:val="Paragrafoelenco"/>
        <w:numPr>
          <w:ilvl w:val="0"/>
          <w:numId w:val="4"/>
        </w:numPr>
        <w:tabs>
          <w:tab w:val="left" w:pos="10206"/>
        </w:tabs>
        <w:spacing w:after="100" w:line="230" w:lineRule="exact"/>
        <w:ind w:left="284" w:hanging="284"/>
        <w:contextualSpacing w:val="0"/>
        <w:jc w:val="both"/>
        <w:rPr>
          <w:rFonts w:ascii="Arial" w:hAnsi="Arial" w:cs="Arial"/>
          <w:sz w:val="21"/>
          <w:szCs w:val="21"/>
        </w:rPr>
      </w:pPr>
      <w:r w:rsidRPr="00CC6A4C">
        <w:rPr>
          <w:rFonts w:ascii="Arial" w:hAnsi="Arial" w:cs="Arial"/>
          <w:sz w:val="21"/>
          <w:szCs w:val="21"/>
        </w:rPr>
        <w:t xml:space="preserve">In base alle stime preliminari, l’indice armonizzato dei prezzi al consumo (IPCA) </w:t>
      </w:r>
      <w:r w:rsidR="00B45741" w:rsidRPr="00CC6A4C">
        <w:rPr>
          <w:rFonts w:ascii="Arial" w:hAnsi="Arial" w:cs="Arial"/>
          <w:sz w:val="21"/>
          <w:szCs w:val="21"/>
        </w:rPr>
        <w:t xml:space="preserve">registra </w:t>
      </w:r>
      <w:r w:rsidR="005518AD" w:rsidRPr="00CC6A4C">
        <w:rPr>
          <w:rFonts w:ascii="Arial" w:hAnsi="Arial" w:cs="Arial"/>
          <w:sz w:val="21"/>
          <w:szCs w:val="21"/>
        </w:rPr>
        <w:t xml:space="preserve">una variazione </w:t>
      </w:r>
      <w:r w:rsidR="006C1A9E" w:rsidRPr="00CC6A4C">
        <w:rPr>
          <w:rFonts w:ascii="Arial" w:hAnsi="Arial" w:cs="Arial"/>
          <w:sz w:val="21"/>
          <w:szCs w:val="21"/>
        </w:rPr>
        <w:t xml:space="preserve">pari a </w:t>
      </w:r>
      <w:r w:rsidR="004F0519">
        <w:rPr>
          <w:rFonts w:ascii="Arial" w:hAnsi="Arial" w:cs="Arial"/>
          <w:sz w:val="21"/>
          <w:szCs w:val="21"/>
        </w:rPr>
        <w:t>-1</w:t>
      </w:r>
      <w:r w:rsidR="000567C0" w:rsidRPr="00CC6A4C">
        <w:rPr>
          <w:rFonts w:ascii="Arial" w:hAnsi="Arial" w:cs="Arial"/>
          <w:sz w:val="21"/>
          <w:szCs w:val="21"/>
        </w:rPr>
        <w:t>,</w:t>
      </w:r>
      <w:r w:rsidR="004F0519">
        <w:rPr>
          <w:rFonts w:ascii="Arial" w:hAnsi="Arial" w:cs="Arial"/>
          <w:sz w:val="21"/>
          <w:szCs w:val="21"/>
        </w:rPr>
        <w:t>0</w:t>
      </w:r>
      <w:r w:rsidR="00526282" w:rsidRPr="00CC6A4C">
        <w:rPr>
          <w:rFonts w:ascii="Arial" w:hAnsi="Arial" w:cs="Arial"/>
          <w:sz w:val="21"/>
          <w:szCs w:val="21"/>
        </w:rPr>
        <w:t>%</w:t>
      </w:r>
      <w:r w:rsidR="00165112" w:rsidRPr="00CC6A4C">
        <w:rPr>
          <w:rFonts w:ascii="Arial" w:hAnsi="Arial" w:cs="Arial"/>
          <w:sz w:val="21"/>
          <w:szCs w:val="21"/>
        </w:rPr>
        <w:t xml:space="preserve"> </w:t>
      </w:r>
      <w:r w:rsidR="00526282" w:rsidRPr="00CC6A4C">
        <w:rPr>
          <w:rFonts w:ascii="Arial" w:hAnsi="Arial" w:cs="Arial"/>
          <w:sz w:val="21"/>
          <w:szCs w:val="21"/>
        </w:rPr>
        <w:t>su base mensile</w:t>
      </w:r>
      <w:r w:rsidR="000567C0" w:rsidRPr="00CC6A4C">
        <w:rPr>
          <w:rFonts w:ascii="Arial" w:hAnsi="Arial" w:cs="Arial"/>
          <w:sz w:val="21"/>
          <w:szCs w:val="21"/>
        </w:rPr>
        <w:t xml:space="preserve"> </w:t>
      </w:r>
      <w:r w:rsidR="00781949" w:rsidRPr="00CC6A4C">
        <w:rPr>
          <w:rFonts w:ascii="Arial" w:hAnsi="Arial" w:cs="Arial"/>
          <w:sz w:val="21"/>
          <w:szCs w:val="21"/>
        </w:rPr>
        <w:t>e a</w:t>
      </w:r>
      <w:r w:rsidR="006C1A9E" w:rsidRPr="00CC6A4C">
        <w:rPr>
          <w:rFonts w:ascii="Arial" w:hAnsi="Arial" w:cs="Arial"/>
          <w:sz w:val="21"/>
          <w:szCs w:val="21"/>
        </w:rPr>
        <w:t xml:space="preserve"> +</w:t>
      </w:r>
      <w:r w:rsidR="00A36BEF" w:rsidRPr="00CC6A4C">
        <w:rPr>
          <w:rFonts w:ascii="Arial" w:hAnsi="Arial" w:cs="Arial"/>
          <w:sz w:val="21"/>
          <w:szCs w:val="21"/>
        </w:rPr>
        <w:t>1,</w:t>
      </w:r>
      <w:r w:rsidR="00716ECD">
        <w:rPr>
          <w:rFonts w:ascii="Arial" w:hAnsi="Arial" w:cs="Arial"/>
          <w:sz w:val="21"/>
          <w:szCs w:val="21"/>
        </w:rPr>
        <w:t>0</w:t>
      </w:r>
      <w:r w:rsidR="00526282" w:rsidRPr="00CC6A4C">
        <w:rPr>
          <w:rFonts w:ascii="Arial" w:hAnsi="Arial" w:cs="Arial"/>
          <w:sz w:val="21"/>
          <w:szCs w:val="21"/>
        </w:rPr>
        <w:t xml:space="preserve">% </w:t>
      </w:r>
      <w:r w:rsidR="00430692" w:rsidRPr="00CC6A4C">
        <w:rPr>
          <w:rFonts w:ascii="Arial" w:hAnsi="Arial" w:cs="Arial"/>
          <w:sz w:val="21"/>
          <w:szCs w:val="21"/>
        </w:rPr>
        <w:t>su base annua</w:t>
      </w:r>
      <w:r w:rsidR="006747B4" w:rsidRPr="00CC6A4C">
        <w:rPr>
          <w:rFonts w:ascii="Arial" w:hAnsi="Arial" w:cs="Arial"/>
          <w:sz w:val="21"/>
          <w:szCs w:val="21"/>
        </w:rPr>
        <w:t xml:space="preserve"> (</w:t>
      </w:r>
      <w:r w:rsidR="0093789C" w:rsidRPr="00CC6A4C">
        <w:rPr>
          <w:rFonts w:ascii="Arial" w:hAnsi="Arial" w:cs="Arial"/>
          <w:sz w:val="21"/>
          <w:szCs w:val="21"/>
        </w:rPr>
        <w:t>da +1,</w:t>
      </w:r>
      <w:r w:rsidR="00F43EFF">
        <w:rPr>
          <w:rFonts w:ascii="Arial" w:hAnsi="Arial" w:cs="Arial"/>
          <w:sz w:val="21"/>
          <w:szCs w:val="21"/>
        </w:rPr>
        <w:t>2</w:t>
      </w:r>
      <w:r w:rsidR="0093789C" w:rsidRPr="00CC6A4C">
        <w:rPr>
          <w:rFonts w:ascii="Arial" w:hAnsi="Arial" w:cs="Arial"/>
          <w:sz w:val="21"/>
          <w:szCs w:val="21"/>
        </w:rPr>
        <w:t>% de</w:t>
      </w:r>
      <w:r w:rsidR="008D0B9B" w:rsidRPr="00CC6A4C">
        <w:rPr>
          <w:rFonts w:ascii="Arial" w:hAnsi="Arial" w:cs="Arial"/>
          <w:sz w:val="21"/>
          <w:szCs w:val="21"/>
        </w:rPr>
        <w:t>l</w:t>
      </w:r>
      <w:r w:rsidR="00430692" w:rsidRPr="00CC6A4C">
        <w:rPr>
          <w:rFonts w:ascii="Arial" w:hAnsi="Arial" w:cs="Arial"/>
          <w:sz w:val="21"/>
          <w:szCs w:val="21"/>
        </w:rPr>
        <w:t xml:space="preserve"> mese precedente</w:t>
      </w:r>
      <w:r w:rsidR="006747B4" w:rsidRPr="00CC6A4C">
        <w:rPr>
          <w:rFonts w:ascii="Arial" w:hAnsi="Arial" w:cs="Arial"/>
          <w:sz w:val="21"/>
          <w:szCs w:val="21"/>
        </w:rPr>
        <w:t>)</w:t>
      </w:r>
      <w:r w:rsidRPr="00CC6A4C">
        <w:rPr>
          <w:rFonts w:ascii="Arial" w:hAnsi="Arial" w:cs="Arial"/>
          <w:sz w:val="21"/>
          <w:szCs w:val="21"/>
        </w:rPr>
        <w:t>.</w:t>
      </w:r>
    </w:p>
    <w:p w14:paraId="7552F627" w14:textId="77777777" w:rsidR="0090790A" w:rsidRDefault="0090790A" w:rsidP="00020C77">
      <w:pPr>
        <w:pStyle w:val="Paragrafoelenco"/>
        <w:tabs>
          <w:tab w:val="left" w:pos="10206"/>
        </w:tabs>
        <w:spacing w:after="100" w:line="230" w:lineRule="exact"/>
        <w:ind w:left="284"/>
        <w:contextualSpacing w:val="0"/>
        <w:jc w:val="both"/>
        <w:rPr>
          <w:rFonts w:ascii="Arial" w:hAnsi="Arial" w:cs="Arial"/>
          <w:sz w:val="16"/>
          <w:szCs w:val="16"/>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6"/>
        <w:gridCol w:w="3290"/>
      </w:tblGrid>
      <w:tr w:rsidR="00870437" w:rsidRPr="002578CE" w14:paraId="66C88F87" w14:textId="77777777" w:rsidTr="00BA11A0">
        <w:trPr>
          <w:trHeight w:val="115"/>
        </w:trPr>
        <w:tc>
          <w:tcPr>
            <w:tcW w:w="6916" w:type="dxa"/>
            <w:vMerge w:val="restart"/>
            <w:tcBorders>
              <w:top w:val="nil"/>
              <w:left w:val="single" w:sz="4" w:space="0" w:color="FFFFFF"/>
              <w:right w:val="single" w:sz="48" w:space="0" w:color="FFFFFF"/>
            </w:tcBorders>
            <w:shd w:val="clear" w:color="auto" w:fill="D9D9D9"/>
          </w:tcPr>
          <w:p w14:paraId="0ABA231E" w14:textId="77777777" w:rsidR="00870437" w:rsidRPr="004A3353" w:rsidRDefault="0090790A" w:rsidP="00BA11A0">
            <w:pPr>
              <w:pStyle w:val="Paragrafobase"/>
              <w:spacing w:before="120" w:line="140" w:lineRule="atLeast"/>
              <w:rPr>
                <w:rFonts w:ascii="Calibri" w:hAnsi="Calibri" w:cs="Arial"/>
                <w:color w:val="E42618"/>
                <w:sz w:val="56"/>
                <w:szCs w:val="56"/>
              </w:rPr>
            </w:pPr>
            <w:r>
              <w:rPr>
                <w:noProof/>
              </w:rPr>
              <w:drawing>
                <wp:anchor distT="0" distB="0" distL="114300" distR="114300" simplePos="0" relativeHeight="251716608" behindDoc="0" locked="0" layoutInCell="1" allowOverlap="1" wp14:anchorId="5D99F490" wp14:editId="76482C60">
                  <wp:simplePos x="0" y="0"/>
                  <wp:positionH relativeFrom="column">
                    <wp:posOffset>-241935</wp:posOffset>
                  </wp:positionH>
                  <wp:positionV relativeFrom="paragraph">
                    <wp:posOffset>-70485</wp:posOffset>
                  </wp:positionV>
                  <wp:extent cx="932180" cy="932180"/>
                  <wp:effectExtent l="0" t="0" r="1270" b="127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pic:spPr>
                      </pic:pic>
                    </a:graphicData>
                  </a:graphic>
                  <wp14:sizeRelH relativeFrom="margin">
                    <wp14:pctWidth>0</wp14:pctWidth>
                  </wp14:sizeRelH>
                  <wp14:sizeRelV relativeFrom="margin">
                    <wp14:pctHeight>0</wp14:pctHeight>
                  </wp14:sizeRelV>
                </wp:anchor>
              </w:drawing>
            </w:r>
            <w:r w:rsidR="00B6287C">
              <w:rPr>
                <w:rFonts w:ascii="Calibri" w:hAnsi="Calibri" w:cs="Arial"/>
                <w:b/>
                <w:noProof/>
                <w:color w:val="FFFFFF"/>
                <w:sz w:val="28"/>
                <w:szCs w:val="28"/>
              </w:rPr>
              <w:drawing>
                <wp:anchor distT="0" distB="0" distL="114300" distR="114300" simplePos="0" relativeHeight="251711488" behindDoc="0" locked="0" layoutInCell="1" allowOverlap="1" wp14:anchorId="49DB4693" wp14:editId="7C2F5E39">
                  <wp:simplePos x="0" y="0"/>
                  <wp:positionH relativeFrom="column">
                    <wp:posOffset>6062455</wp:posOffset>
                  </wp:positionH>
                  <wp:positionV relativeFrom="paragraph">
                    <wp:posOffset>2242544</wp:posOffset>
                  </wp:positionV>
                  <wp:extent cx="638175" cy="619125"/>
                  <wp:effectExtent l="0" t="0" r="9525" b="9525"/>
                  <wp:wrapNone/>
                  <wp:docPr id="29" name="Immagine 8" descr="Descrizione: iconeComunicati-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magine 8" descr="Descrizione: iconeComunicati-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870437">
              <w:rPr>
                <w:noProof/>
              </w:rPr>
              <w:drawing>
                <wp:anchor distT="0" distB="0" distL="114300" distR="114300" simplePos="0" relativeHeight="251715584" behindDoc="0" locked="0" layoutInCell="1" allowOverlap="1" wp14:anchorId="403EB555" wp14:editId="40BF44D6">
                  <wp:simplePos x="0" y="0"/>
                  <wp:positionH relativeFrom="column">
                    <wp:posOffset>398145</wp:posOffset>
                  </wp:positionH>
                  <wp:positionV relativeFrom="paragraph">
                    <wp:posOffset>6514465</wp:posOffset>
                  </wp:positionV>
                  <wp:extent cx="920750" cy="920750"/>
                  <wp:effectExtent l="0" t="0" r="0" b="0"/>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870437">
              <w:rPr>
                <w:rFonts w:ascii="Arial" w:hAnsi="Arial" w:cs="Arial"/>
                <w:iCs/>
                <w:noProof/>
                <w:sz w:val="21"/>
                <w:szCs w:val="21"/>
              </w:rPr>
              <w:drawing>
                <wp:anchor distT="0" distB="0" distL="114300" distR="114300" simplePos="0" relativeHeight="251714560" behindDoc="0" locked="0" layoutInCell="1" allowOverlap="1" wp14:anchorId="04C0A01C" wp14:editId="6CCB07E5">
                  <wp:simplePos x="0" y="0"/>
                  <wp:positionH relativeFrom="column">
                    <wp:posOffset>398145</wp:posOffset>
                  </wp:positionH>
                  <wp:positionV relativeFrom="paragraph">
                    <wp:posOffset>6514465</wp:posOffset>
                  </wp:positionV>
                  <wp:extent cx="920750" cy="920750"/>
                  <wp:effectExtent l="0" t="0" r="0"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870437" w:rsidRPr="00EA401A">
              <w:rPr>
                <w:rFonts w:ascii="Arial" w:hAnsi="Arial" w:cs="Arial"/>
                <w:iCs/>
                <w:noProof/>
                <w:sz w:val="21"/>
                <w:szCs w:val="21"/>
              </w:rPr>
              <w:t xml:space="preserve"> </w:t>
            </w:r>
            <w:r w:rsidR="00870437">
              <w:rPr>
                <w:rFonts w:ascii="Arial" w:hAnsi="Arial" w:cs="Arial"/>
                <w:noProof/>
                <w:color w:val="E42618"/>
                <w:sz w:val="22"/>
                <w:szCs w:val="22"/>
              </w:rPr>
              <w:drawing>
                <wp:anchor distT="0" distB="0" distL="114300" distR="114300" simplePos="0" relativeHeight="251713536" behindDoc="0" locked="0" layoutInCell="1" allowOverlap="1" wp14:anchorId="43FABF19" wp14:editId="0581F2EF">
                  <wp:simplePos x="0" y="0"/>
                  <wp:positionH relativeFrom="column">
                    <wp:posOffset>398145</wp:posOffset>
                  </wp:positionH>
                  <wp:positionV relativeFrom="paragraph">
                    <wp:posOffset>6514465</wp:posOffset>
                  </wp:positionV>
                  <wp:extent cx="920750" cy="920750"/>
                  <wp:effectExtent l="0" t="0" r="0" b="0"/>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870437">
              <w:rPr>
                <w:rFonts w:ascii="Arial" w:hAnsi="Arial" w:cs="Arial"/>
                <w:noProof/>
                <w:color w:val="E42618"/>
                <w:sz w:val="22"/>
                <w:szCs w:val="22"/>
              </w:rPr>
              <mc:AlternateContent>
                <mc:Choice Requires="wpg">
                  <w:drawing>
                    <wp:anchor distT="0" distB="0" distL="114300" distR="114300" simplePos="0" relativeHeight="251710464" behindDoc="0" locked="0" layoutInCell="1" allowOverlap="1" wp14:anchorId="65516DEC" wp14:editId="7FF2F24A">
                      <wp:simplePos x="0" y="0"/>
                      <wp:positionH relativeFrom="column">
                        <wp:posOffset>403225</wp:posOffset>
                      </wp:positionH>
                      <wp:positionV relativeFrom="paragraph">
                        <wp:posOffset>6517005</wp:posOffset>
                      </wp:positionV>
                      <wp:extent cx="6760210" cy="3480435"/>
                      <wp:effectExtent l="0" t="1270" r="0" b="4445"/>
                      <wp:wrapNone/>
                      <wp:docPr id="10" name="Grup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0210" cy="3480435"/>
                                <a:chOff x="635" y="10263"/>
                                <a:chExt cx="10646" cy="5481"/>
                              </a:xfrm>
                            </wpg:grpSpPr>
                            <pic:pic xmlns:pic="http://schemas.openxmlformats.org/drawingml/2006/picture">
                              <pic:nvPicPr>
                                <pic:cNvPr id="12" name="Immagine 9" descr="Descrizione: iconeComunicati-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261" y="11995"/>
                                  <a:ext cx="1020"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Immagine 8" descr="Descrizione: iconeComunicati-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271" y="14769"/>
                                  <a:ext cx="1005"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Immagine 15" descr="Descrizione: iconeComunicati-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5" y="10263"/>
                                  <a:ext cx="1410" cy="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Immagine 3" descr="Descrizione: iconeComunicati-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246" y="10525"/>
                                  <a:ext cx="1035"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6CEA92" id="Gruppo 10" o:spid="_x0000_s1026" style="position:absolute;margin-left:31.75pt;margin-top:513.15pt;width:532.3pt;height:274.05pt;z-index:251710464" coordorigin="635,10263" coordsize="10646,5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">
                      <v:shape id="Immagine 9" o:spid="_x0000_s1027" type="#_x0000_t75" alt="Descrizione: iconeComunicati-03" style="position:absolute;left:10261;top:11995;width:1020;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">
                        <v:imagedata r:id="rId18" o:title=" iconeComunicati-03"/>
                      </v:shape>
                      <v:shape id="Immagine 8" o:spid="_x0000_s1028" type="#_x0000_t75" alt="Descrizione: iconeComunicati-06" style="position:absolute;left:10271;top:14769;width:1005;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">
                        <v:imagedata r:id="rId19" o:title=" iconeComunicati-06"/>
                      </v:shape>
                      <v:shape id="Immagine 15" o:spid="_x0000_s1029" type="#_x0000_t75" alt="Descrizione: iconeComunicati-02" style="position:absolute;left:635;top:10263;width:1410;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">
                        <v:imagedata r:id="rId20" o:title=" iconeComunicati-02"/>
                      </v:shape>
                      <v:shape id="Immagine 3" o:spid="_x0000_s1030" type="#_x0000_t75" alt="Descrizione: iconeComunicati-05" style="position:absolute;left:10246;top:10525;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">
                        <v:imagedata r:id="rId21" o:title=" iconeComunicati-05"/>
                      </v:shape>
                    </v:group>
                  </w:pict>
                </mc:Fallback>
              </mc:AlternateContent>
            </w:r>
            <w:r w:rsidR="00870437" w:rsidRPr="004A3353">
              <w:rPr>
                <w:rFonts w:ascii="Arial" w:hAnsi="Arial" w:cs="Arial"/>
                <w:color w:val="E42618"/>
                <w:sz w:val="22"/>
                <w:szCs w:val="22"/>
              </w:rPr>
              <w:t xml:space="preserve">                     </w:t>
            </w:r>
            <w:r w:rsidR="00870437" w:rsidRPr="004A3353">
              <w:rPr>
                <w:rFonts w:ascii="Calibri" w:hAnsi="Calibri" w:cs="Arial"/>
                <w:color w:val="E42618"/>
                <w:sz w:val="56"/>
                <w:szCs w:val="56"/>
              </w:rPr>
              <w:t>Il commento</w:t>
            </w:r>
          </w:p>
          <w:p w14:paraId="21E1ED93" w14:textId="4CA17E49" w:rsidR="00870437" w:rsidRDefault="00870437" w:rsidP="00BA11A0">
            <w:pPr>
              <w:widowControl/>
              <w:tabs>
                <w:tab w:val="left" w:pos="284"/>
              </w:tabs>
              <w:overflowPunct/>
              <w:autoSpaceDE/>
              <w:autoSpaceDN/>
              <w:adjustRightInd/>
              <w:spacing w:before="0" w:after="40"/>
              <w:jc w:val="both"/>
              <w:rPr>
                <w:rFonts w:ascii="Calibri" w:hAnsi="Calibri" w:cs="Arial"/>
                <w:color w:val="E31C18"/>
                <w:kern w:val="0"/>
                <w:sz w:val="24"/>
                <w:szCs w:val="24"/>
              </w:rPr>
            </w:pPr>
          </w:p>
          <w:p w14:paraId="6A7698D3" w14:textId="77777777" w:rsidR="00670704" w:rsidRDefault="00670704" w:rsidP="00BA11A0">
            <w:pPr>
              <w:widowControl/>
              <w:tabs>
                <w:tab w:val="left" w:pos="284"/>
              </w:tabs>
              <w:overflowPunct/>
              <w:autoSpaceDE/>
              <w:autoSpaceDN/>
              <w:adjustRightInd/>
              <w:spacing w:before="0" w:after="40"/>
              <w:jc w:val="both"/>
              <w:rPr>
                <w:rFonts w:ascii="Calibri" w:hAnsi="Calibri" w:cs="Arial"/>
                <w:color w:val="E31C18"/>
                <w:kern w:val="0"/>
                <w:sz w:val="24"/>
                <w:szCs w:val="24"/>
              </w:rPr>
            </w:pPr>
          </w:p>
          <w:p w14:paraId="0D27A09D" w14:textId="4AC3F295" w:rsidR="00F43EFF" w:rsidRDefault="00971F88" w:rsidP="00F43EFF">
            <w:pPr>
              <w:pStyle w:val="Paragrafobase"/>
              <w:tabs>
                <w:tab w:val="left" w:pos="6526"/>
              </w:tabs>
              <w:spacing w:line="260" w:lineRule="exact"/>
              <w:ind w:left="142" w:right="176"/>
              <w:jc w:val="both"/>
              <w:rPr>
                <w:rFonts w:ascii="Arial" w:hAnsi="Arial" w:cs="Arial"/>
                <w:sz w:val="21"/>
                <w:szCs w:val="21"/>
              </w:rPr>
            </w:pPr>
            <w:r w:rsidRPr="00430692">
              <w:rPr>
                <w:rFonts w:ascii="Arial" w:hAnsi="Arial" w:cs="Arial"/>
                <w:sz w:val="21"/>
                <w:szCs w:val="21"/>
              </w:rPr>
              <w:t>A</w:t>
            </w:r>
            <w:r>
              <w:rPr>
                <w:rFonts w:ascii="Arial" w:hAnsi="Arial" w:cs="Arial"/>
                <w:sz w:val="21"/>
                <w:szCs w:val="21"/>
              </w:rPr>
              <w:t xml:space="preserve"> </w:t>
            </w:r>
            <w:r w:rsidR="00F43EFF">
              <w:rPr>
                <w:rFonts w:ascii="Arial" w:hAnsi="Arial" w:cs="Arial"/>
                <w:sz w:val="21"/>
                <w:szCs w:val="21"/>
              </w:rPr>
              <w:t>gennaio</w:t>
            </w:r>
            <w:r w:rsidRPr="00430692">
              <w:rPr>
                <w:rFonts w:ascii="Arial" w:hAnsi="Arial" w:cs="Arial"/>
                <w:sz w:val="21"/>
                <w:szCs w:val="21"/>
              </w:rPr>
              <w:t xml:space="preserve"> 202</w:t>
            </w:r>
            <w:r w:rsidR="00F43EFF">
              <w:rPr>
                <w:rFonts w:ascii="Arial" w:hAnsi="Arial" w:cs="Arial"/>
                <w:sz w:val="21"/>
                <w:szCs w:val="21"/>
              </w:rPr>
              <w:t>6</w:t>
            </w:r>
            <w:r w:rsidRPr="00430692">
              <w:rPr>
                <w:rFonts w:ascii="Arial" w:hAnsi="Arial" w:cs="Arial"/>
                <w:sz w:val="21"/>
                <w:szCs w:val="21"/>
              </w:rPr>
              <w:t xml:space="preserve">, secondo le stime preliminari, </w:t>
            </w:r>
            <w:r w:rsidR="00F43EFF">
              <w:rPr>
                <w:rFonts w:ascii="Arial" w:hAnsi="Arial" w:cs="Arial"/>
                <w:sz w:val="21"/>
                <w:szCs w:val="21"/>
              </w:rPr>
              <w:t xml:space="preserve">i prezzi al consumo si accrescono dell’1,0% rispetto allo stesso mese dell’anno precedente, tornando a un livello </w:t>
            </w:r>
            <w:r w:rsidR="00486EDA">
              <w:rPr>
                <w:rFonts w:ascii="Arial" w:hAnsi="Arial" w:cs="Arial"/>
                <w:sz w:val="21"/>
                <w:szCs w:val="21"/>
              </w:rPr>
              <w:t xml:space="preserve">appena </w:t>
            </w:r>
            <w:r w:rsidR="00F43EFF">
              <w:rPr>
                <w:rFonts w:ascii="Arial" w:hAnsi="Arial" w:cs="Arial"/>
                <w:sz w:val="21"/>
                <w:szCs w:val="21"/>
              </w:rPr>
              <w:t>superiore a quello registrato a ottobre 202</w:t>
            </w:r>
            <w:r w:rsidR="00CD6D37">
              <w:rPr>
                <w:rFonts w:ascii="Arial" w:hAnsi="Arial" w:cs="Arial"/>
                <w:sz w:val="21"/>
                <w:szCs w:val="21"/>
              </w:rPr>
              <w:t>4</w:t>
            </w:r>
            <w:r w:rsidR="00F43EFF">
              <w:rPr>
                <w:rFonts w:ascii="Arial" w:hAnsi="Arial" w:cs="Arial"/>
                <w:sz w:val="21"/>
                <w:szCs w:val="21"/>
              </w:rPr>
              <w:t xml:space="preserve"> (+0,9%).</w:t>
            </w:r>
          </w:p>
          <w:p w14:paraId="4BC3750A" w14:textId="09CA4940" w:rsidR="00F43EFF" w:rsidRDefault="00CD6D37" w:rsidP="00F43EFF">
            <w:pPr>
              <w:pStyle w:val="Paragrafobase"/>
              <w:tabs>
                <w:tab w:val="left" w:pos="6526"/>
              </w:tabs>
              <w:spacing w:line="260" w:lineRule="exact"/>
              <w:ind w:left="142" w:right="176"/>
              <w:jc w:val="both"/>
              <w:rPr>
                <w:rFonts w:ascii="Arial" w:hAnsi="Arial" w:cs="Arial"/>
                <w:sz w:val="21"/>
                <w:szCs w:val="21"/>
              </w:rPr>
            </w:pPr>
            <w:r>
              <w:rPr>
                <w:rFonts w:ascii="Arial" w:hAnsi="Arial" w:cs="Arial"/>
                <w:sz w:val="21"/>
                <w:szCs w:val="21"/>
              </w:rPr>
              <w:t xml:space="preserve">Sulla crescita dei prezzi al consumo pesa principalmente l’andamento dei prezzi degli Alimentari non lavorati (+2,5%) e lavorati (+2,2%), </w:t>
            </w:r>
            <w:r w:rsidRPr="00CD6D37">
              <w:rPr>
                <w:rFonts w:ascii="Arial" w:hAnsi="Arial" w:cs="Arial"/>
                <w:sz w:val="21"/>
                <w:szCs w:val="21"/>
              </w:rPr>
              <w:t>dei Servizi relativi all’abitazione (+4,4%), dei Tabacchi (+3,3%) e dei Servizi ricreativi, culturali e per la cura della persona (+3,0%)</w:t>
            </w:r>
            <w:r>
              <w:rPr>
                <w:rFonts w:ascii="Arial" w:hAnsi="Arial" w:cs="Arial"/>
                <w:sz w:val="21"/>
                <w:szCs w:val="21"/>
              </w:rPr>
              <w:t>.</w:t>
            </w:r>
          </w:p>
          <w:p w14:paraId="406E9ED0" w14:textId="77777777" w:rsidR="00A87C55" w:rsidRDefault="00F43EFF" w:rsidP="00F43EFF">
            <w:pPr>
              <w:pStyle w:val="Paragrafobase"/>
              <w:tabs>
                <w:tab w:val="left" w:pos="6526"/>
              </w:tabs>
              <w:spacing w:line="260" w:lineRule="exact"/>
              <w:ind w:left="142" w:right="176"/>
              <w:jc w:val="both"/>
              <w:rPr>
                <w:rFonts w:ascii="Arial" w:hAnsi="Arial" w:cs="Arial"/>
                <w:sz w:val="21"/>
                <w:szCs w:val="21"/>
              </w:rPr>
            </w:pPr>
            <w:r>
              <w:rPr>
                <w:rFonts w:ascii="Arial" w:hAnsi="Arial" w:cs="Arial"/>
                <w:sz w:val="21"/>
                <w:szCs w:val="21"/>
              </w:rPr>
              <w:t>I</w:t>
            </w:r>
            <w:r w:rsidR="00671747">
              <w:rPr>
                <w:rFonts w:ascii="Arial" w:hAnsi="Arial" w:cs="Arial"/>
                <w:sz w:val="21"/>
                <w:szCs w:val="21"/>
              </w:rPr>
              <w:t xml:space="preserve">l tasso di crescita </w:t>
            </w:r>
            <w:r w:rsidR="007E019B">
              <w:rPr>
                <w:rFonts w:ascii="Arial" w:hAnsi="Arial" w:cs="Arial"/>
                <w:sz w:val="21"/>
                <w:szCs w:val="21"/>
              </w:rPr>
              <w:t xml:space="preserve">su base annua </w:t>
            </w:r>
            <w:r w:rsidR="00786D23">
              <w:rPr>
                <w:rFonts w:ascii="Arial" w:hAnsi="Arial" w:cs="Arial"/>
                <w:sz w:val="21"/>
                <w:szCs w:val="21"/>
              </w:rPr>
              <w:t xml:space="preserve">dei prezzi del </w:t>
            </w:r>
            <w:r w:rsidR="00786D23" w:rsidRPr="00430692">
              <w:rPr>
                <w:rFonts w:ascii="Arial" w:hAnsi="Arial" w:cs="Arial"/>
                <w:sz w:val="21"/>
                <w:szCs w:val="21"/>
              </w:rPr>
              <w:t xml:space="preserve">“carrello della spesa” </w:t>
            </w:r>
            <w:r>
              <w:rPr>
                <w:rFonts w:ascii="Arial" w:hAnsi="Arial" w:cs="Arial"/>
                <w:sz w:val="21"/>
                <w:szCs w:val="21"/>
              </w:rPr>
              <w:t xml:space="preserve">è pari a </w:t>
            </w:r>
            <w:r w:rsidR="00786D23" w:rsidRPr="00430692">
              <w:rPr>
                <w:rFonts w:ascii="Arial" w:hAnsi="Arial" w:cs="Arial"/>
                <w:sz w:val="21"/>
                <w:szCs w:val="21"/>
              </w:rPr>
              <w:t>+</w:t>
            </w:r>
            <w:r>
              <w:rPr>
                <w:rFonts w:ascii="Arial" w:hAnsi="Arial" w:cs="Arial"/>
                <w:sz w:val="21"/>
                <w:szCs w:val="21"/>
              </w:rPr>
              <w:t>2,1</w:t>
            </w:r>
            <w:r w:rsidR="00786D23" w:rsidRPr="00430692">
              <w:rPr>
                <w:rFonts w:ascii="Arial" w:hAnsi="Arial" w:cs="Arial"/>
                <w:sz w:val="21"/>
                <w:szCs w:val="21"/>
              </w:rPr>
              <w:t>%</w:t>
            </w:r>
            <w:r w:rsidR="00186C4E">
              <w:rPr>
                <w:rFonts w:ascii="Arial" w:hAnsi="Arial" w:cs="Arial"/>
                <w:sz w:val="21"/>
                <w:szCs w:val="21"/>
              </w:rPr>
              <w:t>,</w:t>
            </w:r>
            <w:r w:rsidR="00671747">
              <w:rPr>
                <w:rFonts w:ascii="Arial" w:hAnsi="Arial" w:cs="Arial"/>
                <w:sz w:val="21"/>
                <w:szCs w:val="21"/>
              </w:rPr>
              <w:t xml:space="preserve"> mentre </w:t>
            </w:r>
            <w:r w:rsidR="002D7DDE">
              <w:rPr>
                <w:rFonts w:ascii="Arial" w:hAnsi="Arial" w:cs="Arial"/>
                <w:sz w:val="21"/>
                <w:szCs w:val="21"/>
              </w:rPr>
              <w:t>l’in</w:t>
            </w:r>
            <w:r w:rsidR="002D7DDE" w:rsidRPr="00430692">
              <w:rPr>
                <w:rFonts w:ascii="Arial" w:hAnsi="Arial" w:cs="Arial"/>
                <w:sz w:val="21"/>
                <w:szCs w:val="21"/>
              </w:rPr>
              <w:t>flazione di fondo</w:t>
            </w:r>
            <w:r w:rsidR="002D7DDE">
              <w:rPr>
                <w:rFonts w:ascii="Arial" w:hAnsi="Arial" w:cs="Arial"/>
                <w:sz w:val="21"/>
                <w:szCs w:val="21"/>
              </w:rPr>
              <w:t xml:space="preserve"> </w:t>
            </w:r>
            <w:r w:rsidR="00671747">
              <w:rPr>
                <w:rFonts w:ascii="Arial" w:hAnsi="Arial" w:cs="Arial"/>
                <w:sz w:val="21"/>
                <w:szCs w:val="21"/>
              </w:rPr>
              <w:t xml:space="preserve">si attesta al </w:t>
            </w:r>
            <w:r w:rsidR="002D7DDE" w:rsidRPr="00430692">
              <w:rPr>
                <w:rFonts w:ascii="Arial" w:hAnsi="Arial" w:cs="Arial"/>
                <w:sz w:val="21"/>
                <w:szCs w:val="21"/>
              </w:rPr>
              <w:t>+</w:t>
            </w:r>
            <w:r w:rsidR="002D7DDE">
              <w:rPr>
                <w:rFonts w:ascii="Arial" w:hAnsi="Arial" w:cs="Arial"/>
                <w:sz w:val="21"/>
                <w:szCs w:val="21"/>
              </w:rPr>
              <w:t>1,8</w:t>
            </w:r>
            <w:r w:rsidR="002D7DDE" w:rsidRPr="00430692">
              <w:rPr>
                <w:rFonts w:ascii="Arial" w:hAnsi="Arial" w:cs="Arial"/>
                <w:sz w:val="21"/>
                <w:szCs w:val="21"/>
              </w:rPr>
              <w:t>%</w:t>
            </w:r>
            <w:r w:rsidR="002D7DDE">
              <w:rPr>
                <w:rFonts w:ascii="Arial" w:hAnsi="Arial" w:cs="Arial"/>
                <w:sz w:val="21"/>
                <w:szCs w:val="21"/>
              </w:rPr>
              <w:t>.</w:t>
            </w:r>
          </w:p>
          <w:p w14:paraId="7363D24D" w14:textId="7E6EA6BD" w:rsidR="00CD6D37" w:rsidRPr="002578CE" w:rsidRDefault="00CD6D37" w:rsidP="00F43EFF">
            <w:pPr>
              <w:pStyle w:val="Paragrafobase"/>
              <w:tabs>
                <w:tab w:val="left" w:pos="6526"/>
              </w:tabs>
              <w:spacing w:line="260" w:lineRule="exact"/>
              <w:ind w:left="142" w:right="176"/>
              <w:jc w:val="both"/>
              <w:rPr>
                <w:rFonts w:ascii="Arial" w:hAnsi="Arial" w:cs="Arial"/>
                <w:sz w:val="21"/>
                <w:szCs w:val="21"/>
              </w:rPr>
            </w:pPr>
          </w:p>
        </w:tc>
        <w:tc>
          <w:tcPr>
            <w:tcW w:w="3290" w:type="dxa"/>
            <w:tcBorders>
              <w:top w:val="nil"/>
              <w:left w:val="single" w:sz="48" w:space="0" w:color="FFFFFF"/>
              <w:bottom w:val="single" w:sz="36" w:space="0" w:color="FFFFFF"/>
              <w:right w:val="single" w:sz="36" w:space="0" w:color="FFFFFF"/>
            </w:tcBorders>
            <w:shd w:val="clear" w:color="auto" w:fill="E31C18"/>
          </w:tcPr>
          <w:p w14:paraId="5787D320" w14:textId="77777777" w:rsidR="00870437" w:rsidRPr="00163D97" w:rsidRDefault="00B6287C" w:rsidP="00BA11A0">
            <w:pPr>
              <w:pStyle w:val="Paragrafobase"/>
              <w:spacing w:before="200" w:line="320" w:lineRule="exact"/>
              <w:ind w:left="176"/>
              <w:rPr>
                <w:rFonts w:ascii="Calibri" w:hAnsi="Calibri" w:cs="Arial"/>
                <w:b/>
                <w:color w:val="FFFFFF"/>
                <w:sz w:val="28"/>
                <w:szCs w:val="28"/>
              </w:rPr>
            </w:pPr>
            <w:r>
              <w:rPr>
                <w:rFonts w:ascii="Arial" w:hAnsi="Arial" w:cs="Arial"/>
                <w:iCs/>
                <w:noProof/>
                <w:sz w:val="21"/>
                <w:szCs w:val="21"/>
              </w:rPr>
              <w:drawing>
                <wp:anchor distT="0" distB="0" distL="114300" distR="114300" simplePos="0" relativeHeight="251712512" behindDoc="0" locked="0" layoutInCell="1" allowOverlap="1" wp14:anchorId="2645EEE1" wp14:editId="63E9FA17">
                  <wp:simplePos x="0" y="0"/>
                  <wp:positionH relativeFrom="column">
                    <wp:posOffset>1516711</wp:posOffset>
                  </wp:positionH>
                  <wp:positionV relativeFrom="paragraph">
                    <wp:posOffset>-63307</wp:posOffset>
                  </wp:positionV>
                  <wp:extent cx="657225" cy="638175"/>
                  <wp:effectExtent l="0" t="0" r="9525" b="9525"/>
                  <wp:wrapNone/>
                  <wp:docPr id="24" name="Immagine 3" descr="Descrizione: iconeComunicati-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magine 3" descr="Descrizione: iconeComunicati-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870437" w:rsidRPr="00163D97">
              <w:rPr>
                <w:rFonts w:ascii="Calibri" w:hAnsi="Calibri" w:cs="Arial"/>
                <w:b/>
                <w:color w:val="FFFFFF"/>
                <w:sz w:val="28"/>
                <w:szCs w:val="28"/>
              </w:rPr>
              <w:t>PROSSIMA</w:t>
            </w:r>
          </w:p>
          <w:p w14:paraId="10BB55E8" w14:textId="77777777" w:rsidR="00870437" w:rsidRPr="00163D97" w:rsidRDefault="00870437" w:rsidP="00BA11A0">
            <w:pPr>
              <w:pStyle w:val="Paragrafobase"/>
              <w:spacing w:line="320" w:lineRule="exact"/>
              <w:ind w:left="175"/>
              <w:rPr>
                <w:rFonts w:ascii="Arial Narrow" w:hAnsi="Arial Narrow" w:cs="Arial"/>
                <w:b/>
                <w:color w:val="FFFFFF"/>
                <w:sz w:val="28"/>
                <w:szCs w:val="28"/>
              </w:rPr>
            </w:pPr>
            <w:r w:rsidRPr="00163D97">
              <w:rPr>
                <w:rFonts w:ascii="Calibri" w:hAnsi="Calibri" w:cs="Arial"/>
                <w:b/>
                <w:color w:val="FFFFFF"/>
                <w:sz w:val="28"/>
                <w:szCs w:val="28"/>
              </w:rPr>
              <w:t>DIFFUSIONE</w:t>
            </w:r>
          </w:p>
          <w:p w14:paraId="7DDB729B" w14:textId="66F7BF72" w:rsidR="00870437" w:rsidRPr="002578CE" w:rsidRDefault="00503BBF" w:rsidP="00736CA3">
            <w:pPr>
              <w:pStyle w:val="Paragrafobase"/>
              <w:spacing w:before="120" w:after="120" w:line="160" w:lineRule="atLeast"/>
              <w:ind w:left="176"/>
              <w:rPr>
                <w:rFonts w:ascii="Arial" w:hAnsi="Arial" w:cs="Arial"/>
                <w:sz w:val="21"/>
                <w:szCs w:val="21"/>
              </w:rPr>
            </w:pPr>
            <w:r>
              <w:rPr>
                <w:rFonts w:ascii="Arial Narrow" w:hAnsi="Arial Narrow" w:cs="Arial"/>
                <w:color w:val="FFFFFF"/>
                <w:sz w:val="22"/>
                <w:szCs w:val="22"/>
              </w:rPr>
              <w:t>23</w:t>
            </w:r>
            <w:r w:rsidR="009D708C">
              <w:rPr>
                <w:rFonts w:ascii="Arial Narrow" w:hAnsi="Arial Narrow" w:cs="Arial"/>
                <w:color w:val="FFFFFF"/>
                <w:sz w:val="22"/>
                <w:szCs w:val="22"/>
              </w:rPr>
              <w:t xml:space="preserve"> </w:t>
            </w:r>
            <w:r>
              <w:rPr>
                <w:rFonts w:ascii="Arial Narrow" w:hAnsi="Arial Narrow" w:cs="Arial"/>
                <w:color w:val="FFFFFF"/>
                <w:sz w:val="22"/>
                <w:szCs w:val="22"/>
              </w:rPr>
              <w:t>febbraio</w:t>
            </w:r>
            <w:r w:rsidR="00E35AE6">
              <w:rPr>
                <w:rFonts w:ascii="Arial Narrow" w:hAnsi="Arial Narrow" w:cs="Arial"/>
                <w:color w:val="FFFFFF"/>
                <w:sz w:val="22"/>
                <w:szCs w:val="22"/>
              </w:rPr>
              <w:t xml:space="preserve"> 202</w:t>
            </w:r>
            <w:r>
              <w:rPr>
                <w:rFonts w:ascii="Arial Narrow" w:hAnsi="Arial Narrow" w:cs="Arial"/>
                <w:color w:val="FFFFFF"/>
                <w:sz w:val="22"/>
                <w:szCs w:val="22"/>
              </w:rPr>
              <w:t>6</w:t>
            </w:r>
          </w:p>
        </w:tc>
      </w:tr>
      <w:tr w:rsidR="00870437" w:rsidRPr="00092C43" w14:paraId="40D8A0B2" w14:textId="77777777" w:rsidTr="00BA11A0">
        <w:trPr>
          <w:trHeight w:val="115"/>
        </w:trPr>
        <w:tc>
          <w:tcPr>
            <w:tcW w:w="6916" w:type="dxa"/>
            <w:vMerge/>
            <w:tcBorders>
              <w:left w:val="single" w:sz="4" w:space="0" w:color="FFFFFF"/>
              <w:right w:val="single" w:sz="48" w:space="0" w:color="FFFFFF"/>
            </w:tcBorders>
            <w:shd w:val="clear" w:color="auto" w:fill="D9D9D9"/>
          </w:tcPr>
          <w:p w14:paraId="37372B8C" w14:textId="77777777" w:rsidR="00870437" w:rsidRPr="002578CE" w:rsidRDefault="00870437" w:rsidP="00BA11A0">
            <w:pPr>
              <w:widowControl/>
              <w:tabs>
                <w:tab w:val="left" w:pos="284"/>
                <w:tab w:val="left" w:pos="709"/>
              </w:tabs>
              <w:overflowPunct/>
              <w:autoSpaceDE/>
              <w:autoSpaceDN/>
              <w:adjustRightInd/>
              <w:spacing w:before="0" w:after="120" w:line="230" w:lineRule="exact"/>
              <w:jc w:val="both"/>
              <w:rPr>
                <w:rFonts w:ascii="Arial" w:hAnsi="Arial" w:cs="Arial"/>
                <w:sz w:val="21"/>
                <w:szCs w:val="21"/>
              </w:rPr>
            </w:pPr>
          </w:p>
        </w:tc>
        <w:tc>
          <w:tcPr>
            <w:tcW w:w="3290" w:type="dxa"/>
            <w:tcBorders>
              <w:top w:val="single" w:sz="36" w:space="0" w:color="FFFFFF"/>
              <w:left w:val="single" w:sz="48" w:space="0" w:color="FFFFFF"/>
              <w:bottom w:val="single" w:sz="36" w:space="0" w:color="FFFFFF"/>
              <w:right w:val="single" w:sz="36" w:space="0" w:color="FFFFFF"/>
            </w:tcBorders>
            <w:shd w:val="clear" w:color="auto" w:fill="E31C18"/>
          </w:tcPr>
          <w:p w14:paraId="5A8E7D37" w14:textId="77777777" w:rsidR="00870437" w:rsidRPr="00512D73" w:rsidRDefault="00B6287C" w:rsidP="00BA11A0">
            <w:pPr>
              <w:pStyle w:val="Paragrafobase"/>
              <w:spacing w:before="200" w:line="320" w:lineRule="exact"/>
              <w:ind w:left="176"/>
              <w:rPr>
                <w:rFonts w:ascii="Calibri" w:hAnsi="Calibri" w:cs="Arial"/>
                <w:b/>
                <w:color w:val="FFFFFF"/>
                <w:sz w:val="28"/>
                <w:szCs w:val="28"/>
                <w:lang w:val="en-US"/>
              </w:rPr>
            </w:pPr>
            <w:r>
              <w:rPr>
                <w:rFonts w:ascii="Arial" w:hAnsi="Arial" w:cs="Arial"/>
                <w:noProof/>
                <w:sz w:val="21"/>
                <w:szCs w:val="21"/>
              </w:rPr>
              <w:drawing>
                <wp:anchor distT="0" distB="0" distL="114300" distR="114300" simplePos="0" relativeHeight="251718656" behindDoc="0" locked="0" layoutInCell="1" allowOverlap="1" wp14:anchorId="222C21B8" wp14:editId="12164FC3">
                  <wp:simplePos x="0" y="0"/>
                  <wp:positionH relativeFrom="column">
                    <wp:posOffset>1520135</wp:posOffset>
                  </wp:positionH>
                  <wp:positionV relativeFrom="paragraph">
                    <wp:posOffset>-90970</wp:posOffset>
                  </wp:positionV>
                  <wp:extent cx="647700" cy="628650"/>
                  <wp:effectExtent l="0" t="0" r="0" b="0"/>
                  <wp:wrapNone/>
                  <wp:docPr id="52" name="Immagine 52" descr="Descrizione: iconeComunicati-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Descrizione: iconeComunicati-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anchor>
              </w:drawing>
            </w:r>
            <w:r w:rsidR="00870437" w:rsidRPr="00512D73">
              <w:rPr>
                <w:rFonts w:ascii="Calibri" w:hAnsi="Calibri" w:cs="Arial"/>
                <w:b/>
                <w:color w:val="FFFFFF"/>
                <w:sz w:val="28"/>
                <w:szCs w:val="28"/>
                <w:lang w:val="en-US"/>
              </w:rPr>
              <w:t>Link utili</w:t>
            </w:r>
          </w:p>
          <w:p w14:paraId="27667B47" w14:textId="77777777" w:rsidR="00870437" w:rsidRPr="00E80755" w:rsidRDefault="00DA1B56" w:rsidP="00BA11A0">
            <w:pPr>
              <w:pStyle w:val="Paragrafobase"/>
              <w:spacing w:before="120" w:line="240" w:lineRule="exact"/>
              <w:ind w:left="176"/>
              <w:rPr>
                <w:rStyle w:val="Collegamentoipertestuale"/>
                <w:rFonts w:cs="Arial"/>
                <w:color w:val="FFFFFF"/>
                <w:lang w:val="en-US"/>
              </w:rPr>
            </w:pPr>
            <w:hyperlink r:id="rId22" w:history="1">
              <w:r w:rsidR="00804142" w:rsidRPr="00512D73">
                <w:rPr>
                  <w:rStyle w:val="Collegamentoipertestuale"/>
                  <w:rFonts w:ascii="Arial Narrow" w:hAnsi="Arial Narrow" w:cs="Arial"/>
                  <w:color w:val="FFFFFF"/>
                  <w:sz w:val="22"/>
                  <w:szCs w:val="22"/>
                  <w:lang w:val="en-US"/>
                </w:rPr>
                <w:t>https:</w:t>
              </w:r>
              <w:r w:rsidR="00804142" w:rsidRPr="00E80755">
                <w:rPr>
                  <w:rStyle w:val="Collegamentoipertestuale"/>
                  <w:rFonts w:ascii="Arial Narrow" w:hAnsi="Arial Narrow" w:cs="Arial"/>
                  <w:color w:val="FFFFFF"/>
                  <w:sz w:val="22"/>
                  <w:szCs w:val="22"/>
                  <w:lang w:val="en-US"/>
                </w:rPr>
                <w:t>//esploradati.istat.it/</w:t>
              </w:r>
            </w:hyperlink>
          </w:p>
          <w:p w14:paraId="21941388" w14:textId="77777777" w:rsidR="00804142" w:rsidRPr="00E80755" w:rsidRDefault="00DA1B56" w:rsidP="00804142">
            <w:pPr>
              <w:pStyle w:val="Paragrafobase"/>
              <w:spacing w:before="120" w:line="240" w:lineRule="exact"/>
              <w:ind w:left="176"/>
              <w:rPr>
                <w:rStyle w:val="Collegamentoipertestuale"/>
                <w:rFonts w:ascii="Arial Narrow" w:hAnsi="Arial Narrow" w:cs="Arial"/>
                <w:color w:val="FFFFFF"/>
                <w:sz w:val="22"/>
                <w:szCs w:val="22"/>
                <w:lang w:val="en-US"/>
              </w:rPr>
            </w:pPr>
            <w:hyperlink r:id="rId23" w:history="1">
              <w:r w:rsidR="00804142" w:rsidRPr="00E80755">
                <w:rPr>
                  <w:rStyle w:val="Collegamentoipertestuale"/>
                  <w:rFonts w:ascii="Arial Narrow" w:hAnsi="Arial Narrow" w:cs="Arial"/>
                  <w:color w:val="FFFFFF"/>
                  <w:sz w:val="22"/>
                  <w:szCs w:val="22"/>
                  <w:lang w:val="en-US"/>
                </w:rPr>
                <w:t>http://www.istat.it/it/congiuntura</w:t>
              </w:r>
            </w:hyperlink>
          </w:p>
          <w:p w14:paraId="48BE1FD9" w14:textId="77777777" w:rsidR="00870437" w:rsidRPr="00844F2C" w:rsidRDefault="00804142" w:rsidP="00804142">
            <w:pPr>
              <w:widowControl/>
              <w:overflowPunct/>
              <w:autoSpaceDE/>
              <w:autoSpaceDN/>
              <w:adjustRightInd/>
              <w:spacing w:before="120" w:after="120" w:line="160" w:lineRule="atLeast"/>
              <w:ind w:left="176"/>
              <w:rPr>
                <w:rFonts w:ascii="Arial Narrow" w:hAnsi="Arial Narrow" w:cs="Arial"/>
                <w:color w:val="FFFFFF"/>
                <w:kern w:val="0"/>
                <w:sz w:val="22"/>
                <w:szCs w:val="22"/>
                <w:lang w:val="en-US"/>
              </w:rPr>
            </w:pPr>
            <w:r w:rsidRPr="00844F2C">
              <w:rPr>
                <w:rFonts w:ascii="Arial Narrow" w:hAnsi="Arial Narrow" w:cs="Arial"/>
                <w:color w:val="FFFFFF" w:themeColor="background1"/>
                <w:sz w:val="22"/>
                <w:szCs w:val="22"/>
                <w:u w:val="single"/>
                <w:lang w:val="en-US"/>
              </w:rPr>
              <w:t>http://rivaluta.istat.it/Rivaluta/</w:t>
            </w:r>
          </w:p>
        </w:tc>
      </w:tr>
      <w:tr w:rsidR="00870437" w:rsidRPr="002578CE" w14:paraId="0F919053" w14:textId="77777777" w:rsidTr="00BA11A0">
        <w:trPr>
          <w:trHeight w:val="686"/>
        </w:trPr>
        <w:tc>
          <w:tcPr>
            <w:tcW w:w="6916" w:type="dxa"/>
            <w:vMerge/>
            <w:tcBorders>
              <w:left w:val="single" w:sz="4" w:space="0" w:color="FFFFFF"/>
              <w:bottom w:val="nil"/>
              <w:right w:val="single" w:sz="48" w:space="0" w:color="FFFFFF"/>
            </w:tcBorders>
            <w:shd w:val="clear" w:color="auto" w:fill="D9D9D9"/>
          </w:tcPr>
          <w:p w14:paraId="5199B6D6" w14:textId="77777777" w:rsidR="00870437" w:rsidRPr="00844F2C" w:rsidRDefault="00870437" w:rsidP="00BA11A0">
            <w:pPr>
              <w:widowControl/>
              <w:tabs>
                <w:tab w:val="left" w:pos="284"/>
                <w:tab w:val="left" w:pos="709"/>
              </w:tabs>
              <w:overflowPunct/>
              <w:autoSpaceDE/>
              <w:autoSpaceDN/>
              <w:adjustRightInd/>
              <w:spacing w:before="0" w:after="120" w:line="230" w:lineRule="exact"/>
              <w:jc w:val="both"/>
              <w:rPr>
                <w:rFonts w:ascii="Arial" w:hAnsi="Arial" w:cs="Arial"/>
                <w:sz w:val="21"/>
                <w:szCs w:val="21"/>
                <w:lang w:val="en-US"/>
              </w:rPr>
            </w:pPr>
          </w:p>
        </w:tc>
        <w:tc>
          <w:tcPr>
            <w:tcW w:w="3290" w:type="dxa"/>
            <w:tcBorders>
              <w:top w:val="single" w:sz="36" w:space="0" w:color="FFFFFF"/>
              <w:left w:val="single" w:sz="48" w:space="0" w:color="FFFFFF"/>
              <w:bottom w:val="single" w:sz="36" w:space="0" w:color="FFFFFF"/>
              <w:right w:val="single" w:sz="36" w:space="0" w:color="FFFFFF"/>
            </w:tcBorders>
            <w:shd w:val="clear" w:color="auto" w:fill="E31C18"/>
          </w:tcPr>
          <w:p w14:paraId="11081858" w14:textId="77777777" w:rsidR="00870437" w:rsidRPr="00E61ECE" w:rsidRDefault="00870437" w:rsidP="00BA11A0">
            <w:pPr>
              <w:pStyle w:val="Paragrafobase"/>
              <w:spacing w:before="160" w:line="320" w:lineRule="exact"/>
              <w:ind w:left="175"/>
              <w:rPr>
                <w:rFonts w:ascii="Calibri" w:hAnsi="Calibri" w:cs="Arial"/>
                <w:b/>
                <w:color w:val="FFFFFF"/>
                <w:sz w:val="28"/>
                <w:szCs w:val="28"/>
              </w:rPr>
            </w:pPr>
            <w:r w:rsidRPr="00E61ECE">
              <w:rPr>
                <w:rFonts w:ascii="Calibri" w:hAnsi="Calibri" w:cs="Arial"/>
                <w:b/>
                <w:color w:val="FFFFFF"/>
                <w:sz w:val="28"/>
                <w:szCs w:val="28"/>
              </w:rPr>
              <w:t>L’approfondimento</w:t>
            </w:r>
          </w:p>
          <w:p w14:paraId="7E9AB152" w14:textId="77777777" w:rsidR="00870437" w:rsidRPr="002578CE" w:rsidRDefault="00870437" w:rsidP="00ED59DC">
            <w:pPr>
              <w:pStyle w:val="Paragrafobase"/>
              <w:spacing w:before="120" w:after="120" w:line="240" w:lineRule="exact"/>
              <w:ind w:left="176" w:right="-391"/>
              <w:rPr>
                <w:rFonts w:ascii="Arial" w:hAnsi="Arial" w:cs="Arial"/>
                <w:sz w:val="21"/>
                <w:szCs w:val="21"/>
              </w:rPr>
            </w:pPr>
            <w:r>
              <w:rPr>
                <w:rFonts w:ascii="Arial Narrow" w:hAnsi="Arial Narrow" w:cs="Arial"/>
                <w:color w:val="FFFFFF"/>
                <w:sz w:val="22"/>
                <w:szCs w:val="22"/>
                <w:u w:val="single"/>
              </w:rPr>
              <w:t>pagina 7</w:t>
            </w:r>
          </w:p>
        </w:tc>
      </w:tr>
    </w:tbl>
    <w:p w14:paraId="5E5A8B9B" w14:textId="77777777" w:rsidR="002B1B35" w:rsidRDefault="002B1B35" w:rsidP="0043285D">
      <w:pPr>
        <w:widowControl/>
        <w:tabs>
          <w:tab w:val="left" w:pos="10206"/>
        </w:tabs>
        <w:overflowPunct/>
        <w:spacing w:before="0" w:line="230" w:lineRule="exact"/>
        <w:ind w:left="284"/>
        <w:jc w:val="both"/>
        <w:rPr>
          <w:rFonts w:ascii="Arial" w:hAnsi="Arial" w:cs="Arial"/>
          <w:sz w:val="21"/>
          <w:szCs w:val="21"/>
        </w:rPr>
      </w:pPr>
    </w:p>
    <w:p w14:paraId="52AA8FC6" w14:textId="77777777" w:rsidR="0043285D" w:rsidRPr="00957753" w:rsidRDefault="0043285D" w:rsidP="00870437">
      <w:pPr>
        <w:widowControl/>
        <w:tabs>
          <w:tab w:val="left" w:pos="10206"/>
        </w:tabs>
        <w:overflowPunct/>
        <w:spacing w:before="0" w:line="230" w:lineRule="exact"/>
        <w:ind w:left="284"/>
        <w:jc w:val="both"/>
        <w:rPr>
          <w:rFonts w:ascii="Arial" w:hAnsi="Arial" w:cs="Arial"/>
          <w:b/>
          <w:sz w:val="8"/>
          <w:szCs w:val="8"/>
          <w:lang w:val="en-US"/>
        </w:rPr>
        <w:sectPr w:rsidR="0043285D" w:rsidRPr="00957753" w:rsidSect="003728D3">
          <w:headerReference w:type="default" r:id="rId24"/>
          <w:headerReference w:type="first" r:id="rId25"/>
          <w:pgSz w:w="11907" w:h="16840" w:code="9"/>
          <w:pgMar w:top="2238" w:right="851" w:bottom="680" w:left="851" w:header="567" w:footer="204" w:gutter="0"/>
          <w:cols w:space="720"/>
          <w:noEndnote/>
          <w:docGrid w:linePitch="272"/>
        </w:sectPr>
      </w:pPr>
    </w:p>
    <w:p w14:paraId="399E93C6" w14:textId="77777777" w:rsidR="000E66DB" w:rsidRDefault="000E66DB" w:rsidP="00EB5D65">
      <w:pPr>
        <w:pStyle w:val="001TitoGra"/>
        <w:rPr>
          <w:color w:val="E42618"/>
        </w:rPr>
      </w:pPr>
    </w:p>
    <w:p w14:paraId="2D1F1C0E" w14:textId="77777777" w:rsidR="00F80676" w:rsidRDefault="00F80676" w:rsidP="00EB5D65">
      <w:pPr>
        <w:pStyle w:val="001TitoGra"/>
        <w:rPr>
          <w:color w:val="E42618"/>
        </w:rPr>
      </w:pPr>
    </w:p>
    <w:p w14:paraId="1C44DF1E" w14:textId="259754D7" w:rsidR="00EB5D65" w:rsidRDefault="00EB5D65" w:rsidP="00EB5D65">
      <w:pPr>
        <w:pStyle w:val="001TitoGra"/>
      </w:pPr>
      <w:r w:rsidRPr="00B5016A">
        <w:rPr>
          <w:color w:val="E42618"/>
        </w:rPr>
        <w:t>FIGURA 1</w:t>
      </w:r>
      <w:r w:rsidRPr="002E0A17">
        <w:rPr>
          <w:color w:val="D90B13"/>
        </w:rPr>
        <w:t>.</w:t>
      </w:r>
      <w:r>
        <w:t xml:space="preserve"> INDICE DEI PREZZI AL CONSUMO NIC</w:t>
      </w:r>
    </w:p>
    <w:p w14:paraId="19305466" w14:textId="39F17B3F" w:rsidR="00EB5D65" w:rsidRDefault="004E1738" w:rsidP="00EB5D65">
      <w:pPr>
        <w:pStyle w:val="001TitoGra"/>
        <w:spacing w:after="120" w:line="240" w:lineRule="auto"/>
        <w:rPr>
          <w:b w:val="0"/>
          <w:sz w:val="20"/>
          <w:szCs w:val="20"/>
        </w:rPr>
      </w:pPr>
      <w:r>
        <w:rPr>
          <w:b w:val="0"/>
          <w:sz w:val="20"/>
          <w:szCs w:val="20"/>
        </w:rPr>
        <w:t>Gennaio 202</w:t>
      </w:r>
      <w:r w:rsidR="006B17F0">
        <w:rPr>
          <w:b w:val="0"/>
          <w:sz w:val="20"/>
          <w:szCs w:val="20"/>
        </w:rPr>
        <w:t>1</w:t>
      </w:r>
      <w:r w:rsidR="00EB5D65">
        <w:rPr>
          <w:b w:val="0"/>
          <w:sz w:val="20"/>
          <w:szCs w:val="20"/>
        </w:rPr>
        <w:t xml:space="preserve"> </w:t>
      </w:r>
      <w:r w:rsidR="00A45941">
        <w:rPr>
          <w:b w:val="0"/>
          <w:sz w:val="20"/>
          <w:szCs w:val="20"/>
        </w:rPr>
        <w:t>–</w:t>
      </w:r>
      <w:r w:rsidR="00EB5D65">
        <w:rPr>
          <w:b w:val="0"/>
          <w:sz w:val="20"/>
          <w:szCs w:val="20"/>
        </w:rPr>
        <w:t xml:space="preserve"> </w:t>
      </w:r>
      <w:r w:rsidR="00A45941">
        <w:rPr>
          <w:b w:val="0"/>
          <w:sz w:val="20"/>
          <w:szCs w:val="20"/>
        </w:rPr>
        <w:t>gennaio 2026</w:t>
      </w:r>
      <w:r w:rsidR="00EB5D65">
        <w:rPr>
          <w:b w:val="0"/>
          <w:sz w:val="20"/>
          <w:szCs w:val="20"/>
        </w:rPr>
        <w:t xml:space="preserve">, </w:t>
      </w:r>
      <w:r w:rsidR="00EB5D65" w:rsidRPr="00B2699B">
        <w:rPr>
          <w:b w:val="0"/>
          <w:sz w:val="20"/>
          <w:szCs w:val="20"/>
        </w:rPr>
        <w:t>variazioni percentuali congiunturali e tendenziali</w:t>
      </w:r>
      <w:r w:rsidR="00EB5D65" w:rsidRPr="006C51CD">
        <w:rPr>
          <w:b w:val="0"/>
          <w:sz w:val="20"/>
          <w:szCs w:val="20"/>
        </w:rPr>
        <w:t xml:space="preserve"> (base 20</w:t>
      </w:r>
      <w:r w:rsidR="00A41ADA">
        <w:rPr>
          <w:b w:val="0"/>
          <w:sz w:val="20"/>
          <w:szCs w:val="20"/>
        </w:rPr>
        <w:t>2</w:t>
      </w:r>
      <w:r w:rsidR="00EB5D65" w:rsidRPr="006C51CD">
        <w:rPr>
          <w:b w:val="0"/>
          <w:sz w:val="20"/>
          <w:szCs w:val="20"/>
        </w:rPr>
        <w:t>5=100)</w:t>
      </w:r>
      <w:r w:rsidR="00EB5D65">
        <w:rPr>
          <w:b w:val="0"/>
          <w:sz w:val="20"/>
          <w:szCs w:val="20"/>
        </w:rPr>
        <w:t xml:space="preserve"> </w:t>
      </w:r>
    </w:p>
    <w:p w14:paraId="6E228001" w14:textId="10CB8337" w:rsidR="00EB5D65" w:rsidRDefault="00271E93" w:rsidP="00EB5D65">
      <w:pPr>
        <w:pStyle w:val="001TitoGra"/>
        <w:spacing w:after="120" w:line="240" w:lineRule="auto"/>
      </w:pPr>
      <w:r>
        <w:rPr>
          <w:noProof/>
        </w:rPr>
        <w:drawing>
          <wp:inline distT="0" distB="0" distL="0" distR="0" wp14:anchorId="518A5D43" wp14:editId="30178163">
            <wp:extent cx="6480810" cy="3243580"/>
            <wp:effectExtent l="0" t="0" r="0" b="0"/>
            <wp:docPr id="205490566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80810" cy="3243580"/>
                    </a:xfrm>
                    <a:prstGeom prst="rect">
                      <a:avLst/>
                    </a:prstGeom>
                    <a:noFill/>
                  </pic:spPr>
                </pic:pic>
              </a:graphicData>
            </a:graphic>
          </wp:inline>
        </w:drawing>
      </w:r>
    </w:p>
    <w:p w14:paraId="3C9593FC" w14:textId="77777777" w:rsidR="00EB5D65" w:rsidRPr="00820101" w:rsidRDefault="00EB5D65" w:rsidP="00EB5D65">
      <w:pPr>
        <w:pStyle w:val="001TitoGra"/>
        <w:spacing w:after="120" w:line="240" w:lineRule="auto"/>
      </w:pPr>
    </w:p>
    <w:p w14:paraId="2A48ACB6" w14:textId="77777777" w:rsidR="00804335" w:rsidRPr="00820101" w:rsidRDefault="00804335" w:rsidP="00804335">
      <w:pPr>
        <w:pStyle w:val="001TitoGra"/>
        <w:spacing w:line="240" w:lineRule="auto"/>
      </w:pPr>
      <w:r w:rsidRPr="00820101">
        <w:rPr>
          <w:color w:val="E42618"/>
        </w:rPr>
        <w:t>PROSPETTO 1</w:t>
      </w:r>
      <w:r w:rsidRPr="00820101">
        <w:rPr>
          <w:color w:val="D90B13"/>
        </w:rPr>
        <w:t>.</w:t>
      </w:r>
      <w:r w:rsidRPr="00820101">
        <w:t xml:space="preserve"> INDICI DEI PREZZI AL CONSUMO NIC E IPCA</w:t>
      </w:r>
    </w:p>
    <w:p w14:paraId="41167C09" w14:textId="1804FEC8" w:rsidR="000E42DF" w:rsidRDefault="005556E4" w:rsidP="000E42DF">
      <w:pPr>
        <w:spacing w:before="0" w:after="120"/>
        <w:jc w:val="both"/>
        <w:rPr>
          <w:rFonts w:ascii="Arial Narrow" w:hAnsi="Arial Narrow" w:cs="Arial"/>
          <w:color w:val="5F5F5F"/>
        </w:rPr>
      </w:pPr>
      <w:r>
        <w:rPr>
          <w:rFonts w:ascii="Arial Narrow" w:hAnsi="Arial Narrow" w:cs="Arial"/>
          <w:color w:val="5F5F5F"/>
        </w:rPr>
        <w:t>Gennaio</w:t>
      </w:r>
      <w:r w:rsidR="006E630A">
        <w:rPr>
          <w:rFonts w:ascii="Arial Narrow" w:hAnsi="Arial Narrow" w:cs="Arial"/>
          <w:color w:val="5F5F5F"/>
        </w:rPr>
        <w:t xml:space="preserve"> 202</w:t>
      </w:r>
      <w:r>
        <w:rPr>
          <w:rFonts w:ascii="Arial Narrow" w:hAnsi="Arial Narrow" w:cs="Arial"/>
          <w:color w:val="5F5F5F"/>
        </w:rPr>
        <w:t>5</w:t>
      </w:r>
      <w:r w:rsidR="000E42DF">
        <w:rPr>
          <w:rFonts w:ascii="Arial Narrow" w:hAnsi="Arial Narrow" w:cs="Arial"/>
          <w:color w:val="5F5F5F"/>
        </w:rPr>
        <w:t xml:space="preserve"> </w:t>
      </w:r>
      <w:r w:rsidR="00D94B5C">
        <w:rPr>
          <w:rFonts w:ascii="Arial Narrow" w:hAnsi="Arial Narrow" w:cs="Arial"/>
          <w:color w:val="5F5F5F"/>
        </w:rPr>
        <w:t>–</w:t>
      </w:r>
      <w:r w:rsidR="005852BB">
        <w:rPr>
          <w:rFonts w:ascii="Arial Narrow" w:hAnsi="Arial Narrow" w:cs="Arial"/>
          <w:color w:val="5F5F5F"/>
        </w:rPr>
        <w:t xml:space="preserve"> </w:t>
      </w:r>
      <w:r>
        <w:rPr>
          <w:rFonts w:ascii="Arial Narrow" w:hAnsi="Arial Narrow" w:cs="Arial"/>
          <w:color w:val="5F5F5F"/>
        </w:rPr>
        <w:t>gennaio</w:t>
      </w:r>
      <w:r w:rsidR="001D4769" w:rsidRPr="00AB29D4">
        <w:rPr>
          <w:rFonts w:ascii="Arial Narrow" w:hAnsi="Arial Narrow" w:cs="Arial"/>
          <w:color w:val="5F5F5F"/>
        </w:rPr>
        <w:t xml:space="preserve"> </w:t>
      </w:r>
      <w:r w:rsidR="00915CE1">
        <w:rPr>
          <w:rFonts w:ascii="Arial Narrow" w:hAnsi="Arial Narrow" w:cs="Arial"/>
          <w:color w:val="5F5F5F"/>
        </w:rPr>
        <w:t>202</w:t>
      </w:r>
      <w:r>
        <w:rPr>
          <w:rFonts w:ascii="Arial Narrow" w:hAnsi="Arial Narrow" w:cs="Arial"/>
          <w:color w:val="5F5F5F"/>
        </w:rPr>
        <w:t>6</w:t>
      </w:r>
      <w:r w:rsidR="000E42DF">
        <w:rPr>
          <w:rFonts w:ascii="Arial Narrow" w:hAnsi="Arial Narrow" w:cs="Arial"/>
          <w:color w:val="5F5F5F"/>
        </w:rPr>
        <w:t>, i</w:t>
      </w:r>
      <w:r w:rsidR="000E42DF" w:rsidRPr="008A1DA4">
        <w:rPr>
          <w:rFonts w:ascii="Arial Narrow" w:hAnsi="Arial Narrow" w:cs="Arial"/>
          <w:color w:val="5F5F5F"/>
        </w:rPr>
        <w:t>ndici e variazioni percentuali congiunturali e tendenziali (base 20</w:t>
      </w:r>
      <w:r>
        <w:rPr>
          <w:rFonts w:ascii="Arial Narrow" w:hAnsi="Arial Narrow" w:cs="Arial"/>
          <w:color w:val="5F5F5F"/>
        </w:rPr>
        <w:t>2</w:t>
      </w:r>
      <w:r w:rsidR="000E42DF" w:rsidRPr="008A1DA4">
        <w:rPr>
          <w:rFonts w:ascii="Arial Narrow" w:hAnsi="Arial Narrow" w:cs="Arial"/>
          <w:color w:val="5F5F5F"/>
        </w:rPr>
        <w:t>5=100)</w:t>
      </w:r>
    </w:p>
    <w:tbl>
      <w:tblPr>
        <w:tblW w:w="10389"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701"/>
        <w:gridCol w:w="1448"/>
        <w:gridCol w:w="1448"/>
        <w:gridCol w:w="1448"/>
        <w:gridCol w:w="1448"/>
        <w:gridCol w:w="1448"/>
        <w:gridCol w:w="1448"/>
      </w:tblGrid>
      <w:tr w:rsidR="00915CE1" w:rsidRPr="009709E9" w14:paraId="4602D186" w14:textId="77777777" w:rsidTr="006117AD">
        <w:trPr>
          <w:trHeight w:val="255"/>
          <w:jc w:val="center"/>
        </w:trPr>
        <w:tc>
          <w:tcPr>
            <w:tcW w:w="1701" w:type="dxa"/>
            <w:vMerge w:val="restart"/>
            <w:vAlign w:val="center"/>
            <w:hideMark/>
          </w:tcPr>
          <w:p w14:paraId="16A14EC5" w14:textId="77777777" w:rsidR="00915CE1" w:rsidRPr="009709E9" w:rsidRDefault="00915CE1" w:rsidP="006117AD">
            <w:pPr>
              <w:spacing w:before="40" w:after="20"/>
              <w:rPr>
                <w:rFonts w:ascii="Arial Narrow" w:hAnsi="Arial Narrow" w:cs="Arial"/>
                <w:b/>
                <w:bCs/>
                <w:sz w:val="18"/>
                <w:szCs w:val="18"/>
              </w:rPr>
            </w:pPr>
            <w:r w:rsidRPr="009709E9">
              <w:rPr>
                <w:rFonts w:ascii="Arial Narrow" w:hAnsi="Arial Narrow" w:cs="Arial"/>
                <w:b/>
                <w:bCs/>
                <w:sz w:val="18"/>
                <w:szCs w:val="18"/>
              </w:rPr>
              <w:t>PERIODO</w:t>
            </w:r>
          </w:p>
        </w:tc>
        <w:tc>
          <w:tcPr>
            <w:tcW w:w="4344" w:type="dxa"/>
            <w:gridSpan w:val="3"/>
            <w:shd w:val="clear" w:color="auto" w:fill="D9D9D9" w:themeFill="background1" w:themeFillShade="D9"/>
            <w:vAlign w:val="center"/>
            <w:hideMark/>
          </w:tcPr>
          <w:p w14:paraId="4557ABD1" w14:textId="77777777" w:rsidR="00915CE1" w:rsidRPr="00783851" w:rsidRDefault="00915CE1" w:rsidP="006117AD">
            <w:pPr>
              <w:widowControl/>
              <w:overflowPunct/>
              <w:autoSpaceDE/>
              <w:autoSpaceDN/>
              <w:adjustRightInd/>
              <w:spacing w:before="0" w:after="0"/>
              <w:jc w:val="center"/>
              <w:rPr>
                <w:rFonts w:ascii="Arial Narrow" w:hAnsi="Arial Narrow" w:cs="Arial"/>
                <w:b/>
                <w:bCs/>
                <w:kern w:val="0"/>
                <w:sz w:val="18"/>
                <w:szCs w:val="18"/>
              </w:rPr>
            </w:pPr>
            <w:r w:rsidRPr="00783851">
              <w:rPr>
                <w:rFonts w:ascii="Arial Narrow" w:hAnsi="Arial Narrow" w:cs="Arial"/>
                <w:b/>
                <w:bCs/>
                <w:kern w:val="0"/>
                <w:sz w:val="18"/>
                <w:szCs w:val="18"/>
              </w:rPr>
              <w:t>Indice nazionale per l’intera collettività NIC</w:t>
            </w:r>
          </w:p>
        </w:tc>
        <w:tc>
          <w:tcPr>
            <w:tcW w:w="4344" w:type="dxa"/>
            <w:gridSpan w:val="3"/>
            <w:vAlign w:val="center"/>
            <w:hideMark/>
          </w:tcPr>
          <w:p w14:paraId="4F673902" w14:textId="77777777" w:rsidR="00915CE1" w:rsidRPr="009709E9" w:rsidRDefault="00915CE1" w:rsidP="006117AD">
            <w:pPr>
              <w:spacing w:before="40" w:after="20"/>
              <w:jc w:val="center"/>
              <w:rPr>
                <w:rFonts w:ascii="Arial Narrow" w:hAnsi="Arial Narrow" w:cs="Arial"/>
                <w:b/>
                <w:bCs/>
                <w:sz w:val="18"/>
                <w:szCs w:val="18"/>
              </w:rPr>
            </w:pPr>
            <w:r w:rsidRPr="00C10FF1">
              <w:rPr>
                <w:rFonts w:ascii="Arial Narrow" w:hAnsi="Arial Narrow" w:cs="Arial"/>
                <w:b/>
                <w:bCs/>
                <w:sz w:val="18"/>
                <w:szCs w:val="18"/>
              </w:rPr>
              <w:t>Indice armonizzato IPCA</w:t>
            </w:r>
          </w:p>
        </w:tc>
      </w:tr>
      <w:tr w:rsidR="00915CE1" w:rsidRPr="008A1DA4" w14:paraId="51E0CD05" w14:textId="77777777" w:rsidTr="006117AD">
        <w:trPr>
          <w:trHeight w:val="255"/>
          <w:jc w:val="center"/>
        </w:trPr>
        <w:tc>
          <w:tcPr>
            <w:tcW w:w="1701" w:type="dxa"/>
            <w:vMerge/>
            <w:vAlign w:val="center"/>
            <w:hideMark/>
          </w:tcPr>
          <w:p w14:paraId="752CECAD" w14:textId="77777777" w:rsidR="00915CE1" w:rsidRPr="008A1DA4" w:rsidRDefault="00915CE1" w:rsidP="006117AD">
            <w:pPr>
              <w:spacing w:before="0" w:after="120"/>
              <w:jc w:val="both"/>
              <w:rPr>
                <w:rFonts w:ascii="Arial" w:hAnsi="Arial" w:cs="Arial"/>
                <w:b/>
                <w:bCs/>
              </w:rPr>
            </w:pPr>
          </w:p>
        </w:tc>
        <w:tc>
          <w:tcPr>
            <w:tcW w:w="1448" w:type="dxa"/>
            <w:vAlign w:val="center"/>
            <w:hideMark/>
          </w:tcPr>
          <w:p w14:paraId="5780915F" w14:textId="77777777" w:rsidR="00915CE1" w:rsidRPr="004C7AA6" w:rsidRDefault="00915CE1" w:rsidP="006117AD">
            <w:pPr>
              <w:tabs>
                <w:tab w:val="left" w:pos="5093"/>
              </w:tabs>
              <w:spacing w:before="40" w:after="20"/>
              <w:ind w:right="57"/>
              <w:jc w:val="center"/>
              <w:rPr>
                <w:rFonts w:ascii="Arial Narrow" w:hAnsi="Arial Narrow" w:cs="Arial"/>
                <w:bCs/>
                <w:sz w:val="18"/>
                <w:szCs w:val="18"/>
              </w:rPr>
            </w:pPr>
            <w:r w:rsidRPr="004C7AA6">
              <w:rPr>
                <w:rFonts w:ascii="Arial Narrow" w:hAnsi="Arial Narrow" w:cs="Arial"/>
                <w:bCs/>
                <w:sz w:val="18"/>
                <w:szCs w:val="18"/>
              </w:rPr>
              <w:t>Indici</w:t>
            </w:r>
          </w:p>
        </w:tc>
        <w:tc>
          <w:tcPr>
            <w:tcW w:w="1448" w:type="dxa"/>
            <w:vAlign w:val="center"/>
            <w:hideMark/>
          </w:tcPr>
          <w:p w14:paraId="7A55D255" w14:textId="77777777" w:rsidR="00915CE1" w:rsidRPr="004C7AA6" w:rsidRDefault="00915CE1" w:rsidP="006117AD">
            <w:pPr>
              <w:tabs>
                <w:tab w:val="left" w:pos="5093"/>
              </w:tabs>
              <w:spacing w:before="40" w:after="20"/>
              <w:ind w:right="57"/>
              <w:jc w:val="center"/>
              <w:rPr>
                <w:rFonts w:ascii="Arial Narrow" w:hAnsi="Arial Narrow" w:cs="Arial"/>
                <w:bCs/>
                <w:sz w:val="18"/>
                <w:szCs w:val="18"/>
              </w:rPr>
            </w:pPr>
            <w:r w:rsidRPr="004C7AA6">
              <w:rPr>
                <w:rFonts w:ascii="Arial Narrow" w:hAnsi="Arial Narrow" w:cs="Arial"/>
                <w:bCs/>
                <w:sz w:val="18"/>
                <w:szCs w:val="18"/>
              </w:rPr>
              <w:t>Variazioni congiunturali</w:t>
            </w:r>
          </w:p>
        </w:tc>
        <w:tc>
          <w:tcPr>
            <w:tcW w:w="1448" w:type="dxa"/>
            <w:vAlign w:val="center"/>
            <w:hideMark/>
          </w:tcPr>
          <w:p w14:paraId="49730B80" w14:textId="77777777" w:rsidR="00915CE1" w:rsidRPr="004C7AA6" w:rsidRDefault="00915CE1" w:rsidP="006117AD">
            <w:pPr>
              <w:tabs>
                <w:tab w:val="left" w:pos="5093"/>
              </w:tabs>
              <w:spacing w:before="40" w:after="20"/>
              <w:ind w:right="57"/>
              <w:jc w:val="center"/>
              <w:rPr>
                <w:rFonts w:ascii="Arial Narrow" w:hAnsi="Arial Narrow" w:cs="Arial"/>
                <w:bCs/>
                <w:sz w:val="18"/>
                <w:szCs w:val="18"/>
              </w:rPr>
            </w:pPr>
            <w:r w:rsidRPr="004C7AA6">
              <w:rPr>
                <w:rFonts w:ascii="Arial Narrow" w:hAnsi="Arial Narrow" w:cs="Arial"/>
                <w:bCs/>
                <w:sz w:val="18"/>
                <w:szCs w:val="18"/>
              </w:rPr>
              <w:t>Variazioni tendenziali</w:t>
            </w:r>
          </w:p>
        </w:tc>
        <w:tc>
          <w:tcPr>
            <w:tcW w:w="1448" w:type="dxa"/>
            <w:vAlign w:val="center"/>
            <w:hideMark/>
          </w:tcPr>
          <w:p w14:paraId="5D8D1AD2" w14:textId="77777777" w:rsidR="00915CE1" w:rsidRPr="004C7AA6" w:rsidRDefault="00915CE1" w:rsidP="006117AD">
            <w:pPr>
              <w:tabs>
                <w:tab w:val="left" w:pos="5093"/>
              </w:tabs>
              <w:spacing w:before="40" w:after="20"/>
              <w:ind w:right="57"/>
              <w:jc w:val="center"/>
              <w:rPr>
                <w:rFonts w:ascii="Arial Narrow" w:hAnsi="Arial Narrow" w:cs="Arial"/>
                <w:bCs/>
                <w:sz w:val="18"/>
                <w:szCs w:val="18"/>
              </w:rPr>
            </w:pPr>
            <w:r w:rsidRPr="004C7AA6">
              <w:rPr>
                <w:rFonts w:ascii="Arial Narrow" w:hAnsi="Arial Narrow" w:cs="Arial"/>
                <w:bCs/>
                <w:sz w:val="18"/>
                <w:szCs w:val="18"/>
              </w:rPr>
              <w:t>Indici</w:t>
            </w:r>
          </w:p>
        </w:tc>
        <w:tc>
          <w:tcPr>
            <w:tcW w:w="1448" w:type="dxa"/>
            <w:vAlign w:val="center"/>
            <w:hideMark/>
          </w:tcPr>
          <w:p w14:paraId="094AC4A8" w14:textId="77777777" w:rsidR="00915CE1" w:rsidRPr="004C7AA6" w:rsidRDefault="00915CE1" w:rsidP="006117AD">
            <w:pPr>
              <w:tabs>
                <w:tab w:val="left" w:pos="5093"/>
              </w:tabs>
              <w:spacing w:before="40" w:after="20"/>
              <w:ind w:right="57"/>
              <w:jc w:val="center"/>
              <w:rPr>
                <w:rFonts w:ascii="Arial Narrow" w:hAnsi="Arial Narrow" w:cs="Arial"/>
                <w:bCs/>
                <w:sz w:val="18"/>
                <w:szCs w:val="18"/>
              </w:rPr>
            </w:pPr>
            <w:r w:rsidRPr="004C7AA6">
              <w:rPr>
                <w:rFonts w:ascii="Arial Narrow" w:hAnsi="Arial Narrow" w:cs="Arial"/>
                <w:bCs/>
                <w:sz w:val="18"/>
                <w:szCs w:val="18"/>
              </w:rPr>
              <w:t>Variazioni congiunturali</w:t>
            </w:r>
          </w:p>
        </w:tc>
        <w:tc>
          <w:tcPr>
            <w:tcW w:w="1448" w:type="dxa"/>
            <w:vAlign w:val="center"/>
            <w:hideMark/>
          </w:tcPr>
          <w:p w14:paraId="146716C2" w14:textId="77777777" w:rsidR="00915CE1" w:rsidRPr="004C7AA6" w:rsidRDefault="00915CE1" w:rsidP="006117AD">
            <w:pPr>
              <w:tabs>
                <w:tab w:val="left" w:pos="5093"/>
              </w:tabs>
              <w:spacing w:before="40" w:after="20"/>
              <w:ind w:right="57"/>
              <w:jc w:val="center"/>
              <w:rPr>
                <w:rFonts w:ascii="Arial Narrow" w:hAnsi="Arial Narrow" w:cs="Arial"/>
                <w:bCs/>
                <w:sz w:val="18"/>
                <w:szCs w:val="18"/>
              </w:rPr>
            </w:pPr>
            <w:r w:rsidRPr="004C7AA6">
              <w:rPr>
                <w:rFonts w:ascii="Arial Narrow" w:hAnsi="Arial Narrow" w:cs="Arial"/>
                <w:bCs/>
                <w:sz w:val="18"/>
                <w:szCs w:val="18"/>
              </w:rPr>
              <w:t>Variazioni tendenziali</w:t>
            </w:r>
          </w:p>
        </w:tc>
      </w:tr>
      <w:tr w:rsidR="00030792" w:rsidRPr="009709E9" w14:paraId="0821B9AF" w14:textId="77777777" w:rsidTr="000937E1">
        <w:trPr>
          <w:trHeight w:val="255"/>
          <w:jc w:val="center"/>
        </w:trPr>
        <w:tc>
          <w:tcPr>
            <w:tcW w:w="1701" w:type="dxa"/>
            <w:shd w:val="clear" w:color="auto" w:fill="FF0000"/>
            <w:vAlign w:val="center"/>
            <w:hideMark/>
          </w:tcPr>
          <w:p w14:paraId="6949BEAF" w14:textId="77777777" w:rsidR="00030792" w:rsidRPr="009709E9" w:rsidRDefault="00030792" w:rsidP="000937E1">
            <w:pPr>
              <w:spacing w:before="40" w:after="20"/>
              <w:rPr>
                <w:rFonts w:ascii="Arial Narrow" w:hAnsi="Arial Narrow" w:cs="Arial"/>
                <w:b/>
                <w:bCs/>
                <w:color w:val="FFFFFF"/>
                <w:sz w:val="18"/>
                <w:szCs w:val="18"/>
              </w:rPr>
            </w:pPr>
            <w:r w:rsidRPr="009709E9">
              <w:rPr>
                <w:rFonts w:ascii="Arial Narrow" w:hAnsi="Arial Narrow" w:cs="Arial"/>
                <w:b/>
                <w:bCs/>
                <w:color w:val="FFFFFF"/>
                <w:sz w:val="18"/>
                <w:szCs w:val="18"/>
              </w:rPr>
              <w:t>20</w:t>
            </w:r>
            <w:r>
              <w:rPr>
                <w:rFonts w:ascii="Arial Narrow" w:hAnsi="Arial Narrow" w:cs="Arial"/>
                <w:b/>
                <w:bCs/>
                <w:color w:val="FFFFFF"/>
                <w:sz w:val="18"/>
                <w:szCs w:val="18"/>
              </w:rPr>
              <w:t>25</w:t>
            </w:r>
          </w:p>
        </w:tc>
        <w:tc>
          <w:tcPr>
            <w:tcW w:w="4344" w:type="dxa"/>
            <w:gridSpan w:val="3"/>
            <w:shd w:val="clear" w:color="auto" w:fill="FF0000"/>
            <w:vAlign w:val="center"/>
            <w:hideMark/>
          </w:tcPr>
          <w:p w14:paraId="4D253B48" w14:textId="763F890C" w:rsidR="00030792" w:rsidRPr="009709E9" w:rsidRDefault="00030792" w:rsidP="000937E1">
            <w:pPr>
              <w:spacing w:before="40" w:after="20"/>
              <w:jc w:val="center"/>
              <w:rPr>
                <w:rFonts w:ascii="Arial Narrow" w:hAnsi="Arial Narrow" w:cs="Arial"/>
                <w:b/>
                <w:bCs/>
                <w:color w:val="FFFFFF"/>
                <w:sz w:val="18"/>
                <w:szCs w:val="18"/>
              </w:rPr>
            </w:pPr>
            <w:r w:rsidRPr="009709E9">
              <w:rPr>
                <w:rFonts w:ascii="Arial Narrow" w:hAnsi="Arial Narrow" w:cs="Arial"/>
                <w:b/>
                <w:bCs/>
                <w:color w:val="FFFFFF"/>
                <w:sz w:val="18"/>
                <w:szCs w:val="18"/>
              </w:rPr>
              <w:t>Base 20</w:t>
            </w:r>
            <w:r w:rsidR="00601FC1">
              <w:rPr>
                <w:rFonts w:ascii="Arial Narrow" w:hAnsi="Arial Narrow" w:cs="Arial"/>
                <w:b/>
                <w:bCs/>
                <w:color w:val="FFFFFF"/>
                <w:sz w:val="18"/>
                <w:szCs w:val="18"/>
              </w:rPr>
              <w:t>1</w:t>
            </w:r>
            <w:r w:rsidRPr="009709E9">
              <w:rPr>
                <w:rFonts w:ascii="Arial Narrow" w:hAnsi="Arial Narrow" w:cs="Arial"/>
                <w:b/>
                <w:bCs/>
                <w:color w:val="FFFFFF"/>
                <w:sz w:val="18"/>
                <w:szCs w:val="18"/>
              </w:rPr>
              <w:t>5=100</w:t>
            </w:r>
          </w:p>
        </w:tc>
        <w:tc>
          <w:tcPr>
            <w:tcW w:w="4344" w:type="dxa"/>
            <w:gridSpan w:val="3"/>
            <w:shd w:val="clear" w:color="auto" w:fill="FF0000"/>
            <w:vAlign w:val="center"/>
            <w:hideMark/>
          </w:tcPr>
          <w:p w14:paraId="28600EBA" w14:textId="0F7179FF" w:rsidR="00030792" w:rsidRPr="009709E9" w:rsidRDefault="00030792" w:rsidP="000937E1">
            <w:pPr>
              <w:spacing w:before="40" w:after="20"/>
              <w:jc w:val="center"/>
              <w:rPr>
                <w:rFonts w:ascii="Arial Narrow" w:hAnsi="Arial Narrow" w:cs="Arial"/>
                <w:b/>
                <w:bCs/>
                <w:color w:val="FFFFFF"/>
                <w:sz w:val="18"/>
                <w:szCs w:val="18"/>
              </w:rPr>
            </w:pPr>
            <w:r w:rsidRPr="009709E9">
              <w:rPr>
                <w:rFonts w:ascii="Arial Narrow" w:hAnsi="Arial Narrow" w:cs="Arial"/>
                <w:b/>
                <w:bCs/>
                <w:color w:val="FFFFFF"/>
                <w:sz w:val="18"/>
                <w:szCs w:val="18"/>
              </w:rPr>
              <w:t>Base 20</w:t>
            </w:r>
            <w:r w:rsidR="005556E4">
              <w:rPr>
                <w:rFonts w:ascii="Arial Narrow" w:hAnsi="Arial Narrow" w:cs="Arial"/>
                <w:b/>
                <w:bCs/>
                <w:color w:val="FFFFFF"/>
                <w:sz w:val="18"/>
                <w:szCs w:val="18"/>
              </w:rPr>
              <w:t>2</w:t>
            </w:r>
            <w:r w:rsidRPr="009709E9">
              <w:rPr>
                <w:rFonts w:ascii="Arial Narrow" w:hAnsi="Arial Narrow" w:cs="Arial"/>
                <w:b/>
                <w:bCs/>
                <w:color w:val="FFFFFF"/>
                <w:sz w:val="18"/>
                <w:szCs w:val="18"/>
              </w:rPr>
              <w:t>5=100</w:t>
            </w:r>
          </w:p>
        </w:tc>
      </w:tr>
      <w:tr w:rsidR="00CF6903" w:rsidRPr="00601FC1" w14:paraId="4B937C3D" w14:textId="77777777" w:rsidTr="00486EDA">
        <w:trPr>
          <w:trHeight w:val="255"/>
          <w:jc w:val="center"/>
        </w:trPr>
        <w:tc>
          <w:tcPr>
            <w:tcW w:w="1701" w:type="dxa"/>
          </w:tcPr>
          <w:p w14:paraId="10DD2653" w14:textId="77777777" w:rsidR="00CF6903" w:rsidRPr="00601FC1" w:rsidRDefault="00CF6903" w:rsidP="00CF6903">
            <w:pPr>
              <w:spacing w:before="40" w:after="20"/>
              <w:rPr>
                <w:rFonts w:ascii="Arial Narrow" w:hAnsi="Arial Narrow" w:cs="Arial"/>
                <w:bCs/>
                <w:sz w:val="18"/>
                <w:szCs w:val="18"/>
              </w:rPr>
            </w:pPr>
            <w:r w:rsidRPr="00601FC1">
              <w:rPr>
                <w:rFonts w:ascii="Arial Narrow" w:hAnsi="Arial Narrow" w:cs="Arial"/>
                <w:bCs/>
                <w:sz w:val="18"/>
                <w:szCs w:val="18"/>
              </w:rPr>
              <w:t>Gennaio</w:t>
            </w:r>
          </w:p>
        </w:tc>
        <w:tc>
          <w:tcPr>
            <w:tcW w:w="1448" w:type="dxa"/>
            <w:shd w:val="clear" w:color="auto" w:fill="E6E6E6"/>
          </w:tcPr>
          <w:p w14:paraId="0F13F707" w14:textId="77777777"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121,9</w:t>
            </w:r>
          </w:p>
        </w:tc>
        <w:tc>
          <w:tcPr>
            <w:tcW w:w="1448" w:type="dxa"/>
          </w:tcPr>
          <w:p w14:paraId="0BF875DA" w14:textId="77777777"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+0,6</w:t>
            </w:r>
          </w:p>
        </w:tc>
        <w:tc>
          <w:tcPr>
            <w:tcW w:w="1448" w:type="dxa"/>
          </w:tcPr>
          <w:p w14:paraId="55CDE969" w14:textId="77777777"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+1,5</w:t>
            </w:r>
          </w:p>
        </w:tc>
        <w:tc>
          <w:tcPr>
            <w:tcW w:w="1448" w:type="dxa"/>
            <w:shd w:val="clear" w:color="auto" w:fill="E6E6E6"/>
            <w:vAlign w:val="bottom"/>
          </w:tcPr>
          <w:p w14:paraId="57804A58" w14:textId="716194E3"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98,5</w:t>
            </w:r>
          </w:p>
        </w:tc>
        <w:tc>
          <w:tcPr>
            <w:tcW w:w="1448" w:type="dxa"/>
            <w:vAlign w:val="bottom"/>
          </w:tcPr>
          <w:p w14:paraId="6FB0ECB4" w14:textId="126A2783" w:rsidR="00CF6903" w:rsidRPr="00B229AB" w:rsidRDefault="00CF6903" w:rsidP="00CF6903">
            <w:pPr>
              <w:spacing w:before="40" w:after="20"/>
              <w:jc w:val="right"/>
              <w:rPr>
                <w:rFonts w:ascii="Arial Narrow" w:hAnsi="Arial Narrow" w:cs="Arial"/>
                <w:bCs/>
                <w:sz w:val="18"/>
                <w:szCs w:val="18"/>
              </w:rPr>
            </w:pPr>
            <w:r w:rsidRPr="00B229AB">
              <w:rPr>
                <w:rFonts w:ascii="Arial Narrow" w:hAnsi="Arial Narrow" w:cs="Arial"/>
                <w:bCs/>
                <w:sz w:val="18"/>
                <w:szCs w:val="18"/>
              </w:rPr>
              <w:t>-0,8</w:t>
            </w:r>
          </w:p>
        </w:tc>
        <w:tc>
          <w:tcPr>
            <w:tcW w:w="1448" w:type="dxa"/>
            <w:vAlign w:val="bottom"/>
          </w:tcPr>
          <w:p w14:paraId="7175B451" w14:textId="159AB2FC" w:rsidR="00CF6903" w:rsidRPr="00CF6903" w:rsidRDefault="00CF6903" w:rsidP="00CF6903">
            <w:pPr>
              <w:spacing w:before="40" w:after="20"/>
              <w:jc w:val="right"/>
              <w:rPr>
                <w:rFonts w:ascii="Arial Narrow" w:hAnsi="Arial Narrow" w:cs="Arial"/>
                <w:bCs/>
                <w:sz w:val="18"/>
                <w:szCs w:val="18"/>
              </w:rPr>
            </w:pPr>
            <w:r w:rsidRPr="00CF6903">
              <w:rPr>
                <w:rFonts w:ascii="Arial Narrow" w:hAnsi="Arial Narrow" w:cs="Arial"/>
                <w:bCs/>
                <w:sz w:val="18"/>
                <w:szCs w:val="18"/>
              </w:rPr>
              <w:t>1,7</w:t>
            </w:r>
          </w:p>
        </w:tc>
      </w:tr>
      <w:tr w:rsidR="00CF6903" w:rsidRPr="00601FC1" w14:paraId="01908184" w14:textId="77777777" w:rsidTr="00486EDA">
        <w:trPr>
          <w:trHeight w:val="255"/>
          <w:jc w:val="center"/>
        </w:trPr>
        <w:tc>
          <w:tcPr>
            <w:tcW w:w="1701" w:type="dxa"/>
          </w:tcPr>
          <w:p w14:paraId="741210E4" w14:textId="77777777" w:rsidR="00CF6903" w:rsidRPr="00601FC1" w:rsidRDefault="00CF6903" w:rsidP="00CF6903">
            <w:pPr>
              <w:spacing w:before="40" w:after="20"/>
              <w:rPr>
                <w:rFonts w:ascii="Arial Narrow" w:hAnsi="Arial Narrow" w:cs="Arial"/>
                <w:bCs/>
                <w:sz w:val="18"/>
                <w:szCs w:val="18"/>
              </w:rPr>
            </w:pPr>
            <w:r w:rsidRPr="00601FC1">
              <w:rPr>
                <w:rFonts w:ascii="Arial Narrow" w:hAnsi="Arial Narrow" w:cs="Arial"/>
                <w:bCs/>
                <w:sz w:val="18"/>
                <w:szCs w:val="18"/>
              </w:rPr>
              <w:t>Febbraio</w:t>
            </w:r>
          </w:p>
        </w:tc>
        <w:tc>
          <w:tcPr>
            <w:tcW w:w="1448" w:type="dxa"/>
            <w:shd w:val="clear" w:color="auto" w:fill="E6E6E6"/>
          </w:tcPr>
          <w:p w14:paraId="741EE7C5" w14:textId="77777777"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122,1</w:t>
            </w:r>
          </w:p>
        </w:tc>
        <w:tc>
          <w:tcPr>
            <w:tcW w:w="1448" w:type="dxa"/>
          </w:tcPr>
          <w:p w14:paraId="60AE74F7" w14:textId="77777777"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+0,2</w:t>
            </w:r>
          </w:p>
        </w:tc>
        <w:tc>
          <w:tcPr>
            <w:tcW w:w="1448" w:type="dxa"/>
          </w:tcPr>
          <w:p w14:paraId="1FCA0013" w14:textId="77777777"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+1,6</w:t>
            </w:r>
          </w:p>
        </w:tc>
        <w:tc>
          <w:tcPr>
            <w:tcW w:w="1448" w:type="dxa"/>
            <w:shd w:val="clear" w:color="auto" w:fill="E6E6E6"/>
            <w:vAlign w:val="bottom"/>
          </w:tcPr>
          <w:p w14:paraId="2371924D" w14:textId="4799CD50"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98,5</w:t>
            </w:r>
          </w:p>
        </w:tc>
        <w:tc>
          <w:tcPr>
            <w:tcW w:w="1448" w:type="dxa"/>
            <w:vAlign w:val="bottom"/>
          </w:tcPr>
          <w:p w14:paraId="57064CB1" w14:textId="592C5EF9" w:rsidR="00CF6903" w:rsidRPr="00B229AB" w:rsidRDefault="00CF6903" w:rsidP="00CF6903">
            <w:pPr>
              <w:spacing w:before="40" w:after="20"/>
              <w:jc w:val="right"/>
              <w:rPr>
                <w:rFonts w:ascii="Arial Narrow" w:hAnsi="Arial Narrow" w:cs="Arial"/>
                <w:bCs/>
                <w:sz w:val="18"/>
                <w:szCs w:val="18"/>
              </w:rPr>
            </w:pPr>
            <w:r w:rsidRPr="00B229AB">
              <w:rPr>
                <w:rFonts w:ascii="Arial Narrow" w:hAnsi="Arial Narrow" w:cs="Arial"/>
                <w:bCs/>
                <w:sz w:val="18"/>
                <w:szCs w:val="18"/>
              </w:rPr>
              <w:t>0</w:t>
            </w:r>
            <w:r>
              <w:rPr>
                <w:rFonts w:ascii="Arial Narrow" w:hAnsi="Arial Narrow" w:cs="Arial"/>
                <w:bCs/>
                <w:sz w:val="18"/>
                <w:szCs w:val="18"/>
              </w:rPr>
              <w:t>,0</w:t>
            </w:r>
          </w:p>
        </w:tc>
        <w:tc>
          <w:tcPr>
            <w:tcW w:w="1448" w:type="dxa"/>
            <w:vAlign w:val="bottom"/>
          </w:tcPr>
          <w:p w14:paraId="27B90F66" w14:textId="755124D0" w:rsidR="00CF6903" w:rsidRPr="00CF6903" w:rsidRDefault="00CF6903" w:rsidP="00CF6903">
            <w:pPr>
              <w:spacing w:before="40" w:after="20"/>
              <w:jc w:val="right"/>
              <w:rPr>
                <w:rFonts w:ascii="Arial Narrow" w:hAnsi="Arial Narrow" w:cs="Arial"/>
                <w:bCs/>
                <w:sz w:val="18"/>
                <w:szCs w:val="18"/>
              </w:rPr>
            </w:pPr>
            <w:r w:rsidRPr="00CF6903">
              <w:rPr>
                <w:rFonts w:ascii="Arial Narrow" w:hAnsi="Arial Narrow" w:cs="Arial"/>
                <w:bCs/>
                <w:sz w:val="18"/>
                <w:szCs w:val="18"/>
              </w:rPr>
              <w:t>1,7</w:t>
            </w:r>
          </w:p>
        </w:tc>
      </w:tr>
      <w:tr w:rsidR="00CF6903" w:rsidRPr="00601FC1" w14:paraId="49FCA242" w14:textId="77777777" w:rsidTr="00486EDA">
        <w:trPr>
          <w:trHeight w:val="255"/>
          <w:jc w:val="center"/>
        </w:trPr>
        <w:tc>
          <w:tcPr>
            <w:tcW w:w="1701" w:type="dxa"/>
          </w:tcPr>
          <w:p w14:paraId="1FC5670B" w14:textId="7E3D9ABA" w:rsidR="00CF6903" w:rsidRPr="00601FC1" w:rsidRDefault="00CF6903" w:rsidP="00CF6903">
            <w:pPr>
              <w:spacing w:before="40" w:after="20"/>
              <w:rPr>
                <w:rFonts w:ascii="Arial Narrow" w:hAnsi="Arial Narrow" w:cs="Arial"/>
                <w:bCs/>
                <w:sz w:val="18"/>
                <w:szCs w:val="18"/>
              </w:rPr>
            </w:pPr>
            <w:r w:rsidRPr="00601FC1">
              <w:rPr>
                <w:rFonts w:ascii="Arial Narrow" w:hAnsi="Arial Narrow" w:cs="Arial"/>
                <w:bCs/>
                <w:sz w:val="18"/>
                <w:szCs w:val="18"/>
              </w:rPr>
              <w:t>Marzo</w:t>
            </w:r>
          </w:p>
        </w:tc>
        <w:tc>
          <w:tcPr>
            <w:tcW w:w="1448" w:type="dxa"/>
            <w:shd w:val="clear" w:color="auto" w:fill="E6E6E6"/>
          </w:tcPr>
          <w:p w14:paraId="730ECC6A" w14:textId="0FE669D9"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122,5</w:t>
            </w:r>
          </w:p>
        </w:tc>
        <w:tc>
          <w:tcPr>
            <w:tcW w:w="1448" w:type="dxa"/>
          </w:tcPr>
          <w:p w14:paraId="19C4E56D" w14:textId="4C10F113"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+0,3</w:t>
            </w:r>
          </w:p>
        </w:tc>
        <w:tc>
          <w:tcPr>
            <w:tcW w:w="1448" w:type="dxa"/>
          </w:tcPr>
          <w:p w14:paraId="31A2397A" w14:textId="6C7E52CE"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+1,9</w:t>
            </w:r>
          </w:p>
        </w:tc>
        <w:tc>
          <w:tcPr>
            <w:tcW w:w="1448" w:type="dxa"/>
            <w:shd w:val="clear" w:color="auto" w:fill="E6E6E6"/>
            <w:vAlign w:val="bottom"/>
          </w:tcPr>
          <w:p w14:paraId="3783BD9C" w14:textId="726651D9"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100,1</w:t>
            </w:r>
          </w:p>
        </w:tc>
        <w:tc>
          <w:tcPr>
            <w:tcW w:w="1448" w:type="dxa"/>
            <w:vAlign w:val="bottom"/>
          </w:tcPr>
          <w:p w14:paraId="540DDDAA" w14:textId="6B03F077" w:rsidR="00CF6903" w:rsidRPr="00B229AB" w:rsidRDefault="00CF6903" w:rsidP="00CF6903">
            <w:pPr>
              <w:spacing w:before="40" w:after="20"/>
              <w:jc w:val="right"/>
              <w:rPr>
                <w:rFonts w:ascii="Arial Narrow" w:hAnsi="Arial Narrow" w:cs="Arial"/>
                <w:bCs/>
                <w:sz w:val="18"/>
                <w:szCs w:val="18"/>
              </w:rPr>
            </w:pPr>
            <w:r w:rsidRPr="00B229AB">
              <w:rPr>
                <w:rFonts w:ascii="Arial Narrow" w:hAnsi="Arial Narrow" w:cs="Arial"/>
                <w:bCs/>
                <w:sz w:val="18"/>
                <w:szCs w:val="18"/>
              </w:rPr>
              <w:t>1,6</w:t>
            </w:r>
          </w:p>
        </w:tc>
        <w:tc>
          <w:tcPr>
            <w:tcW w:w="1448" w:type="dxa"/>
            <w:vAlign w:val="bottom"/>
          </w:tcPr>
          <w:p w14:paraId="32FDB45A" w14:textId="66FE29AD" w:rsidR="00CF6903" w:rsidRPr="00CF6903" w:rsidRDefault="00CF6903" w:rsidP="00CF6903">
            <w:pPr>
              <w:spacing w:before="40" w:after="20"/>
              <w:jc w:val="right"/>
              <w:rPr>
                <w:rFonts w:ascii="Arial Narrow" w:hAnsi="Arial Narrow" w:cs="Arial"/>
                <w:bCs/>
                <w:sz w:val="18"/>
                <w:szCs w:val="18"/>
              </w:rPr>
            </w:pPr>
            <w:r w:rsidRPr="00CF6903">
              <w:rPr>
                <w:rFonts w:ascii="Arial Narrow" w:hAnsi="Arial Narrow" w:cs="Arial"/>
                <w:bCs/>
                <w:sz w:val="18"/>
                <w:szCs w:val="18"/>
              </w:rPr>
              <w:t>2,1</w:t>
            </w:r>
          </w:p>
        </w:tc>
      </w:tr>
      <w:tr w:rsidR="00CF6903" w:rsidRPr="00601FC1" w14:paraId="32616113" w14:textId="77777777" w:rsidTr="00486EDA">
        <w:trPr>
          <w:trHeight w:val="255"/>
          <w:jc w:val="center"/>
        </w:trPr>
        <w:tc>
          <w:tcPr>
            <w:tcW w:w="1701" w:type="dxa"/>
          </w:tcPr>
          <w:p w14:paraId="05AF8AA8" w14:textId="29C221B0" w:rsidR="00CF6903" w:rsidRPr="00601FC1" w:rsidRDefault="00CF6903" w:rsidP="00CF6903">
            <w:pPr>
              <w:spacing w:before="40" w:after="20"/>
              <w:rPr>
                <w:rFonts w:ascii="Arial Narrow" w:hAnsi="Arial Narrow" w:cs="Arial"/>
                <w:bCs/>
                <w:sz w:val="18"/>
                <w:szCs w:val="18"/>
              </w:rPr>
            </w:pPr>
            <w:r w:rsidRPr="00601FC1">
              <w:rPr>
                <w:rFonts w:ascii="Arial Narrow" w:hAnsi="Arial Narrow" w:cs="Arial"/>
                <w:bCs/>
                <w:sz w:val="18"/>
                <w:szCs w:val="18"/>
              </w:rPr>
              <w:t>Aprile</w:t>
            </w:r>
          </w:p>
        </w:tc>
        <w:tc>
          <w:tcPr>
            <w:tcW w:w="1448" w:type="dxa"/>
            <w:shd w:val="clear" w:color="auto" w:fill="E6E6E6"/>
          </w:tcPr>
          <w:p w14:paraId="3A66FFA9" w14:textId="2AEB57DF"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122,6</w:t>
            </w:r>
          </w:p>
        </w:tc>
        <w:tc>
          <w:tcPr>
            <w:tcW w:w="1448" w:type="dxa"/>
          </w:tcPr>
          <w:p w14:paraId="1C6ACBD1" w14:textId="3BA596AD"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+0,1</w:t>
            </w:r>
          </w:p>
        </w:tc>
        <w:tc>
          <w:tcPr>
            <w:tcW w:w="1448" w:type="dxa"/>
          </w:tcPr>
          <w:p w14:paraId="4819C719" w14:textId="0E554063"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+1,9</w:t>
            </w:r>
          </w:p>
        </w:tc>
        <w:tc>
          <w:tcPr>
            <w:tcW w:w="1448" w:type="dxa"/>
            <w:shd w:val="clear" w:color="auto" w:fill="E6E6E6"/>
            <w:vAlign w:val="bottom"/>
          </w:tcPr>
          <w:p w14:paraId="1FF7F070" w14:textId="5A5EDF3A"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100,5</w:t>
            </w:r>
          </w:p>
        </w:tc>
        <w:tc>
          <w:tcPr>
            <w:tcW w:w="1448" w:type="dxa"/>
            <w:vAlign w:val="bottom"/>
          </w:tcPr>
          <w:p w14:paraId="05CFB0D0" w14:textId="0405E9CE" w:rsidR="00CF6903" w:rsidRPr="00B229AB" w:rsidRDefault="00CF6903" w:rsidP="00CF6903">
            <w:pPr>
              <w:spacing w:before="40" w:after="20"/>
              <w:jc w:val="right"/>
              <w:rPr>
                <w:rFonts w:ascii="Arial Narrow" w:hAnsi="Arial Narrow" w:cs="Arial"/>
                <w:bCs/>
                <w:sz w:val="18"/>
                <w:szCs w:val="18"/>
              </w:rPr>
            </w:pPr>
            <w:r w:rsidRPr="00B229AB">
              <w:rPr>
                <w:rFonts w:ascii="Arial Narrow" w:hAnsi="Arial Narrow" w:cs="Arial"/>
                <w:bCs/>
                <w:sz w:val="18"/>
                <w:szCs w:val="18"/>
              </w:rPr>
              <w:t>0,4</w:t>
            </w:r>
          </w:p>
        </w:tc>
        <w:tc>
          <w:tcPr>
            <w:tcW w:w="1448" w:type="dxa"/>
            <w:vAlign w:val="bottom"/>
          </w:tcPr>
          <w:p w14:paraId="0BBED0EA" w14:textId="4B0506B2" w:rsidR="00CF6903" w:rsidRPr="00CF6903" w:rsidRDefault="00CF6903" w:rsidP="00CF6903">
            <w:pPr>
              <w:spacing w:before="40" w:after="20"/>
              <w:jc w:val="right"/>
              <w:rPr>
                <w:rFonts w:ascii="Arial Narrow" w:hAnsi="Arial Narrow" w:cs="Arial"/>
                <w:bCs/>
                <w:sz w:val="18"/>
                <w:szCs w:val="18"/>
              </w:rPr>
            </w:pPr>
            <w:r w:rsidRPr="00CF6903">
              <w:rPr>
                <w:rFonts w:ascii="Arial Narrow" w:hAnsi="Arial Narrow" w:cs="Arial"/>
                <w:bCs/>
                <w:sz w:val="18"/>
                <w:szCs w:val="18"/>
              </w:rPr>
              <w:t>2</w:t>
            </w:r>
            <w:r>
              <w:rPr>
                <w:rFonts w:ascii="Arial Narrow" w:hAnsi="Arial Narrow" w:cs="Arial"/>
                <w:bCs/>
                <w:sz w:val="18"/>
                <w:szCs w:val="18"/>
              </w:rPr>
              <w:t>,0</w:t>
            </w:r>
          </w:p>
        </w:tc>
      </w:tr>
      <w:tr w:rsidR="00CF6903" w:rsidRPr="00601FC1" w14:paraId="1528EB45" w14:textId="77777777" w:rsidTr="00486EDA">
        <w:trPr>
          <w:trHeight w:val="255"/>
          <w:jc w:val="center"/>
        </w:trPr>
        <w:tc>
          <w:tcPr>
            <w:tcW w:w="1701" w:type="dxa"/>
          </w:tcPr>
          <w:p w14:paraId="55429683" w14:textId="3453EC55" w:rsidR="00CF6903" w:rsidRPr="00601FC1" w:rsidRDefault="00CF6903" w:rsidP="00CF6903">
            <w:pPr>
              <w:spacing w:before="40" w:after="20"/>
              <w:rPr>
                <w:rFonts w:ascii="Arial Narrow" w:hAnsi="Arial Narrow" w:cs="Arial"/>
                <w:bCs/>
                <w:sz w:val="18"/>
                <w:szCs w:val="18"/>
              </w:rPr>
            </w:pPr>
            <w:r w:rsidRPr="00601FC1">
              <w:rPr>
                <w:rFonts w:ascii="Arial Narrow" w:hAnsi="Arial Narrow" w:cs="Arial"/>
                <w:bCs/>
                <w:sz w:val="18"/>
                <w:szCs w:val="18"/>
              </w:rPr>
              <w:t xml:space="preserve">Maggio </w:t>
            </w:r>
          </w:p>
        </w:tc>
        <w:tc>
          <w:tcPr>
            <w:tcW w:w="1448" w:type="dxa"/>
            <w:shd w:val="clear" w:color="auto" w:fill="E6E6E6"/>
          </w:tcPr>
          <w:p w14:paraId="76950125" w14:textId="45036BB9"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122,5</w:t>
            </w:r>
          </w:p>
        </w:tc>
        <w:tc>
          <w:tcPr>
            <w:tcW w:w="1448" w:type="dxa"/>
          </w:tcPr>
          <w:p w14:paraId="4D59D550" w14:textId="74D98E88"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-0,1</w:t>
            </w:r>
          </w:p>
        </w:tc>
        <w:tc>
          <w:tcPr>
            <w:tcW w:w="1448" w:type="dxa"/>
          </w:tcPr>
          <w:p w14:paraId="0A59350F" w14:textId="6825550C"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+1,6</w:t>
            </w:r>
          </w:p>
        </w:tc>
        <w:tc>
          <w:tcPr>
            <w:tcW w:w="1448" w:type="dxa"/>
            <w:shd w:val="clear" w:color="auto" w:fill="E6E6E6"/>
            <w:vAlign w:val="bottom"/>
          </w:tcPr>
          <w:p w14:paraId="1B552F82" w14:textId="04A69568"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100,4</w:t>
            </w:r>
          </w:p>
        </w:tc>
        <w:tc>
          <w:tcPr>
            <w:tcW w:w="1448" w:type="dxa"/>
            <w:vAlign w:val="bottom"/>
          </w:tcPr>
          <w:p w14:paraId="2E0C4467" w14:textId="4C677F13" w:rsidR="00CF6903" w:rsidRPr="00B229AB" w:rsidRDefault="00CF6903" w:rsidP="00CF6903">
            <w:pPr>
              <w:spacing w:before="40" w:after="20"/>
              <w:jc w:val="right"/>
              <w:rPr>
                <w:rFonts w:ascii="Arial Narrow" w:hAnsi="Arial Narrow" w:cs="Arial"/>
                <w:bCs/>
                <w:sz w:val="18"/>
                <w:szCs w:val="18"/>
              </w:rPr>
            </w:pPr>
            <w:r w:rsidRPr="00B229AB">
              <w:rPr>
                <w:rFonts w:ascii="Arial Narrow" w:hAnsi="Arial Narrow" w:cs="Arial"/>
                <w:bCs/>
                <w:sz w:val="18"/>
                <w:szCs w:val="18"/>
              </w:rPr>
              <w:t>-0,1</w:t>
            </w:r>
          </w:p>
        </w:tc>
        <w:tc>
          <w:tcPr>
            <w:tcW w:w="1448" w:type="dxa"/>
            <w:vAlign w:val="bottom"/>
          </w:tcPr>
          <w:p w14:paraId="27A8E369" w14:textId="124DDC8C" w:rsidR="00CF6903" w:rsidRPr="00CF6903" w:rsidRDefault="00CF6903" w:rsidP="00CF6903">
            <w:pPr>
              <w:spacing w:before="40" w:after="20"/>
              <w:jc w:val="right"/>
              <w:rPr>
                <w:rFonts w:ascii="Arial Narrow" w:hAnsi="Arial Narrow" w:cs="Arial"/>
                <w:bCs/>
                <w:sz w:val="18"/>
                <w:szCs w:val="18"/>
              </w:rPr>
            </w:pPr>
            <w:r w:rsidRPr="00CF6903">
              <w:rPr>
                <w:rFonts w:ascii="Arial Narrow" w:hAnsi="Arial Narrow" w:cs="Arial"/>
                <w:bCs/>
                <w:sz w:val="18"/>
                <w:szCs w:val="18"/>
              </w:rPr>
              <w:t>1,7</w:t>
            </w:r>
          </w:p>
        </w:tc>
      </w:tr>
      <w:tr w:rsidR="00CF6903" w:rsidRPr="00601FC1" w14:paraId="6E7B829D" w14:textId="77777777" w:rsidTr="00486EDA">
        <w:trPr>
          <w:trHeight w:val="255"/>
          <w:jc w:val="center"/>
        </w:trPr>
        <w:tc>
          <w:tcPr>
            <w:tcW w:w="1701" w:type="dxa"/>
          </w:tcPr>
          <w:p w14:paraId="5A86D70C" w14:textId="3B6A7B8E" w:rsidR="00CF6903" w:rsidRPr="00601FC1" w:rsidRDefault="00CF6903" w:rsidP="00CF6903">
            <w:pPr>
              <w:spacing w:before="40" w:after="20"/>
              <w:rPr>
                <w:rFonts w:ascii="Arial Narrow" w:hAnsi="Arial Narrow" w:cs="Arial"/>
                <w:bCs/>
                <w:sz w:val="18"/>
                <w:szCs w:val="18"/>
              </w:rPr>
            </w:pPr>
            <w:r w:rsidRPr="00601FC1">
              <w:rPr>
                <w:rFonts w:ascii="Arial Narrow" w:hAnsi="Arial Narrow" w:cs="Arial"/>
                <w:bCs/>
                <w:sz w:val="18"/>
                <w:szCs w:val="18"/>
              </w:rPr>
              <w:t>Giugno</w:t>
            </w:r>
          </w:p>
        </w:tc>
        <w:tc>
          <w:tcPr>
            <w:tcW w:w="1448" w:type="dxa"/>
            <w:shd w:val="clear" w:color="auto" w:fill="E6E6E6"/>
          </w:tcPr>
          <w:p w14:paraId="01F4DF79" w14:textId="29FC9794"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122,7</w:t>
            </w:r>
          </w:p>
        </w:tc>
        <w:tc>
          <w:tcPr>
            <w:tcW w:w="1448" w:type="dxa"/>
          </w:tcPr>
          <w:p w14:paraId="2A2DDEF4" w14:textId="727AB054"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+0,2</w:t>
            </w:r>
          </w:p>
        </w:tc>
        <w:tc>
          <w:tcPr>
            <w:tcW w:w="1448" w:type="dxa"/>
          </w:tcPr>
          <w:p w14:paraId="3CCF00BF" w14:textId="5BF28576"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+1,7</w:t>
            </w:r>
          </w:p>
        </w:tc>
        <w:tc>
          <w:tcPr>
            <w:tcW w:w="1448" w:type="dxa"/>
            <w:shd w:val="clear" w:color="auto" w:fill="E6E6E6"/>
            <w:vAlign w:val="bottom"/>
          </w:tcPr>
          <w:p w14:paraId="6C5C8284" w14:textId="05BE6863"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100,6</w:t>
            </w:r>
          </w:p>
        </w:tc>
        <w:tc>
          <w:tcPr>
            <w:tcW w:w="1448" w:type="dxa"/>
            <w:vAlign w:val="bottom"/>
          </w:tcPr>
          <w:p w14:paraId="3407E7B5" w14:textId="69AAFE93" w:rsidR="00CF6903" w:rsidRPr="00B229AB" w:rsidRDefault="00CF6903" w:rsidP="00CF6903">
            <w:pPr>
              <w:spacing w:before="40" w:after="20"/>
              <w:jc w:val="right"/>
              <w:rPr>
                <w:rFonts w:ascii="Arial Narrow" w:hAnsi="Arial Narrow" w:cs="Arial"/>
                <w:bCs/>
                <w:sz w:val="18"/>
                <w:szCs w:val="18"/>
              </w:rPr>
            </w:pPr>
            <w:r w:rsidRPr="00B229AB">
              <w:rPr>
                <w:rFonts w:ascii="Arial Narrow" w:hAnsi="Arial Narrow" w:cs="Arial"/>
                <w:bCs/>
                <w:sz w:val="18"/>
                <w:szCs w:val="18"/>
              </w:rPr>
              <w:t>0,2</w:t>
            </w:r>
          </w:p>
        </w:tc>
        <w:tc>
          <w:tcPr>
            <w:tcW w:w="1448" w:type="dxa"/>
            <w:vAlign w:val="bottom"/>
          </w:tcPr>
          <w:p w14:paraId="2E50D802" w14:textId="7744298E" w:rsidR="00CF6903" w:rsidRPr="00CF6903" w:rsidRDefault="00CF6903" w:rsidP="00CF6903">
            <w:pPr>
              <w:spacing w:before="40" w:after="20"/>
              <w:jc w:val="right"/>
              <w:rPr>
                <w:rFonts w:ascii="Arial Narrow" w:hAnsi="Arial Narrow" w:cs="Arial"/>
                <w:bCs/>
                <w:sz w:val="18"/>
                <w:szCs w:val="18"/>
              </w:rPr>
            </w:pPr>
            <w:r w:rsidRPr="00CF6903">
              <w:rPr>
                <w:rFonts w:ascii="Arial Narrow" w:hAnsi="Arial Narrow" w:cs="Arial"/>
                <w:bCs/>
                <w:sz w:val="18"/>
                <w:szCs w:val="18"/>
              </w:rPr>
              <w:t>1,7</w:t>
            </w:r>
          </w:p>
        </w:tc>
      </w:tr>
      <w:tr w:rsidR="00CF6903" w:rsidRPr="00601FC1" w14:paraId="5070AB93" w14:textId="77777777" w:rsidTr="00486EDA">
        <w:trPr>
          <w:trHeight w:val="255"/>
          <w:jc w:val="center"/>
        </w:trPr>
        <w:tc>
          <w:tcPr>
            <w:tcW w:w="1701" w:type="dxa"/>
          </w:tcPr>
          <w:p w14:paraId="5F145710" w14:textId="29B15B74" w:rsidR="00CF6903" w:rsidRPr="00601FC1" w:rsidRDefault="00CF6903" w:rsidP="00CF6903">
            <w:pPr>
              <w:spacing w:before="40" w:after="20"/>
              <w:rPr>
                <w:rFonts w:ascii="Arial Narrow" w:hAnsi="Arial Narrow" w:cs="Arial"/>
                <w:bCs/>
                <w:sz w:val="18"/>
                <w:szCs w:val="18"/>
              </w:rPr>
            </w:pPr>
            <w:r w:rsidRPr="00601FC1">
              <w:rPr>
                <w:rFonts w:ascii="Arial Narrow" w:hAnsi="Arial Narrow" w:cs="Arial"/>
                <w:bCs/>
                <w:sz w:val="18"/>
                <w:szCs w:val="18"/>
              </w:rPr>
              <w:t>Luglio</w:t>
            </w:r>
          </w:p>
        </w:tc>
        <w:tc>
          <w:tcPr>
            <w:tcW w:w="1448" w:type="dxa"/>
            <w:shd w:val="clear" w:color="auto" w:fill="E6E6E6"/>
          </w:tcPr>
          <w:p w14:paraId="2A5CE6CB" w14:textId="44A187CC"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123,2</w:t>
            </w:r>
          </w:p>
        </w:tc>
        <w:tc>
          <w:tcPr>
            <w:tcW w:w="1448" w:type="dxa"/>
          </w:tcPr>
          <w:p w14:paraId="490EB564" w14:textId="23C05F1B"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+0,4</w:t>
            </w:r>
          </w:p>
        </w:tc>
        <w:tc>
          <w:tcPr>
            <w:tcW w:w="1448" w:type="dxa"/>
          </w:tcPr>
          <w:p w14:paraId="54518748" w14:textId="311CB1E2"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+1,7</w:t>
            </w:r>
          </w:p>
        </w:tc>
        <w:tc>
          <w:tcPr>
            <w:tcW w:w="1448" w:type="dxa"/>
            <w:shd w:val="clear" w:color="auto" w:fill="E6E6E6"/>
            <w:vAlign w:val="bottom"/>
          </w:tcPr>
          <w:p w14:paraId="56BFB9B5" w14:textId="74B75AE1"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99,7</w:t>
            </w:r>
          </w:p>
        </w:tc>
        <w:tc>
          <w:tcPr>
            <w:tcW w:w="1448" w:type="dxa"/>
            <w:vAlign w:val="bottom"/>
          </w:tcPr>
          <w:p w14:paraId="14444BD1" w14:textId="5ECC1AB5" w:rsidR="00CF6903" w:rsidRPr="00B229AB" w:rsidRDefault="00CF6903" w:rsidP="00CF6903">
            <w:pPr>
              <w:spacing w:before="40" w:after="20"/>
              <w:jc w:val="right"/>
              <w:rPr>
                <w:rFonts w:ascii="Arial Narrow" w:hAnsi="Arial Narrow" w:cs="Arial"/>
                <w:bCs/>
                <w:sz w:val="18"/>
                <w:szCs w:val="18"/>
              </w:rPr>
            </w:pPr>
            <w:r w:rsidRPr="00B229AB">
              <w:rPr>
                <w:rFonts w:ascii="Arial Narrow" w:hAnsi="Arial Narrow" w:cs="Arial"/>
                <w:bCs/>
                <w:sz w:val="18"/>
                <w:szCs w:val="18"/>
              </w:rPr>
              <w:t>-0,9</w:t>
            </w:r>
          </w:p>
        </w:tc>
        <w:tc>
          <w:tcPr>
            <w:tcW w:w="1448" w:type="dxa"/>
            <w:vAlign w:val="bottom"/>
          </w:tcPr>
          <w:p w14:paraId="1B1D5C75" w14:textId="18AA8D4F" w:rsidR="00CF6903" w:rsidRPr="00CF6903" w:rsidRDefault="00CF6903" w:rsidP="00CF6903">
            <w:pPr>
              <w:spacing w:before="40" w:after="20"/>
              <w:jc w:val="right"/>
              <w:rPr>
                <w:rFonts w:ascii="Arial Narrow" w:hAnsi="Arial Narrow" w:cs="Arial"/>
                <w:bCs/>
                <w:sz w:val="18"/>
                <w:szCs w:val="18"/>
              </w:rPr>
            </w:pPr>
            <w:r w:rsidRPr="00CF6903">
              <w:rPr>
                <w:rFonts w:ascii="Arial Narrow" w:hAnsi="Arial Narrow" w:cs="Arial"/>
                <w:bCs/>
                <w:sz w:val="18"/>
                <w:szCs w:val="18"/>
              </w:rPr>
              <w:t>1,7</w:t>
            </w:r>
          </w:p>
        </w:tc>
      </w:tr>
      <w:tr w:rsidR="00CF6903" w:rsidRPr="00601FC1" w14:paraId="0F42ED2B" w14:textId="77777777" w:rsidTr="00486EDA">
        <w:trPr>
          <w:trHeight w:val="255"/>
          <w:jc w:val="center"/>
        </w:trPr>
        <w:tc>
          <w:tcPr>
            <w:tcW w:w="1701" w:type="dxa"/>
          </w:tcPr>
          <w:p w14:paraId="18C712BD" w14:textId="1EC68C17" w:rsidR="00CF6903" w:rsidRPr="00601FC1" w:rsidRDefault="00CF6903" w:rsidP="00CF6903">
            <w:pPr>
              <w:spacing w:before="40" w:after="20"/>
              <w:rPr>
                <w:rFonts w:ascii="Arial Narrow" w:hAnsi="Arial Narrow" w:cs="Arial"/>
                <w:bCs/>
                <w:sz w:val="18"/>
                <w:szCs w:val="18"/>
              </w:rPr>
            </w:pPr>
            <w:r w:rsidRPr="00601FC1">
              <w:rPr>
                <w:rFonts w:ascii="Arial Narrow" w:hAnsi="Arial Narrow" w:cs="Arial"/>
                <w:bCs/>
                <w:sz w:val="18"/>
                <w:szCs w:val="18"/>
              </w:rPr>
              <w:t>Agosto</w:t>
            </w:r>
          </w:p>
        </w:tc>
        <w:tc>
          <w:tcPr>
            <w:tcW w:w="1448" w:type="dxa"/>
            <w:shd w:val="clear" w:color="auto" w:fill="E6E6E6"/>
          </w:tcPr>
          <w:p w14:paraId="28269888" w14:textId="19234FDA"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123,3</w:t>
            </w:r>
          </w:p>
        </w:tc>
        <w:tc>
          <w:tcPr>
            <w:tcW w:w="1448" w:type="dxa"/>
          </w:tcPr>
          <w:p w14:paraId="6BB651E6" w14:textId="0D63FBAB"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+0,1</w:t>
            </w:r>
          </w:p>
        </w:tc>
        <w:tc>
          <w:tcPr>
            <w:tcW w:w="1448" w:type="dxa"/>
          </w:tcPr>
          <w:p w14:paraId="4C70E31C" w14:textId="789A90A4"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+1,6</w:t>
            </w:r>
          </w:p>
        </w:tc>
        <w:tc>
          <w:tcPr>
            <w:tcW w:w="1448" w:type="dxa"/>
            <w:shd w:val="clear" w:color="auto" w:fill="E6E6E6"/>
            <w:vAlign w:val="bottom"/>
          </w:tcPr>
          <w:p w14:paraId="21C57B12" w14:textId="39265D6E"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99,5</w:t>
            </w:r>
          </w:p>
        </w:tc>
        <w:tc>
          <w:tcPr>
            <w:tcW w:w="1448" w:type="dxa"/>
            <w:vAlign w:val="bottom"/>
          </w:tcPr>
          <w:p w14:paraId="300F2979" w14:textId="6B45358F" w:rsidR="00CF6903" w:rsidRPr="00B229AB" w:rsidRDefault="00CF6903" w:rsidP="00CF6903">
            <w:pPr>
              <w:spacing w:before="40" w:after="20"/>
              <w:jc w:val="right"/>
              <w:rPr>
                <w:rFonts w:ascii="Arial Narrow" w:hAnsi="Arial Narrow" w:cs="Arial"/>
                <w:bCs/>
                <w:sz w:val="18"/>
                <w:szCs w:val="18"/>
              </w:rPr>
            </w:pPr>
            <w:r w:rsidRPr="00B229AB">
              <w:rPr>
                <w:rFonts w:ascii="Arial Narrow" w:hAnsi="Arial Narrow" w:cs="Arial"/>
                <w:bCs/>
                <w:sz w:val="18"/>
                <w:szCs w:val="18"/>
              </w:rPr>
              <w:t>-0,2</w:t>
            </w:r>
          </w:p>
        </w:tc>
        <w:tc>
          <w:tcPr>
            <w:tcW w:w="1448" w:type="dxa"/>
            <w:vAlign w:val="bottom"/>
          </w:tcPr>
          <w:p w14:paraId="50B6C8D1" w14:textId="170D5263" w:rsidR="00CF6903" w:rsidRPr="00CF6903" w:rsidRDefault="00CF6903" w:rsidP="00CF6903">
            <w:pPr>
              <w:spacing w:before="40" w:after="20"/>
              <w:jc w:val="right"/>
              <w:rPr>
                <w:rFonts w:ascii="Arial Narrow" w:hAnsi="Arial Narrow" w:cs="Arial"/>
                <w:bCs/>
                <w:sz w:val="18"/>
                <w:szCs w:val="18"/>
              </w:rPr>
            </w:pPr>
            <w:r w:rsidRPr="00CF6903">
              <w:rPr>
                <w:rFonts w:ascii="Arial Narrow" w:hAnsi="Arial Narrow" w:cs="Arial"/>
                <w:bCs/>
                <w:sz w:val="18"/>
                <w:szCs w:val="18"/>
              </w:rPr>
              <w:t>1,6</w:t>
            </w:r>
          </w:p>
        </w:tc>
      </w:tr>
      <w:tr w:rsidR="00CF6903" w:rsidRPr="00601FC1" w14:paraId="5EB91C05" w14:textId="77777777" w:rsidTr="00486EDA">
        <w:trPr>
          <w:trHeight w:val="255"/>
          <w:jc w:val="center"/>
        </w:trPr>
        <w:tc>
          <w:tcPr>
            <w:tcW w:w="1701" w:type="dxa"/>
          </w:tcPr>
          <w:p w14:paraId="387AEC06" w14:textId="43251F78" w:rsidR="00CF6903" w:rsidRPr="00601FC1" w:rsidRDefault="00CF6903" w:rsidP="00CF6903">
            <w:pPr>
              <w:spacing w:before="40" w:after="20"/>
              <w:rPr>
                <w:rFonts w:ascii="Arial Narrow" w:hAnsi="Arial Narrow" w:cs="Arial"/>
                <w:bCs/>
                <w:sz w:val="18"/>
                <w:szCs w:val="18"/>
              </w:rPr>
            </w:pPr>
            <w:r w:rsidRPr="00601FC1">
              <w:rPr>
                <w:rFonts w:ascii="Arial Narrow" w:hAnsi="Arial Narrow" w:cs="Arial"/>
                <w:bCs/>
                <w:sz w:val="18"/>
                <w:szCs w:val="18"/>
              </w:rPr>
              <w:t>Settembre</w:t>
            </w:r>
          </w:p>
        </w:tc>
        <w:tc>
          <w:tcPr>
            <w:tcW w:w="1448" w:type="dxa"/>
            <w:shd w:val="clear" w:color="auto" w:fill="E6E6E6"/>
          </w:tcPr>
          <w:p w14:paraId="5EBD7007" w14:textId="4306C939"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123,1</w:t>
            </w:r>
          </w:p>
        </w:tc>
        <w:tc>
          <w:tcPr>
            <w:tcW w:w="1448" w:type="dxa"/>
          </w:tcPr>
          <w:p w14:paraId="247FB22F" w14:textId="3D9B43F5"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-0,2</w:t>
            </w:r>
          </w:p>
        </w:tc>
        <w:tc>
          <w:tcPr>
            <w:tcW w:w="1448" w:type="dxa"/>
          </w:tcPr>
          <w:p w14:paraId="51E36F4B" w14:textId="13193449"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+1,6</w:t>
            </w:r>
          </w:p>
        </w:tc>
        <w:tc>
          <w:tcPr>
            <w:tcW w:w="1448" w:type="dxa"/>
            <w:shd w:val="clear" w:color="auto" w:fill="E6E6E6"/>
            <w:vAlign w:val="bottom"/>
          </w:tcPr>
          <w:p w14:paraId="1D316F42" w14:textId="0FDB09D3"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100,7</w:t>
            </w:r>
          </w:p>
        </w:tc>
        <w:tc>
          <w:tcPr>
            <w:tcW w:w="1448" w:type="dxa"/>
            <w:vAlign w:val="bottom"/>
          </w:tcPr>
          <w:p w14:paraId="0C85F6BE" w14:textId="6FB0B94B" w:rsidR="00CF6903" w:rsidRPr="00B229AB" w:rsidRDefault="00CF6903" w:rsidP="00CF6903">
            <w:pPr>
              <w:spacing w:before="40" w:after="20"/>
              <w:jc w:val="right"/>
              <w:rPr>
                <w:rFonts w:ascii="Arial Narrow" w:hAnsi="Arial Narrow" w:cs="Arial"/>
                <w:bCs/>
                <w:sz w:val="18"/>
                <w:szCs w:val="18"/>
              </w:rPr>
            </w:pPr>
            <w:r w:rsidRPr="00B229AB">
              <w:rPr>
                <w:rFonts w:ascii="Arial Narrow" w:hAnsi="Arial Narrow" w:cs="Arial"/>
                <w:bCs/>
                <w:sz w:val="18"/>
                <w:szCs w:val="18"/>
              </w:rPr>
              <w:t>1,2</w:t>
            </w:r>
          </w:p>
        </w:tc>
        <w:tc>
          <w:tcPr>
            <w:tcW w:w="1448" w:type="dxa"/>
            <w:vAlign w:val="bottom"/>
          </w:tcPr>
          <w:p w14:paraId="0A57A09B" w14:textId="28FDB602" w:rsidR="00CF6903" w:rsidRPr="00CF6903" w:rsidRDefault="00CF6903" w:rsidP="00CF6903">
            <w:pPr>
              <w:spacing w:before="40" w:after="20"/>
              <w:jc w:val="right"/>
              <w:rPr>
                <w:rFonts w:ascii="Arial Narrow" w:hAnsi="Arial Narrow" w:cs="Arial"/>
                <w:bCs/>
                <w:sz w:val="18"/>
                <w:szCs w:val="18"/>
              </w:rPr>
            </w:pPr>
            <w:r w:rsidRPr="00CF6903">
              <w:rPr>
                <w:rFonts w:ascii="Arial Narrow" w:hAnsi="Arial Narrow" w:cs="Arial"/>
                <w:bCs/>
                <w:sz w:val="18"/>
                <w:szCs w:val="18"/>
              </w:rPr>
              <w:t>1,7</w:t>
            </w:r>
          </w:p>
        </w:tc>
      </w:tr>
      <w:tr w:rsidR="00CF6903" w:rsidRPr="00601FC1" w14:paraId="4F16907F" w14:textId="77777777" w:rsidTr="00486EDA">
        <w:trPr>
          <w:trHeight w:val="255"/>
          <w:jc w:val="center"/>
        </w:trPr>
        <w:tc>
          <w:tcPr>
            <w:tcW w:w="1701" w:type="dxa"/>
          </w:tcPr>
          <w:p w14:paraId="0A760900" w14:textId="5362FF05" w:rsidR="00CF6903" w:rsidRPr="00601FC1" w:rsidRDefault="00CF6903" w:rsidP="00CF6903">
            <w:pPr>
              <w:spacing w:before="40" w:after="20"/>
              <w:rPr>
                <w:rFonts w:ascii="Arial Narrow" w:hAnsi="Arial Narrow" w:cs="Arial"/>
                <w:bCs/>
                <w:sz w:val="18"/>
                <w:szCs w:val="18"/>
              </w:rPr>
            </w:pPr>
            <w:r w:rsidRPr="00601FC1">
              <w:rPr>
                <w:rFonts w:ascii="Arial Narrow" w:hAnsi="Arial Narrow" w:cs="Arial"/>
                <w:bCs/>
                <w:sz w:val="18"/>
                <w:szCs w:val="18"/>
              </w:rPr>
              <w:t>Ottobre</w:t>
            </w:r>
          </w:p>
        </w:tc>
        <w:tc>
          <w:tcPr>
            <w:tcW w:w="1448" w:type="dxa"/>
            <w:shd w:val="clear" w:color="auto" w:fill="E6E6E6"/>
          </w:tcPr>
          <w:p w14:paraId="6D43FEB1" w14:textId="3912E10E"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122,7</w:t>
            </w:r>
          </w:p>
        </w:tc>
        <w:tc>
          <w:tcPr>
            <w:tcW w:w="1448" w:type="dxa"/>
          </w:tcPr>
          <w:p w14:paraId="648EC742" w14:textId="23E2932D"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-0,3</w:t>
            </w:r>
          </w:p>
        </w:tc>
        <w:tc>
          <w:tcPr>
            <w:tcW w:w="1448" w:type="dxa"/>
          </w:tcPr>
          <w:p w14:paraId="547F0BA9" w14:textId="28D5A813"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w:t>
            </w:r>
          </w:p>
        </w:tc>
        <w:tc>
          <w:tcPr>
            <w:tcW w:w="1448" w:type="dxa"/>
            <w:shd w:val="clear" w:color="auto" w:fill="E6E6E6"/>
            <w:vAlign w:val="bottom"/>
          </w:tcPr>
          <w:p w14:paraId="28EF46AF" w14:textId="6114945B"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100,6</w:t>
            </w:r>
          </w:p>
        </w:tc>
        <w:tc>
          <w:tcPr>
            <w:tcW w:w="1448" w:type="dxa"/>
            <w:vAlign w:val="bottom"/>
          </w:tcPr>
          <w:p w14:paraId="7E777DD0" w14:textId="387F4F15" w:rsidR="00CF6903" w:rsidRPr="00B229AB" w:rsidRDefault="00CF6903" w:rsidP="00CF6903">
            <w:pPr>
              <w:spacing w:before="40" w:after="20"/>
              <w:jc w:val="right"/>
              <w:rPr>
                <w:rFonts w:ascii="Arial Narrow" w:hAnsi="Arial Narrow" w:cs="Arial"/>
                <w:bCs/>
                <w:sz w:val="18"/>
                <w:szCs w:val="18"/>
              </w:rPr>
            </w:pPr>
            <w:r w:rsidRPr="00B229AB">
              <w:rPr>
                <w:rFonts w:ascii="Arial Narrow" w:hAnsi="Arial Narrow" w:cs="Arial"/>
                <w:bCs/>
                <w:sz w:val="18"/>
                <w:szCs w:val="18"/>
              </w:rPr>
              <w:t>-0,1</w:t>
            </w:r>
          </w:p>
        </w:tc>
        <w:tc>
          <w:tcPr>
            <w:tcW w:w="1448" w:type="dxa"/>
            <w:vAlign w:val="bottom"/>
          </w:tcPr>
          <w:p w14:paraId="49229763" w14:textId="26F1F075" w:rsidR="00CF6903" w:rsidRPr="00CF6903" w:rsidRDefault="00CF6903" w:rsidP="00CF6903">
            <w:pPr>
              <w:spacing w:before="40" w:after="20"/>
              <w:jc w:val="right"/>
              <w:rPr>
                <w:rFonts w:ascii="Arial Narrow" w:hAnsi="Arial Narrow" w:cs="Arial"/>
                <w:bCs/>
                <w:sz w:val="18"/>
                <w:szCs w:val="18"/>
              </w:rPr>
            </w:pPr>
            <w:r w:rsidRPr="00CF6903">
              <w:rPr>
                <w:rFonts w:ascii="Arial Narrow" w:hAnsi="Arial Narrow" w:cs="Arial"/>
                <w:bCs/>
                <w:sz w:val="18"/>
                <w:szCs w:val="18"/>
              </w:rPr>
              <w:t>1,3</w:t>
            </w:r>
          </w:p>
        </w:tc>
      </w:tr>
      <w:tr w:rsidR="00CF6903" w:rsidRPr="00601FC1" w14:paraId="27CA84A5" w14:textId="77777777" w:rsidTr="00486EDA">
        <w:trPr>
          <w:trHeight w:val="255"/>
          <w:jc w:val="center"/>
        </w:trPr>
        <w:tc>
          <w:tcPr>
            <w:tcW w:w="1701" w:type="dxa"/>
          </w:tcPr>
          <w:p w14:paraId="38A80AB9" w14:textId="60101EEB" w:rsidR="00CF6903" w:rsidRPr="00601FC1" w:rsidRDefault="00CF6903" w:rsidP="00CF6903">
            <w:pPr>
              <w:spacing w:before="40" w:after="20"/>
              <w:rPr>
                <w:rFonts w:ascii="Arial Narrow" w:hAnsi="Arial Narrow" w:cs="Arial"/>
                <w:bCs/>
                <w:sz w:val="18"/>
                <w:szCs w:val="18"/>
              </w:rPr>
            </w:pPr>
            <w:r w:rsidRPr="00601FC1">
              <w:rPr>
                <w:rFonts w:ascii="Arial Narrow" w:hAnsi="Arial Narrow" w:cs="Arial"/>
                <w:bCs/>
                <w:sz w:val="18"/>
                <w:szCs w:val="18"/>
              </w:rPr>
              <w:t>Novembre</w:t>
            </w:r>
          </w:p>
        </w:tc>
        <w:tc>
          <w:tcPr>
            <w:tcW w:w="1448" w:type="dxa"/>
            <w:shd w:val="clear" w:color="auto" w:fill="E6E6E6"/>
          </w:tcPr>
          <w:p w14:paraId="21B02F5B" w14:textId="2D64D34E"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122,5</w:t>
            </w:r>
          </w:p>
        </w:tc>
        <w:tc>
          <w:tcPr>
            <w:tcW w:w="1448" w:type="dxa"/>
          </w:tcPr>
          <w:p w14:paraId="7F1568DB" w14:textId="031A29A6"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-0,2</w:t>
            </w:r>
          </w:p>
        </w:tc>
        <w:tc>
          <w:tcPr>
            <w:tcW w:w="1448" w:type="dxa"/>
          </w:tcPr>
          <w:p w14:paraId="73649F9A" w14:textId="655D8477"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w:t>
            </w:r>
          </w:p>
        </w:tc>
        <w:tc>
          <w:tcPr>
            <w:tcW w:w="1448" w:type="dxa"/>
            <w:shd w:val="clear" w:color="auto" w:fill="E6E6E6"/>
            <w:vAlign w:val="bottom"/>
          </w:tcPr>
          <w:p w14:paraId="764BD57F" w14:textId="6D8C4371"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100,3</w:t>
            </w:r>
          </w:p>
        </w:tc>
        <w:tc>
          <w:tcPr>
            <w:tcW w:w="1448" w:type="dxa"/>
            <w:vAlign w:val="bottom"/>
          </w:tcPr>
          <w:p w14:paraId="564A6165" w14:textId="16D1BCA5" w:rsidR="00CF6903" w:rsidRPr="00B229AB" w:rsidRDefault="00CF6903" w:rsidP="00CF6903">
            <w:pPr>
              <w:spacing w:before="40" w:after="20"/>
              <w:jc w:val="right"/>
              <w:rPr>
                <w:rFonts w:ascii="Arial Narrow" w:hAnsi="Arial Narrow" w:cs="Arial"/>
                <w:bCs/>
                <w:sz w:val="18"/>
                <w:szCs w:val="18"/>
              </w:rPr>
            </w:pPr>
            <w:r w:rsidRPr="00B229AB">
              <w:rPr>
                <w:rFonts w:ascii="Arial Narrow" w:hAnsi="Arial Narrow" w:cs="Arial"/>
                <w:bCs/>
                <w:sz w:val="18"/>
                <w:szCs w:val="18"/>
              </w:rPr>
              <w:t>-0,3</w:t>
            </w:r>
          </w:p>
        </w:tc>
        <w:tc>
          <w:tcPr>
            <w:tcW w:w="1448" w:type="dxa"/>
            <w:vAlign w:val="bottom"/>
          </w:tcPr>
          <w:p w14:paraId="7E874E0F" w14:textId="398A4F01" w:rsidR="00CF6903" w:rsidRPr="00CF6903" w:rsidRDefault="00CF6903" w:rsidP="00CF6903">
            <w:pPr>
              <w:spacing w:before="40" w:after="20"/>
              <w:jc w:val="right"/>
              <w:rPr>
                <w:rFonts w:ascii="Arial Narrow" w:hAnsi="Arial Narrow" w:cs="Arial"/>
                <w:bCs/>
                <w:sz w:val="18"/>
                <w:szCs w:val="18"/>
              </w:rPr>
            </w:pPr>
            <w:r w:rsidRPr="00CF6903">
              <w:rPr>
                <w:rFonts w:ascii="Arial Narrow" w:hAnsi="Arial Narrow" w:cs="Arial"/>
                <w:bCs/>
                <w:sz w:val="18"/>
                <w:szCs w:val="18"/>
              </w:rPr>
              <w:t>1,1</w:t>
            </w:r>
          </w:p>
        </w:tc>
      </w:tr>
      <w:tr w:rsidR="00CF6903" w:rsidRPr="00BE2CFB" w14:paraId="24615C67" w14:textId="77777777" w:rsidTr="00486EDA">
        <w:trPr>
          <w:trHeight w:val="255"/>
          <w:jc w:val="center"/>
        </w:trPr>
        <w:tc>
          <w:tcPr>
            <w:tcW w:w="1701" w:type="dxa"/>
          </w:tcPr>
          <w:p w14:paraId="7DAFDDF8" w14:textId="0FF1EBEE" w:rsidR="00CF6903" w:rsidRPr="00601FC1" w:rsidRDefault="00CF6903" w:rsidP="00CF6903">
            <w:pPr>
              <w:spacing w:before="40" w:after="20"/>
              <w:rPr>
                <w:rFonts w:ascii="Arial Narrow" w:hAnsi="Arial Narrow" w:cs="Arial"/>
                <w:bCs/>
                <w:sz w:val="18"/>
                <w:szCs w:val="18"/>
              </w:rPr>
            </w:pPr>
            <w:r w:rsidRPr="00601FC1">
              <w:rPr>
                <w:rFonts w:ascii="Arial Narrow" w:hAnsi="Arial Narrow" w:cs="Arial"/>
                <w:bCs/>
                <w:sz w:val="18"/>
                <w:szCs w:val="18"/>
              </w:rPr>
              <w:t>Dicembre</w:t>
            </w:r>
          </w:p>
        </w:tc>
        <w:tc>
          <w:tcPr>
            <w:tcW w:w="1448" w:type="dxa"/>
            <w:shd w:val="clear" w:color="auto" w:fill="D9D9D9"/>
            <w:vAlign w:val="bottom"/>
          </w:tcPr>
          <w:p w14:paraId="5EE37A7D" w14:textId="1A11CA96"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122,6</w:t>
            </w:r>
          </w:p>
        </w:tc>
        <w:tc>
          <w:tcPr>
            <w:tcW w:w="1448" w:type="dxa"/>
            <w:vAlign w:val="center"/>
          </w:tcPr>
          <w:p w14:paraId="57DEEFF1" w14:textId="3795AD44"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+0,2</w:t>
            </w:r>
          </w:p>
        </w:tc>
        <w:tc>
          <w:tcPr>
            <w:tcW w:w="1448" w:type="dxa"/>
            <w:shd w:val="clear" w:color="auto" w:fill="auto"/>
            <w:vAlign w:val="center"/>
          </w:tcPr>
          <w:p w14:paraId="1EA7C4EC" w14:textId="0424DC34"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+1,2</w:t>
            </w:r>
          </w:p>
        </w:tc>
        <w:tc>
          <w:tcPr>
            <w:tcW w:w="1448" w:type="dxa"/>
            <w:shd w:val="clear" w:color="auto" w:fill="D9D9D9" w:themeFill="background1" w:themeFillShade="D9"/>
            <w:vAlign w:val="bottom"/>
          </w:tcPr>
          <w:p w14:paraId="253A5971" w14:textId="390444D5" w:rsidR="00CF6903" w:rsidRPr="00601FC1" w:rsidRDefault="00CF6903" w:rsidP="00CF6903">
            <w:pPr>
              <w:spacing w:before="40" w:after="20"/>
              <w:jc w:val="right"/>
              <w:rPr>
                <w:rFonts w:ascii="Arial Narrow" w:hAnsi="Arial Narrow" w:cs="Arial"/>
                <w:bCs/>
                <w:sz w:val="18"/>
                <w:szCs w:val="18"/>
              </w:rPr>
            </w:pPr>
            <w:r w:rsidRPr="00601FC1">
              <w:rPr>
                <w:rFonts w:ascii="Arial Narrow" w:hAnsi="Arial Narrow" w:cs="Arial"/>
                <w:bCs/>
                <w:sz w:val="18"/>
                <w:szCs w:val="18"/>
              </w:rPr>
              <w:t>100,5</w:t>
            </w:r>
          </w:p>
        </w:tc>
        <w:tc>
          <w:tcPr>
            <w:tcW w:w="1448" w:type="dxa"/>
            <w:vAlign w:val="bottom"/>
          </w:tcPr>
          <w:p w14:paraId="4A86175F" w14:textId="0C8CED59" w:rsidR="00CF6903" w:rsidRPr="00B229AB" w:rsidRDefault="00CF6903" w:rsidP="00CF6903">
            <w:pPr>
              <w:spacing w:before="40" w:after="20"/>
              <w:jc w:val="right"/>
              <w:rPr>
                <w:rFonts w:ascii="Arial Narrow" w:hAnsi="Arial Narrow" w:cs="Arial"/>
                <w:bCs/>
                <w:sz w:val="18"/>
                <w:szCs w:val="18"/>
              </w:rPr>
            </w:pPr>
            <w:r w:rsidRPr="00B229AB">
              <w:rPr>
                <w:rFonts w:ascii="Arial Narrow" w:hAnsi="Arial Narrow" w:cs="Arial"/>
                <w:bCs/>
                <w:sz w:val="18"/>
                <w:szCs w:val="18"/>
              </w:rPr>
              <w:t>0,2</w:t>
            </w:r>
          </w:p>
        </w:tc>
        <w:tc>
          <w:tcPr>
            <w:tcW w:w="1448" w:type="dxa"/>
            <w:shd w:val="clear" w:color="auto" w:fill="auto"/>
            <w:vAlign w:val="bottom"/>
          </w:tcPr>
          <w:p w14:paraId="153B70C1" w14:textId="1676B20D" w:rsidR="00CF6903" w:rsidRPr="00CF6903" w:rsidRDefault="00CF6903" w:rsidP="00CF6903">
            <w:pPr>
              <w:spacing w:before="40" w:after="20"/>
              <w:jc w:val="right"/>
              <w:rPr>
                <w:rFonts w:ascii="Arial Narrow" w:hAnsi="Arial Narrow" w:cs="Arial"/>
                <w:bCs/>
                <w:sz w:val="18"/>
                <w:szCs w:val="18"/>
              </w:rPr>
            </w:pPr>
            <w:r w:rsidRPr="00CF6903">
              <w:rPr>
                <w:rFonts w:ascii="Arial Narrow" w:hAnsi="Arial Narrow" w:cs="Arial"/>
                <w:bCs/>
                <w:sz w:val="18"/>
                <w:szCs w:val="18"/>
              </w:rPr>
              <w:t>1,2</w:t>
            </w:r>
          </w:p>
        </w:tc>
      </w:tr>
      <w:tr w:rsidR="00BE2CFB" w:rsidRPr="009709E9" w14:paraId="7ADC472A" w14:textId="77777777" w:rsidTr="00486EDA">
        <w:trPr>
          <w:trHeight w:val="255"/>
          <w:jc w:val="center"/>
        </w:trPr>
        <w:tc>
          <w:tcPr>
            <w:tcW w:w="1701" w:type="dxa"/>
            <w:shd w:val="clear" w:color="auto" w:fill="FF0000"/>
            <w:vAlign w:val="center"/>
            <w:hideMark/>
          </w:tcPr>
          <w:p w14:paraId="50D018DF" w14:textId="5EC6DCDB" w:rsidR="00BE2CFB" w:rsidRPr="009709E9" w:rsidRDefault="00BE2CFB" w:rsidP="00BE2CFB">
            <w:pPr>
              <w:spacing w:before="40" w:after="20"/>
              <w:rPr>
                <w:rFonts w:ascii="Arial Narrow" w:hAnsi="Arial Narrow" w:cs="Arial"/>
                <w:b/>
                <w:bCs/>
                <w:color w:val="FFFFFF"/>
                <w:sz w:val="18"/>
                <w:szCs w:val="18"/>
              </w:rPr>
            </w:pPr>
            <w:r w:rsidRPr="009709E9">
              <w:rPr>
                <w:rFonts w:ascii="Arial Narrow" w:hAnsi="Arial Narrow" w:cs="Arial"/>
                <w:b/>
                <w:bCs/>
                <w:color w:val="FFFFFF"/>
                <w:sz w:val="18"/>
                <w:szCs w:val="18"/>
              </w:rPr>
              <w:t>20</w:t>
            </w:r>
            <w:r>
              <w:rPr>
                <w:rFonts w:ascii="Arial Narrow" w:hAnsi="Arial Narrow" w:cs="Arial"/>
                <w:b/>
                <w:bCs/>
                <w:color w:val="FFFFFF"/>
                <w:sz w:val="18"/>
                <w:szCs w:val="18"/>
              </w:rPr>
              <w:t>26</w:t>
            </w:r>
          </w:p>
        </w:tc>
        <w:tc>
          <w:tcPr>
            <w:tcW w:w="4344" w:type="dxa"/>
            <w:gridSpan w:val="3"/>
            <w:shd w:val="clear" w:color="auto" w:fill="FF0000"/>
            <w:vAlign w:val="center"/>
            <w:hideMark/>
          </w:tcPr>
          <w:p w14:paraId="5A57070A" w14:textId="240DCE6A" w:rsidR="00BE2CFB" w:rsidRPr="009709E9" w:rsidRDefault="00BE2CFB" w:rsidP="00601FC1">
            <w:pPr>
              <w:spacing w:before="40" w:after="20"/>
              <w:jc w:val="center"/>
              <w:rPr>
                <w:rFonts w:ascii="Arial Narrow" w:hAnsi="Arial Narrow" w:cs="Arial"/>
                <w:b/>
                <w:bCs/>
                <w:color w:val="FFFFFF"/>
                <w:sz w:val="18"/>
                <w:szCs w:val="18"/>
              </w:rPr>
            </w:pPr>
            <w:r w:rsidRPr="009709E9">
              <w:rPr>
                <w:rFonts w:ascii="Arial Narrow" w:hAnsi="Arial Narrow" w:cs="Arial"/>
                <w:b/>
                <w:bCs/>
                <w:color w:val="FFFFFF"/>
                <w:sz w:val="18"/>
                <w:szCs w:val="18"/>
              </w:rPr>
              <w:t>Base 20</w:t>
            </w:r>
            <w:r>
              <w:rPr>
                <w:rFonts w:ascii="Arial Narrow" w:hAnsi="Arial Narrow" w:cs="Arial"/>
                <w:b/>
                <w:bCs/>
                <w:color w:val="FFFFFF"/>
                <w:sz w:val="18"/>
                <w:szCs w:val="18"/>
              </w:rPr>
              <w:t>2</w:t>
            </w:r>
            <w:r w:rsidRPr="009709E9">
              <w:rPr>
                <w:rFonts w:ascii="Arial Narrow" w:hAnsi="Arial Narrow" w:cs="Arial"/>
                <w:b/>
                <w:bCs/>
                <w:color w:val="FFFFFF"/>
                <w:sz w:val="18"/>
                <w:szCs w:val="18"/>
              </w:rPr>
              <w:t>5=100</w:t>
            </w:r>
          </w:p>
        </w:tc>
        <w:tc>
          <w:tcPr>
            <w:tcW w:w="4344" w:type="dxa"/>
            <w:gridSpan w:val="3"/>
            <w:shd w:val="clear" w:color="auto" w:fill="FF0000"/>
            <w:vAlign w:val="center"/>
            <w:hideMark/>
          </w:tcPr>
          <w:p w14:paraId="57B5F747" w14:textId="66881E3B" w:rsidR="00BE2CFB" w:rsidRPr="009709E9" w:rsidRDefault="00BE2CFB" w:rsidP="00601FC1">
            <w:pPr>
              <w:spacing w:before="40" w:after="20"/>
              <w:jc w:val="center"/>
              <w:rPr>
                <w:rFonts w:ascii="Arial Narrow" w:hAnsi="Arial Narrow" w:cs="Arial"/>
                <w:b/>
                <w:bCs/>
                <w:color w:val="FFFFFF"/>
                <w:sz w:val="18"/>
                <w:szCs w:val="18"/>
              </w:rPr>
            </w:pPr>
            <w:r w:rsidRPr="009709E9">
              <w:rPr>
                <w:rFonts w:ascii="Arial Narrow" w:hAnsi="Arial Narrow" w:cs="Arial"/>
                <w:b/>
                <w:bCs/>
                <w:color w:val="FFFFFF"/>
                <w:sz w:val="18"/>
                <w:szCs w:val="18"/>
              </w:rPr>
              <w:t>Base 20</w:t>
            </w:r>
            <w:r>
              <w:rPr>
                <w:rFonts w:ascii="Arial Narrow" w:hAnsi="Arial Narrow" w:cs="Arial"/>
                <w:b/>
                <w:bCs/>
                <w:color w:val="FFFFFF"/>
                <w:sz w:val="18"/>
                <w:szCs w:val="18"/>
              </w:rPr>
              <w:t>2</w:t>
            </w:r>
            <w:r w:rsidRPr="009709E9">
              <w:rPr>
                <w:rFonts w:ascii="Arial Narrow" w:hAnsi="Arial Narrow" w:cs="Arial"/>
                <w:b/>
                <w:bCs/>
                <w:color w:val="FFFFFF"/>
                <w:sz w:val="18"/>
                <w:szCs w:val="18"/>
              </w:rPr>
              <w:t>5=100</w:t>
            </w:r>
          </w:p>
        </w:tc>
      </w:tr>
      <w:tr w:rsidR="00BE2CFB" w:rsidRPr="00BE2CFB" w14:paraId="17885790" w14:textId="77777777" w:rsidTr="00966117">
        <w:trPr>
          <w:trHeight w:val="255"/>
          <w:jc w:val="center"/>
        </w:trPr>
        <w:tc>
          <w:tcPr>
            <w:tcW w:w="1701" w:type="dxa"/>
          </w:tcPr>
          <w:p w14:paraId="325CE541" w14:textId="208701E8" w:rsidR="00BE2CFB" w:rsidRPr="005556E4" w:rsidRDefault="00BE2CFB" w:rsidP="00BE2CFB">
            <w:pPr>
              <w:spacing w:before="40" w:after="20"/>
              <w:rPr>
                <w:rFonts w:ascii="Arial Narrow" w:hAnsi="Arial Narrow" w:cs="Arial"/>
                <w:bCs/>
                <w:sz w:val="18"/>
                <w:szCs w:val="18"/>
              </w:rPr>
            </w:pPr>
            <w:r w:rsidRPr="005556E4">
              <w:rPr>
                <w:rFonts w:ascii="Arial Narrow" w:hAnsi="Arial Narrow" w:cs="Arial"/>
                <w:bCs/>
                <w:sz w:val="18"/>
                <w:szCs w:val="18"/>
              </w:rPr>
              <w:t>Gennaio</w:t>
            </w:r>
            <w:r>
              <w:rPr>
                <w:rFonts w:ascii="Arial Narrow" w:hAnsi="Arial Narrow" w:cs="Arial"/>
                <w:bCs/>
                <w:sz w:val="18"/>
                <w:szCs w:val="18"/>
              </w:rPr>
              <w:t xml:space="preserve"> (provvisorio)</w:t>
            </w:r>
          </w:p>
        </w:tc>
        <w:tc>
          <w:tcPr>
            <w:tcW w:w="1448" w:type="dxa"/>
            <w:shd w:val="clear" w:color="auto" w:fill="E6E6E6"/>
          </w:tcPr>
          <w:p w14:paraId="30D3C681" w14:textId="07D6591D" w:rsidR="00BE2CFB" w:rsidRPr="005556E4" w:rsidRDefault="00BE2CFB" w:rsidP="00BE2CFB">
            <w:pPr>
              <w:spacing w:before="40" w:after="20"/>
              <w:jc w:val="right"/>
              <w:rPr>
                <w:rFonts w:ascii="Arial Narrow" w:hAnsi="Arial Narrow" w:cs="Arial"/>
                <w:bCs/>
                <w:sz w:val="18"/>
                <w:szCs w:val="18"/>
              </w:rPr>
            </w:pPr>
            <w:r>
              <w:rPr>
                <w:rFonts w:ascii="Arial Narrow" w:hAnsi="Arial Narrow" w:cs="Arial"/>
                <w:bCs/>
                <w:sz w:val="18"/>
                <w:szCs w:val="18"/>
              </w:rPr>
              <w:t>100,4</w:t>
            </w:r>
          </w:p>
        </w:tc>
        <w:tc>
          <w:tcPr>
            <w:tcW w:w="1448" w:type="dxa"/>
          </w:tcPr>
          <w:p w14:paraId="47731F2D" w14:textId="3E564C25" w:rsidR="00BE2CFB" w:rsidRPr="005556E4" w:rsidRDefault="00BE2CFB" w:rsidP="00BE2CFB">
            <w:pPr>
              <w:spacing w:before="40" w:after="20"/>
              <w:jc w:val="right"/>
              <w:rPr>
                <w:rFonts w:ascii="Arial Narrow" w:hAnsi="Arial Narrow" w:cs="Arial"/>
                <w:bCs/>
                <w:sz w:val="18"/>
                <w:szCs w:val="18"/>
              </w:rPr>
            </w:pPr>
            <w:r>
              <w:rPr>
                <w:rFonts w:ascii="Arial Narrow" w:hAnsi="Arial Narrow" w:cs="Arial"/>
                <w:bCs/>
                <w:sz w:val="18"/>
                <w:szCs w:val="18"/>
              </w:rPr>
              <w:t>+0,4</w:t>
            </w:r>
          </w:p>
        </w:tc>
        <w:tc>
          <w:tcPr>
            <w:tcW w:w="1448" w:type="dxa"/>
          </w:tcPr>
          <w:p w14:paraId="267FD2CC" w14:textId="3E9A4257" w:rsidR="00BE2CFB" w:rsidRPr="005556E4" w:rsidRDefault="00BE2CFB" w:rsidP="00BE2CFB">
            <w:pPr>
              <w:spacing w:before="40" w:after="20"/>
              <w:jc w:val="right"/>
              <w:rPr>
                <w:rFonts w:ascii="Arial Narrow" w:hAnsi="Arial Narrow" w:cs="Arial"/>
                <w:bCs/>
                <w:sz w:val="18"/>
                <w:szCs w:val="18"/>
              </w:rPr>
            </w:pPr>
            <w:r>
              <w:rPr>
                <w:rFonts w:ascii="Arial Narrow" w:hAnsi="Arial Narrow" w:cs="Arial"/>
                <w:bCs/>
                <w:sz w:val="18"/>
                <w:szCs w:val="18"/>
              </w:rPr>
              <w:t>+1,0</w:t>
            </w:r>
          </w:p>
        </w:tc>
        <w:tc>
          <w:tcPr>
            <w:tcW w:w="1448" w:type="dxa"/>
            <w:shd w:val="clear" w:color="auto" w:fill="E6E6E6"/>
          </w:tcPr>
          <w:p w14:paraId="10C6A099" w14:textId="2D4F8C42" w:rsidR="00BE2CFB" w:rsidRPr="005556E4" w:rsidRDefault="00BE2CFB" w:rsidP="00BE2CFB">
            <w:pPr>
              <w:spacing w:before="40" w:after="20"/>
              <w:jc w:val="right"/>
              <w:rPr>
                <w:rFonts w:ascii="Arial Narrow" w:hAnsi="Arial Narrow" w:cs="Arial"/>
                <w:bCs/>
                <w:sz w:val="18"/>
                <w:szCs w:val="18"/>
              </w:rPr>
            </w:pPr>
            <w:r>
              <w:rPr>
                <w:rFonts w:ascii="Arial Narrow" w:hAnsi="Arial Narrow" w:cs="Arial"/>
                <w:bCs/>
                <w:sz w:val="18"/>
                <w:szCs w:val="18"/>
              </w:rPr>
              <w:t>99,</w:t>
            </w:r>
            <w:r w:rsidR="004F0519">
              <w:rPr>
                <w:rFonts w:ascii="Arial Narrow" w:hAnsi="Arial Narrow" w:cs="Arial"/>
                <w:bCs/>
                <w:sz w:val="18"/>
                <w:szCs w:val="18"/>
              </w:rPr>
              <w:t>5</w:t>
            </w:r>
          </w:p>
        </w:tc>
        <w:tc>
          <w:tcPr>
            <w:tcW w:w="1448" w:type="dxa"/>
          </w:tcPr>
          <w:p w14:paraId="2F0BC1CF" w14:textId="78C38289" w:rsidR="00BE2CFB" w:rsidRPr="005556E4" w:rsidRDefault="004F0519" w:rsidP="00BE2CFB">
            <w:pPr>
              <w:spacing w:before="40" w:after="20"/>
              <w:jc w:val="right"/>
              <w:rPr>
                <w:rFonts w:ascii="Arial Narrow" w:hAnsi="Arial Narrow" w:cs="Arial"/>
                <w:bCs/>
                <w:sz w:val="18"/>
                <w:szCs w:val="18"/>
              </w:rPr>
            </w:pPr>
            <w:r>
              <w:rPr>
                <w:rFonts w:ascii="Arial Narrow" w:hAnsi="Arial Narrow" w:cs="Arial"/>
                <w:bCs/>
                <w:sz w:val="18"/>
                <w:szCs w:val="18"/>
              </w:rPr>
              <w:t>-1,0</w:t>
            </w:r>
          </w:p>
        </w:tc>
        <w:tc>
          <w:tcPr>
            <w:tcW w:w="1448" w:type="dxa"/>
          </w:tcPr>
          <w:p w14:paraId="7116ECD3" w14:textId="051F6F49" w:rsidR="00BE2CFB" w:rsidRPr="005556E4" w:rsidRDefault="00BE2CFB" w:rsidP="00BE2CFB">
            <w:pPr>
              <w:spacing w:before="40" w:after="20"/>
              <w:jc w:val="right"/>
              <w:rPr>
                <w:rFonts w:ascii="Arial Narrow" w:hAnsi="Arial Narrow" w:cs="Arial"/>
                <w:bCs/>
                <w:sz w:val="18"/>
                <w:szCs w:val="18"/>
              </w:rPr>
            </w:pPr>
            <w:r>
              <w:rPr>
                <w:rFonts w:ascii="Arial Narrow" w:hAnsi="Arial Narrow" w:cs="Arial"/>
                <w:bCs/>
                <w:sz w:val="18"/>
                <w:szCs w:val="18"/>
              </w:rPr>
              <w:t>+1</w:t>
            </w:r>
            <w:r w:rsidR="00601FC1">
              <w:rPr>
                <w:rFonts w:ascii="Arial Narrow" w:hAnsi="Arial Narrow" w:cs="Arial"/>
                <w:bCs/>
                <w:sz w:val="18"/>
                <w:szCs w:val="18"/>
              </w:rPr>
              <w:t>,0</w:t>
            </w:r>
          </w:p>
        </w:tc>
      </w:tr>
    </w:tbl>
    <w:p w14:paraId="7BE99557" w14:textId="77777777" w:rsidR="00915CE1" w:rsidRPr="00820101" w:rsidRDefault="00915CE1" w:rsidP="00915CE1">
      <w:pPr>
        <w:widowControl/>
        <w:overflowPunct/>
        <w:autoSpaceDE/>
        <w:autoSpaceDN/>
        <w:adjustRightInd/>
        <w:spacing w:before="0" w:after="0" w:line="240" w:lineRule="exact"/>
        <w:rPr>
          <w:rFonts w:ascii="Arial Narrow" w:hAnsi="Arial Narrow" w:cs="Arial"/>
          <w:b/>
          <w:sz w:val="22"/>
          <w:szCs w:val="22"/>
        </w:rPr>
      </w:pPr>
      <w:r w:rsidRPr="00820101">
        <w:rPr>
          <w:rFonts w:ascii="Arial Narrow" w:hAnsi="Arial Narrow"/>
        </w:rPr>
        <w:br w:type="page"/>
      </w:r>
    </w:p>
    <w:p w14:paraId="382D66A8" w14:textId="77777777" w:rsidR="00344F4E" w:rsidRPr="000C11ED" w:rsidRDefault="00344F4E" w:rsidP="00CD5355">
      <w:pPr>
        <w:pStyle w:val="00TitoGra1"/>
        <w:spacing w:after="120" w:line="240" w:lineRule="auto"/>
        <w:rPr>
          <w:color w:val="E42618"/>
          <w:sz w:val="36"/>
          <w:szCs w:val="36"/>
        </w:rPr>
      </w:pPr>
      <w:r w:rsidRPr="000C11ED">
        <w:rPr>
          <w:color w:val="E42618"/>
          <w:sz w:val="36"/>
          <w:szCs w:val="36"/>
        </w:rPr>
        <w:lastRenderedPageBreak/>
        <w:t>Indice nazionale dei prezzi al consumo per l’intera collettività (NIC)</w:t>
      </w:r>
    </w:p>
    <w:p w14:paraId="40C803DD" w14:textId="77777777" w:rsidR="00344F4E" w:rsidRPr="00FA4447" w:rsidRDefault="00344F4E" w:rsidP="00CD5355">
      <w:pPr>
        <w:pStyle w:val="001TitoloBolocco"/>
        <w:spacing w:after="120" w:line="240" w:lineRule="auto"/>
      </w:pPr>
      <w:r w:rsidRPr="005335A3">
        <w:t>LE DIVISIONI DI SPESA</w:t>
      </w:r>
    </w:p>
    <w:p w14:paraId="5448FE0A" w14:textId="77777777" w:rsidR="00EB5D65" w:rsidRDefault="00EB5D65" w:rsidP="00EB5D65">
      <w:pPr>
        <w:pStyle w:val="001TitoGra"/>
        <w:spacing w:after="120" w:line="240" w:lineRule="auto"/>
        <w:rPr>
          <w:color w:val="E42618"/>
        </w:rPr>
      </w:pPr>
    </w:p>
    <w:p w14:paraId="0F46ADC9" w14:textId="77777777" w:rsidR="00EB5D65" w:rsidRDefault="00EB5D65" w:rsidP="00EB5D65">
      <w:pPr>
        <w:pStyle w:val="001TitoGra"/>
      </w:pPr>
      <w:r w:rsidRPr="00FA4447">
        <w:rPr>
          <w:color w:val="E42618"/>
        </w:rPr>
        <w:t>PROSPETTO 2</w:t>
      </w:r>
      <w:r w:rsidRPr="00D6325B">
        <w:rPr>
          <w:color w:val="D90B13"/>
        </w:rPr>
        <w:t>.</w:t>
      </w:r>
      <w:r w:rsidRPr="00EA0885">
        <w:t xml:space="preserve"> INDICI DEI PREZZI AL CONSUMO NIC PER DIVISIONE</w:t>
      </w:r>
      <w:r>
        <w:t xml:space="preserve"> DI SPESA</w:t>
      </w:r>
    </w:p>
    <w:p w14:paraId="2585BDEE" w14:textId="4E5832B7" w:rsidR="005031DD" w:rsidRPr="00EA0885" w:rsidRDefault="0097131D" w:rsidP="005031DD">
      <w:pPr>
        <w:pStyle w:val="001SottotitoloGra"/>
        <w:spacing w:line="240" w:lineRule="auto"/>
      </w:pPr>
      <w:r>
        <w:t>Gennaio</w:t>
      </w:r>
      <w:r w:rsidR="006E630A">
        <w:t xml:space="preserve"> 202</w:t>
      </w:r>
      <w:r>
        <w:t>6</w:t>
      </w:r>
      <w:r w:rsidR="005031DD" w:rsidRPr="008154D4">
        <w:t>, pesi e v</w:t>
      </w:r>
      <w:r w:rsidR="005031DD">
        <w:t>ariazioni percentuali congiunturali e tendenziali (base 20</w:t>
      </w:r>
      <w:r w:rsidR="00A41ADA">
        <w:t>2</w:t>
      </w:r>
      <w:r w:rsidR="005031DD">
        <w:t>5</w:t>
      </w:r>
      <w:r w:rsidR="005031DD" w:rsidRPr="008154D4">
        <w:t>=100)</w:t>
      </w:r>
    </w:p>
    <w:tbl>
      <w:tblPr>
        <w:tblW w:w="1016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571"/>
        <w:gridCol w:w="1164"/>
        <w:gridCol w:w="1074"/>
        <w:gridCol w:w="1053"/>
        <w:gridCol w:w="1074"/>
        <w:gridCol w:w="1074"/>
        <w:gridCol w:w="1156"/>
      </w:tblGrid>
      <w:tr w:rsidR="006E630A" w:rsidRPr="008814F3" w14:paraId="04267D85" w14:textId="77777777" w:rsidTr="004B3ACE">
        <w:trPr>
          <w:trHeight w:val="255"/>
          <w:jc w:val="center"/>
        </w:trPr>
        <w:tc>
          <w:tcPr>
            <w:tcW w:w="3571" w:type="dxa"/>
            <w:vMerge w:val="restart"/>
            <w:shd w:val="clear" w:color="auto" w:fill="auto"/>
            <w:vAlign w:val="center"/>
            <w:hideMark/>
          </w:tcPr>
          <w:p w14:paraId="16D418FF" w14:textId="77777777" w:rsidR="006E630A" w:rsidRPr="008814F3" w:rsidRDefault="006E630A" w:rsidP="004B3ACE">
            <w:pPr>
              <w:widowControl/>
              <w:overflowPunct/>
              <w:autoSpaceDE/>
              <w:autoSpaceDN/>
              <w:adjustRightInd/>
              <w:spacing w:before="0" w:after="0"/>
              <w:rPr>
                <w:rFonts w:ascii="Arial Narrow" w:hAnsi="Arial Narrow" w:cs="Arial"/>
                <w:b/>
                <w:bCs/>
                <w:kern w:val="0"/>
                <w:sz w:val="18"/>
                <w:szCs w:val="18"/>
              </w:rPr>
            </w:pPr>
            <w:bookmarkStart w:id="1" w:name="RANGE!N3"/>
            <w:r w:rsidRPr="008814F3">
              <w:rPr>
                <w:rFonts w:ascii="Arial Narrow" w:hAnsi="Arial Narrow" w:cs="Arial"/>
                <w:b/>
                <w:bCs/>
                <w:kern w:val="0"/>
                <w:sz w:val="18"/>
                <w:szCs w:val="18"/>
              </w:rPr>
              <w:t>DIVISIONI DI SPESA</w:t>
            </w:r>
            <w:bookmarkEnd w:id="1"/>
          </w:p>
        </w:tc>
        <w:tc>
          <w:tcPr>
            <w:tcW w:w="1164" w:type="dxa"/>
            <w:vMerge w:val="restart"/>
            <w:shd w:val="clear" w:color="000000" w:fill="D9D9D9"/>
            <w:vAlign w:val="center"/>
            <w:hideMark/>
          </w:tcPr>
          <w:p w14:paraId="61CFB7B1" w14:textId="77777777" w:rsidR="006E630A" w:rsidRPr="008814F3" w:rsidRDefault="006E630A" w:rsidP="004B3ACE">
            <w:pPr>
              <w:widowControl/>
              <w:overflowPunct/>
              <w:autoSpaceDE/>
              <w:autoSpaceDN/>
              <w:adjustRightInd/>
              <w:spacing w:before="0" w:after="0"/>
              <w:jc w:val="right"/>
              <w:rPr>
                <w:rFonts w:ascii="Arial Narrow" w:hAnsi="Arial Narrow" w:cs="Arial"/>
                <w:b/>
                <w:bCs/>
                <w:kern w:val="0"/>
                <w:sz w:val="18"/>
                <w:szCs w:val="18"/>
              </w:rPr>
            </w:pPr>
            <w:r w:rsidRPr="008814F3">
              <w:rPr>
                <w:rFonts w:ascii="Arial Narrow" w:hAnsi="Arial Narrow" w:cs="Arial"/>
                <w:b/>
                <w:bCs/>
                <w:kern w:val="0"/>
                <w:sz w:val="18"/>
                <w:szCs w:val="18"/>
              </w:rPr>
              <w:t>Pesi</w:t>
            </w:r>
          </w:p>
        </w:tc>
        <w:tc>
          <w:tcPr>
            <w:tcW w:w="2127" w:type="dxa"/>
            <w:gridSpan w:val="2"/>
            <w:shd w:val="clear" w:color="auto" w:fill="auto"/>
            <w:vAlign w:val="center"/>
            <w:hideMark/>
          </w:tcPr>
          <w:p w14:paraId="78C6DEF5" w14:textId="77777777" w:rsidR="006E630A" w:rsidRPr="00DB5B05" w:rsidRDefault="006E630A" w:rsidP="004B3ACE">
            <w:pPr>
              <w:widowControl/>
              <w:overflowPunct/>
              <w:autoSpaceDE/>
              <w:autoSpaceDN/>
              <w:adjustRightInd/>
              <w:spacing w:before="0" w:after="0"/>
              <w:jc w:val="right"/>
              <w:rPr>
                <w:rFonts w:ascii="Arial Narrow" w:hAnsi="Arial Narrow" w:cs="Arial"/>
                <w:b/>
                <w:bCs/>
                <w:kern w:val="0"/>
                <w:sz w:val="18"/>
                <w:szCs w:val="18"/>
              </w:rPr>
            </w:pPr>
            <w:r w:rsidRPr="00DB5B05">
              <w:rPr>
                <w:rFonts w:ascii="Arial Narrow" w:hAnsi="Arial Narrow" w:cs="Arial"/>
                <w:b/>
                <w:bCs/>
                <w:kern w:val="0"/>
                <w:sz w:val="18"/>
                <w:szCs w:val="18"/>
              </w:rPr>
              <w:t>Variazioni congiunturali</w:t>
            </w:r>
          </w:p>
        </w:tc>
        <w:tc>
          <w:tcPr>
            <w:tcW w:w="2148" w:type="dxa"/>
            <w:gridSpan w:val="2"/>
            <w:shd w:val="clear" w:color="000000" w:fill="D9D9D9"/>
            <w:vAlign w:val="center"/>
            <w:hideMark/>
          </w:tcPr>
          <w:p w14:paraId="00645F29" w14:textId="77777777" w:rsidR="006E630A" w:rsidRPr="00DB5B05" w:rsidRDefault="006E630A" w:rsidP="004B3ACE">
            <w:pPr>
              <w:widowControl/>
              <w:overflowPunct/>
              <w:autoSpaceDE/>
              <w:autoSpaceDN/>
              <w:adjustRightInd/>
              <w:spacing w:before="0" w:after="0"/>
              <w:jc w:val="right"/>
              <w:rPr>
                <w:rFonts w:ascii="Arial Narrow" w:hAnsi="Arial Narrow" w:cs="Arial"/>
                <w:b/>
                <w:bCs/>
                <w:kern w:val="0"/>
                <w:sz w:val="18"/>
                <w:szCs w:val="18"/>
              </w:rPr>
            </w:pPr>
            <w:r w:rsidRPr="00DB5B05">
              <w:rPr>
                <w:rFonts w:ascii="Arial Narrow" w:hAnsi="Arial Narrow" w:cs="Arial"/>
                <w:b/>
                <w:bCs/>
                <w:kern w:val="0"/>
                <w:sz w:val="18"/>
                <w:szCs w:val="18"/>
              </w:rPr>
              <w:t>Variazioni tendenziali</w:t>
            </w:r>
          </w:p>
        </w:tc>
        <w:tc>
          <w:tcPr>
            <w:tcW w:w="1156" w:type="dxa"/>
            <w:vMerge w:val="restart"/>
            <w:shd w:val="clear" w:color="auto" w:fill="auto"/>
            <w:vAlign w:val="center"/>
            <w:hideMark/>
          </w:tcPr>
          <w:p w14:paraId="25A348A4" w14:textId="7079AE79" w:rsidR="006E630A" w:rsidRPr="00DB5B05" w:rsidRDefault="006E630A" w:rsidP="00834855">
            <w:pPr>
              <w:widowControl/>
              <w:overflowPunct/>
              <w:autoSpaceDE/>
              <w:autoSpaceDN/>
              <w:adjustRightInd/>
              <w:spacing w:before="40" w:after="20"/>
              <w:jc w:val="right"/>
              <w:rPr>
                <w:rFonts w:ascii="Arial Narrow" w:hAnsi="Arial Narrow" w:cs="Arial"/>
                <w:b/>
                <w:bCs/>
                <w:kern w:val="0"/>
                <w:sz w:val="18"/>
                <w:szCs w:val="18"/>
              </w:rPr>
            </w:pPr>
            <w:r w:rsidRPr="00DB5B05">
              <w:rPr>
                <w:rFonts w:ascii="Arial Narrow" w:hAnsi="Arial Narrow" w:cs="Arial"/>
                <w:b/>
                <w:bCs/>
                <w:kern w:val="0"/>
                <w:sz w:val="18"/>
                <w:szCs w:val="18"/>
              </w:rPr>
              <w:t>Inflazione acquisita</w:t>
            </w:r>
            <w:r w:rsidR="00EB3702">
              <w:rPr>
                <w:rFonts w:ascii="Arial Narrow" w:hAnsi="Arial Narrow" w:cs="Arial"/>
                <w:b/>
                <w:bCs/>
                <w:kern w:val="0"/>
                <w:sz w:val="18"/>
                <w:szCs w:val="18"/>
              </w:rPr>
              <w:t xml:space="preserve"> </w:t>
            </w:r>
            <w:r w:rsidRPr="00DB5B05">
              <w:rPr>
                <w:rFonts w:ascii="Arial Narrow" w:hAnsi="Arial Narrow" w:cs="Arial"/>
                <w:b/>
                <w:bCs/>
                <w:kern w:val="0"/>
                <w:sz w:val="18"/>
                <w:szCs w:val="18"/>
              </w:rPr>
              <w:t>a</w:t>
            </w:r>
            <w:r w:rsidR="00CE10FA">
              <w:rPr>
                <w:rFonts w:ascii="Arial Narrow" w:hAnsi="Arial Narrow" w:cs="Arial"/>
                <w:b/>
                <w:bCs/>
                <w:kern w:val="0"/>
                <w:sz w:val="18"/>
                <w:szCs w:val="18"/>
              </w:rPr>
              <w:t xml:space="preserve"> </w:t>
            </w:r>
            <w:r w:rsidR="0097131D">
              <w:rPr>
                <w:rFonts w:ascii="Arial Narrow" w:hAnsi="Arial Narrow" w:cs="Arial"/>
                <w:b/>
                <w:bCs/>
                <w:kern w:val="0"/>
                <w:sz w:val="18"/>
                <w:szCs w:val="18"/>
              </w:rPr>
              <w:t>gennaio</w:t>
            </w:r>
          </w:p>
        </w:tc>
      </w:tr>
      <w:tr w:rsidR="008747D2" w:rsidRPr="008814F3" w14:paraId="078AD832" w14:textId="77777777" w:rsidTr="004B3ACE">
        <w:trPr>
          <w:trHeight w:val="431"/>
          <w:jc w:val="center"/>
        </w:trPr>
        <w:tc>
          <w:tcPr>
            <w:tcW w:w="3571" w:type="dxa"/>
            <w:vMerge/>
            <w:vAlign w:val="center"/>
            <w:hideMark/>
          </w:tcPr>
          <w:p w14:paraId="53AA132F" w14:textId="77777777" w:rsidR="008747D2" w:rsidRPr="008814F3" w:rsidRDefault="008747D2" w:rsidP="008747D2">
            <w:pPr>
              <w:widowControl/>
              <w:overflowPunct/>
              <w:autoSpaceDE/>
              <w:autoSpaceDN/>
              <w:adjustRightInd/>
              <w:spacing w:before="0" w:after="0"/>
              <w:rPr>
                <w:rFonts w:ascii="Arial Narrow" w:hAnsi="Arial Narrow" w:cs="Arial"/>
                <w:b/>
                <w:bCs/>
                <w:kern w:val="0"/>
                <w:sz w:val="18"/>
                <w:szCs w:val="18"/>
              </w:rPr>
            </w:pPr>
          </w:p>
        </w:tc>
        <w:tc>
          <w:tcPr>
            <w:tcW w:w="1164" w:type="dxa"/>
            <w:vMerge/>
            <w:vAlign w:val="center"/>
            <w:hideMark/>
          </w:tcPr>
          <w:p w14:paraId="3EAED0EF" w14:textId="77777777" w:rsidR="008747D2" w:rsidRPr="008814F3" w:rsidRDefault="008747D2" w:rsidP="008747D2">
            <w:pPr>
              <w:widowControl/>
              <w:overflowPunct/>
              <w:autoSpaceDE/>
              <w:autoSpaceDN/>
              <w:adjustRightInd/>
              <w:spacing w:before="0" w:after="0"/>
              <w:rPr>
                <w:rFonts w:ascii="Arial Narrow" w:hAnsi="Arial Narrow" w:cs="Arial"/>
                <w:b/>
                <w:bCs/>
                <w:kern w:val="0"/>
                <w:sz w:val="18"/>
                <w:szCs w:val="18"/>
              </w:rPr>
            </w:pPr>
          </w:p>
        </w:tc>
        <w:tc>
          <w:tcPr>
            <w:tcW w:w="1074" w:type="dxa"/>
            <w:shd w:val="clear" w:color="auto" w:fill="auto"/>
            <w:vAlign w:val="center"/>
            <w:hideMark/>
          </w:tcPr>
          <w:p w14:paraId="53923904" w14:textId="6D04CB85" w:rsidR="008747D2" w:rsidRPr="00DB5B05" w:rsidRDefault="0097131D" w:rsidP="008747D2">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gen</w:t>
            </w:r>
            <w:r w:rsidR="008747D2" w:rsidRPr="00DB5B05">
              <w:rPr>
                <w:rFonts w:ascii="Arial Narrow" w:hAnsi="Arial Narrow" w:cs="Arial"/>
                <w:kern w:val="0"/>
                <w:sz w:val="18"/>
                <w:szCs w:val="18"/>
                <w:u w:val="single"/>
              </w:rPr>
              <w:t>-2</w:t>
            </w:r>
            <w:r>
              <w:rPr>
                <w:rFonts w:ascii="Arial Narrow" w:hAnsi="Arial Narrow" w:cs="Arial"/>
                <w:kern w:val="0"/>
                <w:sz w:val="18"/>
                <w:szCs w:val="18"/>
                <w:u w:val="single"/>
              </w:rPr>
              <w:t>6</w:t>
            </w:r>
          </w:p>
          <w:p w14:paraId="2BA22047" w14:textId="2C5C3106" w:rsidR="008747D2" w:rsidRPr="00DB5B05" w:rsidRDefault="0097131D" w:rsidP="008747D2">
            <w:pPr>
              <w:widowControl/>
              <w:overflowPunct/>
              <w:autoSpaceDE/>
              <w:autoSpaceDN/>
              <w:adjustRightInd/>
              <w:spacing w:before="40" w:after="20"/>
              <w:jc w:val="right"/>
              <w:rPr>
                <w:rFonts w:ascii="Arial Narrow" w:hAnsi="Arial Narrow" w:cs="Arial"/>
                <w:kern w:val="0"/>
                <w:sz w:val="18"/>
                <w:szCs w:val="18"/>
              </w:rPr>
            </w:pPr>
            <w:r>
              <w:rPr>
                <w:rFonts w:ascii="Arial Narrow" w:hAnsi="Arial Narrow" w:cs="Arial"/>
                <w:kern w:val="0"/>
                <w:sz w:val="18"/>
                <w:szCs w:val="18"/>
              </w:rPr>
              <w:t>dic</w:t>
            </w:r>
            <w:r w:rsidR="008747D2" w:rsidRPr="00DB5B05">
              <w:rPr>
                <w:rFonts w:ascii="Arial Narrow" w:hAnsi="Arial Narrow" w:cs="Arial"/>
                <w:kern w:val="0"/>
                <w:sz w:val="18"/>
                <w:szCs w:val="18"/>
              </w:rPr>
              <w:t>-2</w:t>
            </w:r>
            <w:r w:rsidR="000F24EF">
              <w:rPr>
                <w:rFonts w:ascii="Arial Narrow" w:hAnsi="Arial Narrow" w:cs="Arial"/>
                <w:kern w:val="0"/>
                <w:sz w:val="18"/>
                <w:szCs w:val="18"/>
              </w:rPr>
              <w:t>5</w:t>
            </w:r>
          </w:p>
        </w:tc>
        <w:tc>
          <w:tcPr>
            <w:tcW w:w="1053" w:type="dxa"/>
            <w:shd w:val="clear" w:color="auto" w:fill="auto"/>
            <w:vAlign w:val="center"/>
            <w:hideMark/>
          </w:tcPr>
          <w:p w14:paraId="05BD04C2" w14:textId="5506E031" w:rsidR="008747D2" w:rsidRPr="00DB5B05" w:rsidRDefault="0097131D" w:rsidP="008747D2">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gen</w:t>
            </w:r>
            <w:r w:rsidR="008747D2" w:rsidRPr="00DB5B05">
              <w:rPr>
                <w:rFonts w:ascii="Arial Narrow" w:hAnsi="Arial Narrow" w:cs="Arial"/>
                <w:kern w:val="0"/>
                <w:sz w:val="18"/>
                <w:szCs w:val="18"/>
                <w:u w:val="single"/>
              </w:rPr>
              <w:t>-2</w:t>
            </w:r>
            <w:r>
              <w:rPr>
                <w:rFonts w:ascii="Arial Narrow" w:hAnsi="Arial Narrow" w:cs="Arial"/>
                <w:kern w:val="0"/>
                <w:sz w:val="18"/>
                <w:szCs w:val="18"/>
                <w:u w:val="single"/>
              </w:rPr>
              <w:t>5</w:t>
            </w:r>
          </w:p>
          <w:p w14:paraId="3F6C4C76" w14:textId="130379A9" w:rsidR="008747D2" w:rsidRPr="00DB5B05" w:rsidRDefault="0097131D" w:rsidP="000F24EF">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rPr>
              <w:t>dic</w:t>
            </w:r>
            <w:r w:rsidR="008747D2" w:rsidRPr="00DB5B05">
              <w:rPr>
                <w:rFonts w:ascii="Arial Narrow" w:hAnsi="Arial Narrow" w:cs="Arial"/>
                <w:kern w:val="0"/>
                <w:sz w:val="18"/>
                <w:szCs w:val="18"/>
              </w:rPr>
              <w:t>-2</w:t>
            </w:r>
            <w:r w:rsidR="000F24EF">
              <w:rPr>
                <w:rFonts w:ascii="Arial Narrow" w:hAnsi="Arial Narrow" w:cs="Arial"/>
                <w:kern w:val="0"/>
                <w:sz w:val="18"/>
                <w:szCs w:val="18"/>
              </w:rPr>
              <w:t>4</w:t>
            </w:r>
          </w:p>
        </w:tc>
        <w:tc>
          <w:tcPr>
            <w:tcW w:w="1074" w:type="dxa"/>
            <w:shd w:val="clear" w:color="auto" w:fill="auto"/>
            <w:vAlign w:val="center"/>
            <w:hideMark/>
          </w:tcPr>
          <w:p w14:paraId="38BE175F" w14:textId="67B127B4" w:rsidR="008747D2" w:rsidRPr="00DB5B05" w:rsidRDefault="0097131D" w:rsidP="008747D2">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gen</w:t>
            </w:r>
            <w:r w:rsidR="008747D2" w:rsidRPr="00DB5B05">
              <w:rPr>
                <w:rFonts w:ascii="Arial Narrow" w:hAnsi="Arial Narrow" w:cs="Arial"/>
                <w:kern w:val="0"/>
                <w:sz w:val="18"/>
                <w:szCs w:val="18"/>
                <w:u w:val="single"/>
              </w:rPr>
              <w:t>-2</w:t>
            </w:r>
            <w:r>
              <w:rPr>
                <w:rFonts w:ascii="Arial Narrow" w:hAnsi="Arial Narrow" w:cs="Arial"/>
                <w:kern w:val="0"/>
                <w:sz w:val="18"/>
                <w:szCs w:val="18"/>
                <w:u w:val="single"/>
              </w:rPr>
              <w:t>6</w:t>
            </w:r>
          </w:p>
          <w:p w14:paraId="6F935C71" w14:textId="3E83E98F" w:rsidR="008747D2" w:rsidRPr="00DB5B05" w:rsidRDefault="0097131D" w:rsidP="008747D2">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rPr>
              <w:t>gen</w:t>
            </w:r>
            <w:r w:rsidR="008747D2" w:rsidRPr="00DB5B05">
              <w:rPr>
                <w:rFonts w:ascii="Arial Narrow" w:hAnsi="Arial Narrow" w:cs="Arial"/>
                <w:kern w:val="0"/>
                <w:sz w:val="18"/>
                <w:szCs w:val="18"/>
              </w:rPr>
              <w:t>-2</w:t>
            </w:r>
            <w:r>
              <w:rPr>
                <w:rFonts w:ascii="Arial Narrow" w:hAnsi="Arial Narrow" w:cs="Arial"/>
                <w:kern w:val="0"/>
                <w:sz w:val="18"/>
                <w:szCs w:val="18"/>
              </w:rPr>
              <w:t>5</w:t>
            </w:r>
          </w:p>
        </w:tc>
        <w:tc>
          <w:tcPr>
            <w:tcW w:w="1074" w:type="dxa"/>
            <w:shd w:val="clear" w:color="auto" w:fill="auto"/>
            <w:vAlign w:val="center"/>
            <w:hideMark/>
          </w:tcPr>
          <w:p w14:paraId="034E5F74" w14:textId="5364B30E" w:rsidR="008747D2" w:rsidRPr="00DB5B05" w:rsidRDefault="0097131D" w:rsidP="008747D2">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dic</w:t>
            </w:r>
            <w:r w:rsidR="008747D2" w:rsidRPr="00DB5B05">
              <w:rPr>
                <w:rFonts w:ascii="Arial Narrow" w:hAnsi="Arial Narrow" w:cs="Arial"/>
                <w:kern w:val="0"/>
                <w:sz w:val="18"/>
                <w:szCs w:val="18"/>
                <w:u w:val="single"/>
              </w:rPr>
              <w:t>-2</w:t>
            </w:r>
            <w:r w:rsidR="000F24EF">
              <w:rPr>
                <w:rFonts w:ascii="Arial Narrow" w:hAnsi="Arial Narrow" w:cs="Arial"/>
                <w:kern w:val="0"/>
                <w:sz w:val="18"/>
                <w:szCs w:val="18"/>
                <w:u w:val="single"/>
              </w:rPr>
              <w:t>5</w:t>
            </w:r>
          </w:p>
          <w:p w14:paraId="70B0971D" w14:textId="2D005817" w:rsidR="008747D2" w:rsidRPr="00DB5B05" w:rsidRDefault="0097131D" w:rsidP="000F24EF">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rPr>
              <w:t>dic</w:t>
            </w:r>
            <w:r w:rsidR="008747D2" w:rsidRPr="00DB5B05">
              <w:rPr>
                <w:rFonts w:ascii="Arial Narrow" w:hAnsi="Arial Narrow" w:cs="Arial"/>
                <w:kern w:val="0"/>
                <w:sz w:val="18"/>
                <w:szCs w:val="18"/>
              </w:rPr>
              <w:t>-2</w:t>
            </w:r>
            <w:r w:rsidR="000F24EF">
              <w:rPr>
                <w:rFonts w:ascii="Arial Narrow" w:hAnsi="Arial Narrow" w:cs="Arial"/>
                <w:kern w:val="0"/>
                <w:sz w:val="18"/>
                <w:szCs w:val="18"/>
              </w:rPr>
              <w:t>4</w:t>
            </w:r>
          </w:p>
        </w:tc>
        <w:tc>
          <w:tcPr>
            <w:tcW w:w="1156" w:type="dxa"/>
            <w:vMerge/>
            <w:shd w:val="clear" w:color="auto" w:fill="auto"/>
            <w:vAlign w:val="center"/>
            <w:hideMark/>
          </w:tcPr>
          <w:p w14:paraId="41A239A9" w14:textId="77777777" w:rsidR="008747D2" w:rsidRPr="00DB5B05" w:rsidRDefault="008747D2" w:rsidP="008747D2">
            <w:pPr>
              <w:widowControl/>
              <w:overflowPunct/>
              <w:autoSpaceDE/>
              <w:autoSpaceDN/>
              <w:adjustRightInd/>
              <w:spacing w:before="0" w:after="0"/>
              <w:jc w:val="right"/>
              <w:rPr>
                <w:rFonts w:ascii="Arial Narrow" w:hAnsi="Arial Narrow" w:cs="Arial"/>
                <w:b/>
                <w:bCs/>
                <w:kern w:val="0"/>
                <w:sz w:val="18"/>
                <w:szCs w:val="18"/>
              </w:rPr>
            </w:pPr>
          </w:p>
        </w:tc>
      </w:tr>
      <w:tr w:rsidR="007E23DC" w:rsidRPr="006E630A" w14:paraId="4DE7A628" w14:textId="77777777" w:rsidTr="00901CE7">
        <w:trPr>
          <w:trHeight w:val="255"/>
          <w:jc w:val="center"/>
        </w:trPr>
        <w:tc>
          <w:tcPr>
            <w:tcW w:w="3571" w:type="dxa"/>
            <w:shd w:val="clear" w:color="auto" w:fill="auto"/>
            <w:vAlign w:val="center"/>
            <w:hideMark/>
          </w:tcPr>
          <w:p w14:paraId="7494BACC" w14:textId="77777777" w:rsidR="007E23DC" w:rsidRPr="008814F3" w:rsidRDefault="007E23DC" w:rsidP="007E23DC">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Prodotti alimentari e bevande analcoliche</w:t>
            </w:r>
          </w:p>
        </w:tc>
        <w:tc>
          <w:tcPr>
            <w:tcW w:w="1164" w:type="dxa"/>
            <w:shd w:val="clear" w:color="000000" w:fill="D9D9D9"/>
            <w:vAlign w:val="bottom"/>
          </w:tcPr>
          <w:p w14:paraId="08CF0CA3" w14:textId="0DB4CA7B" w:rsidR="007E23DC" w:rsidRPr="00A409AE" w:rsidRDefault="007E23DC" w:rsidP="007E23DC">
            <w:pPr>
              <w:widowControl/>
              <w:overflowPunct/>
              <w:autoSpaceDE/>
              <w:autoSpaceDN/>
              <w:adjustRightInd/>
              <w:spacing w:before="0" w:after="0"/>
              <w:jc w:val="right"/>
              <w:rPr>
                <w:rFonts w:ascii="Arial Narrow" w:hAnsi="Arial Narrow" w:cs="Arial"/>
                <w:kern w:val="0"/>
                <w:sz w:val="18"/>
                <w:szCs w:val="18"/>
              </w:rPr>
            </w:pPr>
            <w:r w:rsidRPr="00BE2CFB">
              <w:rPr>
                <w:rFonts w:ascii="Arial Narrow" w:hAnsi="Arial Narrow" w:cs="Arial"/>
                <w:kern w:val="0"/>
                <w:sz w:val="18"/>
                <w:szCs w:val="18"/>
              </w:rPr>
              <w:t>171</w:t>
            </w:r>
            <w:r>
              <w:rPr>
                <w:rFonts w:ascii="Arial Narrow" w:hAnsi="Arial Narrow" w:cs="Arial"/>
                <w:kern w:val="0"/>
                <w:sz w:val="18"/>
                <w:szCs w:val="18"/>
              </w:rPr>
              <w:t>.</w:t>
            </w:r>
            <w:r w:rsidRPr="00BE2CFB">
              <w:rPr>
                <w:rFonts w:ascii="Arial Narrow" w:hAnsi="Arial Narrow" w:cs="Arial"/>
                <w:kern w:val="0"/>
                <w:sz w:val="18"/>
                <w:szCs w:val="18"/>
              </w:rPr>
              <w:t>332</w:t>
            </w:r>
          </w:p>
        </w:tc>
        <w:tc>
          <w:tcPr>
            <w:tcW w:w="1074" w:type="dxa"/>
            <w:shd w:val="clear" w:color="auto" w:fill="auto"/>
            <w:vAlign w:val="center"/>
          </w:tcPr>
          <w:p w14:paraId="0A248BAE" w14:textId="4FA525CC"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+1,0</w:t>
            </w:r>
          </w:p>
        </w:tc>
        <w:tc>
          <w:tcPr>
            <w:tcW w:w="1053" w:type="dxa"/>
            <w:shd w:val="clear" w:color="auto" w:fill="D9D9D9" w:themeFill="background1" w:themeFillShade="D9"/>
            <w:vAlign w:val="center"/>
          </w:tcPr>
          <w:p w14:paraId="370F4A1C" w14:textId="7EFA891E"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074" w:type="dxa"/>
            <w:shd w:val="clear" w:color="auto" w:fill="auto"/>
            <w:vAlign w:val="center"/>
          </w:tcPr>
          <w:p w14:paraId="609ADAFA" w14:textId="60F51A12"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+2,6</w:t>
            </w:r>
          </w:p>
        </w:tc>
        <w:tc>
          <w:tcPr>
            <w:tcW w:w="1074" w:type="dxa"/>
            <w:shd w:val="clear" w:color="000000" w:fill="D9D9D9"/>
            <w:vAlign w:val="center"/>
          </w:tcPr>
          <w:p w14:paraId="2FCF9B9D" w14:textId="7217A5E2"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156" w:type="dxa"/>
            <w:shd w:val="clear" w:color="auto" w:fill="auto"/>
            <w:vAlign w:val="center"/>
          </w:tcPr>
          <w:p w14:paraId="4A919400" w14:textId="3CD389EB" w:rsidR="007E23DC" w:rsidRPr="009D77AA"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1,6</w:t>
            </w:r>
          </w:p>
        </w:tc>
      </w:tr>
      <w:tr w:rsidR="007E23DC" w:rsidRPr="00FB460C" w14:paraId="52E91433" w14:textId="77777777" w:rsidTr="00901CE7">
        <w:trPr>
          <w:trHeight w:val="255"/>
          <w:jc w:val="center"/>
        </w:trPr>
        <w:tc>
          <w:tcPr>
            <w:tcW w:w="3571" w:type="dxa"/>
            <w:shd w:val="clear" w:color="auto" w:fill="auto"/>
            <w:vAlign w:val="center"/>
            <w:hideMark/>
          </w:tcPr>
          <w:p w14:paraId="4ADE246C" w14:textId="4816962C" w:rsidR="007E23DC" w:rsidRPr="008814F3" w:rsidRDefault="007E23DC" w:rsidP="007E23DC">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Bevande alcoliche</w:t>
            </w:r>
            <w:r>
              <w:rPr>
                <w:rFonts w:ascii="Arial Narrow" w:hAnsi="Arial Narrow" w:cs="Arial"/>
                <w:kern w:val="0"/>
                <w:sz w:val="18"/>
                <w:szCs w:val="18"/>
              </w:rPr>
              <w:t>,</w:t>
            </w:r>
            <w:r w:rsidRPr="008814F3">
              <w:rPr>
                <w:rFonts w:ascii="Arial Narrow" w:hAnsi="Arial Narrow" w:cs="Arial"/>
                <w:kern w:val="0"/>
                <w:sz w:val="18"/>
                <w:szCs w:val="18"/>
              </w:rPr>
              <w:t xml:space="preserve"> tabac</w:t>
            </w:r>
            <w:r>
              <w:rPr>
                <w:rFonts w:ascii="Arial Narrow" w:hAnsi="Arial Narrow" w:cs="Arial"/>
                <w:kern w:val="0"/>
                <w:sz w:val="18"/>
                <w:szCs w:val="18"/>
              </w:rPr>
              <w:t>co e droghe</w:t>
            </w:r>
          </w:p>
        </w:tc>
        <w:tc>
          <w:tcPr>
            <w:tcW w:w="1164" w:type="dxa"/>
            <w:shd w:val="clear" w:color="000000" w:fill="D9D9D9"/>
            <w:vAlign w:val="bottom"/>
          </w:tcPr>
          <w:p w14:paraId="47281F8C" w14:textId="6BC8789E" w:rsidR="007E23DC" w:rsidRPr="00A409AE" w:rsidRDefault="007E23DC" w:rsidP="007E23DC">
            <w:pPr>
              <w:widowControl/>
              <w:overflowPunct/>
              <w:autoSpaceDE/>
              <w:autoSpaceDN/>
              <w:adjustRightInd/>
              <w:spacing w:before="0" w:after="0"/>
              <w:jc w:val="right"/>
              <w:rPr>
                <w:rFonts w:ascii="Arial Narrow" w:hAnsi="Arial Narrow" w:cs="Arial"/>
                <w:kern w:val="0"/>
                <w:sz w:val="18"/>
                <w:szCs w:val="18"/>
              </w:rPr>
            </w:pPr>
            <w:r w:rsidRPr="00BE2CFB">
              <w:rPr>
                <w:rFonts w:ascii="Arial Narrow" w:hAnsi="Arial Narrow" w:cs="Arial"/>
                <w:kern w:val="0"/>
                <w:sz w:val="18"/>
                <w:szCs w:val="18"/>
              </w:rPr>
              <w:t>29</w:t>
            </w:r>
            <w:r>
              <w:rPr>
                <w:rFonts w:ascii="Arial Narrow" w:hAnsi="Arial Narrow" w:cs="Arial"/>
                <w:kern w:val="0"/>
                <w:sz w:val="18"/>
                <w:szCs w:val="18"/>
              </w:rPr>
              <w:t>.</w:t>
            </w:r>
            <w:r w:rsidRPr="00BE2CFB">
              <w:rPr>
                <w:rFonts w:ascii="Arial Narrow" w:hAnsi="Arial Narrow" w:cs="Arial"/>
                <w:kern w:val="0"/>
                <w:sz w:val="18"/>
                <w:szCs w:val="18"/>
              </w:rPr>
              <w:t>077</w:t>
            </w:r>
          </w:p>
        </w:tc>
        <w:tc>
          <w:tcPr>
            <w:tcW w:w="1074" w:type="dxa"/>
            <w:shd w:val="clear" w:color="auto" w:fill="auto"/>
            <w:vAlign w:val="center"/>
          </w:tcPr>
          <w:p w14:paraId="694F0F4E" w14:textId="0DA7D3E3"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+0,8</w:t>
            </w:r>
          </w:p>
        </w:tc>
        <w:tc>
          <w:tcPr>
            <w:tcW w:w="1053" w:type="dxa"/>
            <w:shd w:val="clear" w:color="auto" w:fill="D9D9D9" w:themeFill="background1" w:themeFillShade="D9"/>
            <w:vAlign w:val="center"/>
          </w:tcPr>
          <w:p w14:paraId="190B0E30" w14:textId="0F641DE1"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Pr>
                <w:rFonts w:ascii="Arial Narrow" w:hAnsi="Arial Narrow" w:cs="Arial"/>
                <w:kern w:val="0"/>
                <w:sz w:val="18"/>
                <w:szCs w:val="18"/>
              </w:rPr>
              <w:t>-</w:t>
            </w:r>
          </w:p>
        </w:tc>
        <w:tc>
          <w:tcPr>
            <w:tcW w:w="1074" w:type="dxa"/>
            <w:shd w:val="clear" w:color="auto" w:fill="auto"/>
            <w:vAlign w:val="center"/>
          </w:tcPr>
          <w:p w14:paraId="582BFBA9" w14:textId="35F61B14"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+1,9</w:t>
            </w:r>
          </w:p>
        </w:tc>
        <w:tc>
          <w:tcPr>
            <w:tcW w:w="1074" w:type="dxa"/>
            <w:shd w:val="clear" w:color="000000" w:fill="D9D9D9"/>
            <w:vAlign w:val="center"/>
          </w:tcPr>
          <w:p w14:paraId="2A627363" w14:textId="1043B2D6"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Pr>
                <w:rFonts w:ascii="Arial Narrow" w:hAnsi="Arial Narrow" w:cs="Arial"/>
                <w:kern w:val="0"/>
                <w:sz w:val="18"/>
                <w:szCs w:val="18"/>
              </w:rPr>
              <w:t>-</w:t>
            </w:r>
          </w:p>
        </w:tc>
        <w:tc>
          <w:tcPr>
            <w:tcW w:w="1156" w:type="dxa"/>
            <w:shd w:val="clear" w:color="auto" w:fill="auto"/>
            <w:vAlign w:val="center"/>
          </w:tcPr>
          <w:p w14:paraId="1DF17382" w14:textId="1A5EC760" w:rsidR="007E23DC" w:rsidRPr="009D77AA"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0,4</w:t>
            </w:r>
          </w:p>
        </w:tc>
      </w:tr>
      <w:tr w:rsidR="007E23DC" w:rsidRPr="00FB460C" w14:paraId="15229959" w14:textId="77777777" w:rsidTr="00901CE7">
        <w:trPr>
          <w:trHeight w:val="255"/>
          <w:jc w:val="center"/>
        </w:trPr>
        <w:tc>
          <w:tcPr>
            <w:tcW w:w="3571" w:type="dxa"/>
            <w:shd w:val="clear" w:color="auto" w:fill="auto"/>
            <w:vAlign w:val="center"/>
            <w:hideMark/>
          </w:tcPr>
          <w:p w14:paraId="52B8B76D" w14:textId="77777777" w:rsidR="007E23DC" w:rsidRPr="008814F3" w:rsidRDefault="007E23DC" w:rsidP="007E23DC">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Abbigliamento e calzature</w:t>
            </w:r>
          </w:p>
        </w:tc>
        <w:tc>
          <w:tcPr>
            <w:tcW w:w="1164" w:type="dxa"/>
            <w:shd w:val="clear" w:color="000000" w:fill="D9D9D9"/>
            <w:vAlign w:val="bottom"/>
          </w:tcPr>
          <w:p w14:paraId="1361B4B4" w14:textId="04C83E7D" w:rsidR="007E23DC" w:rsidRPr="00A409AE" w:rsidRDefault="007E23DC" w:rsidP="007E23DC">
            <w:pPr>
              <w:widowControl/>
              <w:overflowPunct/>
              <w:autoSpaceDE/>
              <w:autoSpaceDN/>
              <w:adjustRightInd/>
              <w:spacing w:before="0" w:after="0"/>
              <w:jc w:val="right"/>
              <w:rPr>
                <w:rFonts w:ascii="Arial Narrow" w:hAnsi="Arial Narrow" w:cs="Arial"/>
                <w:kern w:val="0"/>
                <w:sz w:val="18"/>
                <w:szCs w:val="18"/>
              </w:rPr>
            </w:pPr>
            <w:r w:rsidRPr="00BE2CFB">
              <w:rPr>
                <w:rFonts w:ascii="Arial Narrow" w:hAnsi="Arial Narrow" w:cs="Arial"/>
                <w:kern w:val="0"/>
                <w:sz w:val="18"/>
                <w:szCs w:val="18"/>
              </w:rPr>
              <w:t>60</w:t>
            </w:r>
            <w:r>
              <w:rPr>
                <w:rFonts w:ascii="Arial Narrow" w:hAnsi="Arial Narrow" w:cs="Arial"/>
                <w:kern w:val="0"/>
                <w:sz w:val="18"/>
                <w:szCs w:val="18"/>
              </w:rPr>
              <w:t>.</w:t>
            </w:r>
            <w:r w:rsidRPr="00BE2CFB">
              <w:rPr>
                <w:rFonts w:ascii="Arial Narrow" w:hAnsi="Arial Narrow" w:cs="Arial"/>
                <w:kern w:val="0"/>
                <w:sz w:val="18"/>
                <w:szCs w:val="18"/>
              </w:rPr>
              <w:t>475</w:t>
            </w:r>
          </w:p>
        </w:tc>
        <w:tc>
          <w:tcPr>
            <w:tcW w:w="1074" w:type="dxa"/>
            <w:shd w:val="clear" w:color="auto" w:fill="auto"/>
            <w:vAlign w:val="center"/>
          </w:tcPr>
          <w:p w14:paraId="265E2AA5" w14:textId="1B346CCD"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-0,2</w:t>
            </w:r>
          </w:p>
        </w:tc>
        <w:tc>
          <w:tcPr>
            <w:tcW w:w="1053" w:type="dxa"/>
            <w:shd w:val="clear" w:color="000000" w:fill="D9D9D9"/>
            <w:vAlign w:val="center"/>
          </w:tcPr>
          <w:p w14:paraId="0596B9D6" w14:textId="7FD4BF21"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074" w:type="dxa"/>
            <w:shd w:val="clear" w:color="auto" w:fill="auto"/>
            <w:vAlign w:val="center"/>
          </w:tcPr>
          <w:p w14:paraId="0263FB92" w14:textId="3D798F61"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+0,8</w:t>
            </w:r>
          </w:p>
        </w:tc>
        <w:tc>
          <w:tcPr>
            <w:tcW w:w="1074" w:type="dxa"/>
            <w:shd w:val="clear" w:color="000000" w:fill="D9D9D9"/>
            <w:vAlign w:val="center"/>
          </w:tcPr>
          <w:p w14:paraId="50B6C5B0" w14:textId="1030663B"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156" w:type="dxa"/>
            <w:shd w:val="clear" w:color="auto" w:fill="auto"/>
            <w:vAlign w:val="center"/>
          </w:tcPr>
          <w:p w14:paraId="0ECACCE1" w14:textId="411380E5" w:rsidR="007E23DC" w:rsidRPr="009D77AA"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0,3</w:t>
            </w:r>
          </w:p>
        </w:tc>
      </w:tr>
      <w:tr w:rsidR="007E23DC" w:rsidRPr="00FB460C" w14:paraId="562EB3FE" w14:textId="77777777" w:rsidTr="00901CE7">
        <w:trPr>
          <w:trHeight w:val="255"/>
          <w:jc w:val="center"/>
        </w:trPr>
        <w:tc>
          <w:tcPr>
            <w:tcW w:w="3571" w:type="dxa"/>
            <w:shd w:val="clear" w:color="auto" w:fill="auto"/>
            <w:vAlign w:val="center"/>
            <w:hideMark/>
          </w:tcPr>
          <w:p w14:paraId="6B61BB5A" w14:textId="65E11817" w:rsidR="007E23DC" w:rsidRPr="008814F3" w:rsidRDefault="007E23DC" w:rsidP="007E23DC">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Abitazione, acqua, elettricità</w:t>
            </w:r>
            <w:r>
              <w:rPr>
                <w:rFonts w:ascii="Arial Narrow" w:hAnsi="Arial Narrow" w:cs="Arial"/>
                <w:kern w:val="0"/>
                <w:sz w:val="18"/>
                <w:szCs w:val="18"/>
              </w:rPr>
              <w:t>, gas e altri</w:t>
            </w:r>
            <w:r w:rsidRPr="008814F3">
              <w:rPr>
                <w:rFonts w:ascii="Arial Narrow" w:hAnsi="Arial Narrow" w:cs="Arial"/>
                <w:kern w:val="0"/>
                <w:sz w:val="18"/>
                <w:szCs w:val="18"/>
              </w:rPr>
              <w:t xml:space="preserve"> combustibili</w:t>
            </w:r>
          </w:p>
        </w:tc>
        <w:tc>
          <w:tcPr>
            <w:tcW w:w="1164" w:type="dxa"/>
            <w:shd w:val="clear" w:color="000000" w:fill="D9D9D9"/>
            <w:vAlign w:val="bottom"/>
          </w:tcPr>
          <w:p w14:paraId="1F5D6B9A" w14:textId="1111E2E8" w:rsidR="007E23DC" w:rsidRPr="00A409AE" w:rsidRDefault="007E23DC" w:rsidP="007E23DC">
            <w:pPr>
              <w:widowControl/>
              <w:overflowPunct/>
              <w:autoSpaceDE/>
              <w:autoSpaceDN/>
              <w:adjustRightInd/>
              <w:spacing w:before="0" w:after="0"/>
              <w:jc w:val="right"/>
              <w:rPr>
                <w:rFonts w:ascii="Arial Narrow" w:hAnsi="Arial Narrow" w:cs="Arial"/>
                <w:kern w:val="0"/>
                <w:sz w:val="18"/>
                <w:szCs w:val="18"/>
              </w:rPr>
            </w:pPr>
            <w:r w:rsidRPr="00BE2CFB">
              <w:rPr>
                <w:rFonts w:ascii="Arial Narrow" w:hAnsi="Arial Narrow" w:cs="Arial"/>
                <w:kern w:val="0"/>
                <w:sz w:val="18"/>
                <w:szCs w:val="18"/>
              </w:rPr>
              <w:t>119</w:t>
            </w:r>
            <w:r>
              <w:rPr>
                <w:rFonts w:ascii="Arial Narrow" w:hAnsi="Arial Narrow" w:cs="Arial"/>
                <w:kern w:val="0"/>
                <w:sz w:val="18"/>
                <w:szCs w:val="18"/>
              </w:rPr>
              <w:t>.</w:t>
            </w:r>
            <w:r w:rsidRPr="00BE2CFB">
              <w:rPr>
                <w:rFonts w:ascii="Arial Narrow" w:hAnsi="Arial Narrow" w:cs="Arial"/>
                <w:kern w:val="0"/>
                <w:sz w:val="18"/>
                <w:szCs w:val="18"/>
              </w:rPr>
              <w:t>210</w:t>
            </w:r>
          </w:p>
        </w:tc>
        <w:tc>
          <w:tcPr>
            <w:tcW w:w="1074" w:type="dxa"/>
            <w:shd w:val="clear" w:color="auto" w:fill="auto"/>
            <w:vAlign w:val="center"/>
          </w:tcPr>
          <w:p w14:paraId="5DF5A8D1" w14:textId="7A785798"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+3,1</w:t>
            </w:r>
          </w:p>
        </w:tc>
        <w:tc>
          <w:tcPr>
            <w:tcW w:w="1053" w:type="dxa"/>
            <w:shd w:val="clear" w:color="000000" w:fill="D9D9D9"/>
            <w:vAlign w:val="center"/>
          </w:tcPr>
          <w:p w14:paraId="345A4AC5" w14:textId="1FB5581D"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Pr>
                <w:rFonts w:ascii="Arial Narrow" w:hAnsi="Arial Narrow" w:cs="Arial"/>
                <w:kern w:val="0"/>
                <w:sz w:val="18"/>
                <w:szCs w:val="18"/>
              </w:rPr>
              <w:t>-</w:t>
            </w:r>
          </w:p>
        </w:tc>
        <w:tc>
          <w:tcPr>
            <w:tcW w:w="1074" w:type="dxa"/>
            <w:shd w:val="clear" w:color="auto" w:fill="auto"/>
            <w:vAlign w:val="center"/>
          </w:tcPr>
          <w:p w14:paraId="06F3302D" w14:textId="7B09D902"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-1,3</w:t>
            </w:r>
          </w:p>
        </w:tc>
        <w:tc>
          <w:tcPr>
            <w:tcW w:w="1074" w:type="dxa"/>
            <w:shd w:val="clear" w:color="000000" w:fill="D9D9D9"/>
            <w:vAlign w:val="center"/>
          </w:tcPr>
          <w:p w14:paraId="3A8BE233" w14:textId="2BCE9889"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Pr>
                <w:rFonts w:ascii="Arial Narrow" w:hAnsi="Arial Narrow" w:cs="Arial"/>
                <w:kern w:val="0"/>
                <w:sz w:val="18"/>
                <w:szCs w:val="18"/>
              </w:rPr>
              <w:t>-</w:t>
            </w:r>
          </w:p>
        </w:tc>
        <w:tc>
          <w:tcPr>
            <w:tcW w:w="1156" w:type="dxa"/>
            <w:shd w:val="clear" w:color="auto" w:fill="auto"/>
            <w:vAlign w:val="center"/>
          </w:tcPr>
          <w:p w14:paraId="23718CAE" w14:textId="2444B4EC" w:rsidR="007E23DC" w:rsidRPr="009D77AA"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1,5</w:t>
            </w:r>
          </w:p>
        </w:tc>
      </w:tr>
      <w:tr w:rsidR="007E23DC" w:rsidRPr="00FB460C" w14:paraId="55A6F069" w14:textId="77777777" w:rsidTr="00901CE7">
        <w:trPr>
          <w:trHeight w:val="255"/>
          <w:jc w:val="center"/>
        </w:trPr>
        <w:tc>
          <w:tcPr>
            <w:tcW w:w="3571" w:type="dxa"/>
            <w:shd w:val="clear" w:color="auto" w:fill="auto"/>
            <w:vAlign w:val="center"/>
            <w:hideMark/>
          </w:tcPr>
          <w:p w14:paraId="58BC0DBC" w14:textId="20E54C07" w:rsidR="007E23DC" w:rsidRPr="008814F3" w:rsidRDefault="007E23DC" w:rsidP="007E23DC">
            <w:pPr>
              <w:widowControl/>
              <w:overflowPunct/>
              <w:autoSpaceDE/>
              <w:autoSpaceDN/>
              <w:adjustRightInd/>
              <w:spacing w:before="0" w:after="0"/>
              <w:rPr>
                <w:rFonts w:ascii="Arial Narrow" w:hAnsi="Arial Narrow" w:cs="Arial"/>
                <w:kern w:val="0"/>
                <w:sz w:val="18"/>
                <w:szCs w:val="18"/>
              </w:rPr>
            </w:pPr>
            <w:r>
              <w:rPr>
                <w:rFonts w:ascii="Arial Narrow" w:hAnsi="Arial Narrow" w:cs="Arial"/>
                <w:kern w:val="0"/>
                <w:sz w:val="18"/>
                <w:szCs w:val="18"/>
              </w:rPr>
              <w:t>Arredamenti, apparecchi per uso domestico e manutenzione corrente dell’abitazione</w:t>
            </w:r>
          </w:p>
        </w:tc>
        <w:tc>
          <w:tcPr>
            <w:tcW w:w="1164" w:type="dxa"/>
            <w:shd w:val="clear" w:color="000000" w:fill="D9D9D9"/>
            <w:vAlign w:val="bottom"/>
          </w:tcPr>
          <w:p w14:paraId="4167C5CE" w14:textId="763A992C" w:rsidR="007E23DC" w:rsidRPr="00A409AE" w:rsidRDefault="007E23DC" w:rsidP="007E23DC">
            <w:pPr>
              <w:widowControl/>
              <w:overflowPunct/>
              <w:autoSpaceDE/>
              <w:autoSpaceDN/>
              <w:adjustRightInd/>
              <w:spacing w:before="0" w:after="0"/>
              <w:jc w:val="right"/>
              <w:rPr>
                <w:rFonts w:ascii="Arial Narrow" w:hAnsi="Arial Narrow" w:cs="Arial"/>
                <w:kern w:val="0"/>
                <w:sz w:val="18"/>
                <w:szCs w:val="18"/>
              </w:rPr>
            </w:pPr>
            <w:r w:rsidRPr="00BE2CFB">
              <w:rPr>
                <w:rFonts w:ascii="Arial Narrow" w:hAnsi="Arial Narrow" w:cs="Arial"/>
                <w:kern w:val="0"/>
                <w:sz w:val="18"/>
                <w:szCs w:val="18"/>
              </w:rPr>
              <w:t>67</w:t>
            </w:r>
            <w:r>
              <w:rPr>
                <w:rFonts w:ascii="Arial Narrow" w:hAnsi="Arial Narrow" w:cs="Arial"/>
                <w:kern w:val="0"/>
                <w:sz w:val="18"/>
                <w:szCs w:val="18"/>
              </w:rPr>
              <w:t>.</w:t>
            </w:r>
            <w:r w:rsidRPr="00BE2CFB">
              <w:rPr>
                <w:rFonts w:ascii="Arial Narrow" w:hAnsi="Arial Narrow" w:cs="Arial"/>
                <w:kern w:val="0"/>
                <w:sz w:val="18"/>
                <w:szCs w:val="18"/>
              </w:rPr>
              <w:t>464</w:t>
            </w:r>
          </w:p>
        </w:tc>
        <w:tc>
          <w:tcPr>
            <w:tcW w:w="1074" w:type="dxa"/>
            <w:shd w:val="clear" w:color="auto" w:fill="auto"/>
            <w:vAlign w:val="center"/>
          </w:tcPr>
          <w:p w14:paraId="451C47E0" w14:textId="75C561E5"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+0,4</w:t>
            </w:r>
          </w:p>
        </w:tc>
        <w:tc>
          <w:tcPr>
            <w:tcW w:w="1053" w:type="dxa"/>
            <w:shd w:val="clear" w:color="000000" w:fill="D9D9D9"/>
            <w:vAlign w:val="center"/>
          </w:tcPr>
          <w:p w14:paraId="68FE469F" w14:textId="0B022595"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074" w:type="dxa"/>
            <w:shd w:val="clear" w:color="auto" w:fill="auto"/>
            <w:vAlign w:val="center"/>
          </w:tcPr>
          <w:p w14:paraId="7DE83154" w14:textId="7B7E5028"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+0,3</w:t>
            </w:r>
          </w:p>
        </w:tc>
        <w:tc>
          <w:tcPr>
            <w:tcW w:w="1074" w:type="dxa"/>
            <w:shd w:val="clear" w:color="000000" w:fill="D9D9D9"/>
            <w:vAlign w:val="center"/>
          </w:tcPr>
          <w:p w14:paraId="4FB94F1D" w14:textId="2FBE94F7"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156" w:type="dxa"/>
            <w:shd w:val="clear" w:color="auto" w:fill="auto"/>
            <w:vAlign w:val="center"/>
          </w:tcPr>
          <w:p w14:paraId="131CDF15" w14:textId="7ADD9281" w:rsidR="007E23DC" w:rsidRPr="009D77AA"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0,2</w:t>
            </w:r>
          </w:p>
        </w:tc>
      </w:tr>
      <w:tr w:rsidR="007E23DC" w:rsidRPr="00FB460C" w14:paraId="230DC38A" w14:textId="77777777" w:rsidTr="00901CE7">
        <w:trPr>
          <w:trHeight w:val="255"/>
          <w:jc w:val="center"/>
        </w:trPr>
        <w:tc>
          <w:tcPr>
            <w:tcW w:w="3571" w:type="dxa"/>
            <w:shd w:val="clear" w:color="auto" w:fill="auto"/>
            <w:vAlign w:val="center"/>
            <w:hideMark/>
          </w:tcPr>
          <w:p w14:paraId="0061C670" w14:textId="2E1FD860" w:rsidR="007E23DC" w:rsidRPr="008814F3" w:rsidRDefault="007E23DC" w:rsidP="007E23DC">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S</w:t>
            </w:r>
            <w:r>
              <w:rPr>
                <w:rFonts w:ascii="Arial Narrow" w:hAnsi="Arial Narrow" w:cs="Arial"/>
                <w:kern w:val="0"/>
                <w:sz w:val="18"/>
                <w:szCs w:val="18"/>
              </w:rPr>
              <w:t>anità</w:t>
            </w:r>
          </w:p>
        </w:tc>
        <w:tc>
          <w:tcPr>
            <w:tcW w:w="1164" w:type="dxa"/>
            <w:shd w:val="clear" w:color="000000" w:fill="D9D9D9"/>
            <w:vAlign w:val="bottom"/>
          </w:tcPr>
          <w:p w14:paraId="42066571" w14:textId="41132458" w:rsidR="007E23DC" w:rsidRPr="00A409AE" w:rsidRDefault="007E23DC" w:rsidP="007E23DC">
            <w:pPr>
              <w:widowControl/>
              <w:overflowPunct/>
              <w:autoSpaceDE/>
              <w:autoSpaceDN/>
              <w:adjustRightInd/>
              <w:spacing w:before="0" w:after="0"/>
              <w:jc w:val="right"/>
              <w:rPr>
                <w:rFonts w:ascii="Arial Narrow" w:hAnsi="Arial Narrow" w:cs="Arial"/>
                <w:kern w:val="0"/>
                <w:sz w:val="18"/>
                <w:szCs w:val="18"/>
              </w:rPr>
            </w:pPr>
            <w:r w:rsidRPr="00BE2CFB">
              <w:rPr>
                <w:rFonts w:ascii="Arial Narrow" w:hAnsi="Arial Narrow" w:cs="Arial"/>
                <w:kern w:val="0"/>
                <w:sz w:val="18"/>
                <w:szCs w:val="18"/>
              </w:rPr>
              <w:t>83</w:t>
            </w:r>
            <w:r>
              <w:rPr>
                <w:rFonts w:ascii="Arial Narrow" w:hAnsi="Arial Narrow" w:cs="Arial"/>
                <w:kern w:val="0"/>
                <w:sz w:val="18"/>
                <w:szCs w:val="18"/>
              </w:rPr>
              <w:t>.</w:t>
            </w:r>
            <w:r w:rsidRPr="00BE2CFB">
              <w:rPr>
                <w:rFonts w:ascii="Arial Narrow" w:hAnsi="Arial Narrow" w:cs="Arial"/>
                <w:kern w:val="0"/>
                <w:sz w:val="18"/>
                <w:szCs w:val="18"/>
              </w:rPr>
              <w:t>922</w:t>
            </w:r>
          </w:p>
        </w:tc>
        <w:tc>
          <w:tcPr>
            <w:tcW w:w="1074" w:type="dxa"/>
            <w:shd w:val="clear" w:color="auto" w:fill="auto"/>
            <w:vAlign w:val="center"/>
          </w:tcPr>
          <w:p w14:paraId="0A6E8715" w14:textId="30497BD0"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+0,1</w:t>
            </w:r>
          </w:p>
        </w:tc>
        <w:tc>
          <w:tcPr>
            <w:tcW w:w="1053" w:type="dxa"/>
            <w:shd w:val="clear" w:color="000000" w:fill="D9D9D9"/>
            <w:vAlign w:val="center"/>
          </w:tcPr>
          <w:p w14:paraId="4D40E920" w14:textId="6C687ED2"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Pr>
                <w:rFonts w:ascii="Arial Narrow" w:hAnsi="Arial Narrow" w:cs="Arial"/>
                <w:kern w:val="0"/>
                <w:sz w:val="18"/>
                <w:szCs w:val="18"/>
              </w:rPr>
              <w:t>-</w:t>
            </w:r>
          </w:p>
        </w:tc>
        <w:tc>
          <w:tcPr>
            <w:tcW w:w="1074" w:type="dxa"/>
            <w:shd w:val="clear" w:color="auto" w:fill="auto"/>
            <w:vAlign w:val="center"/>
          </w:tcPr>
          <w:p w14:paraId="4E3C48D1" w14:textId="37D5F928"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+1,2</w:t>
            </w:r>
          </w:p>
        </w:tc>
        <w:tc>
          <w:tcPr>
            <w:tcW w:w="1074" w:type="dxa"/>
            <w:shd w:val="clear" w:color="000000" w:fill="D9D9D9"/>
            <w:vAlign w:val="center"/>
          </w:tcPr>
          <w:p w14:paraId="79C24BBF" w14:textId="3D658F5D"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Pr>
                <w:rFonts w:ascii="Arial Narrow" w:hAnsi="Arial Narrow" w:cs="Arial"/>
                <w:kern w:val="0"/>
                <w:sz w:val="18"/>
                <w:szCs w:val="18"/>
              </w:rPr>
              <w:t>-</w:t>
            </w:r>
          </w:p>
        </w:tc>
        <w:tc>
          <w:tcPr>
            <w:tcW w:w="1156" w:type="dxa"/>
            <w:shd w:val="clear" w:color="auto" w:fill="auto"/>
            <w:vAlign w:val="center"/>
          </w:tcPr>
          <w:p w14:paraId="2DE0C5B7" w14:textId="214A57BA" w:rsidR="007E23DC" w:rsidRPr="009D77AA"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0,5</w:t>
            </w:r>
          </w:p>
        </w:tc>
      </w:tr>
      <w:tr w:rsidR="007E23DC" w:rsidRPr="00FB460C" w14:paraId="5124443D" w14:textId="77777777" w:rsidTr="00901CE7">
        <w:trPr>
          <w:trHeight w:val="255"/>
          <w:jc w:val="center"/>
        </w:trPr>
        <w:tc>
          <w:tcPr>
            <w:tcW w:w="3571" w:type="dxa"/>
            <w:shd w:val="clear" w:color="auto" w:fill="auto"/>
            <w:vAlign w:val="center"/>
            <w:hideMark/>
          </w:tcPr>
          <w:p w14:paraId="6213589A" w14:textId="77777777" w:rsidR="007E23DC" w:rsidRPr="008814F3" w:rsidRDefault="007E23DC" w:rsidP="007E23DC">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Trasporti</w:t>
            </w:r>
          </w:p>
        </w:tc>
        <w:tc>
          <w:tcPr>
            <w:tcW w:w="1164" w:type="dxa"/>
            <w:shd w:val="clear" w:color="000000" w:fill="D9D9D9"/>
            <w:vAlign w:val="bottom"/>
          </w:tcPr>
          <w:p w14:paraId="1B3AF320" w14:textId="16662B73" w:rsidR="007E23DC" w:rsidRPr="00A409AE" w:rsidRDefault="007E23DC" w:rsidP="007E23DC">
            <w:pPr>
              <w:widowControl/>
              <w:overflowPunct/>
              <w:autoSpaceDE/>
              <w:autoSpaceDN/>
              <w:adjustRightInd/>
              <w:spacing w:before="0" w:after="0"/>
              <w:jc w:val="right"/>
              <w:rPr>
                <w:rFonts w:ascii="Arial Narrow" w:hAnsi="Arial Narrow" w:cs="Arial"/>
                <w:kern w:val="0"/>
                <w:sz w:val="18"/>
                <w:szCs w:val="18"/>
              </w:rPr>
            </w:pPr>
            <w:r w:rsidRPr="00BE2CFB">
              <w:rPr>
                <w:rFonts w:ascii="Arial Narrow" w:hAnsi="Arial Narrow" w:cs="Arial"/>
                <w:kern w:val="0"/>
                <w:sz w:val="18"/>
                <w:szCs w:val="18"/>
              </w:rPr>
              <w:t>154</w:t>
            </w:r>
            <w:r>
              <w:rPr>
                <w:rFonts w:ascii="Arial Narrow" w:hAnsi="Arial Narrow" w:cs="Arial"/>
                <w:kern w:val="0"/>
                <w:sz w:val="18"/>
                <w:szCs w:val="18"/>
              </w:rPr>
              <w:t>.</w:t>
            </w:r>
            <w:r w:rsidRPr="00BE2CFB">
              <w:rPr>
                <w:rFonts w:ascii="Arial Narrow" w:hAnsi="Arial Narrow" w:cs="Arial"/>
                <w:kern w:val="0"/>
                <w:sz w:val="18"/>
                <w:szCs w:val="18"/>
              </w:rPr>
              <w:t>547</w:t>
            </w:r>
          </w:p>
        </w:tc>
        <w:tc>
          <w:tcPr>
            <w:tcW w:w="1074" w:type="dxa"/>
            <w:shd w:val="clear" w:color="auto" w:fill="auto"/>
            <w:vAlign w:val="center"/>
          </w:tcPr>
          <w:p w14:paraId="3F8DCAAC" w14:textId="6175D258"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-2,4</w:t>
            </w:r>
          </w:p>
        </w:tc>
        <w:tc>
          <w:tcPr>
            <w:tcW w:w="1053" w:type="dxa"/>
            <w:shd w:val="clear" w:color="000000" w:fill="D9D9D9"/>
            <w:vAlign w:val="center"/>
          </w:tcPr>
          <w:p w14:paraId="3DA4FD3B" w14:textId="7FD6393E"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074" w:type="dxa"/>
            <w:shd w:val="clear" w:color="auto" w:fill="auto"/>
            <w:vAlign w:val="center"/>
          </w:tcPr>
          <w:p w14:paraId="7D93849D" w14:textId="01C7CF43"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-1,5</w:t>
            </w:r>
          </w:p>
        </w:tc>
        <w:tc>
          <w:tcPr>
            <w:tcW w:w="1074" w:type="dxa"/>
            <w:shd w:val="clear" w:color="000000" w:fill="D9D9D9"/>
            <w:vAlign w:val="center"/>
          </w:tcPr>
          <w:p w14:paraId="1F53867B" w14:textId="7C39AF22"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156" w:type="dxa"/>
            <w:shd w:val="clear" w:color="auto" w:fill="auto"/>
            <w:vAlign w:val="center"/>
          </w:tcPr>
          <w:p w14:paraId="625AD182" w14:textId="3C142D99" w:rsidR="007E23DC" w:rsidRPr="009D77AA"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-1,8</w:t>
            </w:r>
          </w:p>
        </w:tc>
      </w:tr>
      <w:tr w:rsidR="007E23DC" w:rsidRPr="00FB460C" w14:paraId="6E730E6F" w14:textId="77777777" w:rsidTr="00901CE7">
        <w:trPr>
          <w:trHeight w:val="255"/>
          <w:jc w:val="center"/>
        </w:trPr>
        <w:tc>
          <w:tcPr>
            <w:tcW w:w="3571" w:type="dxa"/>
            <w:shd w:val="clear" w:color="auto" w:fill="auto"/>
            <w:vAlign w:val="center"/>
            <w:hideMark/>
          </w:tcPr>
          <w:p w14:paraId="775AB418" w14:textId="199A6B3B" w:rsidR="007E23DC" w:rsidRPr="008814F3" w:rsidRDefault="007E23DC" w:rsidP="007E23DC">
            <w:pPr>
              <w:widowControl/>
              <w:overflowPunct/>
              <w:autoSpaceDE/>
              <w:autoSpaceDN/>
              <w:adjustRightInd/>
              <w:spacing w:before="0" w:after="0"/>
              <w:rPr>
                <w:rFonts w:ascii="Arial Narrow" w:hAnsi="Arial Narrow" w:cs="Arial"/>
                <w:kern w:val="0"/>
                <w:sz w:val="18"/>
                <w:szCs w:val="18"/>
              </w:rPr>
            </w:pPr>
            <w:r>
              <w:rPr>
                <w:rFonts w:ascii="Arial Narrow" w:hAnsi="Arial Narrow" w:cs="Arial"/>
                <w:kern w:val="0"/>
                <w:sz w:val="18"/>
                <w:szCs w:val="18"/>
              </w:rPr>
              <w:t>Informazione e c</w:t>
            </w:r>
            <w:r w:rsidRPr="008814F3">
              <w:rPr>
                <w:rFonts w:ascii="Arial Narrow" w:hAnsi="Arial Narrow" w:cs="Arial"/>
                <w:kern w:val="0"/>
                <w:sz w:val="18"/>
                <w:szCs w:val="18"/>
              </w:rPr>
              <w:t>omunicazion</w:t>
            </w:r>
            <w:r>
              <w:rPr>
                <w:rFonts w:ascii="Arial Narrow" w:hAnsi="Arial Narrow" w:cs="Arial"/>
                <w:kern w:val="0"/>
                <w:sz w:val="18"/>
                <w:szCs w:val="18"/>
              </w:rPr>
              <w:t>e</w:t>
            </w:r>
          </w:p>
        </w:tc>
        <w:tc>
          <w:tcPr>
            <w:tcW w:w="1164" w:type="dxa"/>
            <w:shd w:val="clear" w:color="000000" w:fill="D9D9D9"/>
            <w:vAlign w:val="bottom"/>
          </w:tcPr>
          <w:p w14:paraId="6DBBF80C" w14:textId="689D8855" w:rsidR="007E23DC" w:rsidRPr="00A409AE" w:rsidRDefault="007E23DC" w:rsidP="007E23DC">
            <w:pPr>
              <w:widowControl/>
              <w:overflowPunct/>
              <w:autoSpaceDE/>
              <w:autoSpaceDN/>
              <w:adjustRightInd/>
              <w:spacing w:before="0" w:after="0"/>
              <w:jc w:val="right"/>
              <w:rPr>
                <w:rFonts w:ascii="Arial Narrow" w:hAnsi="Arial Narrow" w:cs="Arial"/>
                <w:kern w:val="0"/>
                <w:sz w:val="18"/>
                <w:szCs w:val="18"/>
              </w:rPr>
            </w:pPr>
            <w:r w:rsidRPr="00BE2CFB">
              <w:rPr>
                <w:rFonts w:ascii="Arial Narrow" w:hAnsi="Arial Narrow" w:cs="Arial"/>
                <w:kern w:val="0"/>
                <w:sz w:val="18"/>
                <w:szCs w:val="18"/>
              </w:rPr>
              <w:t>27</w:t>
            </w:r>
            <w:r>
              <w:rPr>
                <w:rFonts w:ascii="Arial Narrow" w:hAnsi="Arial Narrow" w:cs="Arial"/>
                <w:kern w:val="0"/>
                <w:sz w:val="18"/>
                <w:szCs w:val="18"/>
              </w:rPr>
              <w:t>.</w:t>
            </w:r>
            <w:r w:rsidRPr="00BE2CFB">
              <w:rPr>
                <w:rFonts w:ascii="Arial Narrow" w:hAnsi="Arial Narrow" w:cs="Arial"/>
                <w:kern w:val="0"/>
                <w:sz w:val="18"/>
                <w:szCs w:val="18"/>
              </w:rPr>
              <w:t>599</w:t>
            </w:r>
          </w:p>
        </w:tc>
        <w:tc>
          <w:tcPr>
            <w:tcW w:w="1074" w:type="dxa"/>
            <w:shd w:val="clear" w:color="auto" w:fill="auto"/>
            <w:vAlign w:val="center"/>
          </w:tcPr>
          <w:p w14:paraId="5F27E3F6" w14:textId="0E1FAA84"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+0,9</w:t>
            </w:r>
          </w:p>
        </w:tc>
        <w:tc>
          <w:tcPr>
            <w:tcW w:w="1053" w:type="dxa"/>
            <w:shd w:val="clear" w:color="000000" w:fill="D9D9D9"/>
            <w:vAlign w:val="center"/>
          </w:tcPr>
          <w:p w14:paraId="18613B19" w14:textId="585F0292"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Pr>
                <w:rFonts w:ascii="Arial Narrow" w:hAnsi="Arial Narrow" w:cs="Arial"/>
                <w:kern w:val="0"/>
                <w:sz w:val="18"/>
                <w:szCs w:val="18"/>
              </w:rPr>
              <w:t>-</w:t>
            </w:r>
          </w:p>
        </w:tc>
        <w:tc>
          <w:tcPr>
            <w:tcW w:w="1074" w:type="dxa"/>
            <w:shd w:val="clear" w:color="auto" w:fill="auto"/>
            <w:vAlign w:val="center"/>
          </w:tcPr>
          <w:p w14:paraId="6524E2AE" w14:textId="1D4242AD"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-4,5</w:t>
            </w:r>
          </w:p>
        </w:tc>
        <w:tc>
          <w:tcPr>
            <w:tcW w:w="1074" w:type="dxa"/>
            <w:shd w:val="clear" w:color="000000" w:fill="D9D9D9"/>
            <w:vAlign w:val="center"/>
          </w:tcPr>
          <w:p w14:paraId="53191AAE" w14:textId="4C00AF13"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Pr>
                <w:rFonts w:ascii="Arial Narrow" w:hAnsi="Arial Narrow" w:cs="Arial"/>
                <w:kern w:val="0"/>
                <w:sz w:val="18"/>
                <w:szCs w:val="18"/>
              </w:rPr>
              <w:t>-</w:t>
            </w:r>
          </w:p>
        </w:tc>
        <w:tc>
          <w:tcPr>
            <w:tcW w:w="1156" w:type="dxa"/>
            <w:shd w:val="clear" w:color="auto" w:fill="auto"/>
            <w:vAlign w:val="center"/>
          </w:tcPr>
          <w:p w14:paraId="05216D84" w14:textId="6D2614CE" w:rsidR="007E23DC" w:rsidRPr="009D77AA"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-1,8</w:t>
            </w:r>
          </w:p>
        </w:tc>
      </w:tr>
      <w:tr w:rsidR="007E23DC" w:rsidRPr="00FB460C" w14:paraId="2CD5A09B" w14:textId="77777777" w:rsidTr="00901CE7">
        <w:trPr>
          <w:trHeight w:val="255"/>
          <w:jc w:val="center"/>
        </w:trPr>
        <w:tc>
          <w:tcPr>
            <w:tcW w:w="3571" w:type="dxa"/>
            <w:shd w:val="clear" w:color="auto" w:fill="auto"/>
            <w:vAlign w:val="center"/>
            <w:hideMark/>
          </w:tcPr>
          <w:p w14:paraId="4EFD9BFA" w14:textId="3ACDA30F" w:rsidR="007E23DC" w:rsidRPr="008814F3" w:rsidRDefault="007E23DC" w:rsidP="007E23DC">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 xml:space="preserve">Ricreazione, </w:t>
            </w:r>
            <w:r>
              <w:rPr>
                <w:rFonts w:ascii="Arial Narrow" w:hAnsi="Arial Narrow" w:cs="Arial"/>
                <w:kern w:val="0"/>
                <w:sz w:val="18"/>
                <w:szCs w:val="18"/>
              </w:rPr>
              <w:t>sport</w:t>
            </w:r>
            <w:r w:rsidRPr="008814F3">
              <w:rPr>
                <w:rFonts w:ascii="Arial Narrow" w:hAnsi="Arial Narrow" w:cs="Arial"/>
                <w:kern w:val="0"/>
                <w:sz w:val="18"/>
                <w:szCs w:val="18"/>
              </w:rPr>
              <w:t xml:space="preserve"> e cultura</w:t>
            </w:r>
          </w:p>
        </w:tc>
        <w:tc>
          <w:tcPr>
            <w:tcW w:w="1164" w:type="dxa"/>
            <w:shd w:val="clear" w:color="000000" w:fill="D9D9D9"/>
            <w:vAlign w:val="bottom"/>
          </w:tcPr>
          <w:p w14:paraId="7255B623" w14:textId="7E840F80" w:rsidR="007E23DC" w:rsidRPr="00A409AE" w:rsidRDefault="007E23DC" w:rsidP="007E23DC">
            <w:pPr>
              <w:widowControl/>
              <w:overflowPunct/>
              <w:autoSpaceDE/>
              <w:autoSpaceDN/>
              <w:adjustRightInd/>
              <w:spacing w:before="0" w:after="0"/>
              <w:jc w:val="right"/>
              <w:rPr>
                <w:rFonts w:ascii="Arial Narrow" w:hAnsi="Arial Narrow" w:cs="Arial"/>
                <w:kern w:val="0"/>
                <w:sz w:val="18"/>
                <w:szCs w:val="18"/>
              </w:rPr>
            </w:pPr>
            <w:r w:rsidRPr="00BE2CFB">
              <w:rPr>
                <w:rFonts w:ascii="Arial Narrow" w:hAnsi="Arial Narrow" w:cs="Arial"/>
                <w:kern w:val="0"/>
                <w:sz w:val="18"/>
                <w:szCs w:val="18"/>
              </w:rPr>
              <w:t>56</w:t>
            </w:r>
            <w:r>
              <w:rPr>
                <w:rFonts w:ascii="Arial Narrow" w:hAnsi="Arial Narrow" w:cs="Arial"/>
                <w:kern w:val="0"/>
                <w:sz w:val="18"/>
                <w:szCs w:val="18"/>
              </w:rPr>
              <w:t>.</w:t>
            </w:r>
            <w:r w:rsidRPr="00BE2CFB">
              <w:rPr>
                <w:rFonts w:ascii="Arial Narrow" w:hAnsi="Arial Narrow" w:cs="Arial"/>
                <w:kern w:val="0"/>
                <w:sz w:val="18"/>
                <w:szCs w:val="18"/>
              </w:rPr>
              <w:t>275</w:t>
            </w:r>
          </w:p>
        </w:tc>
        <w:tc>
          <w:tcPr>
            <w:tcW w:w="1074" w:type="dxa"/>
            <w:shd w:val="clear" w:color="auto" w:fill="auto"/>
            <w:vAlign w:val="center"/>
          </w:tcPr>
          <w:p w14:paraId="5D394144" w14:textId="6FDD3629"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+0,5</w:t>
            </w:r>
          </w:p>
        </w:tc>
        <w:tc>
          <w:tcPr>
            <w:tcW w:w="1053" w:type="dxa"/>
            <w:shd w:val="clear" w:color="000000" w:fill="D9D9D9"/>
            <w:vAlign w:val="center"/>
          </w:tcPr>
          <w:p w14:paraId="7889C4E9" w14:textId="4FF28F67"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074" w:type="dxa"/>
            <w:shd w:val="clear" w:color="auto" w:fill="auto"/>
            <w:vAlign w:val="center"/>
          </w:tcPr>
          <w:p w14:paraId="58541E79" w14:textId="26C4394B"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+1,1</w:t>
            </w:r>
          </w:p>
        </w:tc>
        <w:tc>
          <w:tcPr>
            <w:tcW w:w="1074" w:type="dxa"/>
            <w:shd w:val="clear" w:color="000000" w:fill="D9D9D9"/>
            <w:vAlign w:val="center"/>
          </w:tcPr>
          <w:p w14:paraId="2E21DD4D" w14:textId="51495254"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156" w:type="dxa"/>
            <w:shd w:val="clear" w:color="auto" w:fill="auto"/>
            <w:vAlign w:val="center"/>
          </w:tcPr>
          <w:p w14:paraId="6433A88A" w14:textId="68F914F3" w:rsidR="007E23DC" w:rsidRPr="009D77AA"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0,5</w:t>
            </w:r>
          </w:p>
        </w:tc>
      </w:tr>
      <w:tr w:rsidR="007E23DC" w:rsidRPr="00FB460C" w14:paraId="26F4AF24" w14:textId="77777777" w:rsidTr="00901CE7">
        <w:trPr>
          <w:trHeight w:val="255"/>
          <w:jc w:val="center"/>
        </w:trPr>
        <w:tc>
          <w:tcPr>
            <w:tcW w:w="3571" w:type="dxa"/>
            <w:shd w:val="clear" w:color="auto" w:fill="auto"/>
            <w:vAlign w:val="center"/>
            <w:hideMark/>
          </w:tcPr>
          <w:p w14:paraId="1A7F386C" w14:textId="298C5464" w:rsidR="007E23DC" w:rsidRPr="008814F3" w:rsidRDefault="007E23DC" w:rsidP="007E23DC">
            <w:pPr>
              <w:widowControl/>
              <w:overflowPunct/>
              <w:autoSpaceDE/>
              <w:autoSpaceDN/>
              <w:adjustRightInd/>
              <w:spacing w:before="0" w:after="0"/>
              <w:rPr>
                <w:rFonts w:ascii="Arial Narrow" w:hAnsi="Arial Narrow" w:cs="Arial"/>
                <w:kern w:val="0"/>
                <w:sz w:val="18"/>
                <w:szCs w:val="18"/>
              </w:rPr>
            </w:pPr>
            <w:r>
              <w:rPr>
                <w:rFonts w:ascii="Arial Narrow" w:hAnsi="Arial Narrow" w:cs="Arial"/>
                <w:kern w:val="0"/>
                <w:sz w:val="18"/>
                <w:szCs w:val="18"/>
              </w:rPr>
              <w:t>Servizi di i</w:t>
            </w:r>
            <w:r w:rsidRPr="008814F3">
              <w:rPr>
                <w:rFonts w:ascii="Arial Narrow" w:hAnsi="Arial Narrow" w:cs="Arial"/>
                <w:kern w:val="0"/>
                <w:sz w:val="18"/>
                <w:szCs w:val="18"/>
              </w:rPr>
              <w:t>struzione</w:t>
            </w:r>
          </w:p>
        </w:tc>
        <w:tc>
          <w:tcPr>
            <w:tcW w:w="1164" w:type="dxa"/>
            <w:shd w:val="clear" w:color="000000" w:fill="D9D9D9"/>
            <w:vAlign w:val="bottom"/>
          </w:tcPr>
          <w:p w14:paraId="1DA4401B" w14:textId="2B538D8C" w:rsidR="007E23DC" w:rsidRPr="00A409AE" w:rsidRDefault="007E23DC" w:rsidP="007E23DC">
            <w:pPr>
              <w:widowControl/>
              <w:overflowPunct/>
              <w:autoSpaceDE/>
              <w:autoSpaceDN/>
              <w:adjustRightInd/>
              <w:spacing w:before="0" w:after="0"/>
              <w:jc w:val="right"/>
              <w:rPr>
                <w:rFonts w:ascii="Arial Narrow" w:hAnsi="Arial Narrow" w:cs="Arial"/>
                <w:kern w:val="0"/>
                <w:sz w:val="18"/>
                <w:szCs w:val="18"/>
              </w:rPr>
            </w:pPr>
            <w:r w:rsidRPr="00BE2CFB">
              <w:rPr>
                <w:rFonts w:ascii="Arial Narrow" w:hAnsi="Arial Narrow" w:cs="Arial"/>
                <w:kern w:val="0"/>
                <w:sz w:val="18"/>
                <w:szCs w:val="18"/>
              </w:rPr>
              <w:t>9</w:t>
            </w:r>
            <w:r>
              <w:rPr>
                <w:rFonts w:ascii="Arial Narrow" w:hAnsi="Arial Narrow" w:cs="Arial"/>
                <w:kern w:val="0"/>
                <w:sz w:val="18"/>
                <w:szCs w:val="18"/>
              </w:rPr>
              <w:t>.</w:t>
            </w:r>
            <w:r w:rsidRPr="00BE2CFB">
              <w:rPr>
                <w:rFonts w:ascii="Arial Narrow" w:hAnsi="Arial Narrow" w:cs="Arial"/>
                <w:kern w:val="0"/>
                <w:sz w:val="18"/>
                <w:szCs w:val="18"/>
              </w:rPr>
              <w:t>427</w:t>
            </w:r>
          </w:p>
        </w:tc>
        <w:tc>
          <w:tcPr>
            <w:tcW w:w="1074" w:type="dxa"/>
            <w:shd w:val="clear" w:color="auto" w:fill="auto"/>
            <w:vAlign w:val="center"/>
          </w:tcPr>
          <w:p w14:paraId="413C207A" w14:textId="3347DEEC"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0,0</w:t>
            </w:r>
          </w:p>
        </w:tc>
        <w:tc>
          <w:tcPr>
            <w:tcW w:w="1053" w:type="dxa"/>
            <w:shd w:val="clear" w:color="000000" w:fill="D9D9D9"/>
            <w:vAlign w:val="center"/>
          </w:tcPr>
          <w:p w14:paraId="3AB6CBE7" w14:textId="27743FA1"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Pr>
                <w:rFonts w:ascii="Arial Narrow" w:hAnsi="Arial Narrow" w:cs="Arial"/>
                <w:kern w:val="0"/>
                <w:sz w:val="18"/>
                <w:szCs w:val="18"/>
              </w:rPr>
              <w:t>-</w:t>
            </w:r>
          </w:p>
        </w:tc>
        <w:tc>
          <w:tcPr>
            <w:tcW w:w="1074" w:type="dxa"/>
            <w:shd w:val="clear" w:color="auto" w:fill="auto"/>
            <w:vAlign w:val="center"/>
          </w:tcPr>
          <w:p w14:paraId="11B91FC2" w14:textId="50D6A9D8"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+1,6</w:t>
            </w:r>
          </w:p>
        </w:tc>
        <w:tc>
          <w:tcPr>
            <w:tcW w:w="1074" w:type="dxa"/>
            <w:shd w:val="clear" w:color="000000" w:fill="D9D9D9"/>
            <w:vAlign w:val="center"/>
          </w:tcPr>
          <w:p w14:paraId="060409DB" w14:textId="04E845F9"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Pr>
                <w:rFonts w:ascii="Arial Narrow" w:hAnsi="Arial Narrow" w:cs="Arial"/>
                <w:kern w:val="0"/>
                <w:sz w:val="18"/>
                <w:szCs w:val="18"/>
              </w:rPr>
              <w:t>-</w:t>
            </w:r>
          </w:p>
        </w:tc>
        <w:tc>
          <w:tcPr>
            <w:tcW w:w="1156" w:type="dxa"/>
            <w:shd w:val="clear" w:color="auto" w:fill="auto"/>
            <w:vAlign w:val="center"/>
          </w:tcPr>
          <w:p w14:paraId="63FAC8C2" w14:textId="36A5A0B2" w:rsidR="007E23DC" w:rsidRPr="009D77AA"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1,0</w:t>
            </w:r>
          </w:p>
        </w:tc>
      </w:tr>
      <w:tr w:rsidR="007E23DC" w:rsidRPr="00FB460C" w14:paraId="49546DBA" w14:textId="77777777" w:rsidTr="00901CE7">
        <w:trPr>
          <w:trHeight w:val="255"/>
          <w:jc w:val="center"/>
        </w:trPr>
        <w:tc>
          <w:tcPr>
            <w:tcW w:w="3571" w:type="dxa"/>
            <w:shd w:val="clear" w:color="auto" w:fill="auto"/>
            <w:vAlign w:val="center"/>
            <w:hideMark/>
          </w:tcPr>
          <w:p w14:paraId="13EFCACD" w14:textId="11C3CD4C" w:rsidR="007E23DC" w:rsidRPr="008814F3" w:rsidRDefault="007E23DC" w:rsidP="007E23DC">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 xml:space="preserve">Servizi </w:t>
            </w:r>
            <w:r>
              <w:rPr>
                <w:rFonts w:ascii="Arial Narrow" w:hAnsi="Arial Narrow" w:cs="Arial"/>
                <w:kern w:val="0"/>
                <w:sz w:val="18"/>
                <w:szCs w:val="18"/>
              </w:rPr>
              <w:t>di ristoranti e servizi di alloggio</w:t>
            </w:r>
          </w:p>
        </w:tc>
        <w:tc>
          <w:tcPr>
            <w:tcW w:w="1164" w:type="dxa"/>
            <w:shd w:val="clear" w:color="000000" w:fill="D9D9D9"/>
            <w:vAlign w:val="bottom"/>
          </w:tcPr>
          <w:p w14:paraId="7143E254" w14:textId="3F6A0B00" w:rsidR="007E23DC" w:rsidRPr="00A409AE" w:rsidRDefault="007E23DC" w:rsidP="007E23DC">
            <w:pPr>
              <w:widowControl/>
              <w:overflowPunct/>
              <w:autoSpaceDE/>
              <w:autoSpaceDN/>
              <w:adjustRightInd/>
              <w:spacing w:before="0" w:after="0"/>
              <w:jc w:val="right"/>
              <w:rPr>
                <w:rFonts w:ascii="Arial Narrow" w:hAnsi="Arial Narrow" w:cs="Arial"/>
                <w:kern w:val="0"/>
                <w:sz w:val="18"/>
                <w:szCs w:val="18"/>
              </w:rPr>
            </w:pPr>
            <w:r w:rsidRPr="00BE2CFB">
              <w:rPr>
                <w:rFonts w:ascii="Arial Narrow" w:hAnsi="Arial Narrow" w:cs="Arial"/>
                <w:kern w:val="0"/>
                <w:sz w:val="18"/>
                <w:szCs w:val="18"/>
              </w:rPr>
              <w:t>125</w:t>
            </w:r>
            <w:r>
              <w:rPr>
                <w:rFonts w:ascii="Arial Narrow" w:hAnsi="Arial Narrow" w:cs="Arial"/>
                <w:kern w:val="0"/>
                <w:sz w:val="18"/>
                <w:szCs w:val="18"/>
              </w:rPr>
              <w:t>.</w:t>
            </w:r>
            <w:r w:rsidRPr="00BE2CFB">
              <w:rPr>
                <w:rFonts w:ascii="Arial Narrow" w:hAnsi="Arial Narrow" w:cs="Arial"/>
                <w:kern w:val="0"/>
                <w:sz w:val="18"/>
                <w:szCs w:val="18"/>
              </w:rPr>
              <w:t>689</w:t>
            </w:r>
          </w:p>
        </w:tc>
        <w:tc>
          <w:tcPr>
            <w:tcW w:w="1074" w:type="dxa"/>
            <w:shd w:val="clear" w:color="auto" w:fill="auto"/>
            <w:vAlign w:val="center"/>
          </w:tcPr>
          <w:p w14:paraId="544E91C6" w14:textId="673FDAF3"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+0,7</w:t>
            </w:r>
          </w:p>
        </w:tc>
        <w:tc>
          <w:tcPr>
            <w:tcW w:w="1053" w:type="dxa"/>
            <w:shd w:val="clear" w:color="000000" w:fill="D9D9D9"/>
            <w:vAlign w:val="center"/>
          </w:tcPr>
          <w:p w14:paraId="653B2A13" w14:textId="31B9DBD4"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074" w:type="dxa"/>
            <w:shd w:val="clear" w:color="auto" w:fill="auto"/>
            <w:vAlign w:val="center"/>
          </w:tcPr>
          <w:p w14:paraId="29CA103E" w14:textId="563E94C4"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+3,5</w:t>
            </w:r>
          </w:p>
        </w:tc>
        <w:tc>
          <w:tcPr>
            <w:tcW w:w="1074" w:type="dxa"/>
            <w:shd w:val="clear" w:color="000000" w:fill="D9D9D9"/>
            <w:vAlign w:val="center"/>
          </w:tcPr>
          <w:p w14:paraId="47DDDF3C" w14:textId="5DD112AF"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156" w:type="dxa"/>
            <w:shd w:val="clear" w:color="auto" w:fill="auto"/>
            <w:vAlign w:val="center"/>
          </w:tcPr>
          <w:p w14:paraId="25C9C9EE" w14:textId="0B128E28" w:rsidR="007E23DC" w:rsidRPr="009D77AA"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-0,6</w:t>
            </w:r>
          </w:p>
        </w:tc>
      </w:tr>
      <w:tr w:rsidR="007E23DC" w:rsidRPr="00FB460C" w14:paraId="6CBB388B" w14:textId="77777777" w:rsidTr="00901CE7">
        <w:trPr>
          <w:trHeight w:val="255"/>
          <w:jc w:val="center"/>
        </w:trPr>
        <w:tc>
          <w:tcPr>
            <w:tcW w:w="3571" w:type="dxa"/>
            <w:shd w:val="clear" w:color="auto" w:fill="auto"/>
            <w:vAlign w:val="center"/>
            <w:hideMark/>
          </w:tcPr>
          <w:p w14:paraId="4702503C" w14:textId="042B95B5" w:rsidR="007E23DC" w:rsidRPr="008814F3" w:rsidRDefault="007E23DC" w:rsidP="007E23DC">
            <w:pPr>
              <w:widowControl/>
              <w:overflowPunct/>
              <w:autoSpaceDE/>
              <w:autoSpaceDN/>
              <w:adjustRightInd/>
              <w:spacing w:before="0" w:after="0"/>
              <w:rPr>
                <w:rFonts w:ascii="Arial Narrow" w:hAnsi="Arial Narrow" w:cs="Arial"/>
                <w:kern w:val="0"/>
                <w:sz w:val="18"/>
                <w:szCs w:val="18"/>
              </w:rPr>
            </w:pPr>
            <w:r>
              <w:rPr>
                <w:rFonts w:ascii="Arial Narrow" w:hAnsi="Arial Narrow" w:cs="Arial"/>
                <w:kern w:val="0"/>
                <w:sz w:val="18"/>
                <w:szCs w:val="18"/>
              </w:rPr>
              <w:t>Servizi finanziari e assicurativi</w:t>
            </w:r>
          </w:p>
        </w:tc>
        <w:tc>
          <w:tcPr>
            <w:tcW w:w="1164" w:type="dxa"/>
            <w:shd w:val="clear" w:color="000000" w:fill="D9D9D9"/>
            <w:vAlign w:val="bottom"/>
          </w:tcPr>
          <w:p w14:paraId="3ECCFB91" w14:textId="6234E25A" w:rsidR="007E23DC" w:rsidRPr="00A409AE" w:rsidRDefault="007E23DC" w:rsidP="007E23DC">
            <w:pPr>
              <w:widowControl/>
              <w:overflowPunct/>
              <w:autoSpaceDE/>
              <w:autoSpaceDN/>
              <w:adjustRightInd/>
              <w:spacing w:before="0" w:after="0"/>
              <w:jc w:val="right"/>
              <w:rPr>
                <w:rFonts w:ascii="Arial Narrow" w:hAnsi="Arial Narrow" w:cs="Arial"/>
                <w:kern w:val="0"/>
                <w:sz w:val="18"/>
                <w:szCs w:val="18"/>
              </w:rPr>
            </w:pPr>
            <w:r w:rsidRPr="00BE2CFB">
              <w:rPr>
                <w:rFonts w:ascii="Arial Narrow" w:hAnsi="Arial Narrow" w:cs="Arial"/>
                <w:kern w:val="0"/>
                <w:sz w:val="18"/>
                <w:szCs w:val="18"/>
              </w:rPr>
              <w:t>27</w:t>
            </w:r>
            <w:r>
              <w:rPr>
                <w:rFonts w:ascii="Arial Narrow" w:hAnsi="Arial Narrow" w:cs="Arial"/>
                <w:kern w:val="0"/>
                <w:sz w:val="18"/>
                <w:szCs w:val="18"/>
              </w:rPr>
              <w:t>.</w:t>
            </w:r>
            <w:r w:rsidRPr="00BE2CFB">
              <w:rPr>
                <w:rFonts w:ascii="Arial Narrow" w:hAnsi="Arial Narrow" w:cs="Arial"/>
                <w:kern w:val="0"/>
                <w:sz w:val="18"/>
                <w:szCs w:val="18"/>
              </w:rPr>
              <w:t>003</w:t>
            </w:r>
          </w:p>
        </w:tc>
        <w:tc>
          <w:tcPr>
            <w:tcW w:w="1074" w:type="dxa"/>
            <w:shd w:val="clear" w:color="auto" w:fill="auto"/>
            <w:vAlign w:val="center"/>
          </w:tcPr>
          <w:p w14:paraId="58DBC77C" w14:textId="17BF869A"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+0,3</w:t>
            </w:r>
          </w:p>
        </w:tc>
        <w:tc>
          <w:tcPr>
            <w:tcW w:w="1053" w:type="dxa"/>
            <w:shd w:val="clear" w:color="000000" w:fill="D9D9D9"/>
            <w:vAlign w:val="center"/>
          </w:tcPr>
          <w:p w14:paraId="0280C9C6" w14:textId="423333C6"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Pr>
                <w:rFonts w:ascii="Arial Narrow" w:hAnsi="Arial Narrow" w:cs="Arial"/>
                <w:kern w:val="0"/>
                <w:sz w:val="18"/>
                <w:szCs w:val="18"/>
              </w:rPr>
              <w:t>-</w:t>
            </w:r>
          </w:p>
        </w:tc>
        <w:tc>
          <w:tcPr>
            <w:tcW w:w="1074" w:type="dxa"/>
            <w:shd w:val="clear" w:color="auto" w:fill="auto"/>
            <w:vAlign w:val="center"/>
          </w:tcPr>
          <w:p w14:paraId="21C96FB9" w14:textId="39DE001D"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+4,2</w:t>
            </w:r>
          </w:p>
        </w:tc>
        <w:tc>
          <w:tcPr>
            <w:tcW w:w="1074" w:type="dxa"/>
            <w:shd w:val="clear" w:color="000000" w:fill="D9D9D9"/>
            <w:vAlign w:val="center"/>
          </w:tcPr>
          <w:p w14:paraId="47CFC7ED" w14:textId="38C6AA60"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Pr>
                <w:rFonts w:ascii="Arial Narrow" w:hAnsi="Arial Narrow" w:cs="Arial"/>
                <w:kern w:val="0"/>
                <w:sz w:val="18"/>
                <w:szCs w:val="18"/>
              </w:rPr>
              <w:t>-</w:t>
            </w:r>
          </w:p>
        </w:tc>
        <w:tc>
          <w:tcPr>
            <w:tcW w:w="1156" w:type="dxa"/>
            <w:shd w:val="clear" w:color="auto" w:fill="auto"/>
            <w:vAlign w:val="center"/>
          </w:tcPr>
          <w:p w14:paraId="0935B707" w14:textId="61E43E90" w:rsidR="007E23DC" w:rsidRPr="009D77AA"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2,3</w:t>
            </w:r>
          </w:p>
        </w:tc>
      </w:tr>
      <w:tr w:rsidR="007E23DC" w:rsidRPr="00FB460C" w14:paraId="05760D7E" w14:textId="77777777" w:rsidTr="00901CE7">
        <w:trPr>
          <w:trHeight w:val="255"/>
          <w:jc w:val="center"/>
        </w:trPr>
        <w:tc>
          <w:tcPr>
            <w:tcW w:w="3571" w:type="dxa"/>
            <w:shd w:val="clear" w:color="auto" w:fill="auto"/>
            <w:vAlign w:val="center"/>
          </w:tcPr>
          <w:p w14:paraId="739018C3" w14:textId="17838174" w:rsidR="007E23DC" w:rsidRDefault="007E23DC" w:rsidP="007E23DC">
            <w:pPr>
              <w:widowControl/>
              <w:overflowPunct/>
              <w:autoSpaceDE/>
              <w:autoSpaceDN/>
              <w:adjustRightInd/>
              <w:spacing w:before="0" w:after="0"/>
              <w:rPr>
                <w:rFonts w:ascii="Arial Narrow" w:hAnsi="Arial Narrow" w:cs="Arial"/>
                <w:kern w:val="0"/>
                <w:sz w:val="18"/>
                <w:szCs w:val="18"/>
              </w:rPr>
            </w:pPr>
            <w:r>
              <w:rPr>
                <w:rFonts w:ascii="Arial Narrow" w:hAnsi="Arial Narrow" w:cs="Arial"/>
                <w:kern w:val="0"/>
                <w:sz w:val="18"/>
                <w:szCs w:val="18"/>
              </w:rPr>
              <w:t>Assistenza alla persona, protezione sociale e beni e servizi vari</w:t>
            </w:r>
          </w:p>
        </w:tc>
        <w:tc>
          <w:tcPr>
            <w:tcW w:w="1164" w:type="dxa"/>
            <w:shd w:val="clear" w:color="000000" w:fill="D9D9D9"/>
            <w:vAlign w:val="bottom"/>
          </w:tcPr>
          <w:p w14:paraId="7A12EB1F" w14:textId="21DC915B" w:rsidR="007E23DC" w:rsidRPr="00A409AE" w:rsidRDefault="007E23DC" w:rsidP="007E23DC">
            <w:pPr>
              <w:widowControl/>
              <w:overflowPunct/>
              <w:autoSpaceDE/>
              <w:autoSpaceDN/>
              <w:adjustRightInd/>
              <w:spacing w:before="0" w:after="0"/>
              <w:jc w:val="right"/>
              <w:rPr>
                <w:rFonts w:ascii="Arial Narrow" w:hAnsi="Arial Narrow" w:cs="Arial"/>
                <w:kern w:val="0"/>
                <w:sz w:val="18"/>
                <w:szCs w:val="18"/>
              </w:rPr>
            </w:pPr>
            <w:r w:rsidRPr="00BE2CFB">
              <w:rPr>
                <w:rFonts w:ascii="Arial Narrow" w:hAnsi="Arial Narrow" w:cs="Arial"/>
                <w:kern w:val="0"/>
                <w:sz w:val="18"/>
                <w:szCs w:val="18"/>
              </w:rPr>
              <w:t>67</w:t>
            </w:r>
            <w:r>
              <w:rPr>
                <w:rFonts w:ascii="Arial Narrow" w:hAnsi="Arial Narrow" w:cs="Arial"/>
                <w:kern w:val="0"/>
                <w:sz w:val="18"/>
                <w:szCs w:val="18"/>
              </w:rPr>
              <w:t>.</w:t>
            </w:r>
            <w:r w:rsidRPr="00BE2CFB">
              <w:rPr>
                <w:rFonts w:ascii="Arial Narrow" w:hAnsi="Arial Narrow" w:cs="Arial"/>
                <w:kern w:val="0"/>
                <w:sz w:val="18"/>
                <w:szCs w:val="18"/>
              </w:rPr>
              <w:t>980</w:t>
            </w:r>
          </w:p>
        </w:tc>
        <w:tc>
          <w:tcPr>
            <w:tcW w:w="1074" w:type="dxa"/>
            <w:shd w:val="clear" w:color="auto" w:fill="auto"/>
            <w:vAlign w:val="center"/>
          </w:tcPr>
          <w:p w14:paraId="42D2EEE3" w14:textId="299B921F"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+0,7</w:t>
            </w:r>
          </w:p>
        </w:tc>
        <w:tc>
          <w:tcPr>
            <w:tcW w:w="1053" w:type="dxa"/>
            <w:shd w:val="clear" w:color="000000" w:fill="D9D9D9"/>
            <w:vAlign w:val="center"/>
          </w:tcPr>
          <w:p w14:paraId="31234039" w14:textId="41561204"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074" w:type="dxa"/>
            <w:shd w:val="clear" w:color="auto" w:fill="auto"/>
            <w:vAlign w:val="center"/>
          </w:tcPr>
          <w:p w14:paraId="3063A8AB" w14:textId="14B73B5E" w:rsidR="007E23DC" w:rsidRPr="00901CE7"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+3,3</w:t>
            </w:r>
          </w:p>
        </w:tc>
        <w:tc>
          <w:tcPr>
            <w:tcW w:w="1074" w:type="dxa"/>
            <w:shd w:val="clear" w:color="000000" w:fill="D9D9D9"/>
            <w:vAlign w:val="center"/>
          </w:tcPr>
          <w:p w14:paraId="7A4A796A" w14:textId="388306CF" w:rsidR="007E23DC" w:rsidRPr="00901CE7" w:rsidRDefault="007E23DC" w:rsidP="007E23DC">
            <w:pPr>
              <w:widowControl/>
              <w:overflowPunct/>
              <w:autoSpaceDE/>
              <w:autoSpaceDN/>
              <w:adjustRightInd/>
              <w:spacing w:before="0" w:after="0"/>
              <w:jc w:val="center"/>
              <w:rPr>
                <w:rFonts w:ascii="Arial Narrow" w:hAnsi="Arial Narrow" w:cs="Arial"/>
                <w:kern w:val="0"/>
                <w:sz w:val="18"/>
                <w:szCs w:val="18"/>
              </w:rPr>
            </w:pPr>
            <w:r w:rsidRPr="007E23DC">
              <w:rPr>
                <w:rFonts w:ascii="Arial Narrow" w:hAnsi="Arial Narrow" w:cs="Arial"/>
                <w:kern w:val="0"/>
                <w:sz w:val="18"/>
                <w:szCs w:val="18"/>
              </w:rPr>
              <w:t>-</w:t>
            </w:r>
          </w:p>
        </w:tc>
        <w:tc>
          <w:tcPr>
            <w:tcW w:w="1156" w:type="dxa"/>
            <w:shd w:val="clear" w:color="auto" w:fill="auto"/>
            <w:vAlign w:val="center"/>
          </w:tcPr>
          <w:p w14:paraId="1620DAC9" w14:textId="0C4116B2" w:rsidR="007E23DC" w:rsidRPr="009D77AA" w:rsidRDefault="007E23DC" w:rsidP="007E23DC">
            <w:pPr>
              <w:widowControl/>
              <w:overflowPunct/>
              <w:autoSpaceDE/>
              <w:autoSpaceDN/>
              <w:adjustRightInd/>
              <w:spacing w:before="0" w:after="0"/>
              <w:jc w:val="right"/>
              <w:rPr>
                <w:rFonts w:ascii="Arial Narrow" w:hAnsi="Arial Narrow" w:cs="Arial"/>
                <w:kern w:val="0"/>
                <w:sz w:val="18"/>
                <w:szCs w:val="18"/>
              </w:rPr>
            </w:pPr>
            <w:r w:rsidRPr="00901CE7">
              <w:rPr>
                <w:rFonts w:ascii="Arial Narrow" w:hAnsi="Arial Narrow" w:cs="Arial"/>
                <w:kern w:val="0"/>
                <w:sz w:val="18"/>
                <w:szCs w:val="18"/>
              </w:rPr>
              <w:t>2,0</w:t>
            </w:r>
          </w:p>
        </w:tc>
      </w:tr>
      <w:tr w:rsidR="00901CE7" w:rsidRPr="0006302A" w14:paraId="406F3B65" w14:textId="77777777" w:rsidTr="00901CE7">
        <w:trPr>
          <w:trHeight w:val="255"/>
          <w:jc w:val="center"/>
        </w:trPr>
        <w:tc>
          <w:tcPr>
            <w:tcW w:w="3571" w:type="dxa"/>
            <w:shd w:val="clear" w:color="000000" w:fill="E42618"/>
            <w:vAlign w:val="center"/>
            <w:hideMark/>
          </w:tcPr>
          <w:p w14:paraId="657524C1" w14:textId="77777777" w:rsidR="00901CE7" w:rsidRPr="00D179A1" w:rsidRDefault="00901CE7" w:rsidP="00901CE7">
            <w:pPr>
              <w:widowControl/>
              <w:overflowPunct/>
              <w:autoSpaceDE/>
              <w:autoSpaceDN/>
              <w:adjustRightInd/>
              <w:spacing w:before="0" w:after="0"/>
              <w:rPr>
                <w:rFonts w:ascii="Arial Narrow" w:hAnsi="Arial Narrow" w:cs="Arial"/>
                <w:b/>
                <w:color w:val="FFFFFF" w:themeColor="background1"/>
                <w:kern w:val="0"/>
                <w:sz w:val="18"/>
                <w:szCs w:val="18"/>
              </w:rPr>
            </w:pPr>
            <w:r w:rsidRPr="00D179A1">
              <w:rPr>
                <w:rFonts w:ascii="Arial Narrow" w:hAnsi="Arial Narrow" w:cs="Arial"/>
                <w:b/>
                <w:color w:val="FFFFFF" w:themeColor="background1"/>
                <w:kern w:val="0"/>
                <w:sz w:val="18"/>
                <w:szCs w:val="18"/>
              </w:rPr>
              <w:t>Indice generale</w:t>
            </w:r>
          </w:p>
        </w:tc>
        <w:tc>
          <w:tcPr>
            <w:tcW w:w="1164" w:type="dxa"/>
            <w:shd w:val="clear" w:color="000000" w:fill="E42618"/>
            <w:vAlign w:val="center"/>
          </w:tcPr>
          <w:p w14:paraId="5A0FEE7B" w14:textId="4CBB7411" w:rsidR="00901CE7" w:rsidRPr="00A409AE" w:rsidRDefault="00901CE7" w:rsidP="00901CE7">
            <w:pPr>
              <w:widowControl/>
              <w:overflowPunct/>
              <w:autoSpaceDE/>
              <w:autoSpaceDN/>
              <w:adjustRightInd/>
              <w:spacing w:before="0" w:after="0"/>
              <w:jc w:val="right"/>
              <w:rPr>
                <w:rFonts w:ascii="Arial Narrow" w:hAnsi="Arial Narrow" w:cs="Arial"/>
                <w:b/>
                <w:color w:val="FFFFFF" w:themeColor="background1"/>
                <w:kern w:val="0"/>
                <w:sz w:val="18"/>
                <w:szCs w:val="18"/>
              </w:rPr>
            </w:pPr>
            <w:r>
              <w:rPr>
                <w:rFonts w:ascii="Arial Narrow" w:hAnsi="Arial Narrow" w:cs="Arial"/>
                <w:b/>
                <w:color w:val="FFFFFF" w:themeColor="background1"/>
                <w:kern w:val="0"/>
                <w:sz w:val="18"/>
                <w:szCs w:val="18"/>
              </w:rPr>
              <w:t>1.000.000</w:t>
            </w:r>
          </w:p>
        </w:tc>
        <w:tc>
          <w:tcPr>
            <w:tcW w:w="1074" w:type="dxa"/>
            <w:shd w:val="clear" w:color="000000" w:fill="E42618"/>
            <w:vAlign w:val="center"/>
          </w:tcPr>
          <w:p w14:paraId="303CD3E1" w14:textId="50417060" w:rsidR="00901CE7" w:rsidRPr="00901CE7" w:rsidRDefault="00901CE7" w:rsidP="00901CE7">
            <w:pPr>
              <w:widowControl/>
              <w:overflowPunct/>
              <w:autoSpaceDE/>
              <w:autoSpaceDN/>
              <w:adjustRightInd/>
              <w:spacing w:before="0" w:after="0"/>
              <w:jc w:val="right"/>
              <w:rPr>
                <w:rFonts w:ascii="Arial Narrow" w:hAnsi="Arial Narrow" w:cs="Arial"/>
                <w:b/>
                <w:color w:val="FFFFFF" w:themeColor="background1"/>
                <w:kern w:val="0"/>
                <w:sz w:val="18"/>
                <w:szCs w:val="18"/>
              </w:rPr>
            </w:pPr>
            <w:r w:rsidRPr="00901CE7">
              <w:rPr>
                <w:rFonts w:ascii="Arial Narrow" w:hAnsi="Arial Narrow" w:cs="Arial"/>
                <w:b/>
                <w:color w:val="FFFFFF" w:themeColor="background1"/>
                <w:kern w:val="0"/>
                <w:sz w:val="18"/>
                <w:szCs w:val="18"/>
              </w:rPr>
              <w:t>+0,4</w:t>
            </w:r>
          </w:p>
        </w:tc>
        <w:tc>
          <w:tcPr>
            <w:tcW w:w="1053" w:type="dxa"/>
            <w:shd w:val="clear" w:color="000000" w:fill="E42618"/>
            <w:vAlign w:val="center"/>
          </w:tcPr>
          <w:p w14:paraId="2899277F" w14:textId="102E72C1" w:rsidR="00901CE7" w:rsidRPr="00901CE7" w:rsidRDefault="00901CE7" w:rsidP="00901CE7">
            <w:pPr>
              <w:widowControl/>
              <w:overflowPunct/>
              <w:autoSpaceDE/>
              <w:autoSpaceDN/>
              <w:adjustRightInd/>
              <w:spacing w:before="0" w:after="0"/>
              <w:jc w:val="right"/>
              <w:rPr>
                <w:rFonts w:ascii="Arial Narrow" w:hAnsi="Arial Narrow" w:cs="Arial"/>
                <w:b/>
                <w:color w:val="FFFFFF" w:themeColor="background1"/>
                <w:kern w:val="0"/>
                <w:sz w:val="18"/>
                <w:szCs w:val="18"/>
              </w:rPr>
            </w:pPr>
            <w:r w:rsidRPr="00901CE7">
              <w:rPr>
                <w:rFonts w:ascii="Arial Narrow" w:hAnsi="Arial Narrow" w:cs="Arial"/>
                <w:b/>
                <w:color w:val="FFFFFF" w:themeColor="background1"/>
                <w:kern w:val="0"/>
                <w:sz w:val="18"/>
                <w:szCs w:val="18"/>
              </w:rPr>
              <w:t>+0,6</w:t>
            </w:r>
          </w:p>
        </w:tc>
        <w:tc>
          <w:tcPr>
            <w:tcW w:w="1074" w:type="dxa"/>
            <w:shd w:val="clear" w:color="000000" w:fill="E42618"/>
            <w:vAlign w:val="center"/>
          </w:tcPr>
          <w:p w14:paraId="168CF4ED" w14:textId="21238045" w:rsidR="00901CE7" w:rsidRPr="00901CE7" w:rsidRDefault="00901CE7" w:rsidP="00901CE7">
            <w:pPr>
              <w:widowControl/>
              <w:overflowPunct/>
              <w:autoSpaceDE/>
              <w:autoSpaceDN/>
              <w:adjustRightInd/>
              <w:spacing w:before="0" w:after="0"/>
              <w:jc w:val="right"/>
              <w:rPr>
                <w:rFonts w:ascii="Arial Narrow" w:hAnsi="Arial Narrow" w:cs="Arial"/>
                <w:b/>
                <w:color w:val="FFFFFF" w:themeColor="background1"/>
                <w:kern w:val="0"/>
                <w:sz w:val="18"/>
                <w:szCs w:val="18"/>
              </w:rPr>
            </w:pPr>
            <w:r w:rsidRPr="00901CE7">
              <w:rPr>
                <w:rFonts w:ascii="Arial Narrow" w:hAnsi="Arial Narrow" w:cs="Arial"/>
                <w:b/>
                <w:color w:val="FFFFFF" w:themeColor="background1"/>
                <w:kern w:val="0"/>
                <w:sz w:val="18"/>
                <w:szCs w:val="18"/>
              </w:rPr>
              <w:t>+1,0</w:t>
            </w:r>
          </w:p>
        </w:tc>
        <w:tc>
          <w:tcPr>
            <w:tcW w:w="1074" w:type="dxa"/>
            <w:shd w:val="clear" w:color="000000" w:fill="E42618"/>
            <w:vAlign w:val="center"/>
          </w:tcPr>
          <w:p w14:paraId="389CEE02" w14:textId="7C608408" w:rsidR="00901CE7" w:rsidRPr="00901CE7" w:rsidRDefault="00901CE7" w:rsidP="00901CE7">
            <w:pPr>
              <w:widowControl/>
              <w:overflowPunct/>
              <w:autoSpaceDE/>
              <w:autoSpaceDN/>
              <w:adjustRightInd/>
              <w:spacing w:before="0" w:after="0"/>
              <w:jc w:val="right"/>
              <w:rPr>
                <w:rFonts w:ascii="Arial Narrow" w:hAnsi="Arial Narrow" w:cs="Arial"/>
                <w:b/>
                <w:color w:val="FFFFFF" w:themeColor="background1"/>
                <w:kern w:val="0"/>
                <w:sz w:val="18"/>
                <w:szCs w:val="18"/>
              </w:rPr>
            </w:pPr>
            <w:r w:rsidRPr="00901CE7">
              <w:rPr>
                <w:rFonts w:ascii="Arial Narrow" w:hAnsi="Arial Narrow" w:cs="Arial"/>
                <w:b/>
                <w:color w:val="FFFFFF" w:themeColor="background1"/>
                <w:kern w:val="0"/>
                <w:sz w:val="18"/>
                <w:szCs w:val="18"/>
              </w:rPr>
              <w:t>+1,2</w:t>
            </w:r>
          </w:p>
        </w:tc>
        <w:tc>
          <w:tcPr>
            <w:tcW w:w="1156" w:type="dxa"/>
            <w:shd w:val="clear" w:color="000000" w:fill="E42618"/>
            <w:vAlign w:val="center"/>
          </w:tcPr>
          <w:p w14:paraId="77638842" w14:textId="69FABA17" w:rsidR="00901CE7" w:rsidRPr="00901CE7" w:rsidRDefault="00901CE7" w:rsidP="00901CE7">
            <w:pPr>
              <w:widowControl/>
              <w:overflowPunct/>
              <w:autoSpaceDE/>
              <w:autoSpaceDN/>
              <w:adjustRightInd/>
              <w:spacing w:before="0" w:after="0"/>
              <w:jc w:val="right"/>
              <w:rPr>
                <w:rFonts w:ascii="Arial Narrow" w:hAnsi="Arial Narrow" w:cs="Arial"/>
                <w:b/>
                <w:color w:val="FFFFFF" w:themeColor="background1"/>
                <w:kern w:val="0"/>
                <w:sz w:val="18"/>
                <w:szCs w:val="18"/>
              </w:rPr>
            </w:pPr>
            <w:r w:rsidRPr="00901CE7">
              <w:rPr>
                <w:rFonts w:ascii="Arial Narrow" w:hAnsi="Arial Narrow" w:cs="Arial"/>
                <w:b/>
                <w:color w:val="FFFFFF" w:themeColor="background1"/>
                <w:kern w:val="0"/>
                <w:sz w:val="18"/>
                <w:szCs w:val="18"/>
              </w:rPr>
              <w:t>0,4</w:t>
            </w:r>
          </w:p>
        </w:tc>
      </w:tr>
    </w:tbl>
    <w:p w14:paraId="06466F6E" w14:textId="77777777" w:rsidR="005031DD" w:rsidRPr="00595534" w:rsidRDefault="005031DD" w:rsidP="005031DD">
      <w:pPr>
        <w:pStyle w:val="001TitoGra"/>
        <w:spacing w:after="120" w:line="240" w:lineRule="auto"/>
        <w:rPr>
          <w:color w:val="FFFFFF" w:themeColor="background1"/>
          <w:kern w:val="0"/>
          <w:sz w:val="18"/>
          <w:szCs w:val="18"/>
        </w:rPr>
      </w:pPr>
    </w:p>
    <w:p w14:paraId="572D8B5A" w14:textId="77777777" w:rsidR="005031DD" w:rsidRPr="006C51CD" w:rsidRDefault="005031DD" w:rsidP="005031DD">
      <w:pPr>
        <w:pStyle w:val="001TitoGra"/>
        <w:spacing w:after="120" w:line="240" w:lineRule="auto"/>
        <w:rPr>
          <w:color w:val="E42618"/>
        </w:rPr>
      </w:pPr>
    </w:p>
    <w:p w14:paraId="0947E4F9" w14:textId="77777777" w:rsidR="00EB5D65" w:rsidRDefault="00EB5D65" w:rsidP="00EB5D65">
      <w:pPr>
        <w:pStyle w:val="001TitoGra"/>
        <w:spacing w:line="240" w:lineRule="auto"/>
      </w:pPr>
      <w:r>
        <w:rPr>
          <w:rFonts w:cs="Calibri"/>
          <w:bCs/>
          <w:color w:val="FF0000"/>
          <w:kern w:val="0"/>
        </w:rPr>
        <w:t>F</w:t>
      </w:r>
      <w:r w:rsidRPr="001033EA">
        <w:rPr>
          <w:rFonts w:cs="Calibri"/>
          <w:bCs/>
          <w:color w:val="FF0000"/>
          <w:kern w:val="0"/>
        </w:rPr>
        <w:t xml:space="preserve">IGURA </w:t>
      </w:r>
      <w:r>
        <w:rPr>
          <w:rFonts w:cs="Calibri"/>
          <w:bCs/>
          <w:color w:val="FF0000"/>
          <w:kern w:val="0"/>
        </w:rPr>
        <w:t xml:space="preserve">2. </w:t>
      </w:r>
      <w:r>
        <w:t>INDICI DEI PREZZI AL CONSUMO NIC PER DIVISIONE DI SPESA</w:t>
      </w:r>
    </w:p>
    <w:p w14:paraId="2627DFCD" w14:textId="46638D48" w:rsidR="00EB5D65" w:rsidRDefault="008B0D31" w:rsidP="00EB5D65">
      <w:pPr>
        <w:pStyle w:val="001TitoGra"/>
        <w:spacing w:after="120" w:line="240" w:lineRule="auto"/>
        <w:rPr>
          <w:b w:val="0"/>
          <w:sz w:val="20"/>
          <w:szCs w:val="20"/>
        </w:rPr>
      </w:pPr>
      <w:r>
        <w:rPr>
          <w:b w:val="0"/>
          <w:sz w:val="20"/>
          <w:szCs w:val="20"/>
        </w:rPr>
        <w:t>Gennaio</w:t>
      </w:r>
      <w:r w:rsidR="00337E02">
        <w:rPr>
          <w:b w:val="0"/>
          <w:sz w:val="20"/>
          <w:szCs w:val="20"/>
        </w:rPr>
        <w:t xml:space="preserve"> 202</w:t>
      </w:r>
      <w:r>
        <w:rPr>
          <w:b w:val="0"/>
          <w:sz w:val="20"/>
          <w:szCs w:val="20"/>
        </w:rPr>
        <w:t>6</w:t>
      </w:r>
      <w:r w:rsidR="00EB5D65" w:rsidRPr="006C51CD">
        <w:rPr>
          <w:b w:val="0"/>
          <w:sz w:val="20"/>
          <w:szCs w:val="20"/>
        </w:rPr>
        <w:t>, variazioni percentuali tendenziali (base 20</w:t>
      </w:r>
      <w:r w:rsidR="00D836DA">
        <w:rPr>
          <w:b w:val="0"/>
          <w:sz w:val="20"/>
          <w:szCs w:val="20"/>
        </w:rPr>
        <w:t>2</w:t>
      </w:r>
      <w:r w:rsidR="00EB5D65" w:rsidRPr="006C51CD">
        <w:rPr>
          <w:b w:val="0"/>
          <w:sz w:val="20"/>
          <w:szCs w:val="20"/>
        </w:rPr>
        <w:t>5=100)</w:t>
      </w:r>
    </w:p>
    <w:p w14:paraId="726F06B1" w14:textId="260EB74D" w:rsidR="00240242" w:rsidRDefault="00500D40" w:rsidP="00EB5D65">
      <w:pPr>
        <w:pStyle w:val="001TitoGra"/>
        <w:spacing w:after="120" w:line="240" w:lineRule="auto"/>
        <w:rPr>
          <w:b w:val="0"/>
          <w:sz w:val="20"/>
          <w:szCs w:val="20"/>
        </w:rPr>
      </w:pPr>
      <w:r>
        <w:rPr>
          <w:b w:val="0"/>
          <w:noProof/>
          <w:sz w:val="20"/>
          <w:szCs w:val="20"/>
        </w:rPr>
        <w:drawing>
          <wp:inline distT="0" distB="0" distL="0" distR="0" wp14:anchorId="516C7734" wp14:editId="6CC393EC">
            <wp:extent cx="6663690" cy="2164080"/>
            <wp:effectExtent l="0" t="0" r="3810" b="7620"/>
            <wp:docPr id="7727790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3690" cy="2164080"/>
                    </a:xfrm>
                    <a:prstGeom prst="rect">
                      <a:avLst/>
                    </a:prstGeom>
                    <a:noFill/>
                  </pic:spPr>
                </pic:pic>
              </a:graphicData>
            </a:graphic>
          </wp:inline>
        </w:drawing>
      </w:r>
    </w:p>
    <w:p w14:paraId="62C18FEA" w14:textId="1D1A0470" w:rsidR="00EB5D65" w:rsidRDefault="00EB5D65" w:rsidP="00EB5D65">
      <w:pPr>
        <w:pStyle w:val="001TitoGra"/>
        <w:spacing w:after="120" w:line="240" w:lineRule="auto"/>
        <w:rPr>
          <w:b w:val="0"/>
          <w:sz w:val="20"/>
          <w:szCs w:val="20"/>
        </w:rPr>
      </w:pPr>
    </w:p>
    <w:p w14:paraId="3DF1108F" w14:textId="77777777" w:rsidR="00EB5D65" w:rsidRDefault="00EB5D65" w:rsidP="00EB5D65">
      <w:pPr>
        <w:pStyle w:val="001TitoGra"/>
        <w:spacing w:after="120" w:line="240" w:lineRule="auto"/>
        <w:rPr>
          <w:b w:val="0"/>
          <w:sz w:val="20"/>
          <w:szCs w:val="20"/>
        </w:rPr>
      </w:pPr>
    </w:p>
    <w:p w14:paraId="64151790" w14:textId="77777777" w:rsidR="00C41557" w:rsidRDefault="00C41557" w:rsidP="00F23E5B">
      <w:pPr>
        <w:pStyle w:val="001TitoGra"/>
        <w:spacing w:after="120" w:line="240" w:lineRule="auto"/>
        <w:rPr>
          <w:b w:val="0"/>
          <w:sz w:val="20"/>
          <w:szCs w:val="20"/>
        </w:rPr>
      </w:pPr>
    </w:p>
    <w:p w14:paraId="1835D272" w14:textId="77777777" w:rsidR="00F23E5B" w:rsidRDefault="00F23E5B">
      <w:pPr>
        <w:widowControl/>
        <w:overflowPunct/>
        <w:autoSpaceDE/>
        <w:autoSpaceDN/>
        <w:adjustRightInd/>
        <w:spacing w:before="0" w:after="0"/>
        <w:rPr>
          <w:rFonts w:ascii="Arial Narrow" w:hAnsi="Arial Narrow" w:cs="Arial"/>
          <w:color w:val="5F5F5F"/>
        </w:rPr>
      </w:pPr>
      <w:r>
        <w:br w:type="page"/>
      </w:r>
    </w:p>
    <w:p w14:paraId="63D71ECD" w14:textId="77777777" w:rsidR="00F23E5B" w:rsidRPr="00521958" w:rsidRDefault="00F23E5B" w:rsidP="00521958">
      <w:pPr>
        <w:pStyle w:val="001TitoGra"/>
        <w:spacing w:after="120" w:line="240" w:lineRule="auto"/>
        <w:rPr>
          <w:color w:val="auto"/>
          <w:sz w:val="18"/>
        </w:rPr>
      </w:pPr>
    </w:p>
    <w:p w14:paraId="4EC591F0" w14:textId="77777777" w:rsidR="00344F4E" w:rsidRDefault="00344F4E" w:rsidP="00CD5355">
      <w:pPr>
        <w:pStyle w:val="001TitoloBolocco"/>
        <w:spacing w:after="120" w:line="240" w:lineRule="auto"/>
      </w:pPr>
      <w:r w:rsidRPr="0002181D">
        <w:t xml:space="preserve">Le tipologie di </w:t>
      </w:r>
      <w:r w:rsidRPr="00587B88">
        <w:t>prodotto</w:t>
      </w:r>
    </w:p>
    <w:p w14:paraId="0C7C7A82" w14:textId="77777777" w:rsidR="00EB5D65" w:rsidRPr="00EF4A40" w:rsidRDefault="00EB5D65" w:rsidP="00EB5D65">
      <w:pPr>
        <w:pStyle w:val="001TitoGra"/>
        <w:spacing w:after="120" w:line="240" w:lineRule="auto"/>
        <w:rPr>
          <w:color w:val="E42618"/>
          <w:sz w:val="16"/>
        </w:rPr>
      </w:pPr>
    </w:p>
    <w:p w14:paraId="1E748A4C" w14:textId="77777777" w:rsidR="00EB5D65" w:rsidRDefault="00EB5D65" w:rsidP="00EB5D65">
      <w:pPr>
        <w:pStyle w:val="001TitoGra"/>
        <w:spacing w:line="240" w:lineRule="auto"/>
      </w:pPr>
      <w:r w:rsidRPr="00DF51C5">
        <w:rPr>
          <w:color w:val="E42618"/>
        </w:rPr>
        <w:t>PROSPETTO 3</w:t>
      </w:r>
      <w:r w:rsidRPr="00EF31E3">
        <w:rPr>
          <w:color w:val="D90B13"/>
        </w:rPr>
        <w:t>.</w:t>
      </w:r>
      <w:r>
        <w:t xml:space="preserve"> INDICI</w:t>
      </w:r>
      <w:r w:rsidRPr="00EA0885">
        <w:t xml:space="preserve"> DEI PREZZI AL CONSUMO NIC PER TIPOLOGIA DI PRODOTTO</w:t>
      </w:r>
    </w:p>
    <w:p w14:paraId="77EA3A81" w14:textId="41E3381E" w:rsidR="005031DD" w:rsidRDefault="001A02E7" w:rsidP="005031DD">
      <w:pPr>
        <w:pStyle w:val="001SottotitoloGra"/>
        <w:spacing w:line="240" w:lineRule="auto"/>
      </w:pPr>
      <w:r>
        <w:t>Gennaio</w:t>
      </w:r>
      <w:r w:rsidR="006E630A">
        <w:t xml:space="preserve"> 202</w:t>
      </w:r>
      <w:r>
        <w:t>6</w:t>
      </w:r>
      <w:r w:rsidR="005031DD" w:rsidRPr="00EA0885">
        <w:t>, pesi e variazioni</w:t>
      </w:r>
      <w:r w:rsidR="005031DD">
        <w:t xml:space="preserve"> percentuali congiunturali e tendenziali (base 20</w:t>
      </w:r>
      <w:r w:rsidR="009A76DF">
        <w:t>2</w:t>
      </w:r>
      <w:r w:rsidR="005031DD">
        <w:t>5=100)</w:t>
      </w:r>
    </w:p>
    <w:tbl>
      <w:tblPr>
        <w:tblW w:w="10174"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395"/>
        <w:gridCol w:w="1048"/>
        <w:gridCol w:w="909"/>
        <w:gridCol w:w="971"/>
        <w:gridCol w:w="967"/>
        <w:gridCol w:w="834"/>
        <w:gridCol w:w="1050"/>
      </w:tblGrid>
      <w:tr w:rsidR="006E630A" w:rsidRPr="004B2A9B" w14:paraId="0CF9E5FB" w14:textId="77777777" w:rsidTr="004B3ACE">
        <w:trPr>
          <w:trHeight w:val="255"/>
          <w:jc w:val="center"/>
        </w:trPr>
        <w:tc>
          <w:tcPr>
            <w:tcW w:w="4395" w:type="dxa"/>
            <w:vMerge w:val="restart"/>
            <w:shd w:val="clear" w:color="auto" w:fill="auto"/>
            <w:vAlign w:val="center"/>
            <w:hideMark/>
          </w:tcPr>
          <w:p w14:paraId="6FD37034" w14:textId="77777777" w:rsidR="006E630A" w:rsidRPr="004B2A9B" w:rsidRDefault="006E630A" w:rsidP="004B3ACE">
            <w:pPr>
              <w:widowControl/>
              <w:overflowPunct/>
              <w:autoSpaceDE/>
              <w:autoSpaceDN/>
              <w:adjustRightInd/>
              <w:spacing w:before="0" w:after="0"/>
              <w:rPr>
                <w:rFonts w:ascii="Arial Narrow" w:hAnsi="Arial Narrow" w:cs="Arial"/>
                <w:b/>
                <w:bCs/>
                <w:kern w:val="0"/>
                <w:sz w:val="18"/>
                <w:szCs w:val="18"/>
              </w:rPr>
            </w:pPr>
            <w:r w:rsidRPr="004B2A9B">
              <w:rPr>
                <w:rFonts w:ascii="Arial Narrow" w:hAnsi="Arial Narrow" w:cs="Arial"/>
                <w:b/>
                <w:bCs/>
                <w:kern w:val="0"/>
                <w:sz w:val="18"/>
                <w:szCs w:val="18"/>
              </w:rPr>
              <w:t>TIPOLOGIE DI PRODOTTO</w:t>
            </w:r>
          </w:p>
        </w:tc>
        <w:tc>
          <w:tcPr>
            <w:tcW w:w="1048" w:type="dxa"/>
            <w:vMerge w:val="restart"/>
            <w:shd w:val="clear" w:color="000000" w:fill="D9D9D9"/>
            <w:vAlign w:val="center"/>
            <w:hideMark/>
          </w:tcPr>
          <w:p w14:paraId="1D847926" w14:textId="77777777" w:rsidR="006E630A" w:rsidRPr="004B2A9B" w:rsidRDefault="006E630A" w:rsidP="004B3ACE">
            <w:pPr>
              <w:widowControl/>
              <w:overflowPunct/>
              <w:autoSpaceDE/>
              <w:autoSpaceDN/>
              <w:adjustRightInd/>
              <w:spacing w:before="0" w:after="0"/>
              <w:jc w:val="right"/>
              <w:rPr>
                <w:rFonts w:ascii="Arial Narrow" w:hAnsi="Arial Narrow" w:cs="Arial"/>
                <w:b/>
                <w:bCs/>
                <w:kern w:val="0"/>
                <w:sz w:val="18"/>
                <w:szCs w:val="18"/>
              </w:rPr>
            </w:pPr>
            <w:r w:rsidRPr="004B2A9B">
              <w:rPr>
                <w:rFonts w:ascii="Arial Narrow" w:hAnsi="Arial Narrow" w:cs="Arial"/>
                <w:b/>
                <w:bCs/>
                <w:kern w:val="0"/>
                <w:sz w:val="18"/>
                <w:szCs w:val="18"/>
              </w:rPr>
              <w:t>Pesi</w:t>
            </w:r>
          </w:p>
        </w:tc>
        <w:tc>
          <w:tcPr>
            <w:tcW w:w="1880" w:type="dxa"/>
            <w:gridSpan w:val="2"/>
            <w:shd w:val="clear" w:color="auto" w:fill="auto"/>
            <w:vAlign w:val="center"/>
            <w:hideMark/>
          </w:tcPr>
          <w:p w14:paraId="7E285CD3" w14:textId="77777777" w:rsidR="006E630A" w:rsidRPr="004B2A9B" w:rsidRDefault="006E630A" w:rsidP="004B3ACE">
            <w:pPr>
              <w:widowControl/>
              <w:overflowPunct/>
              <w:autoSpaceDE/>
              <w:autoSpaceDN/>
              <w:adjustRightInd/>
              <w:spacing w:before="0" w:after="0"/>
              <w:jc w:val="right"/>
              <w:rPr>
                <w:rFonts w:ascii="Arial Narrow" w:hAnsi="Arial Narrow" w:cs="Arial"/>
                <w:b/>
                <w:bCs/>
                <w:kern w:val="0"/>
                <w:sz w:val="18"/>
                <w:szCs w:val="18"/>
              </w:rPr>
            </w:pPr>
            <w:r w:rsidRPr="004B2A9B">
              <w:rPr>
                <w:rFonts w:ascii="Arial Narrow" w:hAnsi="Arial Narrow" w:cs="Arial"/>
                <w:b/>
                <w:bCs/>
                <w:kern w:val="0"/>
                <w:sz w:val="18"/>
                <w:szCs w:val="18"/>
              </w:rPr>
              <w:t>Variazioni congiunturali</w:t>
            </w:r>
          </w:p>
        </w:tc>
        <w:tc>
          <w:tcPr>
            <w:tcW w:w="1801" w:type="dxa"/>
            <w:gridSpan w:val="2"/>
            <w:shd w:val="clear" w:color="000000" w:fill="D9D9D9"/>
            <w:vAlign w:val="center"/>
            <w:hideMark/>
          </w:tcPr>
          <w:p w14:paraId="6D7E096E" w14:textId="77777777" w:rsidR="006E630A" w:rsidRPr="004B2A9B" w:rsidRDefault="006E630A" w:rsidP="004B3ACE">
            <w:pPr>
              <w:widowControl/>
              <w:overflowPunct/>
              <w:autoSpaceDE/>
              <w:autoSpaceDN/>
              <w:adjustRightInd/>
              <w:spacing w:before="0" w:after="0"/>
              <w:jc w:val="right"/>
              <w:rPr>
                <w:rFonts w:ascii="Arial Narrow" w:hAnsi="Arial Narrow" w:cs="Arial"/>
                <w:b/>
                <w:bCs/>
                <w:kern w:val="0"/>
                <w:sz w:val="18"/>
                <w:szCs w:val="18"/>
              </w:rPr>
            </w:pPr>
            <w:r w:rsidRPr="004B2A9B">
              <w:rPr>
                <w:rFonts w:ascii="Arial Narrow" w:hAnsi="Arial Narrow" w:cs="Arial"/>
                <w:b/>
                <w:bCs/>
                <w:kern w:val="0"/>
                <w:sz w:val="18"/>
                <w:szCs w:val="18"/>
              </w:rPr>
              <w:t>Var</w:t>
            </w:r>
            <w:r>
              <w:rPr>
                <w:rFonts w:ascii="Arial Narrow" w:hAnsi="Arial Narrow" w:cs="Arial"/>
                <w:b/>
                <w:bCs/>
                <w:kern w:val="0"/>
                <w:sz w:val="18"/>
                <w:szCs w:val="18"/>
              </w:rPr>
              <w:t>i</w:t>
            </w:r>
            <w:r w:rsidRPr="004B2A9B">
              <w:rPr>
                <w:rFonts w:ascii="Arial Narrow" w:hAnsi="Arial Narrow" w:cs="Arial"/>
                <w:b/>
                <w:bCs/>
                <w:kern w:val="0"/>
                <w:sz w:val="18"/>
                <w:szCs w:val="18"/>
              </w:rPr>
              <w:t>azioni tendenziali</w:t>
            </w:r>
          </w:p>
        </w:tc>
        <w:tc>
          <w:tcPr>
            <w:tcW w:w="1050" w:type="dxa"/>
            <w:vMerge w:val="restart"/>
            <w:shd w:val="clear" w:color="auto" w:fill="auto"/>
            <w:vAlign w:val="center"/>
            <w:hideMark/>
          </w:tcPr>
          <w:p w14:paraId="173CA7B1" w14:textId="20843C39" w:rsidR="006E630A" w:rsidRPr="008814F3" w:rsidRDefault="00A45941" w:rsidP="00834855">
            <w:pPr>
              <w:widowControl/>
              <w:overflowPunct/>
              <w:autoSpaceDE/>
              <w:autoSpaceDN/>
              <w:adjustRightInd/>
              <w:spacing w:before="40" w:after="20"/>
              <w:jc w:val="right"/>
              <w:rPr>
                <w:rFonts w:ascii="Arial Narrow" w:hAnsi="Arial Narrow" w:cs="Arial"/>
                <w:b/>
                <w:bCs/>
                <w:kern w:val="0"/>
                <w:sz w:val="18"/>
                <w:szCs w:val="18"/>
              </w:rPr>
            </w:pPr>
            <w:r w:rsidRPr="00DB5B05">
              <w:rPr>
                <w:rFonts w:ascii="Arial Narrow" w:hAnsi="Arial Narrow" w:cs="Arial"/>
                <w:b/>
                <w:bCs/>
                <w:kern w:val="0"/>
                <w:sz w:val="18"/>
                <w:szCs w:val="18"/>
              </w:rPr>
              <w:t>Inflazione acquisita</w:t>
            </w:r>
            <w:r>
              <w:rPr>
                <w:rFonts w:ascii="Arial Narrow" w:hAnsi="Arial Narrow" w:cs="Arial"/>
                <w:b/>
                <w:bCs/>
                <w:kern w:val="0"/>
                <w:sz w:val="18"/>
                <w:szCs w:val="18"/>
              </w:rPr>
              <w:t xml:space="preserve"> </w:t>
            </w:r>
            <w:r w:rsidRPr="00DB5B05">
              <w:rPr>
                <w:rFonts w:ascii="Arial Narrow" w:hAnsi="Arial Narrow" w:cs="Arial"/>
                <w:b/>
                <w:bCs/>
                <w:kern w:val="0"/>
                <w:sz w:val="18"/>
                <w:szCs w:val="18"/>
              </w:rPr>
              <w:t>a</w:t>
            </w:r>
            <w:r>
              <w:rPr>
                <w:rFonts w:ascii="Arial Narrow" w:hAnsi="Arial Narrow" w:cs="Arial"/>
                <w:b/>
                <w:bCs/>
                <w:kern w:val="0"/>
                <w:sz w:val="18"/>
                <w:szCs w:val="18"/>
              </w:rPr>
              <w:t xml:space="preserve"> gennaio</w:t>
            </w:r>
          </w:p>
        </w:tc>
      </w:tr>
      <w:tr w:rsidR="00A45941" w:rsidRPr="004B2A9B" w14:paraId="0BF0AFF3" w14:textId="77777777" w:rsidTr="004B3ACE">
        <w:trPr>
          <w:trHeight w:val="255"/>
          <w:jc w:val="center"/>
        </w:trPr>
        <w:tc>
          <w:tcPr>
            <w:tcW w:w="4395" w:type="dxa"/>
            <w:vMerge/>
            <w:vAlign w:val="center"/>
            <w:hideMark/>
          </w:tcPr>
          <w:p w14:paraId="69F875E5" w14:textId="77777777" w:rsidR="00A45941" w:rsidRPr="004B2A9B" w:rsidRDefault="00A45941" w:rsidP="00A45941">
            <w:pPr>
              <w:widowControl/>
              <w:overflowPunct/>
              <w:autoSpaceDE/>
              <w:autoSpaceDN/>
              <w:adjustRightInd/>
              <w:spacing w:before="0" w:after="0"/>
              <w:rPr>
                <w:rFonts w:ascii="Arial Narrow" w:hAnsi="Arial Narrow" w:cs="Arial"/>
                <w:b/>
                <w:bCs/>
                <w:kern w:val="0"/>
                <w:sz w:val="18"/>
                <w:szCs w:val="18"/>
              </w:rPr>
            </w:pPr>
          </w:p>
        </w:tc>
        <w:tc>
          <w:tcPr>
            <w:tcW w:w="1048" w:type="dxa"/>
            <w:vMerge/>
            <w:vAlign w:val="center"/>
            <w:hideMark/>
          </w:tcPr>
          <w:p w14:paraId="7BCFB65E" w14:textId="77777777" w:rsidR="00A45941" w:rsidRPr="004B2A9B" w:rsidRDefault="00A45941" w:rsidP="00A45941">
            <w:pPr>
              <w:widowControl/>
              <w:overflowPunct/>
              <w:autoSpaceDE/>
              <w:autoSpaceDN/>
              <w:adjustRightInd/>
              <w:spacing w:before="0" w:after="0"/>
              <w:rPr>
                <w:rFonts w:ascii="Arial Narrow" w:hAnsi="Arial Narrow" w:cs="Arial"/>
                <w:b/>
                <w:bCs/>
                <w:kern w:val="0"/>
                <w:sz w:val="18"/>
                <w:szCs w:val="18"/>
              </w:rPr>
            </w:pPr>
          </w:p>
        </w:tc>
        <w:tc>
          <w:tcPr>
            <w:tcW w:w="909" w:type="dxa"/>
            <w:shd w:val="clear" w:color="auto" w:fill="auto"/>
            <w:vAlign w:val="center"/>
            <w:hideMark/>
          </w:tcPr>
          <w:p w14:paraId="32CF030A" w14:textId="77777777"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gen</w:t>
            </w:r>
            <w:r w:rsidRPr="00DB5B05">
              <w:rPr>
                <w:rFonts w:ascii="Arial Narrow" w:hAnsi="Arial Narrow" w:cs="Arial"/>
                <w:kern w:val="0"/>
                <w:sz w:val="18"/>
                <w:szCs w:val="18"/>
                <w:u w:val="single"/>
              </w:rPr>
              <w:t>-2</w:t>
            </w:r>
            <w:r>
              <w:rPr>
                <w:rFonts w:ascii="Arial Narrow" w:hAnsi="Arial Narrow" w:cs="Arial"/>
                <w:kern w:val="0"/>
                <w:sz w:val="18"/>
                <w:szCs w:val="18"/>
                <w:u w:val="single"/>
              </w:rPr>
              <w:t>6</w:t>
            </w:r>
          </w:p>
          <w:p w14:paraId="51D19C11" w14:textId="4AB45BA4"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rPr>
            </w:pPr>
            <w:r>
              <w:rPr>
                <w:rFonts w:ascii="Arial Narrow" w:hAnsi="Arial Narrow" w:cs="Arial"/>
                <w:kern w:val="0"/>
                <w:sz w:val="18"/>
                <w:szCs w:val="18"/>
              </w:rPr>
              <w:t>dic</w:t>
            </w:r>
            <w:r w:rsidRPr="00DB5B05">
              <w:rPr>
                <w:rFonts w:ascii="Arial Narrow" w:hAnsi="Arial Narrow" w:cs="Arial"/>
                <w:kern w:val="0"/>
                <w:sz w:val="18"/>
                <w:szCs w:val="18"/>
              </w:rPr>
              <w:t>-2</w:t>
            </w:r>
            <w:r>
              <w:rPr>
                <w:rFonts w:ascii="Arial Narrow" w:hAnsi="Arial Narrow" w:cs="Arial"/>
                <w:kern w:val="0"/>
                <w:sz w:val="18"/>
                <w:szCs w:val="18"/>
              </w:rPr>
              <w:t>5</w:t>
            </w:r>
          </w:p>
        </w:tc>
        <w:tc>
          <w:tcPr>
            <w:tcW w:w="971" w:type="dxa"/>
            <w:shd w:val="clear" w:color="auto" w:fill="auto"/>
            <w:vAlign w:val="center"/>
            <w:hideMark/>
          </w:tcPr>
          <w:p w14:paraId="3B5A3346" w14:textId="77777777"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gen</w:t>
            </w:r>
            <w:r w:rsidRPr="00DB5B05">
              <w:rPr>
                <w:rFonts w:ascii="Arial Narrow" w:hAnsi="Arial Narrow" w:cs="Arial"/>
                <w:kern w:val="0"/>
                <w:sz w:val="18"/>
                <w:szCs w:val="18"/>
                <w:u w:val="single"/>
              </w:rPr>
              <w:t>-2</w:t>
            </w:r>
            <w:r>
              <w:rPr>
                <w:rFonts w:ascii="Arial Narrow" w:hAnsi="Arial Narrow" w:cs="Arial"/>
                <w:kern w:val="0"/>
                <w:sz w:val="18"/>
                <w:szCs w:val="18"/>
                <w:u w:val="single"/>
              </w:rPr>
              <w:t>5</w:t>
            </w:r>
          </w:p>
          <w:p w14:paraId="1ACB1227" w14:textId="0E6DDD99"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rPr>
              <w:t>dic</w:t>
            </w:r>
            <w:r w:rsidRPr="00DB5B05">
              <w:rPr>
                <w:rFonts w:ascii="Arial Narrow" w:hAnsi="Arial Narrow" w:cs="Arial"/>
                <w:kern w:val="0"/>
                <w:sz w:val="18"/>
                <w:szCs w:val="18"/>
              </w:rPr>
              <w:t>-2</w:t>
            </w:r>
            <w:r>
              <w:rPr>
                <w:rFonts w:ascii="Arial Narrow" w:hAnsi="Arial Narrow" w:cs="Arial"/>
                <w:kern w:val="0"/>
                <w:sz w:val="18"/>
                <w:szCs w:val="18"/>
              </w:rPr>
              <w:t>4</w:t>
            </w:r>
          </w:p>
        </w:tc>
        <w:tc>
          <w:tcPr>
            <w:tcW w:w="967" w:type="dxa"/>
            <w:shd w:val="clear" w:color="auto" w:fill="auto"/>
            <w:vAlign w:val="center"/>
            <w:hideMark/>
          </w:tcPr>
          <w:p w14:paraId="15324909" w14:textId="77777777"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gen</w:t>
            </w:r>
            <w:r w:rsidRPr="00DB5B05">
              <w:rPr>
                <w:rFonts w:ascii="Arial Narrow" w:hAnsi="Arial Narrow" w:cs="Arial"/>
                <w:kern w:val="0"/>
                <w:sz w:val="18"/>
                <w:szCs w:val="18"/>
                <w:u w:val="single"/>
              </w:rPr>
              <w:t>-2</w:t>
            </w:r>
            <w:r>
              <w:rPr>
                <w:rFonts w:ascii="Arial Narrow" w:hAnsi="Arial Narrow" w:cs="Arial"/>
                <w:kern w:val="0"/>
                <w:sz w:val="18"/>
                <w:szCs w:val="18"/>
                <w:u w:val="single"/>
              </w:rPr>
              <w:t>6</w:t>
            </w:r>
          </w:p>
          <w:p w14:paraId="183BCA37" w14:textId="4528A91F"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rPr>
              <w:t>gen</w:t>
            </w:r>
            <w:r w:rsidRPr="00DB5B05">
              <w:rPr>
                <w:rFonts w:ascii="Arial Narrow" w:hAnsi="Arial Narrow" w:cs="Arial"/>
                <w:kern w:val="0"/>
                <w:sz w:val="18"/>
                <w:szCs w:val="18"/>
              </w:rPr>
              <w:t>-2</w:t>
            </w:r>
            <w:r>
              <w:rPr>
                <w:rFonts w:ascii="Arial Narrow" w:hAnsi="Arial Narrow" w:cs="Arial"/>
                <w:kern w:val="0"/>
                <w:sz w:val="18"/>
                <w:szCs w:val="18"/>
              </w:rPr>
              <w:t>5</w:t>
            </w:r>
          </w:p>
        </w:tc>
        <w:tc>
          <w:tcPr>
            <w:tcW w:w="834" w:type="dxa"/>
            <w:shd w:val="clear" w:color="auto" w:fill="auto"/>
            <w:vAlign w:val="center"/>
            <w:hideMark/>
          </w:tcPr>
          <w:p w14:paraId="749B0CB9" w14:textId="77777777"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dic</w:t>
            </w:r>
            <w:r w:rsidRPr="00DB5B05">
              <w:rPr>
                <w:rFonts w:ascii="Arial Narrow" w:hAnsi="Arial Narrow" w:cs="Arial"/>
                <w:kern w:val="0"/>
                <w:sz w:val="18"/>
                <w:szCs w:val="18"/>
                <w:u w:val="single"/>
              </w:rPr>
              <w:t>-2</w:t>
            </w:r>
            <w:r>
              <w:rPr>
                <w:rFonts w:ascii="Arial Narrow" w:hAnsi="Arial Narrow" w:cs="Arial"/>
                <w:kern w:val="0"/>
                <w:sz w:val="18"/>
                <w:szCs w:val="18"/>
                <w:u w:val="single"/>
              </w:rPr>
              <w:t>5</w:t>
            </w:r>
          </w:p>
          <w:p w14:paraId="70F4E5C2" w14:textId="7B440B97"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rPr>
              <w:t>dic</w:t>
            </w:r>
            <w:r w:rsidRPr="00DB5B05">
              <w:rPr>
                <w:rFonts w:ascii="Arial Narrow" w:hAnsi="Arial Narrow" w:cs="Arial"/>
                <w:kern w:val="0"/>
                <w:sz w:val="18"/>
                <w:szCs w:val="18"/>
              </w:rPr>
              <w:t>-2</w:t>
            </w:r>
            <w:r>
              <w:rPr>
                <w:rFonts w:ascii="Arial Narrow" w:hAnsi="Arial Narrow" w:cs="Arial"/>
                <w:kern w:val="0"/>
                <w:sz w:val="18"/>
                <w:szCs w:val="18"/>
              </w:rPr>
              <w:t>4</w:t>
            </w:r>
          </w:p>
        </w:tc>
        <w:tc>
          <w:tcPr>
            <w:tcW w:w="1050" w:type="dxa"/>
            <w:vMerge/>
            <w:shd w:val="clear" w:color="auto" w:fill="auto"/>
            <w:vAlign w:val="center"/>
            <w:hideMark/>
          </w:tcPr>
          <w:p w14:paraId="7E1F258E" w14:textId="77777777" w:rsidR="00A45941" w:rsidRPr="004B2A9B" w:rsidRDefault="00A45941" w:rsidP="00A45941">
            <w:pPr>
              <w:widowControl/>
              <w:overflowPunct/>
              <w:autoSpaceDE/>
              <w:autoSpaceDN/>
              <w:adjustRightInd/>
              <w:spacing w:before="0" w:after="0"/>
              <w:jc w:val="right"/>
              <w:rPr>
                <w:rFonts w:ascii="Arial Narrow" w:hAnsi="Arial Narrow" w:cs="Arial"/>
                <w:b/>
                <w:bCs/>
                <w:kern w:val="0"/>
                <w:sz w:val="18"/>
                <w:szCs w:val="18"/>
              </w:rPr>
            </w:pPr>
          </w:p>
        </w:tc>
      </w:tr>
      <w:tr w:rsidR="00EF6563" w:rsidRPr="00BC3950" w14:paraId="50D12C51" w14:textId="77777777" w:rsidTr="00EF6563">
        <w:trPr>
          <w:trHeight w:val="287"/>
          <w:jc w:val="center"/>
        </w:trPr>
        <w:tc>
          <w:tcPr>
            <w:tcW w:w="4395" w:type="dxa"/>
            <w:shd w:val="clear" w:color="auto" w:fill="auto"/>
            <w:noWrap/>
            <w:vAlign w:val="center"/>
            <w:hideMark/>
          </w:tcPr>
          <w:p w14:paraId="2B9ABE64" w14:textId="77777777" w:rsidR="00EF6563" w:rsidRPr="004B2A9B" w:rsidRDefault="00EF6563" w:rsidP="00EF6563">
            <w:pPr>
              <w:widowControl/>
              <w:overflowPunct/>
              <w:autoSpaceDE/>
              <w:autoSpaceDN/>
              <w:adjustRightInd/>
              <w:spacing w:before="0" w:after="0"/>
              <w:rPr>
                <w:rFonts w:ascii="Arial Narrow" w:hAnsi="Arial Narrow" w:cs="Arial"/>
                <w:kern w:val="0"/>
                <w:sz w:val="18"/>
                <w:szCs w:val="18"/>
              </w:rPr>
            </w:pPr>
            <w:r w:rsidRPr="004B2A9B">
              <w:rPr>
                <w:rFonts w:ascii="Arial Narrow" w:hAnsi="Arial Narrow" w:cs="Arial"/>
                <w:kern w:val="0"/>
                <w:sz w:val="18"/>
                <w:szCs w:val="18"/>
              </w:rPr>
              <w:t>Beni alimentari, di cui:</w:t>
            </w:r>
          </w:p>
        </w:tc>
        <w:tc>
          <w:tcPr>
            <w:tcW w:w="1048" w:type="dxa"/>
            <w:shd w:val="clear" w:color="000000" w:fill="D9D9D9"/>
            <w:vAlign w:val="center"/>
          </w:tcPr>
          <w:p w14:paraId="6A86D63F" w14:textId="41C829EE"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180</w:t>
            </w:r>
            <w:r w:rsidR="009A76DF">
              <w:rPr>
                <w:rFonts w:ascii="Arial Narrow" w:hAnsi="Arial Narrow" w:cs="Arial"/>
                <w:kern w:val="0"/>
                <w:sz w:val="18"/>
                <w:szCs w:val="18"/>
              </w:rPr>
              <w:t>.</w:t>
            </w:r>
            <w:r w:rsidRPr="00EF6563">
              <w:rPr>
                <w:rFonts w:ascii="Arial Narrow" w:hAnsi="Arial Narrow" w:cs="Arial"/>
                <w:kern w:val="0"/>
                <w:sz w:val="18"/>
                <w:szCs w:val="18"/>
              </w:rPr>
              <w:t>155</w:t>
            </w:r>
          </w:p>
        </w:tc>
        <w:tc>
          <w:tcPr>
            <w:tcW w:w="909" w:type="dxa"/>
            <w:shd w:val="clear" w:color="auto" w:fill="auto"/>
            <w:vAlign w:val="center"/>
          </w:tcPr>
          <w:p w14:paraId="51D61982" w14:textId="44ECB742"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1,0</w:t>
            </w:r>
          </w:p>
        </w:tc>
        <w:tc>
          <w:tcPr>
            <w:tcW w:w="971" w:type="dxa"/>
            <w:shd w:val="clear" w:color="000000" w:fill="D9D9D9"/>
            <w:vAlign w:val="center"/>
          </w:tcPr>
          <w:p w14:paraId="1D9D7C47" w14:textId="4142F997"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3DB5606C" w14:textId="31287403"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2,3</w:t>
            </w:r>
          </w:p>
        </w:tc>
        <w:tc>
          <w:tcPr>
            <w:tcW w:w="834" w:type="dxa"/>
            <w:shd w:val="clear" w:color="000000" w:fill="D9D9D9"/>
            <w:vAlign w:val="center"/>
          </w:tcPr>
          <w:p w14:paraId="7240E4A6" w14:textId="3229AA7C"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3E90B734" w14:textId="02637520"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1,5</w:t>
            </w:r>
          </w:p>
        </w:tc>
      </w:tr>
      <w:tr w:rsidR="00EF6563" w:rsidRPr="004B2A9B" w14:paraId="3ADC22D9" w14:textId="77777777" w:rsidTr="00EF6563">
        <w:trPr>
          <w:trHeight w:val="255"/>
          <w:jc w:val="center"/>
        </w:trPr>
        <w:tc>
          <w:tcPr>
            <w:tcW w:w="4395" w:type="dxa"/>
            <w:shd w:val="clear" w:color="auto" w:fill="auto"/>
            <w:noWrap/>
            <w:vAlign w:val="center"/>
            <w:hideMark/>
          </w:tcPr>
          <w:p w14:paraId="039E04E2" w14:textId="77777777" w:rsidR="00EF6563" w:rsidRPr="004B2A9B" w:rsidRDefault="00EF6563" w:rsidP="00EF6563">
            <w:pPr>
              <w:widowControl/>
              <w:overflowPunct/>
              <w:autoSpaceDE/>
              <w:autoSpaceDN/>
              <w:adjustRightInd/>
              <w:spacing w:before="0" w:after="0"/>
              <w:ind w:left="284"/>
              <w:rPr>
                <w:rFonts w:ascii="Arial Narrow" w:hAnsi="Arial Narrow" w:cs="Arial"/>
                <w:kern w:val="0"/>
                <w:sz w:val="18"/>
                <w:szCs w:val="18"/>
              </w:rPr>
            </w:pPr>
            <w:r w:rsidRPr="004B2A9B">
              <w:rPr>
                <w:rFonts w:ascii="Arial Narrow" w:hAnsi="Arial Narrow" w:cs="Arial"/>
                <w:kern w:val="0"/>
                <w:sz w:val="18"/>
                <w:szCs w:val="18"/>
              </w:rPr>
              <w:t>Alimentari lavorati</w:t>
            </w:r>
          </w:p>
        </w:tc>
        <w:tc>
          <w:tcPr>
            <w:tcW w:w="1048" w:type="dxa"/>
            <w:shd w:val="clear" w:color="000000" w:fill="D9D9D9"/>
            <w:vAlign w:val="center"/>
          </w:tcPr>
          <w:p w14:paraId="602E0354" w14:textId="36FD5BE4"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110</w:t>
            </w:r>
            <w:r w:rsidR="009A76DF">
              <w:rPr>
                <w:rFonts w:ascii="Arial Narrow" w:hAnsi="Arial Narrow" w:cs="Arial"/>
                <w:kern w:val="0"/>
                <w:sz w:val="18"/>
                <w:szCs w:val="18"/>
              </w:rPr>
              <w:t>.</w:t>
            </w:r>
            <w:r w:rsidRPr="00EF6563">
              <w:rPr>
                <w:rFonts w:ascii="Arial Narrow" w:hAnsi="Arial Narrow" w:cs="Arial"/>
                <w:kern w:val="0"/>
                <w:sz w:val="18"/>
                <w:szCs w:val="18"/>
              </w:rPr>
              <w:t>782</w:t>
            </w:r>
          </w:p>
        </w:tc>
        <w:tc>
          <w:tcPr>
            <w:tcW w:w="909" w:type="dxa"/>
            <w:shd w:val="clear" w:color="auto" w:fill="auto"/>
            <w:vAlign w:val="center"/>
          </w:tcPr>
          <w:p w14:paraId="60429451" w14:textId="483F2915"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0,9</w:t>
            </w:r>
          </w:p>
        </w:tc>
        <w:tc>
          <w:tcPr>
            <w:tcW w:w="971" w:type="dxa"/>
            <w:shd w:val="clear" w:color="000000" w:fill="D9D9D9"/>
            <w:vAlign w:val="center"/>
          </w:tcPr>
          <w:p w14:paraId="7540C95B" w14:textId="46516ED6"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51799168" w14:textId="77F76B02"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2,2</w:t>
            </w:r>
          </w:p>
        </w:tc>
        <w:tc>
          <w:tcPr>
            <w:tcW w:w="834" w:type="dxa"/>
            <w:shd w:val="clear" w:color="000000" w:fill="D9D9D9"/>
            <w:vAlign w:val="center"/>
          </w:tcPr>
          <w:p w14:paraId="3FCC2B9B" w14:textId="0A2B91EF"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16B1B792" w14:textId="3C910E30"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1,2</w:t>
            </w:r>
          </w:p>
        </w:tc>
      </w:tr>
      <w:tr w:rsidR="00EF6563" w:rsidRPr="004B2A9B" w14:paraId="0E0E5E28" w14:textId="77777777" w:rsidTr="00EF6563">
        <w:trPr>
          <w:trHeight w:val="255"/>
          <w:jc w:val="center"/>
        </w:trPr>
        <w:tc>
          <w:tcPr>
            <w:tcW w:w="4395" w:type="dxa"/>
            <w:shd w:val="clear" w:color="auto" w:fill="auto"/>
            <w:noWrap/>
            <w:vAlign w:val="center"/>
            <w:hideMark/>
          </w:tcPr>
          <w:p w14:paraId="2A31AB43" w14:textId="77777777" w:rsidR="00EF6563" w:rsidRPr="004B2A9B" w:rsidRDefault="00EF6563" w:rsidP="00EF6563">
            <w:pPr>
              <w:widowControl/>
              <w:overflowPunct/>
              <w:autoSpaceDE/>
              <w:autoSpaceDN/>
              <w:adjustRightInd/>
              <w:spacing w:before="0" w:after="0"/>
              <w:ind w:left="284"/>
              <w:rPr>
                <w:rFonts w:ascii="Arial Narrow" w:hAnsi="Arial Narrow" w:cs="Arial"/>
                <w:kern w:val="0"/>
                <w:sz w:val="18"/>
                <w:szCs w:val="18"/>
              </w:rPr>
            </w:pPr>
            <w:r w:rsidRPr="004B2A9B">
              <w:rPr>
                <w:rFonts w:ascii="Arial Narrow" w:hAnsi="Arial Narrow" w:cs="Arial"/>
                <w:kern w:val="0"/>
                <w:sz w:val="18"/>
                <w:szCs w:val="18"/>
              </w:rPr>
              <w:t>Alimentari non lavorati</w:t>
            </w:r>
          </w:p>
        </w:tc>
        <w:tc>
          <w:tcPr>
            <w:tcW w:w="1048" w:type="dxa"/>
            <w:shd w:val="clear" w:color="000000" w:fill="D9D9D9"/>
            <w:vAlign w:val="center"/>
          </w:tcPr>
          <w:p w14:paraId="4E83E74E" w14:textId="30BB0342"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69</w:t>
            </w:r>
            <w:r w:rsidR="009A76DF">
              <w:rPr>
                <w:rFonts w:ascii="Arial Narrow" w:hAnsi="Arial Narrow" w:cs="Arial"/>
                <w:kern w:val="0"/>
                <w:sz w:val="18"/>
                <w:szCs w:val="18"/>
              </w:rPr>
              <w:t>.</w:t>
            </w:r>
            <w:r w:rsidRPr="00EF6563">
              <w:rPr>
                <w:rFonts w:ascii="Arial Narrow" w:hAnsi="Arial Narrow" w:cs="Arial"/>
                <w:kern w:val="0"/>
                <w:sz w:val="18"/>
                <w:szCs w:val="18"/>
              </w:rPr>
              <w:t>373</w:t>
            </w:r>
          </w:p>
        </w:tc>
        <w:tc>
          <w:tcPr>
            <w:tcW w:w="909" w:type="dxa"/>
            <w:shd w:val="clear" w:color="auto" w:fill="auto"/>
            <w:vAlign w:val="center"/>
          </w:tcPr>
          <w:p w14:paraId="354D7D7E" w14:textId="3A17D6C2"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1,2</w:t>
            </w:r>
          </w:p>
        </w:tc>
        <w:tc>
          <w:tcPr>
            <w:tcW w:w="971" w:type="dxa"/>
            <w:shd w:val="clear" w:color="000000" w:fill="D9D9D9"/>
            <w:vAlign w:val="center"/>
          </w:tcPr>
          <w:p w14:paraId="78D422A9" w14:textId="0DD0A3E5"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7D42B011" w14:textId="69D11659"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2,5</w:t>
            </w:r>
          </w:p>
        </w:tc>
        <w:tc>
          <w:tcPr>
            <w:tcW w:w="834" w:type="dxa"/>
            <w:shd w:val="clear" w:color="000000" w:fill="D9D9D9"/>
            <w:vAlign w:val="center"/>
          </w:tcPr>
          <w:p w14:paraId="026973FD" w14:textId="76AEA19F"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22937579" w14:textId="23DA1ECF"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2,0</w:t>
            </w:r>
          </w:p>
        </w:tc>
      </w:tr>
      <w:tr w:rsidR="00EF6563" w:rsidRPr="004B2A9B" w14:paraId="168F1F53" w14:textId="77777777" w:rsidTr="00EF6563">
        <w:trPr>
          <w:trHeight w:val="255"/>
          <w:jc w:val="center"/>
        </w:trPr>
        <w:tc>
          <w:tcPr>
            <w:tcW w:w="4395" w:type="dxa"/>
            <w:shd w:val="clear" w:color="auto" w:fill="auto"/>
            <w:noWrap/>
            <w:vAlign w:val="center"/>
            <w:hideMark/>
          </w:tcPr>
          <w:p w14:paraId="583EDBAD" w14:textId="77777777" w:rsidR="00EF6563" w:rsidRPr="004B2A9B" w:rsidRDefault="00EF6563" w:rsidP="00EF6563">
            <w:pPr>
              <w:widowControl/>
              <w:overflowPunct/>
              <w:autoSpaceDE/>
              <w:autoSpaceDN/>
              <w:adjustRightInd/>
              <w:spacing w:before="0" w:after="0"/>
              <w:rPr>
                <w:rFonts w:ascii="Arial Narrow" w:hAnsi="Arial Narrow" w:cs="Arial"/>
                <w:kern w:val="0"/>
                <w:sz w:val="18"/>
                <w:szCs w:val="18"/>
              </w:rPr>
            </w:pPr>
            <w:r w:rsidRPr="004B2A9B">
              <w:rPr>
                <w:rFonts w:ascii="Arial Narrow" w:hAnsi="Arial Narrow" w:cs="Arial"/>
                <w:kern w:val="0"/>
                <w:sz w:val="18"/>
                <w:szCs w:val="18"/>
              </w:rPr>
              <w:t>Beni energetici, di cui:</w:t>
            </w:r>
          </w:p>
        </w:tc>
        <w:tc>
          <w:tcPr>
            <w:tcW w:w="1048" w:type="dxa"/>
            <w:shd w:val="clear" w:color="000000" w:fill="D9D9D9"/>
            <w:vAlign w:val="center"/>
          </w:tcPr>
          <w:p w14:paraId="7E7E700F" w14:textId="1178D51E"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104</w:t>
            </w:r>
            <w:r w:rsidR="009A76DF">
              <w:rPr>
                <w:rFonts w:ascii="Arial Narrow" w:hAnsi="Arial Narrow" w:cs="Arial"/>
                <w:kern w:val="0"/>
                <w:sz w:val="18"/>
                <w:szCs w:val="18"/>
              </w:rPr>
              <w:t>.</w:t>
            </w:r>
            <w:r w:rsidRPr="00EF6563">
              <w:rPr>
                <w:rFonts w:ascii="Arial Narrow" w:hAnsi="Arial Narrow" w:cs="Arial"/>
                <w:kern w:val="0"/>
                <w:sz w:val="18"/>
                <w:szCs w:val="18"/>
              </w:rPr>
              <w:t>753</w:t>
            </w:r>
          </w:p>
        </w:tc>
        <w:tc>
          <w:tcPr>
            <w:tcW w:w="909" w:type="dxa"/>
            <w:shd w:val="clear" w:color="auto" w:fill="auto"/>
            <w:vAlign w:val="center"/>
          </w:tcPr>
          <w:p w14:paraId="539DE516" w14:textId="3F9698EF"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1,3</w:t>
            </w:r>
          </w:p>
        </w:tc>
        <w:tc>
          <w:tcPr>
            <w:tcW w:w="971" w:type="dxa"/>
            <w:shd w:val="clear" w:color="000000" w:fill="D9D9D9"/>
            <w:vAlign w:val="center"/>
          </w:tcPr>
          <w:p w14:paraId="6B6A5DB9" w14:textId="382C968C"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6A9A6F27" w14:textId="35DC801A" w:rsidR="00EF6563" w:rsidRPr="00FE43A9"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-6,4</w:t>
            </w:r>
          </w:p>
        </w:tc>
        <w:tc>
          <w:tcPr>
            <w:tcW w:w="834" w:type="dxa"/>
            <w:shd w:val="clear" w:color="000000" w:fill="D9D9D9"/>
            <w:vAlign w:val="center"/>
          </w:tcPr>
          <w:p w14:paraId="41A70934" w14:textId="6B7E50A3"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4018E828" w14:textId="67E86E0E" w:rsidR="00EF6563" w:rsidRPr="00FE43A9"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-1,4</w:t>
            </w:r>
          </w:p>
        </w:tc>
      </w:tr>
      <w:tr w:rsidR="00EF6563" w:rsidRPr="004B2A9B" w14:paraId="4E50B726" w14:textId="77777777" w:rsidTr="00EF6563">
        <w:trPr>
          <w:trHeight w:val="255"/>
          <w:jc w:val="center"/>
        </w:trPr>
        <w:tc>
          <w:tcPr>
            <w:tcW w:w="4395" w:type="dxa"/>
            <w:shd w:val="clear" w:color="auto" w:fill="auto"/>
            <w:noWrap/>
            <w:vAlign w:val="center"/>
            <w:hideMark/>
          </w:tcPr>
          <w:p w14:paraId="0BB16FFF" w14:textId="77777777" w:rsidR="00EF6563" w:rsidRPr="004B2A9B" w:rsidRDefault="00EF6563" w:rsidP="00EF6563">
            <w:pPr>
              <w:widowControl/>
              <w:overflowPunct/>
              <w:autoSpaceDE/>
              <w:autoSpaceDN/>
              <w:adjustRightInd/>
              <w:spacing w:before="0" w:after="0"/>
              <w:ind w:left="284"/>
              <w:rPr>
                <w:rFonts w:ascii="Arial Narrow" w:hAnsi="Arial Narrow" w:cs="Arial"/>
                <w:kern w:val="0"/>
                <w:sz w:val="18"/>
                <w:szCs w:val="18"/>
              </w:rPr>
            </w:pPr>
            <w:r w:rsidRPr="004B2A9B">
              <w:rPr>
                <w:rFonts w:ascii="Arial Narrow" w:hAnsi="Arial Narrow" w:cs="Arial"/>
                <w:kern w:val="0"/>
                <w:sz w:val="18"/>
                <w:szCs w:val="18"/>
              </w:rPr>
              <w:t>Energetici regolamentati</w:t>
            </w:r>
          </w:p>
        </w:tc>
        <w:tc>
          <w:tcPr>
            <w:tcW w:w="1048" w:type="dxa"/>
            <w:shd w:val="clear" w:color="000000" w:fill="D9D9D9"/>
            <w:vAlign w:val="center"/>
          </w:tcPr>
          <w:p w14:paraId="31224FFF" w14:textId="6394A714"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6</w:t>
            </w:r>
            <w:r w:rsidR="009A76DF">
              <w:rPr>
                <w:rFonts w:ascii="Arial Narrow" w:hAnsi="Arial Narrow" w:cs="Arial"/>
                <w:kern w:val="0"/>
                <w:sz w:val="18"/>
                <w:szCs w:val="18"/>
              </w:rPr>
              <w:t>.</w:t>
            </w:r>
            <w:r w:rsidRPr="00EF6563">
              <w:rPr>
                <w:rFonts w:ascii="Arial Narrow" w:hAnsi="Arial Narrow" w:cs="Arial"/>
                <w:kern w:val="0"/>
                <w:sz w:val="18"/>
                <w:szCs w:val="18"/>
              </w:rPr>
              <w:t>931</w:t>
            </w:r>
          </w:p>
        </w:tc>
        <w:tc>
          <w:tcPr>
            <w:tcW w:w="909" w:type="dxa"/>
            <w:shd w:val="clear" w:color="auto" w:fill="auto"/>
            <w:vAlign w:val="center"/>
          </w:tcPr>
          <w:p w14:paraId="0C63B29F" w14:textId="0F75D51B"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8,7</w:t>
            </w:r>
          </w:p>
        </w:tc>
        <w:tc>
          <w:tcPr>
            <w:tcW w:w="971" w:type="dxa"/>
            <w:shd w:val="clear" w:color="000000" w:fill="D9D9D9"/>
            <w:vAlign w:val="center"/>
          </w:tcPr>
          <w:p w14:paraId="67C82E17" w14:textId="1B54E0E8"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059D0844" w14:textId="7FDFF3EE" w:rsidR="00EF6563" w:rsidRPr="00FE43A9"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-9,8</w:t>
            </w:r>
          </w:p>
        </w:tc>
        <w:tc>
          <w:tcPr>
            <w:tcW w:w="834" w:type="dxa"/>
            <w:shd w:val="clear" w:color="000000" w:fill="D9D9D9"/>
            <w:vAlign w:val="center"/>
          </w:tcPr>
          <w:p w14:paraId="7452DF5C" w14:textId="48CD9FDA"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2A4FB147" w14:textId="137A47BD" w:rsidR="00EF6563" w:rsidRPr="00FE43A9"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-0,6</w:t>
            </w:r>
          </w:p>
        </w:tc>
      </w:tr>
      <w:tr w:rsidR="00EF6563" w:rsidRPr="004B2A9B" w14:paraId="2BCB80E0" w14:textId="77777777" w:rsidTr="00EF6563">
        <w:trPr>
          <w:trHeight w:val="255"/>
          <w:jc w:val="center"/>
        </w:trPr>
        <w:tc>
          <w:tcPr>
            <w:tcW w:w="4395" w:type="dxa"/>
            <w:shd w:val="clear" w:color="auto" w:fill="auto"/>
            <w:noWrap/>
            <w:vAlign w:val="center"/>
            <w:hideMark/>
          </w:tcPr>
          <w:p w14:paraId="098F1C27" w14:textId="77777777" w:rsidR="00EF6563" w:rsidRPr="004B2A9B" w:rsidRDefault="00EF6563" w:rsidP="00EF6563">
            <w:pPr>
              <w:widowControl/>
              <w:overflowPunct/>
              <w:autoSpaceDE/>
              <w:autoSpaceDN/>
              <w:adjustRightInd/>
              <w:spacing w:before="0" w:after="0"/>
              <w:ind w:left="284"/>
              <w:rPr>
                <w:rFonts w:ascii="Arial Narrow" w:hAnsi="Arial Narrow" w:cs="Arial"/>
                <w:kern w:val="0"/>
                <w:sz w:val="18"/>
                <w:szCs w:val="18"/>
              </w:rPr>
            </w:pPr>
            <w:r w:rsidRPr="004B2A9B">
              <w:rPr>
                <w:rFonts w:ascii="Arial Narrow" w:hAnsi="Arial Narrow" w:cs="Arial"/>
                <w:kern w:val="0"/>
                <w:sz w:val="18"/>
                <w:szCs w:val="18"/>
              </w:rPr>
              <w:t>Energetici non regolamentati</w:t>
            </w:r>
          </w:p>
        </w:tc>
        <w:tc>
          <w:tcPr>
            <w:tcW w:w="1048" w:type="dxa"/>
            <w:shd w:val="clear" w:color="000000" w:fill="D9D9D9"/>
            <w:vAlign w:val="center"/>
          </w:tcPr>
          <w:p w14:paraId="5237B47F" w14:textId="58DA9988"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97</w:t>
            </w:r>
            <w:r w:rsidR="009A76DF">
              <w:rPr>
                <w:rFonts w:ascii="Arial Narrow" w:hAnsi="Arial Narrow" w:cs="Arial"/>
                <w:kern w:val="0"/>
                <w:sz w:val="18"/>
                <w:szCs w:val="18"/>
              </w:rPr>
              <w:t>.</w:t>
            </w:r>
            <w:r w:rsidRPr="00EF6563">
              <w:rPr>
                <w:rFonts w:ascii="Arial Narrow" w:hAnsi="Arial Narrow" w:cs="Arial"/>
                <w:kern w:val="0"/>
                <w:sz w:val="18"/>
                <w:szCs w:val="18"/>
              </w:rPr>
              <w:t>822</w:t>
            </w:r>
          </w:p>
        </w:tc>
        <w:tc>
          <w:tcPr>
            <w:tcW w:w="909" w:type="dxa"/>
            <w:shd w:val="clear" w:color="auto" w:fill="auto"/>
            <w:vAlign w:val="center"/>
          </w:tcPr>
          <w:p w14:paraId="3E144C0C" w14:textId="367D1CD7"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0,8</w:t>
            </w:r>
          </w:p>
        </w:tc>
        <w:tc>
          <w:tcPr>
            <w:tcW w:w="971" w:type="dxa"/>
            <w:shd w:val="clear" w:color="000000" w:fill="D9D9D9"/>
            <w:vAlign w:val="center"/>
          </w:tcPr>
          <w:p w14:paraId="2BB62F05" w14:textId="7E116AF6"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0736914F" w14:textId="7D415F91" w:rsidR="00EF6563" w:rsidRPr="00FE43A9"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-6,2</w:t>
            </w:r>
          </w:p>
        </w:tc>
        <w:tc>
          <w:tcPr>
            <w:tcW w:w="834" w:type="dxa"/>
            <w:shd w:val="clear" w:color="000000" w:fill="D9D9D9"/>
            <w:vAlign w:val="center"/>
          </w:tcPr>
          <w:p w14:paraId="537149E8" w14:textId="4FFC35C9"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3C2D2AB0" w14:textId="19A84074" w:rsidR="00EF6563" w:rsidRPr="00FE43A9"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-1,4</w:t>
            </w:r>
          </w:p>
        </w:tc>
      </w:tr>
      <w:tr w:rsidR="00EF6563" w:rsidRPr="004B2A9B" w14:paraId="434F8ED4" w14:textId="77777777" w:rsidTr="00EF6563">
        <w:trPr>
          <w:trHeight w:val="255"/>
          <w:jc w:val="center"/>
        </w:trPr>
        <w:tc>
          <w:tcPr>
            <w:tcW w:w="4395" w:type="dxa"/>
            <w:shd w:val="clear" w:color="auto" w:fill="auto"/>
            <w:noWrap/>
            <w:vAlign w:val="center"/>
            <w:hideMark/>
          </w:tcPr>
          <w:p w14:paraId="391BCA2C" w14:textId="77777777" w:rsidR="00EF6563" w:rsidRPr="004B2A9B" w:rsidRDefault="00EF6563" w:rsidP="00EF6563">
            <w:pPr>
              <w:widowControl/>
              <w:overflowPunct/>
              <w:autoSpaceDE/>
              <w:autoSpaceDN/>
              <w:adjustRightInd/>
              <w:spacing w:before="0" w:after="0"/>
              <w:rPr>
                <w:rFonts w:ascii="Arial Narrow" w:hAnsi="Arial Narrow" w:cs="Arial"/>
                <w:kern w:val="0"/>
                <w:sz w:val="18"/>
                <w:szCs w:val="18"/>
              </w:rPr>
            </w:pPr>
            <w:r w:rsidRPr="004B2A9B">
              <w:rPr>
                <w:rFonts w:ascii="Arial Narrow" w:hAnsi="Arial Narrow" w:cs="Arial"/>
                <w:kern w:val="0"/>
                <w:sz w:val="18"/>
                <w:szCs w:val="18"/>
              </w:rPr>
              <w:t>Tabacchi</w:t>
            </w:r>
          </w:p>
        </w:tc>
        <w:tc>
          <w:tcPr>
            <w:tcW w:w="1048" w:type="dxa"/>
            <w:shd w:val="clear" w:color="000000" w:fill="D9D9D9"/>
            <w:vAlign w:val="center"/>
          </w:tcPr>
          <w:p w14:paraId="7A27C7AF" w14:textId="5540EC7E"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20</w:t>
            </w:r>
            <w:r w:rsidR="009A76DF">
              <w:rPr>
                <w:rFonts w:ascii="Arial Narrow" w:hAnsi="Arial Narrow" w:cs="Arial"/>
                <w:kern w:val="0"/>
                <w:sz w:val="18"/>
                <w:szCs w:val="18"/>
              </w:rPr>
              <w:t>.</w:t>
            </w:r>
            <w:r w:rsidRPr="00EF6563">
              <w:rPr>
                <w:rFonts w:ascii="Arial Narrow" w:hAnsi="Arial Narrow" w:cs="Arial"/>
                <w:kern w:val="0"/>
                <w:sz w:val="18"/>
                <w:szCs w:val="18"/>
              </w:rPr>
              <w:t>254</w:t>
            </w:r>
          </w:p>
        </w:tc>
        <w:tc>
          <w:tcPr>
            <w:tcW w:w="909" w:type="dxa"/>
            <w:shd w:val="clear" w:color="auto" w:fill="auto"/>
            <w:vAlign w:val="center"/>
          </w:tcPr>
          <w:p w14:paraId="63246C46" w14:textId="78C82823"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0,1</w:t>
            </w:r>
          </w:p>
        </w:tc>
        <w:tc>
          <w:tcPr>
            <w:tcW w:w="971" w:type="dxa"/>
            <w:shd w:val="clear" w:color="000000" w:fill="D9D9D9"/>
            <w:vAlign w:val="center"/>
          </w:tcPr>
          <w:p w14:paraId="075AA242" w14:textId="6639CEBD"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3B0F75E0" w14:textId="4D9DFAA7"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3,3</w:t>
            </w:r>
          </w:p>
        </w:tc>
        <w:tc>
          <w:tcPr>
            <w:tcW w:w="834" w:type="dxa"/>
            <w:shd w:val="clear" w:color="000000" w:fill="D9D9D9"/>
            <w:vAlign w:val="center"/>
          </w:tcPr>
          <w:p w14:paraId="5B29D92E" w14:textId="3B461572"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6F7DAC80" w14:textId="01DCADBD"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0,4</w:t>
            </w:r>
          </w:p>
        </w:tc>
      </w:tr>
      <w:tr w:rsidR="00EF6563" w:rsidRPr="004B2A9B" w14:paraId="03D2BFC3" w14:textId="77777777" w:rsidTr="00EF6563">
        <w:trPr>
          <w:trHeight w:val="255"/>
          <w:jc w:val="center"/>
        </w:trPr>
        <w:tc>
          <w:tcPr>
            <w:tcW w:w="4395" w:type="dxa"/>
            <w:shd w:val="clear" w:color="auto" w:fill="auto"/>
            <w:noWrap/>
            <w:vAlign w:val="center"/>
            <w:hideMark/>
          </w:tcPr>
          <w:p w14:paraId="5E273D3F" w14:textId="77777777" w:rsidR="00EF6563" w:rsidRPr="004B2A9B" w:rsidRDefault="00EF6563" w:rsidP="00EF6563">
            <w:pPr>
              <w:widowControl/>
              <w:overflowPunct/>
              <w:autoSpaceDE/>
              <w:autoSpaceDN/>
              <w:adjustRightInd/>
              <w:spacing w:before="0" w:after="0"/>
              <w:rPr>
                <w:rFonts w:ascii="Arial Narrow" w:hAnsi="Arial Narrow" w:cs="Arial"/>
                <w:kern w:val="0"/>
                <w:sz w:val="18"/>
                <w:szCs w:val="18"/>
              </w:rPr>
            </w:pPr>
            <w:r w:rsidRPr="004B2A9B">
              <w:rPr>
                <w:rFonts w:ascii="Arial Narrow" w:hAnsi="Arial Narrow" w:cs="Arial"/>
                <w:kern w:val="0"/>
                <w:sz w:val="18"/>
                <w:szCs w:val="18"/>
              </w:rPr>
              <w:t>Altri beni, di cui:</w:t>
            </w:r>
          </w:p>
        </w:tc>
        <w:tc>
          <w:tcPr>
            <w:tcW w:w="1048" w:type="dxa"/>
            <w:shd w:val="clear" w:color="000000" w:fill="D9D9D9"/>
            <w:vAlign w:val="center"/>
          </w:tcPr>
          <w:p w14:paraId="226578C0" w14:textId="36BD81CE"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250</w:t>
            </w:r>
            <w:r w:rsidR="009A76DF">
              <w:rPr>
                <w:rFonts w:ascii="Arial Narrow" w:hAnsi="Arial Narrow" w:cs="Arial"/>
                <w:kern w:val="0"/>
                <w:sz w:val="18"/>
                <w:szCs w:val="18"/>
              </w:rPr>
              <w:t>.</w:t>
            </w:r>
            <w:r w:rsidRPr="00EF6563">
              <w:rPr>
                <w:rFonts w:ascii="Arial Narrow" w:hAnsi="Arial Narrow" w:cs="Arial"/>
                <w:kern w:val="0"/>
                <w:sz w:val="18"/>
                <w:szCs w:val="18"/>
              </w:rPr>
              <w:t>116</w:t>
            </w:r>
          </w:p>
        </w:tc>
        <w:tc>
          <w:tcPr>
            <w:tcW w:w="909" w:type="dxa"/>
            <w:shd w:val="clear" w:color="auto" w:fill="auto"/>
            <w:vAlign w:val="center"/>
          </w:tcPr>
          <w:p w14:paraId="29D60F94" w14:textId="31B8C439"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0,4</w:t>
            </w:r>
          </w:p>
        </w:tc>
        <w:tc>
          <w:tcPr>
            <w:tcW w:w="971" w:type="dxa"/>
            <w:shd w:val="clear" w:color="000000" w:fill="D9D9D9"/>
            <w:vAlign w:val="center"/>
          </w:tcPr>
          <w:p w14:paraId="14207297" w14:textId="489F7EEF"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3BD8CBD2" w14:textId="40A5C8FC"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0,3</w:t>
            </w:r>
          </w:p>
        </w:tc>
        <w:tc>
          <w:tcPr>
            <w:tcW w:w="834" w:type="dxa"/>
            <w:shd w:val="clear" w:color="000000" w:fill="D9D9D9"/>
            <w:vAlign w:val="center"/>
          </w:tcPr>
          <w:p w14:paraId="070FFD47" w14:textId="7C9AB810"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0B7432EF" w14:textId="0A01EA87"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0,3</w:t>
            </w:r>
          </w:p>
        </w:tc>
      </w:tr>
      <w:tr w:rsidR="00EF6563" w:rsidRPr="004B2A9B" w14:paraId="30ED81BF" w14:textId="77777777" w:rsidTr="00EF6563">
        <w:trPr>
          <w:trHeight w:val="255"/>
          <w:jc w:val="center"/>
        </w:trPr>
        <w:tc>
          <w:tcPr>
            <w:tcW w:w="4395" w:type="dxa"/>
            <w:shd w:val="clear" w:color="auto" w:fill="auto"/>
            <w:noWrap/>
            <w:vAlign w:val="center"/>
            <w:hideMark/>
          </w:tcPr>
          <w:p w14:paraId="47135383" w14:textId="77777777" w:rsidR="00EF6563" w:rsidRPr="004B2A9B" w:rsidRDefault="00EF6563" w:rsidP="00EF6563">
            <w:pPr>
              <w:widowControl/>
              <w:overflowPunct/>
              <w:autoSpaceDE/>
              <w:autoSpaceDN/>
              <w:adjustRightInd/>
              <w:spacing w:before="0" w:after="0"/>
              <w:ind w:left="284"/>
              <w:rPr>
                <w:rFonts w:ascii="Arial Narrow" w:hAnsi="Arial Narrow" w:cs="Arial"/>
                <w:kern w:val="0"/>
                <w:sz w:val="18"/>
                <w:szCs w:val="18"/>
              </w:rPr>
            </w:pPr>
            <w:r w:rsidRPr="004B2A9B">
              <w:rPr>
                <w:rFonts w:ascii="Arial Narrow" w:hAnsi="Arial Narrow" w:cs="Arial"/>
                <w:kern w:val="0"/>
                <w:sz w:val="18"/>
                <w:szCs w:val="18"/>
              </w:rPr>
              <w:t>Beni durevoli</w:t>
            </w:r>
          </w:p>
        </w:tc>
        <w:tc>
          <w:tcPr>
            <w:tcW w:w="1048" w:type="dxa"/>
            <w:shd w:val="clear" w:color="000000" w:fill="D9D9D9"/>
            <w:vAlign w:val="center"/>
          </w:tcPr>
          <w:p w14:paraId="4B77A0DB" w14:textId="1F29821F"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91</w:t>
            </w:r>
            <w:r w:rsidR="009A76DF">
              <w:rPr>
                <w:rFonts w:ascii="Arial Narrow" w:hAnsi="Arial Narrow" w:cs="Arial"/>
                <w:kern w:val="0"/>
                <w:sz w:val="18"/>
                <w:szCs w:val="18"/>
              </w:rPr>
              <w:t>.</w:t>
            </w:r>
            <w:r w:rsidRPr="00EF6563">
              <w:rPr>
                <w:rFonts w:ascii="Arial Narrow" w:hAnsi="Arial Narrow" w:cs="Arial"/>
                <w:kern w:val="0"/>
                <w:sz w:val="18"/>
                <w:szCs w:val="18"/>
              </w:rPr>
              <w:t>296</w:t>
            </w:r>
          </w:p>
        </w:tc>
        <w:tc>
          <w:tcPr>
            <w:tcW w:w="909" w:type="dxa"/>
            <w:shd w:val="clear" w:color="auto" w:fill="auto"/>
            <w:vAlign w:val="center"/>
          </w:tcPr>
          <w:p w14:paraId="4762CA59" w14:textId="184C7BC7"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0,7</w:t>
            </w:r>
          </w:p>
        </w:tc>
        <w:tc>
          <w:tcPr>
            <w:tcW w:w="971" w:type="dxa"/>
            <w:shd w:val="clear" w:color="000000" w:fill="D9D9D9"/>
            <w:vAlign w:val="center"/>
          </w:tcPr>
          <w:p w14:paraId="33F99B8A" w14:textId="5CE74FD8"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09D0C37E" w14:textId="30EEFD11" w:rsidR="00EF6563" w:rsidRPr="00FE43A9"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-0,3</w:t>
            </w:r>
          </w:p>
        </w:tc>
        <w:tc>
          <w:tcPr>
            <w:tcW w:w="834" w:type="dxa"/>
            <w:shd w:val="clear" w:color="000000" w:fill="D9D9D9"/>
            <w:vAlign w:val="center"/>
          </w:tcPr>
          <w:p w14:paraId="28E881C1" w14:textId="5B6F48B8"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7AC69FCD" w14:textId="068EFFBC"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0,2</w:t>
            </w:r>
          </w:p>
        </w:tc>
      </w:tr>
      <w:tr w:rsidR="00EF6563" w:rsidRPr="004B2A9B" w14:paraId="3B4EF9AB" w14:textId="77777777" w:rsidTr="00EF6563">
        <w:trPr>
          <w:trHeight w:val="255"/>
          <w:jc w:val="center"/>
        </w:trPr>
        <w:tc>
          <w:tcPr>
            <w:tcW w:w="4395" w:type="dxa"/>
            <w:shd w:val="clear" w:color="auto" w:fill="auto"/>
            <w:noWrap/>
            <w:vAlign w:val="center"/>
            <w:hideMark/>
          </w:tcPr>
          <w:p w14:paraId="2297430C" w14:textId="77777777" w:rsidR="00EF6563" w:rsidRPr="004B2A9B" w:rsidRDefault="00EF6563" w:rsidP="00EF6563">
            <w:pPr>
              <w:widowControl/>
              <w:overflowPunct/>
              <w:autoSpaceDE/>
              <w:autoSpaceDN/>
              <w:adjustRightInd/>
              <w:spacing w:before="0" w:after="0"/>
              <w:ind w:left="284"/>
              <w:rPr>
                <w:rFonts w:ascii="Arial Narrow" w:hAnsi="Arial Narrow" w:cs="Arial"/>
                <w:kern w:val="0"/>
                <w:sz w:val="18"/>
                <w:szCs w:val="18"/>
              </w:rPr>
            </w:pPr>
            <w:r w:rsidRPr="004B2A9B">
              <w:rPr>
                <w:rFonts w:ascii="Arial Narrow" w:hAnsi="Arial Narrow" w:cs="Arial"/>
                <w:kern w:val="0"/>
                <w:sz w:val="18"/>
                <w:szCs w:val="18"/>
              </w:rPr>
              <w:t>Beni non durevoli</w:t>
            </w:r>
          </w:p>
        </w:tc>
        <w:tc>
          <w:tcPr>
            <w:tcW w:w="1048" w:type="dxa"/>
            <w:shd w:val="clear" w:color="000000" w:fill="D9D9D9"/>
            <w:vAlign w:val="center"/>
          </w:tcPr>
          <w:p w14:paraId="1FF3E1DA" w14:textId="1671A147"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60</w:t>
            </w:r>
            <w:r w:rsidR="009A76DF">
              <w:rPr>
                <w:rFonts w:ascii="Arial Narrow" w:hAnsi="Arial Narrow" w:cs="Arial"/>
                <w:kern w:val="0"/>
                <w:sz w:val="18"/>
                <w:szCs w:val="18"/>
              </w:rPr>
              <w:t>.</w:t>
            </w:r>
            <w:r w:rsidRPr="00EF6563">
              <w:rPr>
                <w:rFonts w:ascii="Arial Narrow" w:hAnsi="Arial Narrow" w:cs="Arial"/>
                <w:kern w:val="0"/>
                <w:sz w:val="18"/>
                <w:szCs w:val="18"/>
              </w:rPr>
              <w:t>987</w:t>
            </w:r>
          </w:p>
        </w:tc>
        <w:tc>
          <w:tcPr>
            <w:tcW w:w="909" w:type="dxa"/>
            <w:shd w:val="clear" w:color="auto" w:fill="auto"/>
            <w:vAlign w:val="center"/>
          </w:tcPr>
          <w:p w14:paraId="6A2C2E67" w14:textId="49353631"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0,3</w:t>
            </w:r>
          </w:p>
        </w:tc>
        <w:tc>
          <w:tcPr>
            <w:tcW w:w="971" w:type="dxa"/>
            <w:shd w:val="clear" w:color="000000" w:fill="D9D9D9"/>
            <w:vAlign w:val="center"/>
          </w:tcPr>
          <w:p w14:paraId="3BFD06D3" w14:textId="24B7C1F8"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74FBAB95" w14:textId="237344F9"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0,5</w:t>
            </w:r>
          </w:p>
        </w:tc>
        <w:tc>
          <w:tcPr>
            <w:tcW w:w="834" w:type="dxa"/>
            <w:shd w:val="clear" w:color="000000" w:fill="D9D9D9"/>
            <w:vAlign w:val="center"/>
          </w:tcPr>
          <w:p w14:paraId="75F278A6" w14:textId="6429F2A9"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720B6C84" w14:textId="36F58CBB"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0,1</w:t>
            </w:r>
          </w:p>
        </w:tc>
      </w:tr>
      <w:tr w:rsidR="00EF6563" w:rsidRPr="004B2A9B" w14:paraId="286822CF" w14:textId="77777777" w:rsidTr="00EF6563">
        <w:trPr>
          <w:trHeight w:val="255"/>
          <w:jc w:val="center"/>
        </w:trPr>
        <w:tc>
          <w:tcPr>
            <w:tcW w:w="4395" w:type="dxa"/>
            <w:shd w:val="clear" w:color="auto" w:fill="auto"/>
            <w:noWrap/>
            <w:vAlign w:val="center"/>
            <w:hideMark/>
          </w:tcPr>
          <w:p w14:paraId="5FCCD662" w14:textId="77777777" w:rsidR="00EF6563" w:rsidRPr="004B2A9B" w:rsidRDefault="00EF6563" w:rsidP="00EF6563">
            <w:pPr>
              <w:widowControl/>
              <w:overflowPunct/>
              <w:autoSpaceDE/>
              <w:autoSpaceDN/>
              <w:adjustRightInd/>
              <w:spacing w:before="0" w:after="0"/>
              <w:ind w:left="284"/>
              <w:rPr>
                <w:rFonts w:ascii="Arial Narrow" w:hAnsi="Arial Narrow" w:cs="Arial"/>
                <w:kern w:val="0"/>
                <w:sz w:val="18"/>
                <w:szCs w:val="18"/>
              </w:rPr>
            </w:pPr>
            <w:r w:rsidRPr="004B2A9B">
              <w:rPr>
                <w:rFonts w:ascii="Arial Narrow" w:hAnsi="Arial Narrow" w:cs="Arial"/>
                <w:kern w:val="0"/>
                <w:sz w:val="18"/>
                <w:szCs w:val="18"/>
              </w:rPr>
              <w:t>Beni semidurevoli</w:t>
            </w:r>
          </w:p>
        </w:tc>
        <w:tc>
          <w:tcPr>
            <w:tcW w:w="1048" w:type="dxa"/>
            <w:shd w:val="clear" w:color="000000" w:fill="D9D9D9"/>
            <w:vAlign w:val="center"/>
          </w:tcPr>
          <w:p w14:paraId="50494F75" w14:textId="2044D53F"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97</w:t>
            </w:r>
            <w:r w:rsidR="009A76DF">
              <w:rPr>
                <w:rFonts w:ascii="Arial Narrow" w:hAnsi="Arial Narrow" w:cs="Arial"/>
                <w:kern w:val="0"/>
                <w:sz w:val="18"/>
                <w:szCs w:val="18"/>
              </w:rPr>
              <w:t>.</w:t>
            </w:r>
            <w:r w:rsidRPr="00EF6563">
              <w:rPr>
                <w:rFonts w:ascii="Arial Narrow" w:hAnsi="Arial Narrow" w:cs="Arial"/>
                <w:kern w:val="0"/>
                <w:sz w:val="18"/>
                <w:szCs w:val="18"/>
              </w:rPr>
              <w:t>833</w:t>
            </w:r>
          </w:p>
        </w:tc>
        <w:tc>
          <w:tcPr>
            <w:tcW w:w="909" w:type="dxa"/>
            <w:shd w:val="clear" w:color="auto" w:fill="auto"/>
            <w:vAlign w:val="center"/>
          </w:tcPr>
          <w:p w14:paraId="277A1DE3" w14:textId="196CD8C9"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0,1</w:t>
            </w:r>
          </w:p>
        </w:tc>
        <w:tc>
          <w:tcPr>
            <w:tcW w:w="971" w:type="dxa"/>
            <w:shd w:val="clear" w:color="000000" w:fill="D9D9D9"/>
            <w:vAlign w:val="center"/>
          </w:tcPr>
          <w:p w14:paraId="12D953E7" w14:textId="6ED24AF5"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36746E81" w14:textId="1829BB88"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0,9</w:t>
            </w:r>
          </w:p>
        </w:tc>
        <w:tc>
          <w:tcPr>
            <w:tcW w:w="834" w:type="dxa"/>
            <w:shd w:val="clear" w:color="000000" w:fill="D9D9D9"/>
            <w:vAlign w:val="center"/>
          </w:tcPr>
          <w:p w14:paraId="2BC01D70" w14:textId="5782329F"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04360B9C" w14:textId="0524AA6C"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0,5</w:t>
            </w:r>
          </w:p>
        </w:tc>
      </w:tr>
      <w:tr w:rsidR="00EF6563" w:rsidRPr="00354AFC" w14:paraId="5458324F" w14:textId="77777777" w:rsidTr="00EF6563">
        <w:trPr>
          <w:trHeight w:val="255"/>
          <w:jc w:val="center"/>
        </w:trPr>
        <w:tc>
          <w:tcPr>
            <w:tcW w:w="4395" w:type="dxa"/>
            <w:shd w:val="clear" w:color="000000" w:fill="808080"/>
            <w:noWrap/>
            <w:vAlign w:val="center"/>
            <w:hideMark/>
          </w:tcPr>
          <w:p w14:paraId="3E0C2F73" w14:textId="77777777" w:rsidR="00EF6563" w:rsidRPr="004B2A9B" w:rsidRDefault="00EF6563" w:rsidP="00EF6563">
            <w:pPr>
              <w:widowControl/>
              <w:overflowPunct/>
              <w:autoSpaceDE/>
              <w:autoSpaceDN/>
              <w:adjustRightInd/>
              <w:spacing w:before="0" w:after="0"/>
              <w:rPr>
                <w:rFonts w:ascii="Arial Narrow" w:hAnsi="Arial Narrow" w:cs="Arial"/>
                <w:b/>
                <w:bCs/>
                <w:color w:val="FFFFFF"/>
                <w:kern w:val="0"/>
                <w:sz w:val="18"/>
                <w:szCs w:val="18"/>
              </w:rPr>
            </w:pPr>
            <w:r w:rsidRPr="004B2A9B">
              <w:rPr>
                <w:rFonts w:ascii="Arial Narrow" w:hAnsi="Arial Narrow" w:cs="Arial"/>
                <w:b/>
                <w:bCs/>
                <w:color w:val="FFFFFF"/>
                <w:kern w:val="0"/>
                <w:sz w:val="18"/>
                <w:szCs w:val="18"/>
              </w:rPr>
              <w:t>Beni</w:t>
            </w:r>
          </w:p>
        </w:tc>
        <w:tc>
          <w:tcPr>
            <w:tcW w:w="1048" w:type="dxa"/>
            <w:shd w:val="clear" w:color="000000" w:fill="808080"/>
            <w:vAlign w:val="center"/>
          </w:tcPr>
          <w:p w14:paraId="748516DB" w14:textId="0BB58B0F" w:rsidR="00EF6563" w:rsidRPr="00EF6563" w:rsidRDefault="00EF6563" w:rsidP="00EF6563">
            <w:pPr>
              <w:widowControl/>
              <w:overflowPunct/>
              <w:autoSpaceDE/>
              <w:autoSpaceDN/>
              <w:adjustRightInd/>
              <w:spacing w:before="0" w:after="0"/>
              <w:jc w:val="right"/>
              <w:rPr>
                <w:rFonts w:ascii="Arial Narrow" w:hAnsi="Arial Narrow" w:cs="Arial"/>
                <w:b/>
                <w:bCs/>
                <w:kern w:val="0"/>
                <w:sz w:val="18"/>
                <w:szCs w:val="18"/>
              </w:rPr>
            </w:pPr>
            <w:r w:rsidRPr="00EF6563">
              <w:rPr>
                <w:rFonts w:ascii="Arial Narrow" w:hAnsi="Arial Narrow" w:cs="Arial"/>
                <w:b/>
                <w:bCs/>
                <w:color w:val="FFFFFF" w:themeColor="background1"/>
                <w:kern w:val="0"/>
                <w:sz w:val="18"/>
                <w:szCs w:val="18"/>
              </w:rPr>
              <w:t>555</w:t>
            </w:r>
            <w:r w:rsidR="009A76DF">
              <w:rPr>
                <w:rFonts w:ascii="Arial Narrow" w:hAnsi="Arial Narrow" w:cs="Arial"/>
                <w:b/>
                <w:bCs/>
                <w:color w:val="FFFFFF" w:themeColor="background1"/>
                <w:kern w:val="0"/>
                <w:sz w:val="18"/>
                <w:szCs w:val="18"/>
              </w:rPr>
              <w:t>.</w:t>
            </w:r>
            <w:r w:rsidRPr="00EF6563">
              <w:rPr>
                <w:rFonts w:ascii="Arial Narrow" w:hAnsi="Arial Narrow" w:cs="Arial"/>
                <w:b/>
                <w:bCs/>
                <w:color w:val="FFFFFF" w:themeColor="background1"/>
                <w:kern w:val="0"/>
                <w:sz w:val="18"/>
                <w:szCs w:val="18"/>
              </w:rPr>
              <w:t>278</w:t>
            </w:r>
          </w:p>
        </w:tc>
        <w:tc>
          <w:tcPr>
            <w:tcW w:w="909" w:type="dxa"/>
            <w:shd w:val="clear" w:color="000000" w:fill="808080"/>
            <w:vAlign w:val="center"/>
          </w:tcPr>
          <w:p w14:paraId="30CAC5B9" w14:textId="7FC54878" w:rsidR="00EF6563" w:rsidRPr="00EF6563" w:rsidRDefault="009A76DF" w:rsidP="00EF6563">
            <w:pPr>
              <w:widowControl/>
              <w:overflowPunct/>
              <w:autoSpaceDE/>
              <w:autoSpaceDN/>
              <w:adjustRightInd/>
              <w:spacing w:before="0" w:after="0"/>
              <w:jc w:val="right"/>
              <w:rPr>
                <w:rFonts w:ascii="Arial Narrow" w:hAnsi="Arial Narrow" w:cs="Arial"/>
                <w:b/>
                <w:bCs/>
                <w:color w:val="FFFFFF" w:themeColor="background1"/>
                <w:kern w:val="0"/>
                <w:sz w:val="18"/>
                <w:szCs w:val="18"/>
              </w:rPr>
            </w:pPr>
            <w:r>
              <w:rPr>
                <w:rFonts w:ascii="Arial Narrow" w:hAnsi="Arial Narrow" w:cs="Arial"/>
                <w:b/>
                <w:bCs/>
                <w:color w:val="FFFFFF" w:themeColor="background1"/>
                <w:kern w:val="0"/>
                <w:sz w:val="18"/>
                <w:szCs w:val="18"/>
              </w:rPr>
              <w:t>+</w:t>
            </w:r>
            <w:r w:rsidR="00EF6563" w:rsidRPr="00EF6563">
              <w:rPr>
                <w:rFonts w:ascii="Arial Narrow" w:hAnsi="Arial Narrow" w:cs="Arial"/>
                <w:b/>
                <w:bCs/>
                <w:color w:val="FFFFFF" w:themeColor="background1"/>
                <w:kern w:val="0"/>
                <w:sz w:val="18"/>
                <w:szCs w:val="18"/>
              </w:rPr>
              <w:t>0,7</w:t>
            </w:r>
          </w:p>
        </w:tc>
        <w:tc>
          <w:tcPr>
            <w:tcW w:w="971" w:type="dxa"/>
            <w:shd w:val="clear" w:color="000000" w:fill="808080"/>
            <w:vAlign w:val="center"/>
          </w:tcPr>
          <w:p w14:paraId="6E100EEA" w14:textId="40FD6E3C" w:rsidR="00EF6563" w:rsidRPr="00EF6563" w:rsidRDefault="00EF6563" w:rsidP="009A76DF">
            <w:pPr>
              <w:widowControl/>
              <w:overflowPunct/>
              <w:autoSpaceDE/>
              <w:autoSpaceDN/>
              <w:adjustRightInd/>
              <w:spacing w:before="0" w:after="0"/>
              <w:jc w:val="center"/>
              <w:rPr>
                <w:rFonts w:ascii="Arial Narrow" w:hAnsi="Arial Narrow" w:cs="Arial"/>
                <w:b/>
                <w:bCs/>
                <w:color w:val="FFFFFF" w:themeColor="background1"/>
                <w:kern w:val="0"/>
                <w:sz w:val="18"/>
                <w:szCs w:val="18"/>
              </w:rPr>
            </w:pPr>
            <w:r w:rsidRPr="00EF6563">
              <w:rPr>
                <w:rFonts w:ascii="Arial Narrow" w:hAnsi="Arial Narrow" w:cs="Arial"/>
                <w:b/>
                <w:bCs/>
                <w:color w:val="FFFFFF" w:themeColor="background1"/>
                <w:kern w:val="0"/>
                <w:sz w:val="18"/>
                <w:szCs w:val="18"/>
              </w:rPr>
              <w:t>-</w:t>
            </w:r>
          </w:p>
        </w:tc>
        <w:tc>
          <w:tcPr>
            <w:tcW w:w="967" w:type="dxa"/>
            <w:shd w:val="clear" w:color="000000" w:fill="808080"/>
            <w:vAlign w:val="center"/>
          </w:tcPr>
          <w:p w14:paraId="7919167F" w14:textId="557AD4C1" w:rsidR="00EF6563" w:rsidRPr="00EF6563" w:rsidRDefault="00EF6563" w:rsidP="00EF6563">
            <w:pPr>
              <w:widowControl/>
              <w:overflowPunct/>
              <w:autoSpaceDE/>
              <w:autoSpaceDN/>
              <w:adjustRightInd/>
              <w:spacing w:before="0" w:after="0"/>
              <w:jc w:val="right"/>
              <w:rPr>
                <w:rFonts w:ascii="Arial Narrow" w:hAnsi="Arial Narrow" w:cs="Arial"/>
                <w:b/>
                <w:bCs/>
                <w:color w:val="FFFFFF" w:themeColor="background1"/>
                <w:kern w:val="0"/>
                <w:sz w:val="18"/>
                <w:szCs w:val="18"/>
              </w:rPr>
            </w:pPr>
            <w:r w:rsidRPr="00EF6563">
              <w:rPr>
                <w:rFonts w:ascii="Arial Narrow" w:hAnsi="Arial Narrow" w:cs="Arial"/>
                <w:b/>
                <w:bCs/>
                <w:color w:val="FFFFFF" w:themeColor="background1"/>
                <w:kern w:val="0"/>
                <w:sz w:val="18"/>
                <w:szCs w:val="18"/>
              </w:rPr>
              <w:t>-0,2</w:t>
            </w:r>
          </w:p>
        </w:tc>
        <w:tc>
          <w:tcPr>
            <w:tcW w:w="834" w:type="dxa"/>
            <w:shd w:val="clear" w:color="000000" w:fill="808080"/>
            <w:vAlign w:val="center"/>
          </w:tcPr>
          <w:p w14:paraId="52811121" w14:textId="6440CB99" w:rsidR="00EF6563" w:rsidRPr="00EF6563" w:rsidRDefault="00EF6563" w:rsidP="009A76DF">
            <w:pPr>
              <w:widowControl/>
              <w:overflowPunct/>
              <w:autoSpaceDE/>
              <w:autoSpaceDN/>
              <w:adjustRightInd/>
              <w:spacing w:before="0" w:after="0"/>
              <w:jc w:val="center"/>
              <w:rPr>
                <w:rFonts w:ascii="Arial Narrow" w:hAnsi="Arial Narrow" w:cs="Arial"/>
                <w:b/>
                <w:bCs/>
                <w:color w:val="FFFFFF" w:themeColor="background1"/>
                <w:kern w:val="0"/>
                <w:sz w:val="18"/>
                <w:szCs w:val="18"/>
              </w:rPr>
            </w:pPr>
            <w:r w:rsidRPr="00EF6563">
              <w:rPr>
                <w:rFonts w:ascii="Arial Narrow" w:hAnsi="Arial Narrow" w:cs="Arial"/>
                <w:b/>
                <w:bCs/>
                <w:color w:val="FFFFFF" w:themeColor="background1"/>
                <w:kern w:val="0"/>
                <w:sz w:val="18"/>
                <w:szCs w:val="18"/>
              </w:rPr>
              <w:t>-</w:t>
            </w:r>
          </w:p>
        </w:tc>
        <w:tc>
          <w:tcPr>
            <w:tcW w:w="1050" w:type="dxa"/>
            <w:shd w:val="clear" w:color="000000" w:fill="808080"/>
            <w:vAlign w:val="center"/>
          </w:tcPr>
          <w:p w14:paraId="3C7AF6BB" w14:textId="6AAA9E90" w:rsidR="00EF6563" w:rsidRPr="00EF6563" w:rsidRDefault="009A76DF" w:rsidP="00EF6563">
            <w:pPr>
              <w:widowControl/>
              <w:overflowPunct/>
              <w:autoSpaceDE/>
              <w:autoSpaceDN/>
              <w:adjustRightInd/>
              <w:spacing w:before="0" w:after="0"/>
              <w:jc w:val="right"/>
              <w:rPr>
                <w:rFonts w:ascii="Arial Narrow" w:hAnsi="Arial Narrow" w:cs="Arial"/>
                <w:b/>
                <w:bCs/>
                <w:color w:val="FFFFFF" w:themeColor="background1"/>
                <w:kern w:val="0"/>
                <w:sz w:val="18"/>
                <w:szCs w:val="18"/>
              </w:rPr>
            </w:pPr>
            <w:r>
              <w:rPr>
                <w:rFonts w:ascii="Arial Narrow" w:hAnsi="Arial Narrow" w:cs="Arial"/>
                <w:b/>
                <w:bCs/>
                <w:color w:val="FFFFFF" w:themeColor="background1"/>
                <w:kern w:val="0"/>
                <w:sz w:val="18"/>
                <w:szCs w:val="18"/>
              </w:rPr>
              <w:t>+</w:t>
            </w:r>
            <w:r w:rsidR="00EF6563" w:rsidRPr="00EF6563">
              <w:rPr>
                <w:rFonts w:ascii="Arial Narrow" w:hAnsi="Arial Narrow" w:cs="Arial"/>
                <w:b/>
                <w:bCs/>
                <w:color w:val="FFFFFF" w:themeColor="background1"/>
                <w:kern w:val="0"/>
                <w:sz w:val="18"/>
                <w:szCs w:val="18"/>
              </w:rPr>
              <w:t>0,4</w:t>
            </w:r>
          </w:p>
        </w:tc>
      </w:tr>
      <w:tr w:rsidR="00EF6563" w:rsidRPr="004B2A9B" w14:paraId="51F956F4" w14:textId="77777777" w:rsidTr="00EF6563">
        <w:trPr>
          <w:trHeight w:val="255"/>
          <w:jc w:val="center"/>
        </w:trPr>
        <w:tc>
          <w:tcPr>
            <w:tcW w:w="4395" w:type="dxa"/>
            <w:shd w:val="clear" w:color="auto" w:fill="auto"/>
            <w:noWrap/>
            <w:vAlign w:val="center"/>
            <w:hideMark/>
          </w:tcPr>
          <w:p w14:paraId="568EDA63" w14:textId="77777777" w:rsidR="00EF6563" w:rsidRPr="004B2A9B" w:rsidRDefault="00EF6563" w:rsidP="00EF6563">
            <w:pPr>
              <w:widowControl/>
              <w:overflowPunct/>
              <w:autoSpaceDE/>
              <w:autoSpaceDN/>
              <w:adjustRightInd/>
              <w:spacing w:before="0" w:after="0"/>
              <w:rPr>
                <w:rFonts w:ascii="Arial Narrow" w:hAnsi="Arial Narrow" w:cs="Arial"/>
                <w:kern w:val="0"/>
                <w:sz w:val="18"/>
                <w:szCs w:val="18"/>
              </w:rPr>
            </w:pPr>
            <w:r w:rsidRPr="004B2A9B">
              <w:rPr>
                <w:rFonts w:ascii="Arial Narrow" w:hAnsi="Arial Narrow" w:cs="Arial"/>
                <w:kern w:val="0"/>
                <w:sz w:val="18"/>
                <w:szCs w:val="18"/>
              </w:rPr>
              <w:t>Servizi relativi all'abitazione</w:t>
            </w:r>
          </w:p>
        </w:tc>
        <w:tc>
          <w:tcPr>
            <w:tcW w:w="1048" w:type="dxa"/>
            <w:shd w:val="clear" w:color="000000" w:fill="D9D9D9"/>
            <w:vAlign w:val="center"/>
          </w:tcPr>
          <w:p w14:paraId="415CF210" w14:textId="4EA488A1"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68</w:t>
            </w:r>
            <w:r w:rsidR="009A76DF">
              <w:rPr>
                <w:rFonts w:ascii="Arial Narrow" w:hAnsi="Arial Narrow" w:cs="Arial"/>
                <w:kern w:val="0"/>
                <w:sz w:val="18"/>
                <w:szCs w:val="18"/>
              </w:rPr>
              <w:t>.</w:t>
            </w:r>
            <w:r w:rsidRPr="00EF6563">
              <w:rPr>
                <w:rFonts w:ascii="Arial Narrow" w:hAnsi="Arial Narrow" w:cs="Arial"/>
                <w:kern w:val="0"/>
                <w:sz w:val="18"/>
                <w:szCs w:val="18"/>
              </w:rPr>
              <w:t>834</w:t>
            </w:r>
          </w:p>
        </w:tc>
        <w:tc>
          <w:tcPr>
            <w:tcW w:w="909" w:type="dxa"/>
            <w:shd w:val="clear" w:color="auto" w:fill="auto"/>
            <w:vAlign w:val="center"/>
          </w:tcPr>
          <w:p w14:paraId="25BF3172" w14:textId="78DE5279"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1,9</w:t>
            </w:r>
          </w:p>
        </w:tc>
        <w:tc>
          <w:tcPr>
            <w:tcW w:w="971" w:type="dxa"/>
            <w:shd w:val="clear" w:color="000000" w:fill="D9D9D9"/>
            <w:vAlign w:val="center"/>
          </w:tcPr>
          <w:p w14:paraId="32D8AFE4" w14:textId="34CCDD05"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3DE090A0" w14:textId="140C174B"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4,4</w:t>
            </w:r>
          </w:p>
        </w:tc>
        <w:tc>
          <w:tcPr>
            <w:tcW w:w="834" w:type="dxa"/>
            <w:shd w:val="clear" w:color="000000" w:fill="D9D9D9"/>
            <w:vAlign w:val="center"/>
          </w:tcPr>
          <w:p w14:paraId="6B1918F2" w14:textId="09C9847A"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3CDEFF6A" w14:textId="2E91F665"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3,1</w:t>
            </w:r>
          </w:p>
        </w:tc>
      </w:tr>
      <w:tr w:rsidR="00EF6563" w:rsidRPr="004B2A9B" w14:paraId="052C1DD3" w14:textId="77777777" w:rsidTr="00EF6563">
        <w:trPr>
          <w:trHeight w:val="255"/>
          <w:jc w:val="center"/>
        </w:trPr>
        <w:tc>
          <w:tcPr>
            <w:tcW w:w="4395" w:type="dxa"/>
            <w:shd w:val="clear" w:color="auto" w:fill="auto"/>
            <w:noWrap/>
            <w:vAlign w:val="center"/>
            <w:hideMark/>
          </w:tcPr>
          <w:p w14:paraId="6589B97D" w14:textId="77777777" w:rsidR="00EF6563" w:rsidRPr="004B2A9B" w:rsidRDefault="00EF6563" w:rsidP="00EF6563">
            <w:pPr>
              <w:widowControl/>
              <w:overflowPunct/>
              <w:autoSpaceDE/>
              <w:autoSpaceDN/>
              <w:adjustRightInd/>
              <w:spacing w:before="0" w:after="0"/>
              <w:rPr>
                <w:rFonts w:ascii="Arial Narrow" w:hAnsi="Arial Narrow" w:cs="Arial"/>
                <w:kern w:val="0"/>
                <w:sz w:val="18"/>
                <w:szCs w:val="18"/>
              </w:rPr>
            </w:pPr>
            <w:r w:rsidRPr="004B2A9B">
              <w:rPr>
                <w:rFonts w:ascii="Arial Narrow" w:hAnsi="Arial Narrow" w:cs="Arial"/>
                <w:kern w:val="0"/>
                <w:sz w:val="18"/>
                <w:szCs w:val="18"/>
              </w:rPr>
              <w:t>Servizi relativi alle comunicazioni</w:t>
            </w:r>
          </w:p>
        </w:tc>
        <w:tc>
          <w:tcPr>
            <w:tcW w:w="1048" w:type="dxa"/>
            <w:shd w:val="clear" w:color="000000" w:fill="D9D9D9"/>
            <w:vAlign w:val="center"/>
          </w:tcPr>
          <w:p w14:paraId="6F9DCAFF" w14:textId="191A5B96"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13</w:t>
            </w:r>
            <w:r w:rsidR="009A76DF">
              <w:rPr>
                <w:rFonts w:ascii="Arial Narrow" w:hAnsi="Arial Narrow" w:cs="Arial"/>
                <w:kern w:val="0"/>
                <w:sz w:val="18"/>
                <w:szCs w:val="18"/>
              </w:rPr>
              <w:t>.</w:t>
            </w:r>
            <w:r w:rsidRPr="00EF6563">
              <w:rPr>
                <w:rFonts w:ascii="Arial Narrow" w:hAnsi="Arial Narrow" w:cs="Arial"/>
                <w:kern w:val="0"/>
                <w:sz w:val="18"/>
                <w:szCs w:val="18"/>
              </w:rPr>
              <w:t>533</w:t>
            </w:r>
          </w:p>
        </w:tc>
        <w:tc>
          <w:tcPr>
            <w:tcW w:w="909" w:type="dxa"/>
            <w:shd w:val="clear" w:color="auto" w:fill="auto"/>
            <w:vAlign w:val="center"/>
          </w:tcPr>
          <w:p w14:paraId="138189A2" w14:textId="040EEC50"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0,3</w:t>
            </w:r>
          </w:p>
        </w:tc>
        <w:tc>
          <w:tcPr>
            <w:tcW w:w="971" w:type="dxa"/>
            <w:shd w:val="clear" w:color="000000" w:fill="D9D9D9"/>
            <w:vAlign w:val="center"/>
          </w:tcPr>
          <w:p w14:paraId="6B89BC07" w14:textId="2E32620D"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1DFF50E1" w14:textId="5DE85C98" w:rsidR="00EF6563" w:rsidRPr="00FE43A9"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-0,7</w:t>
            </w:r>
          </w:p>
        </w:tc>
        <w:tc>
          <w:tcPr>
            <w:tcW w:w="834" w:type="dxa"/>
            <w:shd w:val="clear" w:color="000000" w:fill="D9D9D9"/>
            <w:vAlign w:val="center"/>
          </w:tcPr>
          <w:p w14:paraId="66CE96C9" w14:textId="36352530"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1E7B8F10" w14:textId="2FE0607B" w:rsidR="00EF6563" w:rsidRPr="00FE43A9"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-0,6</w:t>
            </w:r>
          </w:p>
        </w:tc>
      </w:tr>
      <w:tr w:rsidR="00EF6563" w:rsidRPr="004B2A9B" w14:paraId="5D0D4BDB" w14:textId="77777777" w:rsidTr="00EF6563">
        <w:trPr>
          <w:trHeight w:val="255"/>
          <w:jc w:val="center"/>
        </w:trPr>
        <w:tc>
          <w:tcPr>
            <w:tcW w:w="4395" w:type="dxa"/>
            <w:shd w:val="clear" w:color="auto" w:fill="auto"/>
            <w:noWrap/>
            <w:vAlign w:val="center"/>
            <w:hideMark/>
          </w:tcPr>
          <w:p w14:paraId="0880E64C" w14:textId="77777777" w:rsidR="00EF6563" w:rsidRPr="004B2A9B" w:rsidRDefault="00EF6563" w:rsidP="00EF6563">
            <w:pPr>
              <w:widowControl/>
              <w:overflowPunct/>
              <w:autoSpaceDE/>
              <w:autoSpaceDN/>
              <w:adjustRightInd/>
              <w:spacing w:before="0" w:after="0"/>
              <w:rPr>
                <w:rFonts w:ascii="Arial Narrow" w:hAnsi="Arial Narrow" w:cs="Arial"/>
                <w:kern w:val="0"/>
                <w:sz w:val="18"/>
                <w:szCs w:val="18"/>
              </w:rPr>
            </w:pPr>
            <w:r w:rsidRPr="004B2A9B">
              <w:rPr>
                <w:rFonts w:ascii="Arial Narrow" w:hAnsi="Arial Narrow" w:cs="Arial"/>
                <w:kern w:val="0"/>
                <w:sz w:val="18"/>
                <w:szCs w:val="18"/>
              </w:rPr>
              <w:t>Servizi ricreativi, culturali e per la cura della persona</w:t>
            </w:r>
          </w:p>
        </w:tc>
        <w:tc>
          <w:tcPr>
            <w:tcW w:w="1048" w:type="dxa"/>
            <w:shd w:val="clear" w:color="000000" w:fill="D9D9D9"/>
            <w:vAlign w:val="center"/>
          </w:tcPr>
          <w:p w14:paraId="540F9F64" w14:textId="23384DD4"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175</w:t>
            </w:r>
            <w:r w:rsidR="009A76DF">
              <w:rPr>
                <w:rFonts w:ascii="Arial Narrow" w:hAnsi="Arial Narrow" w:cs="Arial"/>
                <w:kern w:val="0"/>
                <w:sz w:val="18"/>
                <w:szCs w:val="18"/>
              </w:rPr>
              <w:t>.</w:t>
            </w:r>
            <w:r w:rsidRPr="00EF6563">
              <w:rPr>
                <w:rFonts w:ascii="Arial Narrow" w:hAnsi="Arial Narrow" w:cs="Arial"/>
                <w:kern w:val="0"/>
                <w:sz w:val="18"/>
                <w:szCs w:val="18"/>
              </w:rPr>
              <w:t>570</w:t>
            </w:r>
          </w:p>
        </w:tc>
        <w:tc>
          <w:tcPr>
            <w:tcW w:w="909" w:type="dxa"/>
            <w:shd w:val="clear" w:color="auto" w:fill="auto"/>
            <w:vAlign w:val="center"/>
          </w:tcPr>
          <w:p w14:paraId="7662987D" w14:textId="4B8C7262"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0,7</w:t>
            </w:r>
          </w:p>
        </w:tc>
        <w:tc>
          <w:tcPr>
            <w:tcW w:w="971" w:type="dxa"/>
            <w:shd w:val="clear" w:color="000000" w:fill="D9D9D9"/>
            <w:vAlign w:val="center"/>
          </w:tcPr>
          <w:p w14:paraId="3F80F975" w14:textId="2193E5C3"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51EED5B2" w14:textId="2EE64548"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3,0</w:t>
            </w:r>
          </w:p>
        </w:tc>
        <w:tc>
          <w:tcPr>
            <w:tcW w:w="834" w:type="dxa"/>
            <w:shd w:val="clear" w:color="000000" w:fill="D9D9D9"/>
            <w:vAlign w:val="center"/>
          </w:tcPr>
          <w:p w14:paraId="5288DF7C" w14:textId="1E851052"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67F27F5F" w14:textId="71CFCBC3" w:rsidR="00EF6563" w:rsidRPr="00FE43A9"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-0,1</w:t>
            </w:r>
          </w:p>
        </w:tc>
      </w:tr>
      <w:tr w:rsidR="00EF6563" w:rsidRPr="004B2A9B" w14:paraId="73AB7E16" w14:textId="77777777" w:rsidTr="00EF6563">
        <w:trPr>
          <w:trHeight w:val="255"/>
          <w:jc w:val="center"/>
        </w:trPr>
        <w:tc>
          <w:tcPr>
            <w:tcW w:w="4395" w:type="dxa"/>
            <w:shd w:val="clear" w:color="auto" w:fill="auto"/>
            <w:noWrap/>
            <w:vAlign w:val="center"/>
            <w:hideMark/>
          </w:tcPr>
          <w:p w14:paraId="6224036C" w14:textId="77777777" w:rsidR="00EF6563" w:rsidRPr="004B2A9B" w:rsidRDefault="00EF6563" w:rsidP="00EF6563">
            <w:pPr>
              <w:widowControl/>
              <w:overflowPunct/>
              <w:autoSpaceDE/>
              <w:autoSpaceDN/>
              <w:adjustRightInd/>
              <w:spacing w:before="0" w:after="0"/>
              <w:rPr>
                <w:rFonts w:ascii="Arial Narrow" w:hAnsi="Arial Narrow" w:cs="Arial"/>
                <w:kern w:val="0"/>
                <w:sz w:val="18"/>
                <w:szCs w:val="18"/>
              </w:rPr>
            </w:pPr>
            <w:r w:rsidRPr="004B2A9B">
              <w:rPr>
                <w:rFonts w:ascii="Arial Narrow" w:hAnsi="Arial Narrow" w:cs="Arial"/>
                <w:kern w:val="0"/>
                <w:sz w:val="18"/>
                <w:szCs w:val="18"/>
              </w:rPr>
              <w:t>Servizi relativi ai trasporti</w:t>
            </w:r>
          </w:p>
        </w:tc>
        <w:tc>
          <w:tcPr>
            <w:tcW w:w="1048" w:type="dxa"/>
            <w:shd w:val="clear" w:color="000000" w:fill="D9D9D9"/>
            <w:vAlign w:val="center"/>
          </w:tcPr>
          <w:p w14:paraId="1AA43189" w14:textId="420E8AAB"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71</w:t>
            </w:r>
            <w:r w:rsidR="009A76DF">
              <w:rPr>
                <w:rFonts w:ascii="Arial Narrow" w:hAnsi="Arial Narrow" w:cs="Arial"/>
                <w:kern w:val="0"/>
                <w:sz w:val="18"/>
                <w:szCs w:val="18"/>
              </w:rPr>
              <w:t>.</w:t>
            </w:r>
            <w:r w:rsidRPr="00EF6563">
              <w:rPr>
                <w:rFonts w:ascii="Arial Narrow" w:hAnsi="Arial Narrow" w:cs="Arial"/>
                <w:kern w:val="0"/>
                <w:sz w:val="18"/>
                <w:szCs w:val="18"/>
              </w:rPr>
              <w:t>883</w:t>
            </w:r>
          </w:p>
        </w:tc>
        <w:tc>
          <w:tcPr>
            <w:tcW w:w="909" w:type="dxa"/>
            <w:shd w:val="clear" w:color="auto" w:fill="auto"/>
            <w:vAlign w:val="center"/>
          </w:tcPr>
          <w:p w14:paraId="280D0C71" w14:textId="78C3A599" w:rsidR="00EF6563" w:rsidRPr="00FE43A9"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-3,7</w:t>
            </w:r>
          </w:p>
        </w:tc>
        <w:tc>
          <w:tcPr>
            <w:tcW w:w="971" w:type="dxa"/>
            <w:shd w:val="clear" w:color="000000" w:fill="D9D9D9"/>
            <w:vAlign w:val="center"/>
          </w:tcPr>
          <w:p w14:paraId="17A32352" w14:textId="04B4D99E"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688EB337" w14:textId="52FC9500"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0,8</w:t>
            </w:r>
          </w:p>
        </w:tc>
        <w:tc>
          <w:tcPr>
            <w:tcW w:w="834" w:type="dxa"/>
            <w:shd w:val="clear" w:color="000000" w:fill="D9D9D9"/>
            <w:vAlign w:val="center"/>
          </w:tcPr>
          <w:p w14:paraId="457E282F" w14:textId="7C5412F9"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13D87FCC" w14:textId="4068D351" w:rsidR="00EF6563" w:rsidRPr="00FE43A9"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-2,1</w:t>
            </w:r>
          </w:p>
        </w:tc>
      </w:tr>
      <w:tr w:rsidR="00EF6563" w:rsidRPr="004B2A9B" w14:paraId="21C2CB19" w14:textId="77777777" w:rsidTr="00EF6563">
        <w:trPr>
          <w:trHeight w:val="255"/>
          <w:jc w:val="center"/>
        </w:trPr>
        <w:tc>
          <w:tcPr>
            <w:tcW w:w="4395" w:type="dxa"/>
            <w:shd w:val="clear" w:color="auto" w:fill="auto"/>
            <w:noWrap/>
            <w:vAlign w:val="center"/>
            <w:hideMark/>
          </w:tcPr>
          <w:p w14:paraId="15110F0D" w14:textId="77777777" w:rsidR="00EF6563" w:rsidRPr="004B2A9B" w:rsidRDefault="00EF6563" w:rsidP="00EF6563">
            <w:pPr>
              <w:widowControl/>
              <w:overflowPunct/>
              <w:autoSpaceDE/>
              <w:autoSpaceDN/>
              <w:adjustRightInd/>
              <w:spacing w:before="0" w:after="0"/>
              <w:rPr>
                <w:rFonts w:ascii="Arial Narrow" w:hAnsi="Arial Narrow" w:cs="Arial"/>
                <w:kern w:val="0"/>
                <w:sz w:val="18"/>
                <w:szCs w:val="18"/>
              </w:rPr>
            </w:pPr>
            <w:r w:rsidRPr="004B2A9B">
              <w:rPr>
                <w:rFonts w:ascii="Arial Narrow" w:hAnsi="Arial Narrow" w:cs="Arial"/>
                <w:kern w:val="0"/>
                <w:sz w:val="18"/>
                <w:szCs w:val="18"/>
              </w:rPr>
              <w:t>Servizi vari</w:t>
            </w:r>
          </w:p>
        </w:tc>
        <w:tc>
          <w:tcPr>
            <w:tcW w:w="1048" w:type="dxa"/>
            <w:shd w:val="clear" w:color="000000" w:fill="D9D9D9"/>
            <w:vAlign w:val="center"/>
          </w:tcPr>
          <w:p w14:paraId="4A7B1F58" w14:textId="42EA94FE"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114</w:t>
            </w:r>
            <w:r w:rsidR="009A76DF">
              <w:rPr>
                <w:rFonts w:ascii="Arial Narrow" w:hAnsi="Arial Narrow" w:cs="Arial"/>
                <w:kern w:val="0"/>
                <w:sz w:val="18"/>
                <w:szCs w:val="18"/>
              </w:rPr>
              <w:t>.</w:t>
            </w:r>
            <w:r w:rsidRPr="00EF6563">
              <w:rPr>
                <w:rFonts w:ascii="Arial Narrow" w:hAnsi="Arial Narrow" w:cs="Arial"/>
                <w:kern w:val="0"/>
                <w:sz w:val="18"/>
                <w:szCs w:val="18"/>
              </w:rPr>
              <w:t>902</w:t>
            </w:r>
          </w:p>
        </w:tc>
        <w:tc>
          <w:tcPr>
            <w:tcW w:w="909" w:type="dxa"/>
            <w:shd w:val="clear" w:color="auto" w:fill="auto"/>
            <w:vAlign w:val="center"/>
          </w:tcPr>
          <w:p w14:paraId="706E4098" w14:textId="660CF1B7"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0,1</w:t>
            </w:r>
          </w:p>
        </w:tc>
        <w:tc>
          <w:tcPr>
            <w:tcW w:w="971" w:type="dxa"/>
            <w:shd w:val="clear" w:color="000000" w:fill="D9D9D9"/>
            <w:vAlign w:val="center"/>
          </w:tcPr>
          <w:p w14:paraId="50B0E7F3" w14:textId="53683EEB"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2DBF424D" w14:textId="3EED0388"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2,0</w:t>
            </w:r>
          </w:p>
        </w:tc>
        <w:tc>
          <w:tcPr>
            <w:tcW w:w="834" w:type="dxa"/>
            <w:shd w:val="clear" w:color="000000" w:fill="D9D9D9"/>
            <w:vAlign w:val="center"/>
          </w:tcPr>
          <w:p w14:paraId="1D5F4277" w14:textId="565BBA00"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6A859570" w14:textId="30A652BD"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1,1</w:t>
            </w:r>
          </w:p>
        </w:tc>
      </w:tr>
      <w:tr w:rsidR="00EF6563" w:rsidRPr="004B2A9B" w14:paraId="6E174DFB" w14:textId="77777777" w:rsidTr="00EF6563">
        <w:trPr>
          <w:trHeight w:val="255"/>
          <w:jc w:val="center"/>
        </w:trPr>
        <w:tc>
          <w:tcPr>
            <w:tcW w:w="4395" w:type="dxa"/>
            <w:shd w:val="clear" w:color="000000" w:fill="808080"/>
            <w:noWrap/>
            <w:vAlign w:val="center"/>
            <w:hideMark/>
          </w:tcPr>
          <w:p w14:paraId="48F636A7" w14:textId="77777777" w:rsidR="00EF6563" w:rsidRPr="004B2A9B" w:rsidRDefault="00EF6563" w:rsidP="00EF6563">
            <w:pPr>
              <w:widowControl/>
              <w:overflowPunct/>
              <w:autoSpaceDE/>
              <w:autoSpaceDN/>
              <w:adjustRightInd/>
              <w:spacing w:before="0" w:after="0"/>
              <w:rPr>
                <w:rFonts w:ascii="Arial Narrow" w:hAnsi="Arial Narrow" w:cs="Arial"/>
                <w:b/>
                <w:bCs/>
                <w:color w:val="FFFFFF"/>
                <w:kern w:val="0"/>
                <w:sz w:val="18"/>
                <w:szCs w:val="18"/>
              </w:rPr>
            </w:pPr>
            <w:r w:rsidRPr="004B2A9B">
              <w:rPr>
                <w:rFonts w:ascii="Arial Narrow" w:hAnsi="Arial Narrow" w:cs="Arial"/>
                <w:b/>
                <w:bCs/>
                <w:color w:val="FFFFFF"/>
                <w:kern w:val="0"/>
                <w:sz w:val="18"/>
                <w:szCs w:val="18"/>
              </w:rPr>
              <w:t>Servizi</w:t>
            </w:r>
          </w:p>
        </w:tc>
        <w:tc>
          <w:tcPr>
            <w:tcW w:w="1048" w:type="dxa"/>
            <w:shd w:val="clear" w:color="000000" w:fill="808080"/>
            <w:vAlign w:val="center"/>
          </w:tcPr>
          <w:p w14:paraId="289B83D4" w14:textId="3C62AA11" w:rsidR="00EF6563" w:rsidRPr="00EF6563" w:rsidRDefault="00EF6563" w:rsidP="00EF6563">
            <w:pPr>
              <w:widowControl/>
              <w:overflowPunct/>
              <w:autoSpaceDE/>
              <w:autoSpaceDN/>
              <w:adjustRightInd/>
              <w:spacing w:before="0" w:after="0"/>
              <w:jc w:val="right"/>
              <w:rPr>
                <w:rFonts w:ascii="Arial Narrow" w:hAnsi="Arial Narrow" w:cs="Arial"/>
                <w:b/>
                <w:bCs/>
                <w:color w:val="FFFFFF" w:themeColor="background1"/>
                <w:kern w:val="0"/>
                <w:sz w:val="18"/>
                <w:szCs w:val="18"/>
              </w:rPr>
            </w:pPr>
            <w:r w:rsidRPr="00EF6563">
              <w:rPr>
                <w:rFonts w:ascii="Arial Narrow" w:hAnsi="Arial Narrow" w:cs="Arial"/>
                <w:b/>
                <w:bCs/>
                <w:color w:val="FFFFFF" w:themeColor="background1"/>
                <w:kern w:val="0"/>
                <w:sz w:val="18"/>
                <w:szCs w:val="18"/>
              </w:rPr>
              <w:t>444</w:t>
            </w:r>
            <w:r w:rsidR="009A76DF">
              <w:rPr>
                <w:rFonts w:ascii="Arial Narrow" w:hAnsi="Arial Narrow" w:cs="Arial"/>
                <w:b/>
                <w:bCs/>
                <w:color w:val="FFFFFF" w:themeColor="background1"/>
                <w:kern w:val="0"/>
                <w:sz w:val="18"/>
                <w:szCs w:val="18"/>
              </w:rPr>
              <w:t>.</w:t>
            </w:r>
            <w:r w:rsidRPr="00EF6563">
              <w:rPr>
                <w:rFonts w:ascii="Arial Narrow" w:hAnsi="Arial Narrow" w:cs="Arial"/>
                <w:b/>
                <w:bCs/>
                <w:color w:val="FFFFFF" w:themeColor="background1"/>
                <w:kern w:val="0"/>
                <w:sz w:val="18"/>
                <w:szCs w:val="18"/>
              </w:rPr>
              <w:t>722</w:t>
            </w:r>
          </w:p>
        </w:tc>
        <w:tc>
          <w:tcPr>
            <w:tcW w:w="909" w:type="dxa"/>
            <w:shd w:val="clear" w:color="000000" w:fill="808080"/>
            <w:vAlign w:val="center"/>
          </w:tcPr>
          <w:p w14:paraId="711D29B7" w14:textId="19A1EAB3" w:rsidR="00EF6563" w:rsidRPr="00EF6563" w:rsidRDefault="009A76DF" w:rsidP="00EF6563">
            <w:pPr>
              <w:widowControl/>
              <w:overflowPunct/>
              <w:autoSpaceDE/>
              <w:autoSpaceDN/>
              <w:adjustRightInd/>
              <w:spacing w:before="0" w:after="0"/>
              <w:jc w:val="right"/>
              <w:rPr>
                <w:rFonts w:ascii="Arial Narrow" w:hAnsi="Arial Narrow" w:cs="Arial"/>
                <w:b/>
                <w:bCs/>
                <w:color w:val="FFFFFF" w:themeColor="background1"/>
                <w:kern w:val="0"/>
                <w:sz w:val="18"/>
                <w:szCs w:val="18"/>
              </w:rPr>
            </w:pPr>
            <w:r>
              <w:rPr>
                <w:rFonts w:ascii="Arial Narrow" w:hAnsi="Arial Narrow" w:cs="Arial"/>
                <w:b/>
                <w:bCs/>
                <w:color w:val="FFFFFF" w:themeColor="background1"/>
                <w:kern w:val="0"/>
                <w:sz w:val="18"/>
                <w:szCs w:val="18"/>
              </w:rPr>
              <w:t>+</w:t>
            </w:r>
            <w:r w:rsidR="00EF6563" w:rsidRPr="00EF6563">
              <w:rPr>
                <w:rFonts w:ascii="Arial Narrow" w:hAnsi="Arial Narrow" w:cs="Arial"/>
                <w:b/>
                <w:bCs/>
                <w:color w:val="FFFFFF" w:themeColor="background1"/>
                <w:kern w:val="0"/>
                <w:sz w:val="18"/>
                <w:szCs w:val="18"/>
              </w:rPr>
              <w:t>0,1</w:t>
            </w:r>
          </w:p>
        </w:tc>
        <w:tc>
          <w:tcPr>
            <w:tcW w:w="971" w:type="dxa"/>
            <w:shd w:val="clear" w:color="000000" w:fill="808080"/>
            <w:vAlign w:val="center"/>
          </w:tcPr>
          <w:p w14:paraId="06D6392F" w14:textId="46611067" w:rsidR="00EF6563" w:rsidRPr="00EF6563" w:rsidRDefault="00EF6563" w:rsidP="009A76DF">
            <w:pPr>
              <w:widowControl/>
              <w:overflowPunct/>
              <w:autoSpaceDE/>
              <w:autoSpaceDN/>
              <w:adjustRightInd/>
              <w:spacing w:before="0" w:after="0"/>
              <w:jc w:val="center"/>
              <w:rPr>
                <w:rFonts w:ascii="Arial Narrow" w:hAnsi="Arial Narrow" w:cs="Arial"/>
                <w:b/>
                <w:bCs/>
                <w:color w:val="FFFFFF" w:themeColor="background1"/>
                <w:kern w:val="0"/>
                <w:sz w:val="18"/>
                <w:szCs w:val="18"/>
              </w:rPr>
            </w:pPr>
            <w:r w:rsidRPr="00EF6563">
              <w:rPr>
                <w:rFonts w:ascii="Arial Narrow" w:hAnsi="Arial Narrow" w:cs="Arial"/>
                <w:b/>
                <w:bCs/>
                <w:color w:val="FFFFFF" w:themeColor="background1"/>
                <w:kern w:val="0"/>
                <w:sz w:val="18"/>
                <w:szCs w:val="18"/>
              </w:rPr>
              <w:t>-</w:t>
            </w:r>
          </w:p>
        </w:tc>
        <w:tc>
          <w:tcPr>
            <w:tcW w:w="967" w:type="dxa"/>
            <w:shd w:val="clear" w:color="000000" w:fill="808080"/>
            <w:vAlign w:val="center"/>
          </w:tcPr>
          <w:p w14:paraId="635C8289" w14:textId="25AD4CC7" w:rsidR="00EF6563" w:rsidRPr="00EF6563" w:rsidRDefault="009A76DF" w:rsidP="00EF6563">
            <w:pPr>
              <w:widowControl/>
              <w:overflowPunct/>
              <w:autoSpaceDE/>
              <w:autoSpaceDN/>
              <w:adjustRightInd/>
              <w:spacing w:before="0" w:after="0"/>
              <w:jc w:val="right"/>
              <w:rPr>
                <w:rFonts w:ascii="Arial Narrow" w:hAnsi="Arial Narrow" w:cs="Arial"/>
                <w:b/>
                <w:bCs/>
                <w:color w:val="FFFFFF" w:themeColor="background1"/>
                <w:kern w:val="0"/>
                <w:sz w:val="18"/>
                <w:szCs w:val="18"/>
              </w:rPr>
            </w:pPr>
            <w:r>
              <w:rPr>
                <w:rFonts w:ascii="Arial Narrow" w:hAnsi="Arial Narrow" w:cs="Arial"/>
                <w:b/>
                <w:bCs/>
                <w:color w:val="FFFFFF" w:themeColor="background1"/>
                <w:kern w:val="0"/>
                <w:sz w:val="18"/>
                <w:szCs w:val="18"/>
              </w:rPr>
              <w:t>+</w:t>
            </w:r>
            <w:r w:rsidR="00EF6563" w:rsidRPr="00EF6563">
              <w:rPr>
                <w:rFonts w:ascii="Arial Narrow" w:hAnsi="Arial Narrow" w:cs="Arial"/>
                <w:b/>
                <w:bCs/>
                <w:color w:val="FFFFFF" w:themeColor="background1"/>
                <w:kern w:val="0"/>
                <w:sz w:val="18"/>
                <w:szCs w:val="18"/>
              </w:rPr>
              <w:t>2,5</w:t>
            </w:r>
          </w:p>
        </w:tc>
        <w:tc>
          <w:tcPr>
            <w:tcW w:w="834" w:type="dxa"/>
            <w:shd w:val="clear" w:color="000000" w:fill="808080"/>
            <w:vAlign w:val="center"/>
          </w:tcPr>
          <w:p w14:paraId="6F08A007" w14:textId="031620B2" w:rsidR="00EF6563" w:rsidRPr="00EF6563" w:rsidRDefault="00EF6563" w:rsidP="009A76DF">
            <w:pPr>
              <w:widowControl/>
              <w:overflowPunct/>
              <w:autoSpaceDE/>
              <w:autoSpaceDN/>
              <w:adjustRightInd/>
              <w:spacing w:before="0" w:after="0"/>
              <w:jc w:val="center"/>
              <w:rPr>
                <w:rFonts w:ascii="Arial Narrow" w:hAnsi="Arial Narrow" w:cs="Arial"/>
                <w:b/>
                <w:bCs/>
                <w:color w:val="FFFFFF" w:themeColor="background1"/>
                <w:kern w:val="0"/>
                <w:sz w:val="18"/>
                <w:szCs w:val="18"/>
              </w:rPr>
            </w:pPr>
            <w:r w:rsidRPr="00EF6563">
              <w:rPr>
                <w:rFonts w:ascii="Arial Narrow" w:hAnsi="Arial Narrow" w:cs="Arial"/>
                <w:b/>
                <w:bCs/>
                <w:color w:val="FFFFFF" w:themeColor="background1"/>
                <w:kern w:val="0"/>
                <w:sz w:val="18"/>
                <w:szCs w:val="18"/>
              </w:rPr>
              <w:t>-</w:t>
            </w:r>
          </w:p>
        </w:tc>
        <w:tc>
          <w:tcPr>
            <w:tcW w:w="1050" w:type="dxa"/>
            <w:shd w:val="clear" w:color="000000" w:fill="808080"/>
            <w:vAlign w:val="center"/>
          </w:tcPr>
          <w:p w14:paraId="38F019B7" w14:textId="77C0F286" w:rsidR="00EF6563" w:rsidRPr="00EF6563" w:rsidRDefault="009A76DF" w:rsidP="00EF6563">
            <w:pPr>
              <w:widowControl/>
              <w:overflowPunct/>
              <w:autoSpaceDE/>
              <w:autoSpaceDN/>
              <w:adjustRightInd/>
              <w:spacing w:before="0" w:after="0"/>
              <w:jc w:val="right"/>
              <w:rPr>
                <w:rFonts w:ascii="Arial Narrow" w:hAnsi="Arial Narrow" w:cs="Arial"/>
                <w:b/>
                <w:bCs/>
                <w:color w:val="FFFFFF" w:themeColor="background1"/>
                <w:kern w:val="0"/>
                <w:sz w:val="18"/>
                <w:szCs w:val="18"/>
              </w:rPr>
            </w:pPr>
            <w:r>
              <w:rPr>
                <w:rFonts w:ascii="Arial Narrow" w:hAnsi="Arial Narrow" w:cs="Arial"/>
                <w:b/>
                <w:bCs/>
                <w:color w:val="FFFFFF" w:themeColor="background1"/>
                <w:kern w:val="0"/>
                <w:sz w:val="18"/>
                <w:szCs w:val="18"/>
              </w:rPr>
              <w:t>+</w:t>
            </w:r>
            <w:r w:rsidR="00EF6563" w:rsidRPr="00EF6563">
              <w:rPr>
                <w:rFonts w:ascii="Arial Narrow" w:hAnsi="Arial Narrow" w:cs="Arial"/>
                <w:b/>
                <w:bCs/>
                <w:color w:val="FFFFFF" w:themeColor="background1"/>
                <w:kern w:val="0"/>
                <w:sz w:val="18"/>
                <w:szCs w:val="18"/>
              </w:rPr>
              <w:t>0,4</w:t>
            </w:r>
          </w:p>
        </w:tc>
      </w:tr>
      <w:tr w:rsidR="00EF6563" w:rsidRPr="004B2A9B" w14:paraId="1CB57ADB" w14:textId="77777777" w:rsidTr="00D57F27">
        <w:trPr>
          <w:trHeight w:val="255"/>
          <w:jc w:val="center"/>
        </w:trPr>
        <w:tc>
          <w:tcPr>
            <w:tcW w:w="4395" w:type="dxa"/>
            <w:shd w:val="clear" w:color="000000" w:fill="E42618"/>
            <w:noWrap/>
            <w:vAlign w:val="center"/>
            <w:hideMark/>
          </w:tcPr>
          <w:p w14:paraId="0F17817C" w14:textId="77777777" w:rsidR="00EF6563" w:rsidRPr="004B2A9B" w:rsidRDefault="00EF6563" w:rsidP="00EF6563">
            <w:pPr>
              <w:widowControl/>
              <w:overflowPunct/>
              <w:autoSpaceDE/>
              <w:autoSpaceDN/>
              <w:adjustRightInd/>
              <w:spacing w:before="0" w:after="0"/>
              <w:rPr>
                <w:rFonts w:ascii="Arial Narrow" w:hAnsi="Arial Narrow" w:cs="Arial"/>
                <w:b/>
                <w:bCs/>
                <w:color w:val="FFFFFF"/>
                <w:kern w:val="0"/>
                <w:sz w:val="18"/>
                <w:szCs w:val="18"/>
              </w:rPr>
            </w:pPr>
            <w:r w:rsidRPr="004B2A9B">
              <w:rPr>
                <w:rFonts w:ascii="Arial Narrow" w:hAnsi="Arial Narrow" w:cs="Arial"/>
                <w:b/>
                <w:bCs/>
                <w:color w:val="FFFFFF"/>
                <w:kern w:val="0"/>
                <w:sz w:val="18"/>
                <w:szCs w:val="18"/>
              </w:rPr>
              <w:t>Indice generale</w:t>
            </w:r>
          </w:p>
        </w:tc>
        <w:tc>
          <w:tcPr>
            <w:tcW w:w="1048" w:type="dxa"/>
            <w:shd w:val="clear" w:color="000000" w:fill="E42618"/>
            <w:vAlign w:val="center"/>
          </w:tcPr>
          <w:p w14:paraId="13CF29B9" w14:textId="4FA3548C" w:rsidR="00EF6563" w:rsidRPr="00EF6563" w:rsidRDefault="00EF6563" w:rsidP="00EF6563">
            <w:pPr>
              <w:widowControl/>
              <w:overflowPunct/>
              <w:autoSpaceDE/>
              <w:autoSpaceDN/>
              <w:adjustRightInd/>
              <w:spacing w:before="0" w:after="0"/>
              <w:jc w:val="right"/>
              <w:rPr>
                <w:rFonts w:ascii="Arial Narrow" w:hAnsi="Arial Narrow" w:cs="Arial"/>
                <w:b/>
                <w:bCs/>
                <w:color w:val="FFFFFF" w:themeColor="background1"/>
                <w:kern w:val="0"/>
                <w:sz w:val="18"/>
                <w:szCs w:val="18"/>
              </w:rPr>
            </w:pPr>
            <w:r w:rsidRPr="00EF6563">
              <w:rPr>
                <w:rFonts w:ascii="Arial Narrow" w:hAnsi="Arial Narrow" w:cs="Arial"/>
                <w:b/>
                <w:bCs/>
                <w:color w:val="FFFFFF" w:themeColor="background1"/>
                <w:kern w:val="0"/>
                <w:sz w:val="18"/>
                <w:szCs w:val="18"/>
              </w:rPr>
              <w:t>1</w:t>
            </w:r>
            <w:r w:rsidR="009A76DF">
              <w:rPr>
                <w:rFonts w:ascii="Arial Narrow" w:hAnsi="Arial Narrow" w:cs="Arial"/>
                <w:b/>
                <w:bCs/>
                <w:color w:val="FFFFFF" w:themeColor="background1"/>
                <w:kern w:val="0"/>
                <w:sz w:val="18"/>
                <w:szCs w:val="18"/>
              </w:rPr>
              <w:t>.</w:t>
            </w:r>
            <w:r w:rsidRPr="00EF6563">
              <w:rPr>
                <w:rFonts w:ascii="Arial Narrow" w:hAnsi="Arial Narrow" w:cs="Arial"/>
                <w:b/>
                <w:bCs/>
                <w:color w:val="FFFFFF" w:themeColor="background1"/>
                <w:kern w:val="0"/>
                <w:sz w:val="18"/>
                <w:szCs w:val="18"/>
              </w:rPr>
              <w:t>000</w:t>
            </w:r>
            <w:r w:rsidR="009A76DF">
              <w:rPr>
                <w:rFonts w:ascii="Arial Narrow" w:hAnsi="Arial Narrow" w:cs="Arial"/>
                <w:b/>
                <w:bCs/>
                <w:color w:val="FFFFFF" w:themeColor="background1"/>
                <w:kern w:val="0"/>
                <w:sz w:val="18"/>
                <w:szCs w:val="18"/>
              </w:rPr>
              <w:t>.</w:t>
            </w:r>
            <w:r w:rsidRPr="00EF6563">
              <w:rPr>
                <w:rFonts w:ascii="Arial Narrow" w:hAnsi="Arial Narrow" w:cs="Arial"/>
                <w:b/>
                <w:bCs/>
                <w:color w:val="FFFFFF" w:themeColor="background1"/>
                <w:kern w:val="0"/>
                <w:sz w:val="18"/>
                <w:szCs w:val="18"/>
              </w:rPr>
              <w:t>000</w:t>
            </w:r>
          </w:p>
        </w:tc>
        <w:tc>
          <w:tcPr>
            <w:tcW w:w="909" w:type="dxa"/>
            <w:shd w:val="clear" w:color="000000" w:fill="E42618"/>
            <w:vAlign w:val="center"/>
          </w:tcPr>
          <w:p w14:paraId="0D80501D" w14:textId="73B59A1C" w:rsidR="00EF6563" w:rsidRPr="00EF6563" w:rsidRDefault="009A76DF" w:rsidP="00EF6563">
            <w:pPr>
              <w:widowControl/>
              <w:overflowPunct/>
              <w:autoSpaceDE/>
              <w:autoSpaceDN/>
              <w:adjustRightInd/>
              <w:spacing w:before="0" w:after="0"/>
              <w:jc w:val="right"/>
              <w:rPr>
                <w:rFonts w:ascii="Arial Narrow" w:hAnsi="Arial Narrow" w:cs="Arial"/>
                <w:b/>
                <w:bCs/>
                <w:color w:val="FFFFFF" w:themeColor="background1"/>
                <w:kern w:val="0"/>
                <w:sz w:val="18"/>
                <w:szCs w:val="18"/>
              </w:rPr>
            </w:pPr>
            <w:r>
              <w:rPr>
                <w:rFonts w:ascii="Arial Narrow" w:hAnsi="Arial Narrow" w:cs="Arial"/>
                <w:b/>
                <w:bCs/>
                <w:color w:val="FFFFFF" w:themeColor="background1"/>
                <w:kern w:val="0"/>
                <w:sz w:val="18"/>
                <w:szCs w:val="18"/>
              </w:rPr>
              <w:t>+</w:t>
            </w:r>
            <w:r w:rsidR="00EF6563" w:rsidRPr="00EF6563">
              <w:rPr>
                <w:rFonts w:ascii="Arial Narrow" w:hAnsi="Arial Narrow" w:cs="Arial"/>
                <w:b/>
                <w:bCs/>
                <w:color w:val="FFFFFF" w:themeColor="background1"/>
                <w:kern w:val="0"/>
                <w:sz w:val="18"/>
                <w:szCs w:val="18"/>
              </w:rPr>
              <w:t>0,4</w:t>
            </w:r>
          </w:p>
        </w:tc>
        <w:tc>
          <w:tcPr>
            <w:tcW w:w="971" w:type="dxa"/>
            <w:shd w:val="clear" w:color="000000" w:fill="E42618"/>
            <w:vAlign w:val="center"/>
          </w:tcPr>
          <w:p w14:paraId="0E8E1AF7" w14:textId="1FE33945" w:rsidR="00EF6563" w:rsidRPr="00EF6563" w:rsidRDefault="00EF6563" w:rsidP="00D57F27">
            <w:pPr>
              <w:widowControl/>
              <w:overflowPunct/>
              <w:autoSpaceDE/>
              <w:autoSpaceDN/>
              <w:adjustRightInd/>
              <w:spacing w:before="0" w:after="0"/>
              <w:jc w:val="right"/>
              <w:rPr>
                <w:rFonts w:ascii="Arial Narrow" w:hAnsi="Arial Narrow" w:cs="Arial"/>
                <w:b/>
                <w:bCs/>
                <w:color w:val="FFFFFF" w:themeColor="background1"/>
                <w:kern w:val="0"/>
                <w:sz w:val="18"/>
                <w:szCs w:val="18"/>
              </w:rPr>
            </w:pPr>
            <w:r w:rsidRPr="00EF6563">
              <w:rPr>
                <w:rFonts w:ascii="Arial Narrow" w:hAnsi="Arial Narrow" w:cs="Arial"/>
                <w:b/>
                <w:bCs/>
                <w:color w:val="FFFFFF" w:themeColor="background1"/>
                <w:kern w:val="0"/>
                <w:sz w:val="18"/>
                <w:szCs w:val="18"/>
              </w:rPr>
              <w:t>0,6</w:t>
            </w:r>
          </w:p>
        </w:tc>
        <w:tc>
          <w:tcPr>
            <w:tcW w:w="967" w:type="dxa"/>
            <w:shd w:val="clear" w:color="000000" w:fill="E42618"/>
            <w:vAlign w:val="center"/>
          </w:tcPr>
          <w:p w14:paraId="7CAD3292" w14:textId="04673601" w:rsidR="00EF6563" w:rsidRPr="00EF6563" w:rsidRDefault="009A76DF" w:rsidP="00EF6563">
            <w:pPr>
              <w:widowControl/>
              <w:overflowPunct/>
              <w:autoSpaceDE/>
              <w:autoSpaceDN/>
              <w:adjustRightInd/>
              <w:spacing w:before="0" w:after="0"/>
              <w:jc w:val="right"/>
              <w:rPr>
                <w:rFonts w:ascii="Arial Narrow" w:hAnsi="Arial Narrow" w:cs="Arial"/>
                <w:b/>
                <w:bCs/>
                <w:color w:val="FFFFFF" w:themeColor="background1"/>
                <w:kern w:val="0"/>
                <w:sz w:val="18"/>
                <w:szCs w:val="18"/>
              </w:rPr>
            </w:pPr>
            <w:r>
              <w:rPr>
                <w:rFonts w:ascii="Arial Narrow" w:hAnsi="Arial Narrow" w:cs="Arial"/>
                <w:b/>
                <w:bCs/>
                <w:color w:val="FFFFFF" w:themeColor="background1"/>
                <w:kern w:val="0"/>
                <w:sz w:val="18"/>
                <w:szCs w:val="18"/>
              </w:rPr>
              <w:t>+</w:t>
            </w:r>
            <w:r w:rsidR="00EF6563" w:rsidRPr="00EF6563">
              <w:rPr>
                <w:rFonts w:ascii="Arial Narrow" w:hAnsi="Arial Narrow" w:cs="Arial"/>
                <w:b/>
                <w:bCs/>
                <w:color w:val="FFFFFF" w:themeColor="background1"/>
                <w:kern w:val="0"/>
                <w:sz w:val="18"/>
                <w:szCs w:val="18"/>
              </w:rPr>
              <w:t>1,0</w:t>
            </w:r>
          </w:p>
        </w:tc>
        <w:tc>
          <w:tcPr>
            <w:tcW w:w="834" w:type="dxa"/>
            <w:shd w:val="clear" w:color="000000" w:fill="E42618"/>
            <w:vAlign w:val="center"/>
          </w:tcPr>
          <w:p w14:paraId="1B79F7C3" w14:textId="330B200B" w:rsidR="00EF6563" w:rsidRPr="00EF6563" w:rsidRDefault="00EF6563" w:rsidP="00D57F27">
            <w:pPr>
              <w:widowControl/>
              <w:overflowPunct/>
              <w:autoSpaceDE/>
              <w:autoSpaceDN/>
              <w:adjustRightInd/>
              <w:spacing w:before="0" w:after="0"/>
              <w:jc w:val="right"/>
              <w:rPr>
                <w:rFonts w:ascii="Arial Narrow" w:hAnsi="Arial Narrow" w:cs="Arial"/>
                <w:b/>
                <w:bCs/>
                <w:color w:val="FFFFFF" w:themeColor="background1"/>
                <w:kern w:val="0"/>
                <w:sz w:val="18"/>
                <w:szCs w:val="18"/>
              </w:rPr>
            </w:pPr>
            <w:r w:rsidRPr="00EF6563">
              <w:rPr>
                <w:rFonts w:ascii="Arial Narrow" w:hAnsi="Arial Narrow" w:cs="Arial"/>
                <w:b/>
                <w:bCs/>
                <w:color w:val="FFFFFF" w:themeColor="background1"/>
                <w:kern w:val="0"/>
                <w:sz w:val="18"/>
                <w:szCs w:val="18"/>
              </w:rPr>
              <w:t>1,2</w:t>
            </w:r>
          </w:p>
        </w:tc>
        <w:tc>
          <w:tcPr>
            <w:tcW w:w="1050" w:type="dxa"/>
            <w:shd w:val="clear" w:color="000000" w:fill="E42618"/>
            <w:vAlign w:val="center"/>
          </w:tcPr>
          <w:p w14:paraId="3122BCE5" w14:textId="40250507" w:rsidR="00EF6563" w:rsidRPr="00EF6563" w:rsidRDefault="009A76DF" w:rsidP="00EF6563">
            <w:pPr>
              <w:widowControl/>
              <w:overflowPunct/>
              <w:autoSpaceDE/>
              <w:autoSpaceDN/>
              <w:adjustRightInd/>
              <w:spacing w:before="0" w:after="0"/>
              <w:jc w:val="right"/>
              <w:rPr>
                <w:rFonts w:ascii="Arial Narrow" w:hAnsi="Arial Narrow" w:cs="Arial"/>
                <w:b/>
                <w:bCs/>
                <w:color w:val="FFFFFF" w:themeColor="background1"/>
                <w:kern w:val="0"/>
                <w:sz w:val="18"/>
                <w:szCs w:val="18"/>
              </w:rPr>
            </w:pPr>
            <w:r>
              <w:rPr>
                <w:rFonts w:ascii="Arial Narrow" w:hAnsi="Arial Narrow" w:cs="Arial"/>
                <w:b/>
                <w:bCs/>
                <w:color w:val="FFFFFF" w:themeColor="background1"/>
                <w:kern w:val="0"/>
                <w:sz w:val="18"/>
                <w:szCs w:val="18"/>
              </w:rPr>
              <w:t>+</w:t>
            </w:r>
            <w:r w:rsidR="00EF6563" w:rsidRPr="00EF6563">
              <w:rPr>
                <w:rFonts w:ascii="Arial Narrow" w:hAnsi="Arial Narrow" w:cs="Arial"/>
                <w:b/>
                <w:bCs/>
                <w:color w:val="FFFFFF" w:themeColor="background1"/>
                <w:kern w:val="0"/>
                <w:sz w:val="18"/>
                <w:szCs w:val="18"/>
              </w:rPr>
              <w:t>0,4</w:t>
            </w:r>
          </w:p>
        </w:tc>
      </w:tr>
      <w:tr w:rsidR="00EF6563" w:rsidRPr="002449AF" w14:paraId="4CE32825" w14:textId="77777777" w:rsidTr="00EF6563">
        <w:trPr>
          <w:trHeight w:val="429"/>
          <w:jc w:val="center"/>
        </w:trPr>
        <w:tc>
          <w:tcPr>
            <w:tcW w:w="4395" w:type="dxa"/>
            <w:shd w:val="clear" w:color="auto" w:fill="auto"/>
            <w:vAlign w:val="center"/>
            <w:hideMark/>
          </w:tcPr>
          <w:p w14:paraId="7936D8FB" w14:textId="77777777" w:rsidR="00EF6563" w:rsidRPr="004B2A9B" w:rsidRDefault="00EF6563" w:rsidP="00EF6563">
            <w:pPr>
              <w:widowControl/>
              <w:overflowPunct/>
              <w:autoSpaceDE/>
              <w:autoSpaceDN/>
              <w:adjustRightInd/>
              <w:spacing w:before="0" w:after="0"/>
              <w:rPr>
                <w:rFonts w:ascii="Arial Narrow" w:hAnsi="Arial Narrow" w:cs="Arial"/>
                <w:kern w:val="0"/>
                <w:sz w:val="18"/>
                <w:szCs w:val="18"/>
              </w:rPr>
            </w:pPr>
            <w:r w:rsidRPr="004B2A9B">
              <w:rPr>
                <w:rFonts w:ascii="Arial Narrow" w:hAnsi="Arial Narrow" w:cs="Arial"/>
                <w:kern w:val="0"/>
                <w:sz w:val="18"/>
                <w:szCs w:val="18"/>
              </w:rPr>
              <w:t>Indice generale al netto degli energetici e alimentari freschi (Componente di fondo)</w:t>
            </w:r>
          </w:p>
        </w:tc>
        <w:tc>
          <w:tcPr>
            <w:tcW w:w="1048" w:type="dxa"/>
            <w:shd w:val="clear" w:color="000000" w:fill="D9D9D9"/>
            <w:vAlign w:val="center"/>
          </w:tcPr>
          <w:p w14:paraId="482F0294" w14:textId="47EF5F38"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825</w:t>
            </w:r>
            <w:r w:rsidR="009A76DF">
              <w:rPr>
                <w:rFonts w:ascii="Arial Narrow" w:hAnsi="Arial Narrow" w:cs="Arial"/>
                <w:kern w:val="0"/>
                <w:sz w:val="18"/>
                <w:szCs w:val="18"/>
              </w:rPr>
              <w:t>.</w:t>
            </w:r>
            <w:r w:rsidRPr="00EF6563">
              <w:rPr>
                <w:rFonts w:ascii="Arial Narrow" w:hAnsi="Arial Narrow" w:cs="Arial"/>
                <w:kern w:val="0"/>
                <w:sz w:val="18"/>
                <w:szCs w:val="18"/>
              </w:rPr>
              <w:t>874</w:t>
            </w:r>
          </w:p>
        </w:tc>
        <w:tc>
          <w:tcPr>
            <w:tcW w:w="909" w:type="dxa"/>
            <w:shd w:val="clear" w:color="auto" w:fill="auto"/>
            <w:vAlign w:val="center"/>
          </w:tcPr>
          <w:p w14:paraId="4E82C919" w14:textId="18E61025"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0,2</w:t>
            </w:r>
          </w:p>
        </w:tc>
        <w:tc>
          <w:tcPr>
            <w:tcW w:w="971" w:type="dxa"/>
            <w:shd w:val="clear" w:color="000000" w:fill="D9D9D9"/>
            <w:vAlign w:val="center"/>
          </w:tcPr>
          <w:p w14:paraId="0A699C0D" w14:textId="1A7078F0"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10945BA5" w14:textId="068F7153"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1,8</w:t>
            </w:r>
          </w:p>
        </w:tc>
        <w:tc>
          <w:tcPr>
            <w:tcW w:w="834" w:type="dxa"/>
            <w:shd w:val="clear" w:color="000000" w:fill="D9D9D9"/>
            <w:vAlign w:val="center"/>
          </w:tcPr>
          <w:p w14:paraId="268C6FE8" w14:textId="0C0C965C"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74ADDC23" w14:textId="673EAB3E"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0,5</w:t>
            </w:r>
          </w:p>
        </w:tc>
      </w:tr>
      <w:tr w:rsidR="00EF6563" w:rsidRPr="002449AF" w14:paraId="66842D8B" w14:textId="77777777" w:rsidTr="00EF6563">
        <w:trPr>
          <w:trHeight w:val="429"/>
          <w:jc w:val="center"/>
        </w:trPr>
        <w:tc>
          <w:tcPr>
            <w:tcW w:w="4395" w:type="dxa"/>
            <w:shd w:val="clear" w:color="auto" w:fill="auto"/>
            <w:vAlign w:val="center"/>
            <w:hideMark/>
          </w:tcPr>
          <w:p w14:paraId="4187EFFA" w14:textId="77777777" w:rsidR="00EF6563" w:rsidRPr="004B2A9B" w:rsidRDefault="00EF6563" w:rsidP="00EF6563">
            <w:pPr>
              <w:widowControl/>
              <w:overflowPunct/>
              <w:autoSpaceDE/>
              <w:autoSpaceDN/>
              <w:adjustRightInd/>
              <w:spacing w:before="0" w:after="0"/>
              <w:rPr>
                <w:rFonts w:ascii="Arial Narrow" w:hAnsi="Arial Narrow" w:cs="Arial"/>
                <w:kern w:val="0"/>
                <w:sz w:val="18"/>
                <w:szCs w:val="18"/>
              </w:rPr>
            </w:pPr>
            <w:r w:rsidRPr="004B2A9B">
              <w:rPr>
                <w:rFonts w:ascii="Arial Narrow" w:hAnsi="Arial Narrow" w:cs="Arial"/>
                <w:kern w:val="0"/>
                <w:sz w:val="18"/>
                <w:szCs w:val="18"/>
              </w:rPr>
              <w:t>Indice generale al netto dell’energia, degli alimentari (incluse bevande alcoliche) e tabacchi</w:t>
            </w:r>
          </w:p>
        </w:tc>
        <w:tc>
          <w:tcPr>
            <w:tcW w:w="1048" w:type="dxa"/>
            <w:shd w:val="clear" w:color="000000" w:fill="D9D9D9"/>
            <w:vAlign w:val="center"/>
          </w:tcPr>
          <w:p w14:paraId="170E302D" w14:textId="4524B173"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694</w:t>
            </w:r>
            <w:r w:rsidR="009A76DF">
              <w:rPr>
                <w:rFonts w:ascii="Arial Narrow" w:hAnsi="Arial Narrow" w:cs="Arial"/>
                <w:kern w:val="0"/>
                <w:sz w:val="18"/>
                <w:szCs w:val="18"/>
              </w:rPr>
              <w:t>.</w:t>
            </w:r>
            <w:r w:rsidRPr="00EF6563">
              <w:rPr>
                <w:rFonts w:ascii="Arial Narrow" w:hAnsi="Arial Narrow" w:cs="Arial"/>
                <w:kern w:val="0"/>
                <w:sz w:val="18"/>
                <w:szCs w:val="18"/>
              </w:rPr>
              <w:t>838</w:t>
            </w:r>
          </w:p>
        </w:tc>
        <w:tc>
          <w:tcPr>
            <w:tcW w:w="909" w:type="dxa"/>
            <w:shd w:val="clear" w:color="auto" w:fill="auto"/>
            <w:vAlign w:val="center"/>
          </w:tcPr>
          <w:p w14:paraId="165AE679" w14:textId="00C12DA5" w:rsidR="00EF6563" w:rsidRPr="00FE43A9"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0,0</w:t>
            </w:r>
          </w:p>
        </w:tc>
        <w:tc>
          <w:tcPr>
            <w:tcW w:w="971" w:type="dxa"/>
            <w:shd w:val="clear" w:color="000000" w:fill="D9D9D9"/>
            <w:vAlign w:val="center"/>
          </w:tcPr>
          <w:p w14:paraId="3848654F" w14:textId="302DA655"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4C6347C3" w14:textId="47FB3007"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1,7</w:t>
            </w:r>
          </w:p>
        </w:tc>
        <w:tc>
          <w:tcPr>
            <w:tcW w:w="834" w:type="dxa"/>
            <w:shd w:val="clear" w:color="000000" w:fill="D9D9D9"/>
            <w:vAlign w:val="center"/>
          </w:tcPr>
          <w:p w14:paraId="17C4E94C" w14:textId="20DDFB5D"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7836B9D6" w14:textId="6A3C5139"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0,3</w:t>
            </w:r>
          </w:p>
        </w:tc>
      </w:tr>
      <w:tr w:rsidR="00EF6563" w:rsidRPr="002449AF" w14:paraId="4901CAF8" w14:textId="77777777" w:rsidTr="00EF6563">
        <w:trPr>
          <w:trHeight w:val="255"/>
          <w:jc w:val="center"/>
        </w:trPr>
        <w:tc>
          <w:tcPr>
            <w:tcW w:w="4395" w:type="dxa"/>
            <w:shd w:val="clear" w:color="auto" w:fill="auto"/>
            <w:noWrap/>
            <w:vAlign w:val="center"/>
            <w:hideMark/>
          </w:tcPr>
          <w:p w14:paraId="77D40F6D" w14:textId="77777777" w:rsidR="00EF6563" w:rsidRPr="004B2A9B" w:rsidRDefault="00EF6563" w:rsidP="00EF6563">
            <w:pPr>
              <w:widowControl/>
              <w:overflowPunct/>
              <w:autoSpaceDE/>
              <w:autoSpaceDN/>
              <w:adjustRightInd/>
              <w:spacing w:before="0" w:after="0"/>
              <w:rPr>
                <w:rFonts w:ascii="Arial Narrow" w:hAnsi="Arial Narrow" w:cs="Arial"/>
                <w:kern w:val="0"/>
                <w:sz w:val="18"/>
                <w:szCs w:val="18"/>
              </w:rPr>
            </w:pPr>
            <w:r w:rsidRPr="004B2A9B">
              <w:rPr>
                <w:rFonts w:ascii="Arial Narrow" w:hAnsi="Arial Narrow" w:cs="Arial"/>
                <w:kern w:val="0"/>
                <w:sz w:val="18"/>
                <w:szCs w:val="18"/>
              </w:rPr>
              <w:t>Indice generale al netto degli energetici</w:t>
            </w:r>
          </w:p>
        </w:tc>
        <w:tc>
          <w:tcPr>
            <w:tcW w:w="1048" w:type="dxa"/>
            <w:shd w:val="clear" w:color="000000" w:fill="D9D9D9"/>
            <w:vAlign w:val="center"/>
          </w:tcPr>
          <w:p w14:paraId="1D60B1F3" w14:textId="2BB854E8"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895</w:t>
            </w:r>
            <w:r w:rsidR="009A76DF">
              <w:rPr>
                <w:rFonts w:ascii="Arial Narrow" w:hAnsi="Arial Narrow" w:cs="Arial"/>
                <w:kern w:val="0"/>
                <w:sz w:val="18"/>
                <w:szCs w:val="18"/>
              </w:rPr>
              <w:t>.</w:t>
            </w:r>
            <w:r w:rsidRPr="00EF6563">
              <w:rPr>
                <w:rFonts w:ascii="Arial Narrow" w:hAnsi="Arial Narrow" w:cs="Arial"/>
                <w:kern w:val="0"/>
                <w:sz w:val="18"/>
                <w:szCs w:val="18"/>
              </w:rPr>
              <w:t>247</w:t>
            </w:r>
          </w:p>
        </w:tc>
        <w:tc>
          <w:tcPr>
            <w:tcW w:w="909" w:type="dxa"/>
            <w:shd w:val="clear" w:color="auto" w:fill="auto"/>
            <w:vAlign w:val="center"/>
          </w:tcPr>
          <w:p w14:paraId="219779BE" w14:textId="0E00C49F"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0,3</w:t>
            </w:r>
          </w:p>
        </w:tc>
        <w:tc>
          <w:tcPr>
            <w:tcW w:w="971" w:type="dxa"/>
            <w:shd w:val="clear" w:color="000000" w:fill="D9D9D9"/>
            <w:vAlign w:val="center"/>
          </w:tcPr>
          <w:p w14:paraId="4B2625EB" w14:textId="385CD326"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1189958B" w14:textId="0A6E6333"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1,9</w:t>
            </w:r>
          </w:p>
        </w:tc>
        <w:tc>
          <w:tcPr>
            <w:tcW w:w="834" w:type="dxa"/>
            <w:shd w:val="clear" w:color="000000" w:fill="D9D9D9"/>
            <w:vAlign w:val="center"/>
          </w:tcPr>
          <w:p w14:paraId="663AC1EC" w14:textId="66917C98"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772E5F0F" w14:textId="01269FAC"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0,6</w:t>
            </w:r>
          </w:p>
        </w:tc>
      </w:tr>
      <w:tr w:rsidR="00EF6563" w:rsidRPr="002449AF" w14:paraId="5FD914DB" w14:textId="77777777" w:rsidTr="00EF6563">
        <w:trPr>
          <w:trHeight w:val="255"/>
          <w:jc w:val="center"/>
        </w:trPr>
        <w:tc>
          <w:tcPr>
            <w:tcW w:w="4395" w:type="dxa"/>
            <w:shd w:val="clear" w:color="auto" w:fill="auto"/>
            <w:vAlign w:val="center"/>
            <w:hideMark/>
          </w:tcPr>
          <w:p w14:paraId="64D46422" w14:textId="77777777" w:rsidR="00EF6563" w:rsidRPr="004B2A9B" w:rsidRDefault="00EF6563" w:rsidP="00EF6563">
            <w:pPr>
              <w:widowControl/>
              <w:overflowPunct/>
              <w:autoSpaceDE/>
              <w:autoSpaceDN/>
              <w:adjustRightInd/>
              <w:spacing w:before="0" w:after="0"/>
              <w:rPr>
                <w:rFonts w:ascii="Arial Narrow" w:hAnsi="Arial Narrow" w:cs="Arial"/>
                <w:kern w:val="0"/>
                <w:sz w:val="18"/>
                <w:szCs w:val="18"/>
              </w:rPr>
            </w:pPr>
            <w:r w:rsidRPr="004B2A9B">
              <w:rPr>
                <w:rFonts w:ascii="Arial Narrow" w:hAnsi="Arial Narrow" w:cs="Arial"/>
                <w:kern w:val="0"/>
                <w:sz w:val="18"/>
                <w:szCs w:val="18"/>
              </w:rPr>
              <w:t>Indice dei beni alimentari, per la cura della casa e della persona</w:t>
            </w:r>
          </w:p>
        </w:tc>
        <w:tc>
          <w:tcPr>
            <w:tcW w:w="1048" w:type="dxa"/>
            <w:shd w:val="clear" w:color="000000" w:fill="D9D9D9"/>
            <w:vAlign w:val="center"/>
          </w:tcPr>
          <w:p w14:paraId="4312569A" w14:textId="599E10BC" w:rsidR="00EF6563" w:rsidRPr="00881AA3" w:rsidRDefault="00EF6563" w:rsidP="00EF6563">
            <w:pPr>
              <w:widowControl/>
              <w:overflowPunct/>
              <w:autoSpaceDE/>
              <w:autoSpaceDN/>
              <w:adjustRightInd/>
              <w:spacing w:before="0" w:after="0"/>
              <w:jc w:val="right"/>
              <w:rPr>
                <w:rFonts w:ascii="Arial Narrow" w:hAnsi="Arial Narrow" w:cs="Arial"/>
                <w:kern w:val="0"/>
                <w:sz w:val="18"/>
                <w:szCs w:val="18"/>
              </w:rPr>
            </w:pPr>
            <w:r w:rsidRPr="00EF6563">
              <w:rPr>
                <w:rFonts w:ascii="Arial Narrow" w:hAnsi="Arial Narrow" w:cs="Arial"/>
                <w:kern w:val="0"/>
                <w:sz w:val="18"/>
                <w:szCs w:val="18"/>
              </w:rPr>
              <w:t>203</w:t>
            </w:r>
            <w:r w:rsidR="009A76DF">
              <w:rPr>
                <w:rFonts w:ascii="Arial Narrow" w:hAnsi="Arial Narrow" w:cs="Arial"/>
                <w:kern w:val="0"/>
                <w:sz w:val="18"/>
                <w:szCs w:val="18"/>
              </w:rPr>
              <w:t>.</w:t>
            </w:r>
            <w:r w:rsidRPr="00EF6563">
              <w:rPr>
                <w:rFonts w:ascii="Arial Narrow" w:hAnsi="Arial Narrow" w:cs="Arial"/>
                <w:kern w:val="0"/>
                <w:sz w:val="18"/>
                <w:szCs w:val="18"/>
              </w:rPr>
              <w:t>189</w:t>
            </w:r>
          </w:p>
        </w:tc>
        <w:tc>
          <w:tcPr>
            <w:tcW w:w="909" w:type="dxa"/>
            <w:shd w:val="clear" w:color="auto" w:fill="auto"/>
            <w:vAlign w:val="center"/>
          </w:tcPr>
          <w:p w14:paraId="31911B27" w14:textId="4E83CBA6"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1,0</w:t>
            </w:r>
          </w:p>
        </w:tc>
        <w:tc>
          <w:tcPr>
            <w:tcW w:w="971" w:type="dxa"/>
            <w:shd w:val="clear" w:color="000000" w:fill="D9D9D9"/>
            <w:vAlign w:val="center"/>
          </w:tcPr>
          <w:p w14:paraId="26CB6C67" w14:textId="212EA68E"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967" w:type="dxa"/>
            <w:shd w:val="clear" w:color="auto" w:fill="auto"/>
            <w:vAlign w:val="center"/>
          </w:tcPr>
          <w:p w14:paraId="650A7EF6" w14:textId="47E04929"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2,1</w:t>
            </w:r>
          </w:p>
        </w:tc>
        <w:tc>
          <w:tcPr>
            <w:tcW w:w="834" w:type="dxa"/>
            <w:shd w:val="clear" w:color="000000" w:fill="D9D9D9"/>
            <w:vAlign w:val="center"/>
          </w:tcPr>
          <w:p w14:paraId="5EB59183" w14:textId="5BC0667F" w:rsidR="00EF6563" w:rsidRPr="00FE43A9" w:rsidRDefault="00EF6563" w:rsidP="009A76DF">
            <w:pPr>
              <w:widowControl/>
              <w:overflowPunct/>
              <w:autoSpaceDE/>
              <w:autoSpaceDN/>
              <w:adjustRightInd/>
              <w:spacing w:before="0" w:after="0"/>
              <w:jc w:val="center"/>
              <w:rPr>
                <w:rFonts w:ascii="Arial Narrow" w:hAnsi="Arial Narrow" w:cs="Arial"/>
                <w:kern w:val="0"/>
                <w:sz w:val="18"/>
                <w:szCs w:val="18"/>
              </w:rPr>
            </w:pPr>
            <w:r w:rsidRPr="00EF6563">
              <w:rPr>
                <w:rFonts w:ascii="Arial Narrow" w:hAnsi="Arial Narrow" w:cs="Arial"/>
                <w:kern w:val="0"/>
                <w:sz w:val="18"/>
                <w:szCs w:val="18"/>
              </w:rPr>
              <w:t>-</w:t>
            </w:r>
          </w:p>
        </w:tc>
        <w:tc>
          <w:tcPr>
            <w:tcW w:w="1050" w:type="dxa"/>
            <w:shd w:val="clear" w:color="auto" w:fill="auto"/>
            <w:vAlign w:val="center"/>
          </w:tcPr>
          <w:p w14:paraId="769C28E0" w14:textId="2704E089" w:rsidR="00EF6563" w:rsidRPr="00FE43A9" w:rsidRDefault="009A76DF" w:rsidP="00EF6563">
            <w:pPr>
              <w:widowControl/>
              <w:overflowPunct/>
              <w:autoSpaceDE/>
              <w:autoSpaceDN/>
              <w:adjustRightInd/>
              <w:spacing w:before="0" w:after="0"/>
              <w:jc w:val="right"/>
              <w:rPr>
                <w:rFonts w:ascii="Arial Narrow" w:hAnsi="Arial Narrow" w:cs="Arial"/>
                <w:kern w:val="0"/>
                <w:sz w:val="18"/>
                <w:szCs w:val="18"/>
              </w:rPr>
            </w:pPr>
            <w:r>
              <w:rPr>
                <w:rFonts w:ascii="Arial Narrow" w:hAnsi="Arial Narrow" w:cs="Arial"/>
                <w:kern w:val="0"/>
                <w:sz w:val="18"/>
                <w:szCs w:val="18"/>
              </w:rPr>
              <w:t>+</w:t>
            </w:r>
            <w:r w:rsidR="00EF6563" w:rsidRPr="00EF6563">
              <w:rPr>
                <w:rFonts w:ascii="Arial Narrow" w:hAnsi="Arial Narrow" w:cs="Arial"/>
                <w:kern w:val="0"/>
                <w:sz w:val="18"/>
                <w:szCs w:val="18"/>
              </w:rPr>
              <w:t>1,3</w:t>
            </w:r>
          </w:p>
        </w:tc>
      </w:tr>
    </w:tbl>
    <w:p w14:paraId="2601FC96" w14:textId="77777777" w:rsidR="00EB5D65" w:rsidRDefault="00EB5D65" w:rsidP="00EB5D65">
      <w:pPr>
        <w:pStyle w:val="001TitoGra"/>
        <w:spacing w:after="120" w:line="240" w:lineRule="auto"/>
        <w:rPr>
          <w:color w:val="auto"/>
        </w:rPr>
      </w:pPr>
    </w:p>
    <w:p w14:paraId="3ACB4443" w14:textId="77777777" w:rsidR="00344F4E" w:rsidRPr="00EA0885" w:rsidRDefault="00344F4E" w:rsidP="00CD5355">
      <w:pPr>
        <w:pStyle w:val="001TitoloBolocco"/>
        <w:spacing w:after="120" w:line="240" w:lineRule="auto"/>
      </w:pPr>
      <w:r w:rsidRPr="00EA0885">
        <w:t>I prodotti per frequenza di acquisto</w:t>
      </w:r>
    </w:p>
    <w:p w14:paraId="23069722" w14:textId="77777777" w:rsidR="00EA45EC" w:rsidRDefault="00EA45EC" w:rsidP="00F965B5">
      <w:pPr>
        <w:pStyle w:val="Corpotesto"/>
        <w:spacing w:before="120" w:after="120" w:line="240" w:lineRule="auto"/>
        <w:jc w:val="both"/>
        <w:rPr>
          <w:rFonts w:ascii="Arial Narrow" w:hAnsi="Arial Narrow" w:cs="Arial"/>
          <w:b/>
          <w:color w:val="D90B13"/>
          <w:sz w:val="22"/>
          <w:szCs w:val="22"/>
        </w:rPr>
      </w:pPr>
    </w:p>
    <w:p w14:paraId="4EE0B031" w14:textId="0742F856" w:rsidR="005031DD" w:rsidRPr="00104E34" w:rsidRDefault="00EB5D65" w:rsidP="005031DD">
      <w:pPr>
        <w:pStyle w:val="Corpotesto"/>
        <w:spacing w:before="120" w:after="120" w:line="240" w:lineRule="auto"/>
        <w:jc w:val="both"/>
        <w:rPr>
          <w:rFonts w:ascii="Arial Narrow" w:hAnsi="Arial Narrow" w:cs="Arial"/>
          <w:color w:val="5F5F5F"/>
        </w:rPr>
      </w:pPr>
      <w:r w:rsidRPr="00104E34">
        <w:rPr>
          <w:rFonts w:ascii="Arial Narrow" w:hAnsi="Arial Narrow" w:cs="Arial"/>
          <w:b/>
          <w:color w:val="D90B13"/>
          <w:sz w:val="22"/>
          <w:szCs w:val="22"/>
        </w:rPr>
        <w:t>PROSPETTO 4.</w:t>
      </w:r>
      <w:r w:rsidRPr="00104E34">
        <w:rPr>
          <w:rFonts w:ascii="Arial Narrow" w:hAnsi="Arial Narrow" w:cs="Arial"/>
          <w:b/>
          <w:color w:val="5F5F5F"/>
          <w:sz w:val="22"/>
          <w:szCs w:val="22"/>
        </w:rPr>
        <w:t xml:space="preserve"> INDICI DEI PREZZI AL CONSUMO NIC PER PRODOTTI A DIVERSA FREQUENZA DI ACQUISTO</w:t>
      </w:r>
      <w:r w:rsidRPr="00104E34">
        <w:rPr>
          <w:rFonts w:ascii="Arial Narrow" w:hAnsi="Arial Narrow" w:cs="Arial"/>
          <w:b/>
          <w:color w:val="5F5F5F"/>
          <w:sz w:val="22"/>
          <w:szCs w:val="22"/>
        </w:rPr>
        <w:br/>
      </w:r>
      <w:r w:rsidR="00A45941">
        <w:rPr>
          <w:rFonts w:ascii="Arial Narrow" w:hAnsi="Arial Narrow" w:cs="Arial"/>
          <w:color w:val="5F5F5F"/>
        </w:rPr>
        <w:t>Gennaio 2026</w:t>
      </w:r>
      <w:r w:rsidR="005031DD" w:rsidRPr="00F21142">
        <w:rPr>
          <w:rFonts w:ascii="Arial Narrow" w:hAnsi="Arial Narrow" w:cs="Arial"/>
          <w:color w:val="5F5F5F"/>
        </w:rPr>
        <w:t xml:space="preserve">, pesi e variazioni percentuali </w:t>
      </w:r>
      <w:r w:rsidR="005031DD" w:rsidRPr="009B31CE">
        <w:rPr>
          <w:rFonts w:ascii="Arial Narrow" w:hAnsi="Arial Narrow" w:cs="Arial"/>
          <w:color w:val="5F5F5F"/>
        </w:rPr>
        <w:t>congiunturali e tendenziali</w:t>
      </w:r>
      <w:r w:rsidR="005031DD">
        <w:t xml:space="preserve"> </w:t>
      </w:r>
      <w:r w:rsidR="005031DD" w:rsidRPr="00F21142">
        <w:rPr>
          <w:rFonts w:ascii="Arial Narrow" w:hAnsi="Arial Narrow" w:cs="Arial"/>
          <w:color w:val="5F5F5F"/>
        </w:rPr>
        <w:t>(base 20</w:t>
      </w:r>
      <w:r w:rsidR="006950F6">
        <w:rPr>
          <w:rFonts w:ascii="Arial Narrow" w:hAnsi="Arial Narrow" w:cs="Arial"/>
          <w:color w:val="5F5F5F"/>
        </w:rPr>
        <w:t>2</w:t>
      </w:r>
      <w:r w:rsidR="005031DD" w:rsidRPr="00F21142">
        <w:rPr>
          <w:rFonts w:ascii="Arial Narrow" w:hAnsi="Arial Narrow" w:cs="Arial"/>
          <w:color w:val="5F5F5F"/>
        </w:rPr>
        <w:t>5=100)</w:t>
      </w:r>
    </w:p>
    <w:tbl>
      <w:tblPr>
        <w:tblW w:w="10153" w:type="dxa"/>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797"/>
        <w:gridCol w:w="1059"/>
        <w:gridCol w:w="1059"/>
        <w:gridCol w:w="1060"/>
        <w:gridCol w:w="1059"/>
        <w:gridCol w:w="1060"/>
        <w:gridCol w:w="1059"/>
      </w:tblGrid>
      <w:tr w:rsidR="002449AF" w:rsidRPr="00517E09" w14:paraId="1C956642" w14:textId="77777777" w:rsidTr="00020C77">
        <w:trPr>
          <w:trHeight w:val="255"/>
        </w:trPr>
        <w:tc>
          <w:tcPr>
            <w:tcW w:w="3797" w:type="dxa"/>
            <w:vMerge w:val="restart"/>
            <w:shd w:val="clear" w:color="auto" w:fill="auto"/>
            <w:vAlign w:val="center"/>
            <w:hideMark/>
          </w:tcPr>
          <w:p w14:paraId="1CD43486" w14:textId="77777777" w:rsidR="002449AF" w:rsidRPr="00517E09" w:rsidRDefault="002449AF" w:rsidP="004B3ACE">
            <w:pPr>
              <w:widowControl/>
              <w:overflowPunct/>
              <w:autoSpaceDE/>
              <w:autoSpaceDN/>
              <w:adjustRightInd/>
              <w:spacing w:before="0" w:after="0"/>
              <w:rPr>
                <w:rFonts w:ascii="Arial Narrow" w:hAnsi="Arial Narrow" w:cs="Arial"/>
                <w:b/>
                <w:bCs/>
                <w:kern w:val="0"/>
                <w:sz w:val="18"/>
                <w:szCs w:val="18"/>
              </w:rPr>
            </w:pPr>
            <w:r w:rsidRPr="00517E09">
              <w:rPr>
                <w:rFonts w:ascii="Arial Narrow" w:hAnsi="Arial Narrow" w:cs="Arial"/>
                <w:b/>
                <w:bCs/>
                <w:kern w:val="0"/>
                <w:sz w:val="18"/>
                <w:szCs w:val="18"/>
              </w:rPr>
              <w:t>TIPOLOGIE DI PRODOTTO</w:t>
            </w:r>
          </w:p>
        </w:tc>
        <w:tc>
          <w:tcPr>
            <w:tcW w:w="1059" w:type="dxa"/>
            <w:vMerge w:val="restart"/>
            <w:shd w:val="clear" w:color="000000" w:fill="D9D9D9"/>
            <w:vAlign w:val="center"/>
            <w:hideMark/>
          </w:tcPr>
          <w:p w14:paraId="13EFC1AA" w14:textId="77777777" w:rsidR="002449AF" w:rsidRPr="00517E09" w:rsidRDefault="002449AF" w:rsidP="004B3ACE">
            <w:pPr>
              <w:widowControl/>
              <w:overflowPunct/>
              <w:autoSpaceDE/>
              <w:autoSpaceDN/>
              <w:adjustRightInd/>
              <w:spacing w:before="0" w:after="0"/>
              <w:jc w:val="right"/>
              <w:rPr>
                <w:rFonts w:ascii="Arial Narrow" w:hAnsi="Arial Narrow" w:cs="Arial"/>
                <w:b/>
                <w:bCs/>
                <w:kern w:val="0"/>
                <w:sz w:val="18"/>
                <w:szCs w:val="18"/>
              </w:rPr>
            </w:pPr>
            <w:r w:rsidRPr="00517E09">
              <w:rPr>
                <w:rFonts w:ascii="Arial Narrow" w:hAnsi="Arial Narrow" w:cs="Arial"/>
                <w:b/>
                <w:bCs/>
                <w:kern w:val="0"/>
                <w:sz w:val="18"/>
                <w:szCs w:val="18"/>
              </w:rPr>
              <w:t>Pesi</w:t>
            </w:r>
          </w:p>
        </w:tc>
        <w:tc>
          <w:tcPr>
            <w:tcW w:w="2119" w:type="dxa"/>
            <w:gridSpan w:val="2"/>
            <w:shd w:val="clear" w:color="auto" w:fill="auto"/>
            <w:vAlign w:val="center"/>
            <w:hideMark/>
          </w:tcPr>
          <w:p w14:paraId="6FE54715" w14:textId="77777777" w:rsidR="002449AF" w:rsidRPr="00517E09" w:rsidRDefault="002449AF" w:rsidP="004B3ACE">
            <w:pPr>
              <w:widowControl/>
              <w:overflowPunct/>
              <w:autoSpaceDE/>
              <w:autoSpaceDN/>
              <w:adjustRightInd/>
              <w:spacing w:before="0" w:after="0"/>
              <w:jc w:val="center"/>
              <w:rPr>
                <w:rFonts w:ascii="Arial Narrow" w:hAnsi="Arial Narrow" w:cs="Arial"/>
                <w:b/>
                <w:bCs/>
                <w:kern w:val="0"/>
                <w:sz w:val="18"/>
                <w:szCs w:val="18"/>
              </w:rPr>
            </w:pPr>
            <w:r w:rsidRPr="00517E09">
              <w:rPr>
                <w:rFonts w:ascii="Arial Narrow" w:hAnsi="Arial Narrow" w:cs="Arial"/>
                <w:b/>
                <w:bCs/>
                <w:kern w:val="0"/>
                <w:sz w:val="18"/>
                <w:szCs w:val="18"/>
              </w:rPr>
              <w:t>Variazioni congiunturali</w:t>
            </w:r>
          </w:p>
        </w:tc>
        <w:tc>
          <w:tcPr>
            <w:tcW w:w="2119" w:type="dxa"/>
            <w:gridSpan w:val="2"/>
            <w:shd w:val="clear" w:color="000000" w:fill="D9D9D9"/>
            <w:vAlign w:val="center"/>
            <w:hideMark/>
          </w:tcPr>
          <w:p w14:paraId="49E4F6E6" w14:textId="77777777" w:rsidR="002449AF" w:rsidRPr="00517E09" w:rsidRDefault="002449AF" w:rsidP="004B3ACE">
            <w:pPr>
              <w:widowControl/>
              <w:overflowPunct/>
              <w:autoSpaceDE/>
              <w:autoSpaceDN/>
              <w:adjustRightInd/>
              <w:spacing w:before="0" w:after="0"/>
              <w:jc w:val="center"/>
              <w:rPr>
                <w:rFonts w:ascii="Arial Narrow" w:hAnsi="Arial Narrow" w:cs="Arial"/>
                <w:b/>
                <w:bCs/>
                <w:kern w:val="0"/>
                <w:sz w:val="18"/>
                <w:szCs w:val="18"/>
              </w:rPr>
            </w:pPr>
            <w:r w:rsidRPr="00517E09">
              <w:rPr>
                <w:rFonts w:ascii="Arial Narrow" w:hAnsi="Arial Narrow" w:cs="Arial"/>
                <w:b/>
                <w:bCs/>
                <w:kern w:val="0"/>
                <w:sz w:val="18"/>
                <w:szCs w:val="18"/>
              </w:rPr>
              <w:t>Variazioni tendenziali</w:t>
            </w:r>
          </w:p>
        </w:tc>
        <w:tc>
          <w:tcPr>
            <w:tcW w:w="1059" w:type="dxa"/>
            <w:vMerge w:val="restart"/>
            <w:shd w:val="clear" w:color="auto" w:fill="auto"/>
            <w:vAlign w:val="center"/>
            <w:hideMark/>
          </w:tcPr>
          <w:p w14:paraId="6FE0C293" w14:textId="057D5A7B" w:rsidR="002449AF" w:rsidRPr="008814F3" w:rsidRDefault="00A45941" w:rsidP="00834855">
            <w:pPr>
              <w:widowControl/>
              <w:overflowPunct/>
              <w:autoSpaceDE/>
              <w:autoSpaceDN/>
              <w:adjustRightInd/>
              <w:spacing w:before="40" w:after="20"/>
              <w:jc w:val="right"/>
              <w:rPr>
                <w:rFonts w:ascii="Arial Narrow" w:hAnsi="Arial Narrow" w:cs="Arial"/>
                <w:b/>
                <w:bCs/>
                <w:kern w:val="0"/>
                <w:sz w:val="18"/>
                <w:szCs w:val="18"/>
              </w:rPr>
            </w:pPr>
            <w:r w:rsidRPr="00DB5B05">
              <w:rPr>
                <w:rFonts w:ascii="Arial Narrow" w:hAnsi="Arial Narrow" w:cs="Arial"/>
                <w:b/>
                <w:bCs/>
                <w:kern w:val="0"/>
                <w:sz w:val="18"/>
                <w:szCs w:val="18"/>
              </w:rPr>
              <w:t>Inflazione acquisita</w:t>
            </w:r>
            <w:r>
              <w:rPr>
                <w:rFonts w:ascii="Arial Narrow" w:hAnsi="Arial Narrow" w:cs="Arial"/>
                <w:b/>
                <w:bCs/>
                <w:kern w:val="0"/>
                <w:sz w:val="18"/>
                <w:szCs w:val="18"/>
              </w:rPr>
              <w:t xml:space="preserve"> </w:t>
            </w:r>
            <w:r w:rsidRPr="00DB5B05">
              <w:rPr>
                <w:rFonts w:ascii="Arial Narrow" w:hAnsi="Arial Narrow" w:cs="Arial"/>
                <w:b/>
                <w:bCs/>
                <w:kern w:val="0"/>
                <w:sz w:val="18"/>
                <w:szCs w:val="18"/>
              </w:rPr>
              <w:t>a</w:t>
            </w:r>
            <w:r>
              <w:rPr>
                <w:rFonts w:ascii="Arial Narrow" w:hAnsi="Arial Narrow" w:cs="Arial"/>
                <w:b/>
                <w:bCs/>
                <w:kern w:val="0"/>
                <w:sz w:val="18"/>
                <w:szCs w:val="18"/>
              </w:rPr>
              <w:t xml:space="preserve"> gennaio</w:t>
            </w:r>
          </w:p>
        </w:tc>
      </w:tr>
      <w:tr w:rsidR="00A45941" w:rsidRPr="00517E09" w14:paraId="52C62511" w14:textId="77777777" w:rsidTr="00020C77">
        <w:trPr>
          <w:trHeight w:val="255"/>
        </w:trPr>
        <w:tc>
          <w:tcPr>
            <w:tcW w:w="3797" w:type="dxa"/>
            <w:vMerge/>
            <w:vAlign w:val="center"/>
            <w:hideMark/>
          </w:tcPr>
          <w:p w14:paraId="2A80B856" w14:textId="77777777" w:rsidR="00A45941" w:rsidRPr="00517E09" w:rsidRDefault="00A45941" w:rsidP="00A45941">
            <w:pPr>
              <w:widowControl/>
              <w:overflowPunct/>
              <w:autoSpaceDE/>
              <w:autoSpaceDN/>
              <w:adjustRightInd/>
              <w:spacing w:before="0" w:after="0"/>
              <w:rPr>
                <w:rFonts w:ascii="Arial Narrow" w:hAnsi="Arial Narrow" w:cs="Arial"/>
                <w:b/>
                <w:bCs/>
                <w:kern w:val="0"/>
                <w:sz w:val="18"/>
                <w:szCs w:val="18"/>
              </w:rPr>
            </w:pPr>
          </w:p>
        </w:tc>
        <w:tc>
          <w:tcPr>
            <w:tcW w:w="1059" w:type="dxa"/>
            <w:vMerge/>
            <w:vAlign w:val="center"/>
            <w:hideMark/>
          </w:tcPr>
          <w:p w14:paraId="272C8439" w14:textId="77777777" w:rsidR="00A45941" w:rsidRPr="00517E09" w:rsidRDefault="00A45941" w:rsidP="00A45941">
            <w:pPr>
              <w:widowControl/>
              <w:overflowPunct/>
              <w:autoSpaceDE/>
              <w:autoSpaceDN/>
              <w:adjustRightInd/>
              <w:spacing w:before="0" w:after="0"/>
              <w:rPr>
                <w:rFonts w:ascii="Arial Narrow" w:hAnsi="Arial Narrow" w:cs="Arial"/>
                <w:b/>
                <w:bCs/>
                <w:kern w:val="0"/>
                <w:sz w:val="18"/>
                <w:szCs w:val="18"/>
              </w:rPr>
            </w:pPr>
          </w:p>
        </w:tc>
        <w:tc>
          <w:tcPr>
            <w:tcW w:w="1059" w:type="dxa"/>
            <w:shd w:val="clear" w:color="auto" w:fill="auto"/>
            <w:vAlign w:val="center"/>
            <w:hideMark/>
          </w:tcPr>
          <w:p w14:paraId="67F5034F" w14:textId="77777777"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gen</w:t>
            </w:r>
            <w:r w:rsidRPr="00DB5B05">
              <w:rPr>
                <w:rFonts w:ascii="Arial Narrow" w:hAnsi="Arial Narrow" w:cs="Arial"/>
                <w:kern w:val="0"/>
                <w:sz w:val="18"/>
                <w:szCs w:val="18"/>
                <w:u w:val="single"/>
              </w:rPr>
              <w:t>-2</w:t>
            </w:r>
            <w:r>
              <w:rPr>
                <w:rFonts w:ascii="Arial Narrow" w:hAnsi="Arial Narrow" w:cs="Arial"/>
                <w:kern w:val="0"/>
                <w:sz w:val="18"/>
                <w:szCs w:val="18"/>
                <w:u w:val="single"/>
              </w:rPr>
              <w:t>6</w:t>
            </w:r>
          </w:p>
          <w:p w14:paraId="39AE09F7" w14:textId="3D8CEA28"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rPr>
            </w:pPr>
            <w:r>
              <w:rPr>
                <w:rFonts w:ascii="Arial Narrow" w:hAnsi="Arial Narrow" w:cs="Arial"/>
                <w:kern w:val="0"/>
                <w:sz w:val="18"/>
                <w:szCs w:val="18"/>
              </w:rPr>
              <w:t>dic</w:t>
            </w:r>
            <w:r w:rsidRPr="00DB5B05">
              <w:rPr>
                <w:rFonts w:ascii="Arial Narrow" w:hAnsi="Arial Narrow" w:cs="Arial"/>
                <w:kern w:val="0"/>
                <w:sz w:val="18"/>
                <w:szCs w:val="18"/>
              </w:rPr>
              <w:t>-2</w:t>
            </w:r>
            <w:r>
              <w:rPr>
                <w:rFonts w:ascii="Arial Narrow" w:hAnsi="Arial Narrow" w:cs="Arial"/>
                <w:kern w:val="0"/>
                <w:sz w:val="18"/>
                <w:szCs w:val="18"/>
              </w:rPr>
              <w:t>5</w:t>
            </w:r>
          </w:p>
        </w:tc>
        <w:tc>
          <w:tcPr>
            <w:tcW w:w="1060" w:type="dxa"/>
            <w:shd w:val="clear" w:color="auto" w:fill="auto"/>
            <w:vAlign w:val="center"/>
            <w:hideMark/>
          </w:tcPr>
          <w:p w14:paraId="2DB733B7" w14:textId="77777777"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gen</w:t>
            </w:r>
            <w:r w:rsidRPr="00DB5B05">
              <w:rPr>
                <w:rFonts w:ascii="Arial Narrow" w:hAnsi="Arial Narrow" w:cs="Arial"/>
                <w:kern w:val="0"/>
                <w:sz w:val="18"/>
                <w:szCs w:val="18"/>
                <w:u w:val="single"/>
              </w:rPr>
              <w:t>-2</w:t>
            </w:r>
            <w:r>
              <w:rPr>
                <w:rFonts w:ascii="Arial Narrow" w:hAnsi="Arial Narrow" w:cs="Arial"/>
                <w:kern w:val="0"/>
                <w:sz w:val="18"/>
                <w:szCs w:val="18"/>
                <w:u w:val="single"/>
              </w:rPr>
              <w:t>5</w:t>
            </w:r>
          </w:p>
          <w:p w14:paraId="5D782DD1" w14:textId="6847AEF9"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rPr>
              <w:t>dic</w:t>
            </w:r>
            <w:r w:rsidRPr="00DB5B05">
              <w:rPr>
                <w:rFonts w:ascii="Arial Narrow" w:hAnsi="Arial Narrow" w:cs="Arial"/>
                <w:kern w:val="0"/>
                <w:sz w:val="18"/>
                <w:szCs w:val="18"/>
              </w:rPr>
              <w:t>-2</w:t>
            </w:r>
            <w:r>
              <w:rPr>
                <w:rFonts w:ascii="Arial Narrow" w:hAnsi="Arial Narrow" w:cs="Arial"/>
                <w:kern w:val="0"/>
                <w:sz w:val="18"/>
                <w:szCs w:val="18"/>
              </w:rPr>
              <w:t>4</w:t>
            </w:r>
          </w:p>
        </w:tc>
        <w:tc>
          <w:tcPr>
            <w:tcW w:w="1059" w:type="dxa"/>
            <w:shd w:val="clear" w:color="auto" w:fill="auto"/>
            <w:vAlign w:val="center"/>
            <w:hideMark/>
          </w:tcPr>
          <w:p w14:paraId="0D92C68B" w14:textId="77777777"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gen</w:t>
            </w:r>
            <w:r w:rsidRPr="00DB5B05">
              <w:rPr>
                <w:rFonts w:ascii="Arial Narrow" w:hAnsi="Arial Narrow" w:cs="Arial"/>
                <w:kern w:val="0"/>
                <w:sz w:val="18"/>
                <w:szCs w:val="18"/>
                <w:u w:val="single"/>
              </w:rPr>
              <w:t>-2</w:t>
            </w:r>
            <w:r>
              <w:rPr>
                <w:rFonts w:ascii="Arial Narrow" w:hAnsi="Arial Narrow" w:cs="Arial"/>
                <w:kern w:val="0"/>
                <w:sz w:val="18"/>
                <w:szCs w:val="18"/>
                <w:u w:val="single"/>
              </w:rPr>
              <w:t>6</w:t>
            </w:r>
          </w:p>
          <w:p w14:paraId="3AFAC48B" w14:textId="52D76C15"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rPr>
              <w:t>gen</w:t>
            </w:r>
            <w:r w:rsidRPr="00DB5B05">
              <w:rPr>
                <w:rFonts w:ascii="Arial Narrow" w:hAnsi="Arial Narrow" w:cs="Arial"/>
                <w:kern w:val="0"/>
                <w:sz w:val="18"/>
                <w:szCs w:val="18"/>
              </w:rPr>
              <w:t>-2</w:t>
            </w:r>
            <w:r>
              <w:rPr>
                <w:rFonts w:ascii="Arial Narrow" w:hAnsi="Arial Narrow" w:cs="Arial"/>
                <w:kern w:val="0"/>
                <w:sz w:val="18"/>
                <w:szCs w:val="18"/>
              </w:rPr>
              <w:t>5</w:t>
            </w:r>
          </w:p>
        </w:tc>
        <w:tc>
          <w:tcPr>
            <w:tcW w:w="1060" w:type="dxa"/>
            <w:shd w:val="clear" w:color="auto" w:fill="auto"/>
            <w:vAlign w:val="center"/>
            <w:hideMark/>
          </w:tcPr>
          <w:p w14:paraId="789168CF" w14:textId="77777777"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dic</w:t>
            </w:r>
            <w:r w:rsidRPr="00DB5B05">
              <w:rPr>
                <w:rFonts w:ascii="Arial Narrow" w:hAnsi="Arial Narrow" w:cs="Arial"/>
                <w:kern w:val="0"/>
                <w:sz w:val="18"/>
                <w:szCs w:val="18"/>
                <w:u w:val="single"/>
              </w:rPr>
              <w:t>-2</w:t>
            </w:r>
            <w:r>
              <w:rPr>
                <w:rFonts w:ascii="Arial Narrow" w:hAnsi="Arial Narrow" w:cs="Arial"/>
                <w:kern w:val="0"/>
                <w:sz w:val="18"/>
                <w:szCs w:val="18"/>
                <w:u w:val="single"/>
              </w:rPr>
              <w:t>5</w:t>
            </w:r>
          </w:p>
          <w:p w14:paraId="2485461F" w14:textId="7D6EB6B2" w:rsidR="00A45941" w:rsidRPr="00DB5B05" w:rsidRDefault="00A45941" w:rsidP="00A45941">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rPr>
              <w:t>dic</w:t>
            </w:r>
            <w:r w:rsidRPr="00DB5B05">
              <w:rPr>
                <w:rFonts w:ascii="Arial Narrow" w:hAnsi="Arial Narrow" w:cs="Arial"/>
                <w:kern w:val="0"/>
                <w:sz w:val="18"/>
                <w:szCs w:val="18"/>
              </w:rPr>
              <w:t>-2</w:t>
            </w:r>
            <w:r>
              <w:rPr>
                <w:rFonts w:ascii="Arial Narrow" w:hAnsi="Arial Narrow" w:cs="Arial"/>
                <w:kern w:val="0"/>
                <w:sz w:val="18"/>
                <w:szCs w:val="18"/>
              </w:rPr>
              <w:t>4</w:t>
            </w:r>
          </w:p>
        </w:tc>
        <w:tc>
          <w:tcPr>
            <w:tcW w:w="1059" w:type="dxa"/>
            <w:vMerge/>
            <w:shd w:val="clear" w:color="auto" w:fill="auto"/>
            <w:vAlign w:val="center"/>
            <w:hideMark/>
          </w:tcPr>
          <w:p w14:paraId="27DFE0F7" w14:textId="77777777" w:rsidR="00A45941" w:rsidRPr="00517E09" w:rsidRDefault="00A45941" w:rsidP="00A45941">
            <w:pPr>
              <w:widowControl/>
              <w:overflowPunct/>
              <w:autoSpaceDE/>
              <w:autoSpaceDN/>
              <w:adjustRightInd/>
              <w:spacing w:before="0" w:after="0"/>
              <w:jc w:val="right"/>
              <w:rPr>
                <w:rFonts w:ascii="Arial Narrow" w:hAnsi="Arial Narrow" w:cs="Arial"/>
                <w:b/>
                <w:bCs/>
                <w:kern w:val="0"/>
                <w:sz w:val="18"/>
                <w:szCs w:val="18"/>
              </w:rPr>
            </w:pPr>
          </w:p>
        </w:tc>
      </w:tr>
      <w:tr w:rsidR="001A4EB9" w:rsidRPr="00D23AC7" w14:paraId="37C3256E" w14:textId="77777777" w:rsidTr="00460B3A">
        <w:trPr>
          <w:trHeight w:val="255"/>
        </w:trPr>
        <w:tc>
          <w:tcPr>
            <w:tcW w:w="3797" w:type="dxa"/>
            <w:shd w:val="clear" w:color="auto" w:fill="auto"/>
            <w:vAlign w:val="center"/>
            <w:hideMark/>
          </w:tcPr>
          <w:p w14:paraId="1688E601" w14:textId="77777777" w:rsidR="001A4EB9" w:rsidRPr="00517E09" w:rsidRDefault="001A4EB9" w:rsidP="001A4EB9">
            <w:pPr>
              <w:widowControl/>
              <w:overflowPunct/>
              <w:autoSpaceDE/>
              <w:autoSpaceDN/>
              <w:adjustRightInd/>
              <w:spacing w:before="0" w:after="0"/>
              <w:rPr>
                <w:rFonts w:ascii="Arial Narrow" w:hAnsi="Arial Narrow" w:cs="Arial"/>
                <w:kern w:val="0"/>
                <w:sz w:val="18"/>
                <w:szCs w:val="18"/>
              </w:rPr>
            </w:pPr>
            <w:r w:rsidRPr="00517E09">
              <w:rPr>
                <w:rFonts w:ascii="Arial Narrow" w:hAnsi="Arial Narrow" w:cs="Arial"/>
                <w:kern w:val="0"/>
                <w:sz w:val="18"/>
                <w:szCs w:val="18"/>
              </w:rPr>
              <w:t>Alta frequenza</w:t>
            </w:r>
          </w:p>
        </w:tc>
        <w:tc>
          <w:tcPr>
            <w:tcW w:w="1059" w:type="dxa"/>
            <w:shd w:val="clear" w:color="000000" w:fill="D9D9D9"/>
            <w:vAlign w:val="center"/>
          </w:tcPr>
          <w:p w14:paraId="1CEC6C43" w14:textId="6B4EA16A" w:rsidR="001A4EB9" w:rsidRPr="001A4EB9" w:rsidRDefault="001A4EB9" w:rsidP="001A4EB9">
            <w:pPr>
              <w:widowControl/>
              <w:overflowPunct/>
              <w:autoSpaceDE/>
              <w:autoSpaceDN/>
              <w:adjustRightInd/>
              <w:spacing w:before="0" w:after="0"/>
              <w:ind w:right="57"/>
              <w:jc w:val="right"/>
              <w:rPr>
                <w:rFonts w:ascii="Arial Narrow" w:hAnsi="Arial Narrow" w:cs="Calibri"/>
                <w:sz w:val="18"/>
                <w:szCs w:val="18"/>
              </w:rPr>
            </w:pPr>
            <w:r w:rsidRPr="001A4EB9">
              <w:rPr>
                <w:rFonts w:ascii="Arial Narrow" w:hAnsi="Arial Narrow" w:cs="Calibri"/>
                <w:sz w:val="18"/>
                <w:szCs w:val="18"/>
              </w:rPr>
              <w:t>411.133</w:t>
            </w:r>
          </w:p>
        </w:tc>
        <w:tc>
          <w:tcPr>
            <w:tcW w:w="1059" w:type="dxa"/>
            <w:shd w:val="clear" w:color="auto" w:fill="auto"/>
            <w:vAlign w:val="bottom"/>
          </w:tcPr>
          <w:p w14:paraId="35020D26" w14:textId="3C118BEF" w:rsidR="001A4EB9" w:rsidRPr="001A4EB9" w:rsidRDefault="001A4EB9" w:rsidP="001A4EB9">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Pr="001A4EB9">
              <w:rPr>
                <w:rFonts w:ascii="Arial Narrow" w:hAnsi="Arial Narrow" w:cs="Calibri"/>
                <w:sz w:val="18"/>
                <w:szCs w:val="18"/>
              </w:rPr>
              <w:t>0,8</w:t>
            </w:r>
          </w:p>
        </w:tc>
        <w:tc>
          <w:tcPr>
            <w:tcW w:w="1060" w:type="dxa"/>
            <w:shd w:val="clear" w:color="000000" w:fill="D9D9D9"/>
            <w:vAlign w:val="bottom"/>
          </w:tcPr>
          <w:p w14:paraId="2ABF373C" w14:textId="4C6F0AAF" w:rsidR="001A4EB9" w:rsidRPr="001A4EB9" w:rsidRDefault="001A4EB9" w:rsidP="001A4EB9">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59" w:type="dxa"/>
            <w:shd w:val="clear" w:color="auto" w:fill="auto"/>
            <w:vAlign w:val="bottom"/>
          </w:tcPr>
          <w:p w14:paraId="04B6B6C4" w14:textId="7EBC1EF4" w:rsidR="001A4EB9" w:rsidRPr="001A4EB9" w:rsidRDefault="001A4EB9" w:rsidP="001A4EB9">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Pr="001A4EB9">
              <w:rPr>
                <w:rFonts w:ascii="Arial Narrow" w:hAnsi="Arial Narrow" w:cs="Calibri"/>
                <w:sz w:val="18"/>
                <w:szCs w:val="18"/>
              </w:rPr>
              <w:t>2,1</w:t>
            </w:r>
          </w:p>
        </w:tc>
        <w:tc>
          <w:tcPr>
            <w:tcW w:w="1060" w:type="dxa"/>
            <w:shd w:val="clear" w:color="000000" w:fill="D9D9D9"/>
            <w:vAlign w:val="center"/>
          </w:tcPr>
          <w:p w14:paraId="708E38FE" w14:textId="65513638" w:rsidR="001A4EB9" w:rsidRPr="001A4EB9" w:rsidRDefault="001A4EB9" w:rsidP="00460B3A">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59" w:type="dxa"/>
            <w:shd w:val="clear" w:color="auto" w:fill="auto"/>
            <w:vAlign w:val="bottom"/>
          </w:tcPr>
          <w:p w14:paraId="1B2D6688" w14:textId="6630142A" w:rsidR="001A4EB9" w:rsidRPr="001A4EB9" w:rsidRDefault="001A4EB9" w:rsidP="001A4EB9">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Pr="001A4EB9">
              <w:rPr>
                <w:rFonts w:ascii="Arial Narrow" w:hAnsi="Arial Narrow" w:cs="Calibri"/>
                <w:sz w:val="18"/>
                <w:szCs w:val="18"/>
              </w:rPr>
              <w:t>1</w:t>
            </w:r>
            <w:r>
              <w:rPr>
                <w:rFonts w:ascii="Arial Narrow" w:hAnsi="Arial Narrow" w:cs="Calibri"/>
                <w:sz w:val="18"/>
                <w:szCs w:val="18"/>
              </w:rPr>
              <w:t>,0</w:t>
            </w:r>
          </w:p>
        </w:tc>
      </w:tr>
      <w:tr w:rsidR="001A4EB9" w:rsidRPr="00517E09" w14:paraId="601DC98D" w14:textId="77777777" w:rsidTr="00460B3A">
        <w:trPr>
          <w:trHeight w:val="255"/>
        </w:trPr>
        <w:tc>
          <w:tcPr>
            <w:tcW w:w="3797" w:type="dxa"/>
            <w:shd w:val="clear" w:color="auto" w:fill="auto"/>
            <w:vAlign w:val="center"/>
            <w:hideMark/>
          </w:tcPr>
          <w:p w14:paraId="547FC560" w14:textId="77777777" w:rsidR="001A4EB9" w:rsidRPr="00517E09" w:rsidRDefault="001A4EB9" w:rsidP="001A4EB9">
            <w:pPr>
              <w:widowControl/>
              <w:overflowPunct/>
              <w:autoSpaceDE/>
              <w:autoSpaceDN/>
              <w:adjustRightInd/>
              <w:spacing w:before="0" w:after="0"/>
              <w:rPr>
                <w:rFonts w:ascii="Arial Narrow" w:hAnsi="Arial Narrow" w:cs="Arial"/>
                <w:kern w:val="0"/>
                <w:sz w:val="18"/>
                <w:szCs w:val="18"/>
              </w:rPr>
            </w:pPr>
            <w:r w:rsidRPr="00517E09">
              <w:rPr>
                <w:rFonts w:ascii="Arial Narrow" w:hAnsi="Arial Narrow" w:cs="Arial"/>
                <w:kern w:val="0"/>
                <w:sz w:val="18"/>
                <w:szCs w:val="18"/>
              </w:rPr>
              <w:t xml:space="preserve">Media frequenza </w:t>
            </w:r>
          </w:p>
        </w:tc>
        <w:tc>
          <w:tcPr>
            <w:tcW w:w="1059" w:type="dxa"/>
            <w:shd w:val="clear" w:color="000000" w:fill="D9D9D9"/>
            <w:vAlign w:val="center"/>
          </w:tcPr>
          <w:p w14:paraId="44C3DA9A" w14:textId="42933D3E" w:rsidR="001A4EB9" w:rsidRPr="001A4EB9" w:rsidRDefault="001A4EB9" w:rsidP="001A4EB9">
            <w:pPr>
              <w:widowControl/>
              <w:overflowPunct/>
              <w:autoSpaceDE/>
              <w:autoSpaceDN/>
              <w:adjustRightInd/>
              <w:spacing w:before="0" w:after="0"/>
              <w:ind w:right="57"/>
              <w:jc w:val="right"/>
              <w:rPr>
                <w:rFonts w:ascii="Arial Narrow" w:hAnsi="Arial Narrow" w:cs="Calibri"/>
                <w:sz w:val="18"/>
                <w:szCs w:val="18"/>
              </w:rPr>
            </w:pPr>
            <w:r w:rsidRPr="001A4EB9">
              <w:rPr>
                <w:rFonts w:ascii="Arial Narrow" w:hAnsi="Arial Narrow" w:cs="Calibri"/>
                <w:sz w:val="18"/>
                <w:szCs w:val="18"/>
              </w:rPr>
              <w:t>396.838</w:t>
            </w:r>
          </w:p>
        </w:tc>
        <w:tc>
          <w:tcPr>
            <w:tcW w:w="1059" w:type="dxa"/>
            <w:shd w:val="clear" w:color="auto" w:fill="auto"/>
            <w:vAlign w:val="bottom"/>
          </w:tcPr>
          <w:p w14:paraId="28A620E9" w14:textId="08322732" w:rsidR="001A4EB9" w:rsidRPr="001A4EB9" w:rsidRDefault="001A4EB9" w:rsidP="001A4EB9">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Pr="001A4EB9">
              <w:rPr>
                <w:rFonts w:ascii="Arial Narrow" w:hAnsi="Arial Narrow" w:cs="Calibri"/>
                <w:sz w:val="18"/>
                <w:szCs w:val="18"/>
              </w:rPr>
              <w:t>0,4</w:t>
            </w:r>
          </w:p>
        </w:tc>
        <w:tc>
          <w:tcPr>
            <w:tcW w:w="1060" w:type="dxa"/>
            <w:shd w:val="clear" w:color="000000" w:fill="D9D9D9"/>
            <w:vAlign w:val="bottom"/>
          </w:tcPr>
          <w:p w14:paraId="084951C1" w14:textId="5AF9ACB8" w:rsidR="001A4EB9" w:rsidRPr="001A4EB9" w:rsidRDefault="001A4EB9" w:rsidP="001A4EB9">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59" w:type="dxa"/>
            <w:shd w:val="clear" w:color="auto" w:fill="auto"/>
            <w:vAlign w:val="bottom"/>
          </w:tcPr>
          <w:p w14:paraId="7FD21B0C" w14:textId="11FC853B" w:rsidR="001A4EB9" w:rsidRPr="001A4EB9" w:rsidRDefault="001A4EB9" w:rsidP="001A4EB9">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Pr="001A4EB9">
              <w:rPr>
                <w:rFonts w:ascii="Arial Narrow" w:hAnsi="Arial Narrow" w:cs="Calibri"/>
                <w:sz w:val="18"/>
                <w:szCs w:val="18"/>
              </w:rPr>
              <w:t>0,4</w:t>
            </w:r>
          </w:p>
        </w:tc>
        <w:tc>
          <w:tcPr>
            <w:tcW w:w="1060" w:type="dxa"/>
            <w:shd w:val="clear" w:color="000000" w:fill="D9D9D9"/>
            <w:vAlign w:val="center"/>
          </w:tcPr>
          <w:p w14:paraId="3A649591" w14:textId="7799EA91" w:rsidR="001A4EB9" w:rsidRPr="001A4EB9" w:rsidRDefault="001A4EB9" w:rsidP="00460B3A">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59" w:type="dxa"/>
            <w:shd w:val="clear" w:color="auto" w:fill="auto"/>
            <w:vAlign w:val="bottom"/>
          </w:tcPr>
          <w:p w14:paraId="3FCABF68" w14:textId="4B567C28" w:rsidR="001A4EB9" w:rsidRPr="001A4EB9" w:rsidRDefault="001A4EB9" w:rsidP="001A4EB9">
            <w:pPr>
              <w:widowControl/>
              <w:overflowPunct/>
              <w:autoSpaceDE/>
              <w:autoSpaceDN/>
              <w:adjustRightInd/>
              <w:spacing w:before="0" w:after="0"/>
              <w:ind w:right="57"/>
              <w:jc w:val="right"/>
              <w:rPr>
                <w:rFonts w:ascii="Arial Narrow" w:hAnsi="Arial Narrow" w:cs="Calibri"/>
                <w:sz w:val="18"/>
                <w:szCs w:val="18"/>
              </w:rPr>
            </w:pPr>
            <w:r w:rsidRPr="001A4EB9">
              <w:rPr>
                <w:rFonts w:ascii="Arial Narrow" w:hAnsi="Arial Narrow" w:cs="Calibri"/>
                <w:sz w:val="18"/>
                <w:szCs w:val="18"/>
              </w:rPr>
              <w:t>-0,3</w:t>
            </w:r>
          </w:p>
        </w:tc>
      </w:tr>
      <w:tr w:rsidR="001A4EB9" w:rsidRPr="00517E09" w14:paraId="2347A22D" w14:textId="77777777" w:rsidTr="00460B3A">
        <w:trPr>
          <w:trHeight w:val="255"/>
        </w:trPr>
        <w:tc>
          <w:tcPr>
            <w:tcW w:w="3797" w:type="dxa"/>
            <w:shd w:val="clear" w:color="auto" w:fill="auto"/>
            <w:vAlign w:val="center"/>
            <w:hideMark/>
          </w:tcPr>
          <w:p w14:paraId="71CA1F14" w14:textId="77777777" w:rsidR="001A4EB9" w:rsidRPr="00517E09" w:rsidRDefault="001A4EB9" w:rsidP="001A4EB9">
            <w:pPr>
              <w:widowControl/>
              <w:overflowPunct/>
              <w:autoSpaceDE/>
              <w:autoSpaceDN/>
              <w:adjustRightInd/>
              <w:spacing w:before="0" w:after="0"/>
              <w:rPr>
                <w:rFonts w:ascii="Arial Narrow" w:hAnsi="Arial Narrow" w:cs="Arial"/>
                <w:kern w:val="0"/>
                <w:sz w:val="18"/>
                <w:szCs w:val="18"/>
              </w:rPr>
            </w:pPr>
            <w:r w:rsidRPr="00517E09">
              <w:rPr>
                <w:rFonts w:ascii="Arial Narrow" w:hAnsi="Arial Narrow" w:cs="Arial"/>
                <w:kern w:val="0"/>
                <w:sz w:val="18"/>
                <w:szCs w:val="18"/>
              </w:rPr>
              <w:t xml:space="preserve">Bassa frequenza </w:t>
            </w:r>
          </w:p>
        </w:tc>
        <w:tc>
          <w:tcPr>
            <w:tcW w:w="1059" w:type="dxa"/>
            <w:shd w:val="clear" w:color="000000" w:fill="D9D9D9"/>
            <w:vAlign w:val="center"/>
          </w:tcPr>
          <w:p w14:paraId="721741F1" w14:textId="25A1565B" w:rsidR="001A4EB9" w:rsidRPr="001A4EB9" w:rsidRDefault="001A4EB9" w:rsidP="001A4EB9">
            <w:pPr>
              <w:widowControl/>
              <w:overflowPunct/>
              <w:autoSpaceDE/>
              <w:autoSpaceDN/>
              <w:adjustRightInd/>
              <w:spacing w:before="0" w:after="0"/>
              <w:ind w:right="57"/>
              <w:jc w:val="right"/>
              <w:rPr>
                <w:rFonts w:ascii="Arial Narrow" w:hAnsi="Arial Narrow" w:cs="Calibri"/>
                <w:sz w:val="18"/>
                <w:szCs w:val="18"/>
              </w:rPr>
            </w:pPr>
            <w:r w:rsidRPr="001A4EB9">
              <w:rPr>
                <w:rFonts w:ascii="Arial Narrow" w:hAnsi="Arial Narrow" w:cs="Calibri"/>
                <w:sz w:val="18"/>
                <w:szCs w:val="18"/>
              </w:rPr>
              <w:t>192.029</w:t>
            </w:r>
          </w:p>
        </w:tc>
        <w:tc>
          <w:tcPr>
            <w:tcW w:w="1059" w:type="dxa"/>
            <w:shd w:val="clear" w:color="auto" w:fill="auto"/>
            <w:vAlign w:val="bottom"/>
          </w:tcPr>
          <w:p w14:paraId="0149A82D" w14:textId="071654B4" w:rsidR="001A4EB9" w:rsidRPr="001A4EB9" w:rsidRDefault="001A4EB9" w:rsidP="001A4EB9">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Pr="001A4EB9">
              <w:rPr>
                <w:rFonts w:ascii="Arial Narrow" w:hAnsi="Arial Narrow" w:cs="Calibri"/>
                <w:sz w:val="18"/>
                <w:szCs w:val="18"/>
              </w:rPr>
              <w:t>0,5</w:t>
            </w:r>
          </w:p>
        </w:tc>
        <w:tc>
          <w:tcPr>
            <w:tcW w:w="1060" w:type="dxa"/>
            <w:shd w:val="clear" w:color="000000" w:fill="D9D9D9"/>
            <w:vAlign w:val="bottom"/>
          </w:tcPr>
          <w:p w14:paraId="01C56FF0" w14:textId="3764042F" w:rsidR="001A4EB9" w:rsidRPr="001A4EB9" w:rsidRDefault="001A4EB9" w:rsidP="001A4EB9">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59" w:type="dxa"/>
            <w:shd w:val="clear" w:color="auto" w:fill="auto"/>
            <w:vAlign w:val="bottom"/>
          </w:tcPr>
          <w:p w14:paraId="0E63F666" w14:textId="1F8FF563" w:rsidR="001A4EB9" w:rsidRPr="001A4EB9" w:rsidRDefault="001A4EB9" w:rsidP="001A4EB9">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Pr="001A4EB9">
              <w:rPr>
                <w:rFonts w:ascii="Arial Narrow" w:hAnsi="Arial Narrow" w:cs="Calibri"/>
                <w:sz w:val="18"/>
                <w:szCs w:val="18"/>
              </w:rPr>
              <w:t>0,6</w:t>
            </w:r>
          </w:p>
        </w:tc>
        <w:tc>
          <w:tcPr>
            <w:tcW w:w="1060" w:type="dxa"/>
            <w:shd w:val="clear" w:color="000000" w:fill="D9D9D9"/>
            <w:vAlign w:val="center"/>
          </w:tcPr>
          <w:p w14:paraId="2BF06C7A" w14:textId="66C8AFEA" w:rsidR="001A4EB9" w:rsidRPr="001A4EB9" w:rsidRDefault="001A4EB9" w:rsidP="00460B3A">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59" w:type="dxa"/>
            <w:shd w:val="clear" w:color="auto" w:fill="auto"/>
            <w:vAlign w:val="bottom"/>
          </w:tcPr>
          <w:p w14:paraId="417E3F1A" w14:textId="5D828040" w:rsidR="001A4EB9" w:rsidRPr="001A4EB9" w:rsidRDefault="001A4EB9" w:rsidP="001A4EB9">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Pr="001A4EB9">
              <w:rPr>
                <w:rFonts w:ascii="Arial Narrow" w:hAnsi="Arial Narrow" w:cs="Calibri"/>
                <w:sz w:val="18"/>
                <w:szCs w:val="18"/>
              </w:rPr>
              <w:t>0,5</w:t>
            </w:r>
          </w:p>
        </w:tc>
      </w:tr>
      <w:tr w:rsidR="001A4EB9" w:rsidRPr="0006302A" w14:paraId="47533D2D" w14:textId="77777777" w:rsidTr="00D57F27">
        <w:trPr>
          <w:trHeight w:val="255"/>
        </w:trPr>
        <w:tc>
          <w:tcPr>
            <w:tcW w:w="3797" w:type="dxa"/>
            <w:shd w:val="clear" w:color="000000" w:fill="E42618"/>
            <w:vAlign w:val="center"/>
            <w:hideMark/>
          </w:tcPr>
          <w:p w14:paraId="0E254C5A" w14:textId="77777777" w:rsidR="001A4EB9" w:rsidRPr="00EE3BCC" w:rsidRDefault="001A4EB9" w:rsidP="001A4EB9">
            <w:pPr>
              <w:widowControl/>
              <w:overflowPunct/>
              <w:autoSpaceDE/>
              <w:autoSpaceDN/>
              <w:adjustRightInd/>
              <w:spacing w:before="0" w:after="0"/>
              <w:rPr>
                <w:rFonts w:ascii="Arial Narrow" w:hAnsi="Arial Narrow" w:cs="Arial"/>
                <w:b/>
                <w:color w:val="FFFFFF" w:themeColor="background1"/>
                <w:kern w:val="0"/>
                <w:sz w:val="18"/>
                <w:szCs w:val="18"/>
              </w:rPr>
            </w:pPr>
            <w:r w:rsidRPr="00EE3BCC">
              <w:rPr>
                <w:rFonts w:ascii="Arial Narrow" w:hAnsi="Arial Narrow" w:cs="Arial"/>
                <w:b/>
                <w:color w:val="FFFFFF" w:themeColor="background1"/>
                <w:kern w:val="0"/>
                <w:sz w:val="18"/>
                <w:szCs w:val="18"/>
              </w:rPr>
              <w:t>Indice generale</w:t>
            </w:r>
          </w:p>
        </w:tc>
        <w:tc>
          <w:tcPr>
            <w:tcW w:w="1059" w:type="dxa"/>
            <w:shd w:val="clear" w:color="000000" w:fill="E42618"/>
            <w:vAlign w:val="center"/>
          </w:tcPr>
          <w:p w14:paraId="47EECE6B" w14:textId="06515344" w:rsidR="001A4EB9" w:rsidRPr="00496550" w:rsidRDefault="001A4EB9" w:rsidP="001A4EB9">
            <w:pPr>
              <w:widowControl/>
              <w:overflowPunct/>
              <w:autoSpaceDE/>
              <w:autoSpaceDN/>
              <w:adjustRightInd/>
              <w:spacing w:before="0" w:after="0"/>
              <w:jc w:val="right"/>
              <w:rPr>
                <w:rFonts w:ascii="Arial Narrow" w:hAnsi="Arial Narrow" w:cs="Arial"/>
                <w:b/>
                <w:color w:val="FFFFFF" w:themeColor="background1"/>
                <w:kern w:val="0"/>
                <w:sz w:val="18"/>
                <w:szCs w:val="18"/>
              </w:rPr>
            </w:pPr>
            <w:r w:rsidRPr="00EF6563">
              <w:rPr>
                <w:rFonts w:ascii="Arial Narrow" w:hAnsi="Arial Narrow" w:cs="Arial"/>
                <w:b/>
                <w:bCs/>
                <w:color w:val="FFFFFF" w:themeColor="background1"/>
                <w:kern w:val="0"/>
                <w:sz w:val="18"/>
                <w:szCs w:val="18"/>
              </w:rPr>
              <w:t>1</w:t>
            </w:r>
            <w:r>
              <w:rPr>
                <w:rFonts w:ascii="Arial Narrow" w:hAnsi="Arial Narrow" w:cs="Arial"/>
                <w:b/>
                <w:bCs/>
                <w:color w:val="FFFFFF" w:themeColor="background1"/>
                <w:kern w:val="0"/>
                <w:sz w:val="18"/>
                <w:szCs w:val="18"/>
              </w:rPr>
              <w:t>.</w:t>
            </w:r>
            <w:r w:rsidRPr="00EF6563">
              <w:rPr>
                <w:rFonts w:ascii="Arial Narrow" w:hAnsi="Arial Narrow" w:cs="Arial"/>
                <w:b/>
                <w:bCs/>
                <w:color w:val="FFFFFF" w:themeColor="background1"/>
                <w:kern w:val="0"/>
                <w:sz w:val="18"/>
                <w:szCs w:val="18"/>
              </w:rPr>
              <w:t>000</w:t>
            </w:r>
            <w:r>
              <w:rPr>
                <w:rFonts w:ascii="Arial Narrow" w:hAnsi="Arial Narrow" w:cs="Arial"/>
                <w:b/>
                <w:bCs/>
                <w:color w:val="FFFFFF" w:themeColor="background1"/>
                <w:kern w:val="0"/>
                <w:sz w:val="18"/>
                <w:szCs w:val="18"/>
              </w:rPr>
              <w:t>.</w:t>
            </w:r>
            <w:r w:rsidRPr="00EF6563">
              <w:rPr>
                <w:rFonts w:ascii="Arial Narrow" w:hAnsi="Arial Narrow" w:cs="Arial"/>
                <w:b/>
                <w:bCs/>
                <w:color w:val="FFFFFF" w:themeColor="background1"/>
                <w:kern w:val="0"/>
                <w:sz w:val="18"/>
                <w:szCs w:val="18"/>
              </w:rPr>
              <w:t>000</w:t>
            </w:r>
          </w:p>
        </w:tc>
        <w:tc>
          <w:tcPr>
            <w:tcW w:w="1059" w:type="dxa"/>
            <w:shd w:val="clear" w:color="000000" w:fill="E42618"/>
            <w:vAlign w:val="center"/>
          </w:tcPr>
          <w:p w14:paraId="2F71C1C7" w14:textId="78F40FF9" w:rsidR="001A4EB9" w:rsidRPr="008A38BE" w:rsidRDefault="001A4EB9" w:rsidP="001A4EB9">
            <w:pPr>
              <w:widowControl/>
              <w:overflowPunct/>
              <w:autoSpaceDE/>
              <w:autoSpaceDN/>
              <w:adjustRightInd/>
              <w:spacing w:before="0" w:after="0"/>
              <w:jc w:val="right"/>
              <w:rPr>
                <w:rFonts w:ascii="Arial Narrow" w:hAnsi="Arial Narrow" w:cs="Arial"/>
                <w:b/>
                <w:bCs/>
                <w:color w:val="FFFFFF" w:themeColor="background1"/>
                <w:kern w:val="0"/>
                <w:sz w:val="18"/>
                <w:szCs w:val="18"/>
              </w:rPr>
            </w:pPr>
            <w:r>
              <w:rPr>
                <w:rFonts w:ascii="Arial Narrow" w:hAnsi="Arial Narrow" w:cs="Arial"/>
                <w:b/>
                <w:bCs/>
                <w:color w:val="FFFFFF" w:themeColor="background1"/>
                <w:kern w:val="0"/>
                <w:sz w:val="18"/>
                <w:szCs w:val="18"/>
              </w:rPr>
              <w:t>+</w:t>
            </w:r>
            <w:r w:rsidRPr="00EF6563">
              <w:rPr>
                <w:rFonts w:ascii="Arial Narrow" w:hAnsi="Arial Narrow" w:cs="Arial"/>
                <w:b/>
                <w:bCs/>
                <w:color w:val="FFFFFF" w:themeColor="background1"/>
                <w:kern w:val="0"/>
                <w:sz w:val="18"/>
                <w:szCs w:val="18"/>
              </w:rPr>
              <w:t>0,4</w:t>
            </w:r>
          </w:p>
        </w:tc>
        <w:tc>
          <w:tcPr>
            <w:tcW w:w="1060" w:type="dxa"/>
            <w:shd w:val="clear" w:color="000000" w:fill="E42618"/>
            <w:vAlign w:val="center"/>
          </w:tcPr>
          <w:p w14:paraId="3A23C024" w14:textId="4615AD1B" w:rsidR="001A4EB9" w:rsidRPr="008A38BE" w:rsidRDefault="001A4EB9" w:rsidP="00D57F27">
            <w:pPr>
              <w:widowControl/>
              <w:overflowPunct/>
              <w:autoSpaceDE/>
              <w:autoSpaceDN/>
              <w:adjustRightInd/>
              <w:spacing w:before="0" w:after="0"/>
              <w:jc w:val="right"/>
              <w:rPr>
                <w:rFonts w:ascii="Arial Narrow" w:hAnsi="Arial Narrow" w:cs="Arial"/>
                <w:b/>
                <w:bCs/>
                <w:color w:val="FFFFFF" w:themeColor="background1"/>
                <w:kern w:val="0"/>
                <w:sz w:val="18"/>
                <w:szCs w:val="18"/>
              </w:rPr>
            </w:pPr>
            <w:r w:rsidRPr="00EF6563">
              <w:rPr>
                <w:rFonts w:ascii="Arial Narrow" w:hAnsi="Arial Narrow" w:cs="Arial"/>
                <w:b/>
                <w:bCs/>
                <w:color w:val="FFFFFF" w:themeColor="background1"/>
                <w:kern w:val="0"/>
                <w:sz w:val="18"/>
                <w:szCs w:val="18"/>
              </w:rPr>
              <w:t>0,6</w:t>
            </w:r>
          </w:p>
        </w:tc>
        <w:tc>
          <w:tcPr>
            <w:tcW w:w="1059" w:type="dxa"/>
            <w:shd w:val="clear" w:color="000000" w:fill="E42618"/>
            <w:vAlign w:val="center"/>
          </w:tcPr>
          <w:p w14:paraId="088EFE8C" w14:textId="489EC325" w:rsidR="001A4EB9" w:rsidRPr="008A38BE" w:rsidRDefault="001A4EB9" w:rsidP="001A4EB9">
            <w:pPr>
              <w:widowControl/>
              <w:overflowPunct/>
              <w:autoSpaceDE/>
              <w:autoSpaceDN/>
              <w:adjustRightInd/>
              <w:spacing w:before="0" w:after="0"/>
              <w:jc w:val="right"/>
              <w:rPr>
                <w:rFonts w:ascii="Arial Narrow" w:hAnsi="Arial Narrow" w:cs="Arial"/>
                <w:b/>
                <w:bCs/>
                <w:color w:val="FFFFFF" w:themeColor="background1"/>
                <w:kern w:val="0"/>
                <w:sz w:val="18"/>
                <w:szCs w:val="18"/>
              </w:rPr>
            </w:pPr>
            <w:r>
              <w:rPr>
                <w:rFonts w:ascii="Arial Narrow" w:hAnsi="Arial Narrow" w:cs="Arial"/>
                <w:b/>
                <w:bCs/>
                <w:color w:val="FFFFFF" w:themeColor="background1"/>
                <w:kern w:val="0"/>
                <w:sz w:val="18"/>
                <w:szCs w:val="18"/>
              </w:rPr>
              <w:t>+</w:t>
            </w:r>
            <w:r w:rsidRPr="00EF6563">
              <w:rPr>
                <w:rFonts w:ascii="Arial Narrow" w:hAnsi="Arial Narrow" w:cs="Arial"/>
                <w:b/>
                <w:bCs/>
                <w:color w:val="FFFFFF" w:themeColor="background1"/>
                <w:kern w:val="0"/>
                <w:sz w:val="18"/>
                <w:szCs w:val="18"/>
              </w:rPr>
              <w:t>1,0</w:t>
            </w:r>
          </w:p>
        </w:tc>
        <w:tc>
          <w:tcPr>
            <w:tcW w:w="1060" w:type="dxa"/>
            <w:shd w:val="clear" w:color="000000" w:fill="E42618"/>
            <w:vAlign w:val="center"/>
          </w:tcPr>
          <w:p w14:paraId="70C7EFB0" w14:textId="0DB13038" w:rsidR="001A4EB9" w:rsidRPr="008A38BE" w:rsidRDefault="001A4EB9" w:rsidP="00D57F27">
            <w:pPr>
              <w:widowControl/>
              <w:overflowPunct/>
              <w:autoSpaceDE/>
              <w:autoSpaceDN/>
              <w:adjustRightInd/>
              <w:spacing w:before="0" w:after="0"/>
              <w:jc w:val="right"/>
              <w:rPr>
                <w:rFonts w:ascii="Arial Narrow" w:hAnsi="Arial Narrow" w:cs="Arial"/>
                <w:b/>
                <w:bCs/>
                <w:color w:val="FFFFFF" w:themeColor="background1"/>
                <w:kern w:val="0"/>
                <w:sz w:val="18"/>
                <w:szCs w:val="18"/>
              </w:rPr>
            </w:pPr>
            <w:r w:rsidRPr="00EF6563">
              <w:rPr>
                <w:rFonts w:ascii="Arial Narrow" w:hAnsi="Arial Narrow" w:cs="Arial"/>
                <w:b/>
                <w:bCs/>
                <w:color w:val="FFFFFF" w:themeColor="background1"/>
                <w:kern w:val="0"/>
                <w:sz w:val="18"/>
                <w:szCs w:val="18"/>
              </w:rPr>
              <w:t>1,2</w:t>
            </w:r>
          </w:p>
        </w:tc>
        <w:tc>
          <w:tcPr>
            <w:tcW w:w="1059" w:type="dxa"/>
            <w:shd w:val="clear" w:color="000000" w:fill="E42618"/>
            <w:vAlign w:val="center"/>
          </w:tcPr>
          <w:p w14:paraId="414320EF" w14:textId="61939CA6" w:rsidR="001A4EB9" w:rsidRPr="008A38BE" w:rsidRDefault="001A4EB9" w:rsidP="001A4EB9">
            <w:pPr>
              <w:widowControl/>
              <w:overflowPunct/>
              <w:autoSpaceDE/>
              <w:autoSpaceDN/>
              <w:adjustRightInd/>
              <w:spacing w:before="0" w:after="0"/>
              <w:jc w:val="right"/>
              <w:rPr>
                <w:rFonts w:ascii="Arial Narrow" w:hAnsi="Arial Narrow" w:cs="Arial"/>
                <w:b/>
                <w:bCs/>
                <w:color w:val="FFFFFF" w:themeColor="background1"/>
                <w:kern w:val="0"/>
                <w:sz w:val="18"/>
                <w:szCs w:val="18"/>
              </w:rPr>
            </w:pPr>
            <w:r>
              <w:rPr>
                <w:rFonts w:ascii="Arial Narrow" w:hAnsi="Arial Narrow" w:cs="Arial"/>
                <w:b/>
                <w:bCs/>
                <w:color w:val="FFFFFF" w:themeColor="background1"/>
                <w:kern w:val="0"/>
                <w:sz w:val="18"/>
                <w:szCs w:val="18"/>
              </w:rPr>
              <w:t>+</w:t>
            </w:r>
            <w:r w:rsidRPr="00EF6563">
              <w:rPr>
                <w:rFonts w:ascii="Arial Narrow" w:hAnsi="Arial Narrow" w:cs="Arial"/>
                <w:b/>
                <w:bCs/>
                <w:color w:val="FFFFFF" w:themeColor="background1"/>
                <w:kern w:val="0"/>
                <w:sz w:val="18"/>
                <w:szCs w:val="18"/>
              </w:rPr>
              <w:t>0,4</w:t>
            </w:r>
          </w:p>
        </w:tc>
      </w:tr>
    </w:tbl>
    <w:p w14:paraId="5F5EC4B5" w14:textId="77777777" w:rsidR="00EB5D65" w:rsidRDefault="00EB5D65" w:rsidP="00EB5D65">
      <w:pPr>
        <w:pStyle w:val="001TitoGra"/>
        <w:spacing w:after="120" w:line="240" w:lineRule="auto"/>
        <w:rPr>
          <w:color w:val="auto"/>
        </w:rPr>
      </w:pPr>
    </w:p>
    <w:p w14:paraId="51AD3A08" w14:textId="77777777" w:rsidR="00EB5D65" w:rsidRDefault="00EB5D65" w:rsidP="00EB5D65">
      <w:pPr>
        <w:pStyle w:val="001TitoGra"/>
        <w:spacing w:after="120" w:line="240" w:lineRule="auto"/>
        <w:rPr>
          <w:color w:val="auto"/>
        </w:rPr>
      </w:pPr>
    </w:p>
    <w:p w14:paraId="64383AD0" w14:textId="77777777" w:rsidR="00902654" w:rsidRDefault="00902654" w:rsidP="00EB5D65">
      <w:pPr>
        <w:pStyle w:val="001TitoGra"/>
        <w:spacing w:after="120" w:line="240" w:lineRule="auto"/>
        <w:rPr>
          <w:color w:val="auto"/>
        </w:rPr>
      </w:pPr>
    </w:p>
    <w:p w14:paraId="7F3974C5" w14:textId="77777777" w:rsidR="00902654" w:rsidRPr="00521958" w:rsidRDefault="00902654" w:rsidP="00EB5D65">
      <w:pPr>
        <w:pStyle w:val="001TitoGra"/>
        <w:spacing w:after="120" w:line="240" w:lineRule="auto"/>
        <w:rPr>
          <w:color w:val="auto"/>
        </w:rPr>
      </w:pPr>
    </w:p>
    <w:p w14:paraId="7D981C6B" w14:textId="77777777" w:rsidR="00EB5D65" w:rsidRPr="000C11ED" w:rsidRDefault="00EB5D65" w:rsidP="00EB5D65">
      <w:pPr>
        <w:pStyle w:val="00TitoGra1"/>
        <w:spacing w:after="120" w:line="240" w:lineRule="auto"/>
        <w:rPr>
          <w:color w:val="E42618"/>
          <w:sz w:val="26"/>
          <w:szCs w:val="26"/>
        </w:rPr>
      </w:pPr>
      <w:r w:rsidRPr="000C11ED">
        <w:rPr>
          <w:color w:val="E42618"/>
          <w:sz w:val="36"/>
          <w:szCs w:val="36"/>
        </w:rPr>
        <w:lastRenderedPageBreak/>
        <w:t>Indice armonizzato dei prezzi al consumo (IPCA)</w:t>
      </w:r>
    </w:p>
    <w:p w14:paraId="4F873B11" w14:textId="77777777" w:rsidR="00EB5D65" w:rsidRPr="002A3DE5" w:rsidRDefault="00EB5D65" w:rsidP="00EB5D65">
      <w:pPr>
        <w:pStyle w:val="001TitoloBolocco"/>
        <w:spacing w:after="120" w:line="240" w:lineRule="auto"/>
      </w:pPr>
      <w:r w:rsidRPr="002A3DE5">
        <w:t>Le divisioni di spesa</w:t>
      </w:r>
    </w:p>
    <w:p w14:paraId="11F1E14E" w14:textId="77777777" w:rsidR="00EB5D65" w:rsidRDefault="00EB5D65" w:rsidP="00EB5D65">
      <w:pPr>
        <w:pStyle w:val="001TitoGra"/>
        <w:spacing w:after="120" w:line="240" w:lineRule="auto"/>
        <w:rPr>
          <w:rStyle w:val="001TitoGraRed"/>
        </w:rPr>
      </w:pPr>
    </w:p>
    <w:p w14:paraId="075D36EB" w14:textId="77777777" w:rsidR="00EB5D65" w:rsidRDefault="00EB5D65" w:rsidP="00EB5D65">
      <w:pPr>
        <w:pStyle w:val="001TitoGra"/>
      </w:pPr>
      <w:r w:rsidRPr="002B0CB4">
        <w:rPr>
          <w:rStyle w:val="001TitoGraRed"/>
        </w:rPr>
        <w:t xml:space="preserve">PROSPETTO </w:t>
      </w:r>
      <w:r>
        <w:rPr>
          <w:rStyle w:val="001TitoGraRed"/>
        </w:rPr>
        <w:t>5</w:t>
      </w:r>
      <w:r w:rsidRPr="0046482D">
        <w:rPr>
          <w:color w:val="C00000"/>
        </w:rPr>
        <w:t>.</w:t>
      </w:r>
      <w:r>
        <w:t xml:space="preserve"> INDICI</w:t>
      </w:r>
      <w:r w:rsidRPr="002A3DE5">
        <w:t xml:space="preserve"> DEI PREZZI AL CONSUMO IPCA PER DIVISIONE DI SPESA</w:t>
      </w:r>
    </w:p>
    <w:p w14:paraId="1E109716" w14:textId="26036654" w:rsidR="005031DD" w:rsidRDefault="00A45941" w:rsidP="005031DD">
      <w:pPr>
        <w:pStyle w:val="001SottotitoloGra"/>
        <w:spacing w:line="240" w:lineRule="auto"/>
      </w:pPr>
      <w:r>
        <w:t>Gennaio 2026</w:t>
      </w:r>
      <w:r w:rsidR="005031DD" w:rsidRPr="002A3DE5">
        <w:t xml:space="preserve">, pesi e variazioni percentuali </w:t>
      </w:r>
      <w:r w:rsidR="005031DD">
        <w:t xml:space="preserve">congiunturali e tendenziali </w:t>
      </w:r>
      <w:r w:rsidR="005031DD" w:rsidRPr="002A3DE5">
        <w:t>(base 20</w:t>
      </w:r>
      <w:r w:rsidR="00902654">
        <w:t>2</w:t>
      </w:r>
      <w:r w:rsidR="005031DD">
        <w:t>5</w:t>
      </w:r>
      <w:r w:rsidR="005031DD" w:rsidRPr="002A3DE5">
        <w:t>=100)</w:t>
      </w:r>
    </w:p>
    <w:tbl>
      <w:tblPr>
        <w:tblW w:w="1016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571"/>
        <w:gridCol w:w="1164"/>
        <w:gridCol w:w="1074"/>
        <w:gridCol w:w="1053"/>
        <w:gridCol w:w="1074"/>
        <w:gridCol w:w="1074"/>
        <w:gridCol w:w="1156"/>
      </w:tblGrid>
      <w:tr w:rsidR="00A45941" w:rsidRPr="008814F3" w14:paraId="425CDDCC" w14:textId="77777777" w:rsidTr="00486EDA">
        <w:trPr>
          <w:trHeight w:val="255"/>
          <w:jc w:val="center"/>
        </w:trPr>
        <w:tc>
          <w:tcPr>
            <w:tcW w:w="3571" w:type="dxa"/>
            <w:vMerge w:val="restart"/>
            <w:shd w:val="clear" w:color="auto" w:fill="auto"/>
            <w:vAlign w:val="center"/>
            <w:hideMark/>
          </w:tcPr>
          <w:p w14:paraId="74B2CD3F" w14:textId="77777777" w:rsidR="00A45941" w:rsidRPr="008814F3" w:rsidRDefault="00A45941" w:rsidP="00486EDA">
            <w:pPr>
              <w:widowControl/>
              <w:overflowPunct/>
              <w:autoSpaceDE/>
              <w:autoSpaceDN/>
              <w:adjustRightInd/>
              <w:spacing w:before="0" w:after="0"/>
              <w:rPr>
                <w:rFonts w:ascii="Arial Narrow" w:hAnsi="Arial Narrow" w:cs="Arial"/>
                <w:b/>
                <w:bCs/>
                <w:kern w:val="0"/>
                <w:sz w:val="18"/>
                <w:szCs w:val="18"/>
              </w:rPr>
            </w:pPr>
            <w:r w:rsidRPr="008814F3">
              <w:rPr>
                <w:rFonts w:ascii="Arial Narrow" w:hAnsi="Arial Narrow" w:cs="Arial"/>
                <w:b/>
                <w:bCs/>
                <w:kern w:val="0"/>
                <w:sz w:val="18"/>
                <w:szCs w:val="18"/>
              </w:rPr>
              <w:t>DIVISIONI DI SPESA</w:t>
            </w:r>
          </w:p>
        </w:tc>
        <w:tc>
          <w:tcPr>
            <w:tcW w:w="1164" w:type="dxa"/>
            <w:vMerge w:val="restart"/>
            <w:shd w:val="clear" w:color="000000" w:fill="D9D9D9"/>
            <w:vAlign w:val="center"/>
            <w:hideMark/>
          </w:tcPr>
          <w:p w14:paraId="0A78CE72" w14:textId="77777777" w:rsidR="00A45941" w:rsidRPr="008814F3" w:rsidRDefault="00A45941" w:rsidP="00486EDA">
            <w:pPr>
              <w:widowControl/>
              <w:overflowPunct/>
              <w:autoSpaceDE/>
              <w:autoSpaceDN/>
              <w:adjustRightInd/>
              <w:spacing w:before="0" w:after="0"/>
              <w:jc w:val="right"/>
              <w:rPr>
                <w:rFonts w:ascii="Arial Narrow" w:hAnsi="Arial Narrow" w:cs="Arial"/>
                <w:b/>
                <w:bCs/>
                <w:kern w:val="0"/>
                <w:sz w:val="18"/>
                <w:szCs w:val="18"/>
              </w:rPr>
            </w:pPr>
            <w:r w:rsidRPr="008814F3">
              <w:rPr>
                <w:rFonts w:ascii="Arial Narrow" w:hAnsi="Arial Narrow" w:cs="Arial"/>
                <w:b/>
                <w:bCs/>
                <w:kern w:val="0"/>
                <w:sz w:val="18"/>
                <w:szCs w:val="18"/>
              </w:rPr>
              <w:t>Pesi</w:t>
            </w:r>
          </w:p>
        </w:tc>
        <w:tc>
          <w:tcPr>
            <w:tcW w:w="2127" w:type="dxa"/>
            <w:gridSpan w:val="2"/>
            <w:shd w:val="clear" w:color="auto" w:fill="auto"/>
            <w:vAlign w:val="center"/>
            <w:hideMark/>
          </w:tcPr>
          <w:p w14:paraId="579495E6" w14:textId="77777777" w:rsidR="00A45941" w:rsidRPr="00DB5B05" w:rsidRDefault="00A45941" w:rsidP="00486EDA">
            <w:pPr>
              <w:widowControl/>
              <w:overflowPunct/>
              <w:autoSpaceDE/>
              <w:autoSpaceDN/>
              <w:adjustRightInd/>
              <w:spacing w:before="0" w:after="0"/>
              <w:jc w:val="right"/>
              <w:rPr>
                <w:rFonts w:ascii="Arial Narrow" w:hAnsi="Arial Narrow" w:cs="Arial"/>
                <w:b/>
                <w:bCs/>
                <w:kern w:val="0"/>
                <w:sz w:val="18"/>
                <w:szCs w:val="18"/>
              </w:rPr>
            </w:pPr>
            <w:r w:rsidRPr="00DB5B05">
              <w:rPr>
                <w:rFonts w:ascii="Arial Narrow" w:hAnsi="Arial Narrow" w:cs="Arial"/>
                <w:b/>
                <w:bCs/>
                <w:kern w:val="0"/>
                <w:sz w:val="18"/>
                <w:szCs w:val="18"/>
              </w:rPr>
              <w:t>Variazioni congiunturali</w:t>
            </w:r>
          </w:p>
        </w:tc>
        <w:tc>
          <w:tcPr>
            <w:tcW w:w="2148" w:type="dxa"/>
            <w:gridSpan w:val="2"/>
            <w:shd w:val="clear" w:color="000000" w:fill="D9D9D9"/>
            <w:vAlign w:val="center"/>
            <w:hideMark/>
          </w:tcPr>
          <w:p w14:paraId="7A477204" w14:textId="77777777" w:rsidR="00A45941" w:rsidRPr="00DB5B05" w:rsidRDefault="00A45941" w:rsidP="00486EDA">
            <w:pPr>
              <w:widowControl/>
              <w:overflowPunct/>
              <w:autoSpaceDE/>
              <w:autoSpaceDN/>
              <w:adjustRightInd/>
              <w:spacing w:before="0" w:after="0"/>
              <w:jc w:val="right"/>
              <w:rPr>
                <w:rFonts w:ascii="Arial Narrow" w:hAnsi="Arial Narrow" w:cs="Arial"/>
                <w:b/>
                <w:bCs/>
                <w:kern w:val="0"/>
                <w:sz w:val="18"/>
                <w:szCs w:val="18"/>
              </w:rPr>
            </w:pPr>
            <w:r w:rsidRPr="00DB5B05">
              <w:rPr>
                <w:rFonts w:ascii="Arial Narrow" w:hAnsi="Arial Narrow" w:cs="Arial"/>
                <w:b/>
                <w:bCs/>
                <w:kern w:val="0"/>
                <w:sz w:val="18"/>
                <w:szCs w:val="18"/>
              </w:rPr>
              <w:t>Variazioni tendenziali</w:t>
            </w:r>
          </w:p>
        </w:tc>
        <w:tc>
          <w:tcPr>
            <w:tcW w:w="1156" w:type="dxa"/>
            <w:vMerge w:val="restart"/>
            <w:shd w:val="clear" w:color="auto" w:fill="auto"/>
            <w:vAlign w:val="center"/>
            <w:hideMark/>
          </w:tcPr>
          <w:p w14:paraId="21EDFF03" w14:textId="77777777" w:rsidR="00A45941" w:rsidRPr="00DB5B05" w:rsidRDefault="00A45941" w:rsidP="00486EDA">
            <w:pPr>
              <w:widowControl/>
              <w:overflowPunct/>
              <w:autoSpaceDE/>
              <w:autoSpaceDN/>
              <w:adjustRightInd/>
              <w:spacing w:before="40" w:after="20"/>
              <w:jc w:val="right"/>
              <w:rPr>
                <w:rFonts w:ascii="Arial Narrow" w:hAnsi="Arial Narrow" w:cs="Arial"/>
                <w:b/>
                <w:bCs/>
                <w:kern w:val="0"/>
                <w:sz w:val="18"/>
                <w:szCs w:val="18"/>
              </w:rPr>
            </w:pPr>
            <w:r w:rsidRPr="00DB5B05">
              <w:rPr>
                <w:rFonts w:ascii="Arial Narrow" w:hAnsi="Arial Narrow" w:cs="Arial"/>
                <w:b/>
                <w:bCs/>
                <w:kern w:val="0"/>
                <w:sz w:val="18"/>
                <w:szCs w:val="18"/>
              </w:rPr>
              <w:t>Inflazione acquisita</w:t>
            </w:r>
            <w:r>
              <w:rPr>
                <w:rFonts w:ascii="Arial Narrow" w:hAnsi="Arial Narrow" w:cs="Arial"/>
                <w:b/>
                <w:bCs/>
                <w:kern w:val="0"/>
                <w:sz w:val="18"/>
                <w:szCs w:val="18"/>
              </w:rPr>
              <w:t xml:space="preserve"> </w:t>
            </w:r>
            <w:r w:rsidRPr="00DB5B05">
              <w:rPr>
                <w:rFonts w:ascii="Arial Narrow" w:hAnsi="Arial Narrow" w:cs="Arial"/>
                <w:b/>
                <w:bCs/>
                <w:kern w:val="0"/>
                <w:sz w:val="18"/>
                <w:szCs w:val="18"/>
              </w:rPr>
              <w:t>a</w:t>
            </w:r>
            <w:r>
              <w:rPr>
                <w:rFonts w:ascii="Arial Narrow" w:hAnsi="Arial Narrow" w:cs="Arial"/>
                <w:b/>
                <w:bCs/>
                <w:kern w:val="0"/>
                <w:sz w:val="18"/>
                <w:szCs w:val="18"/>
              </w:rPr>
              <w:t xml:space="preserve"> gennaio</w:t>
            </w:r>
          </w:p>
        </w:tc>
      </w:tr>
      <w:tr w:rsidR="00A45941" w:rsidRPr="008814F3" w14:paraId="65BF2324" w14:textId="77777777" w:rsidTr="00486EDA">
        <w:trPr>
          <w:trHeight w:val="431"/>
          <w:jc w:val="center"/>
        </w:trPr>
        <w:tc>
          <w:tcPr>
            <w:tcW w:w="3571" w:type="dxa"/>
            <w:vMerge/>
            <w:vAlign w:val="center"/>
            <w:hideMark/>
          </w:tcPr>
          <w:p w14:paraId="7FB5AE6D" w14:textId="77777777" w:rsidR="00A45941" w:rsidRPr="008814F3" w:rsidRDefault="00A45941" w:rsidP="00486EDA">
            <w:pPr>
              <w:widowControl/>
              <w:overflowPunct/>
              <w:autoSpaceDE/>
              <w:autoSpaceDN/>
              <w:adjustRightInd/>
              <w:spacing w:before="0" w:after="0"/>
              <w:rPr>
                <w:rFonts w:ascii="Arial Narrow" w:hAnsi="Arial Narrow" w:cs="Arial"/>
                <w:b/>
                <w:bCs/>
                <w:kern w:val="0"/>
                <w:sz w:val="18"/>
                <w:szCs w:val="18"/>
              </w:rPr>
            </w:pPr>
          </w:p>
        </w:tc>
        <w:tc>
          <w:tcPr>
            <w:tcW w:w="1164" w:type="dxa"/>
            <w:vMerge/>
            <w:vAlign w:val="center"/>
            <w:hideMark/>
          </w:tcPr>
          <w:p w14:paraId="77F18B33" w14:textId="77777777" w:rsidR="00A45941" w:rsidRPr="008814F3" w:rsidRDefault="00A45941" w:rsidP="00486EDA">
            <w:pPr>
              <w:widowControl/>
              <w:overflowPunct/>
              <w:autoSpaceDE/>
              <w:autoSpaceDN/>
              <w:adjustRightInd/>
              <w:spacing w:before="0" w:after="0"/>
              <w:rPr>
                <w:rFonts w:ascii="Arial Narrow" w:hAnsi="Arial Narrow" w:cs="Arial"/>
                <w:b/>
                <w:bCs/>
                <w:kern w:val="0"/>
                <w:sz w:val="18"/>
                <w:szCs w:val="18"/>
              </w:rPr>
            </w:pPr>
          </w:p>
        </w:tc>
        <w:tc>
          <w:tcPr>
            <w:tcW w:w="1074" w:type="dxa"/>
            <w:shd w:val="clear" w:color="auto" w:fill="auto"/>
            <w:vAlign w:val="center"/>
            <w:hideMark/>
          </w:tcPr>
          <w:p w14:paraId="08760A42" w14:textId="77777777" w:rsidR="00A45941" w:rsidRPr="00DB5B05" w:rsidRDefault="00A45941" w:rsidP="00486EDA">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gen</w:t>
            </w:r>
            <w:r w:rsidRPr="00DB5B05">
              <w:rPr>
                <w:rFonts w:ascii="Arial Narrow" w:hAnsi="Arial Narrow" w:cs="Arial"/>
                <w:kern w:val="0"/>
                <w:sz w:val="18"/>
                <w:szCs w:val="18"/>
                <w:u w:val="single"/>
              </w:rPr>
              <w:t>-2</w:t>
            </w:r>
            <w:r>
              <w:rPr>
                <w:rFonts w:ascii="Arial Narrow" w:hAnsi="Arial Narrow" w:cs="Arial"/>
                <w:kern w:val="0"/>
                <w:sz w:val="18"/>
                <w:szCs w:val="18"/>
                <w:u w:val="single"/>
              </w:rPr>
              <w:t>6</w:t>
            </w:r>
          </w:p>
          <w:p w14:paraId="33743AA7" w14:textId="77777777" w:rsidR="00A45941" w:rsidRPr="00DB5B05" w:rsidRDefault="00A45941" w:rsidP="00486EDA">
            <w:pPr>
              <w:widowControl/>
              <w:overflowPunct/>
              <w:autoSpaceDE/>
              <w:autoSpaceDN/>
              <w:adjustRightInd/>
              <w:spacing w:before="40" w:after="20"/>
              <w:jc w:val="right"/>
              <w:rPr>
                <w:rFonts w:ascii="Arial Narrow" w:hAnsi="Arial Narrow" w:cs="Arial"/>
                <w:kern w:val="0"/>
                <w:sz w:val="18"/>
                <w:szCs w:val="18"/>
              </w:rPr>
            </w:pPr>
            <w:r>
              <w:rPr>
                <w:rFonts w:ascii="Arial Narrow" w:hAnsi="Arial Narrow" w:cs="Arial"/>
                <w:kern w:val="0"/>
                <w:sz w:val="18"/>
                <w:szCs w:val="18"/>
              </w:rPr>
              <w:t>dic</w:t>
            </w:r>
            <w:r w:rsidRPr="00DB5B05">
              <w:rPr>
                <w:rFonts w:ascii="Arial Narrow" w:hAnsi="Arial Narrow" w:cs="Arial"/>
                <w:kern w:val="0"/>
                <w:sz w:val="18"/>
                <w:szCs w:val="18"/>
              </w:rPr>
              <w:t>-2</w:t>
            </w:r>
            <w:r>
              <w:rPr>
                <w:rFonts w:ascii="Arial Narrow" w:hAnsi="Arial Narrow" w:cs="Arial"/>
                <w:kern w:val="0"/>
                <w:sz w:val="18"/>
                <w:szCs w:val="18"/>
              </w:rPr>
              <w:t>5</w:t>
            </w:r>
          </w:p>
        </w:tc>
        <w:tc>
          <w:tcPr>
            <w:tcW w:w="1053" w:type="dxa"/>
            <w:shd w:val="clear" w:color="auto" w:fill="auto"/>
            <w:vAlign w:val="center"/>
            <w:hideMark/>
          </w:tcPr>
          <w:p w14:paraId="0CFAE6BF" w14:textId="77777777" w:rsidR="00A45941" w:rsidRPr="00DB5B05" w:rsidRDefault="00A45941" w:rsidP="00486EDA">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gen</w:t>
            </w:r>
            <w:r w:rsidRPr="00DB5B05">
              <w:rPr>
                <w:rFonts w:ascii="Arial Narrow" w:hAnsi="Arial Narrow" w:cs="Arial"/>
                <w:kern w:val="0"/>
                <w:sz w:val="18"/>
                <w:szCs w:val="18"/>
                <w:u w:val="single"/>
              </w:rPr>
              <w:t>-2</w:t>
            </w:r>
            <w:r>
              <w:rPr>
                <w:rFonts w:ascii="Arial Narrow" w:hAnsi="Arial Narrow" w:cs="Arial"/>
                <w:kern w:val="0"/>
                <w:sz w:val="18"/>
                <w:szCs w:val="18"/>
                <w:u w:val="single"/>
              </w:rPr>
              <w:t>5</w:t>
            </w:r>
          </w:p>
          <w:p w14:paraId="1072EB35" w14:textId="77777777" w:rsidR="00A45941" w:rsidRPr="00DB5B05" w:rsidRDefault="00A45941" w:rsidP="00486EDA">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rPr>
              <w:t>dic</w:t>
            </w:r>
            <w:r w:rsidRPr="00DB5B05">
              <w:rPr>
                <w:rFonts w:ascii="Arial Narrow" w:hAnsi="Arial Narrow" w:cs="Arial"/>
                <w:kern w:val="0"/>
                <w:sz w:val="18"/>
                <w:szCs w:val="18"/>
              </w:rPr>
              <w:t>-2</w:t>
            </w:r>
            <w:r>
              <w:rPr>
                <w:rFonts w:ascii="Arial Narrow" w:hAnsi="Arial Narrow" w:cs="Arial"/>
                <w:kern w:val="0"/>
                <w:sz w:val="18"/>
                <w:szCs w:val="18"/>
              </w:rPr>
              <w:t>4</w:t>
            </w:r>
          </w:p>
        </w:tc>
        <w:tc>
          <w:tcPr>
            <w:tcW w:w="1074" w:type="dxa"/>
            <w:shd w:val="clear" w:color="auto" w:fill="auto"/>
            <w:vAlign w:val="center"/>
            <w:hideMark/>
          </w:tcPr>
          <w:p w14:paraId="23B5FE1D" w14:textId="77777777" w:rsidR="00A45941" w:rsidRPr="00DB5B05" w:rsidRDefault="00A45941" w:rsidP="00486EDA">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gen</w:t>
            </w:r>
            <w:r w:rsidRPr="00DB5B05">
              <w:rPr>
                <w:rFonts w:ascii="Arial Narrow" w:hAnsi="Arial Narrow" w:cs="Arial"/>
                <w:kern w:val="0"/>
                <w:sz w:val="18"/>
                <w:szCs w:val="18"/>
                <w:u w:val="single"/>
              </w:rPr>
              <w:t>-2</w:t>
            </w:r>
            <w:r>
              <w:rPr>
                <w:rFonts w:ascii="Arial Narrow" w:hAnsi="Arial Narrow" w:cs="Arial"/>
                <w:kern w:val="0"/>
                <w:sz w:val="18"/>
                <w:szCs w:val="18"/>
                <w:u w:val="single"/>
              </w:rPr>
              <w:t>6</w:t>
            </w:r>
          </w:p>
          <w:p w14:paraId="17E2584F" w14:textId="77777777" w:rsidR="00A45941" w:rsidRPr="00DB5B05" w:rsidRDefault="00A45941" w:rsidP="00486EDA">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rPr>
              <w:t>gen</w:t>
            </w:r>
            <w:r w:rsidRPr="00DB5B05">
              <w:rPr>
                <w:rFonts w:ascii="Arial Narrow" w:hAnsi="Arial Narrow" w:cs="Arial"/>
                <w:kern w:val="0"/>
                <w:sz w:val="18"/>
                <w:szCs w:val="18"/>
              </w:rPr>
              <w:t>-2</w:t>
            </w:r>
            <w:r>
              <w:rPr>
                <w:rFonts w:ascii="Arial Narrow" w:hAnsi="Arial Narrow" w:cs="Arial"/>
                <w:kern w:val="0"/>
                <w:sz w:val="18"/>
                <w:szCs w:val="18"/>
              </w:rPr>
              <w:t>5</w:t>
            </w:r>
          </w:p>
        </w:tc>
        <w:tc>
          <w:tcPr>
            <w:tcW w:w="1074" w:type="dxa"/>
            <w:shd w:val="clear" w:color="auto" w:fill="auto"/>
            <w:vAlign w:val="center"/>
            <w:hideMark/>
          </w:tcPr>
          <w:p w14:paraId="616283E6" w14:textId="77777777" w:rsidR="00A45941" w:rsidRPr="00DB5B05" w:rsidRDefault="00A45941" w:rsidP="00486EDA">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u w:val="single"/>
              </w:rPr>
              <w:t>dic</w:t>
            </w:r>
            <w:r w:rsidRPr="00DB5B05">
              <w:rPr>
                <w:rFonts w:ascii="Arial Narrow" w:hAnsi="Arial Narrow" w:cs="Arial"/>
                <w:kern w:val="0"/>
                <w:sz w:val="18"/>
                <w:szCs w:val="18"/>
                <w:u w:val="single"/>
              </w:rPr>
              <w:t>-2</w:t>
            </w:r>
            <w:r>
              <w:rPr>
                <w:rFonts w:ascii="Arial Narrow" w:hAnsi="Arial Narrow" w:cs="Arial"/>
                <w:kern w:val="0"/>
                <w:sz w:val="18"/>
                <w:szCs w:val="18"/>
                <w:u w:val="single"/>
              </w:rPr>
              <w:t>5</w:t>
            </w:r>
          </w:p>
          <w:p w14:paraId="1B6AE70C" w14:textId="77777777" w:rsidR="00A45941" w:rsidRPr="00DB5B05" w:rsidRDefault="00A45941" w:rsidP="00486EDA">
            <w:pPr>
              <w:widowControl/>
              <w:overflowPunct/>
              <w:autoSpaceDE/>
              <w:autoSpaceDN/>
              <w:adjustRightInd/>
              <w:spacing w:before="40" w:after="20"/>
              <w:jc w:val="right"/>
              <w:rPr>
                <w:rFonts w:ascii="Arial Narrow" w:hAnsi="Arial Narrow" w:cs="Arial"/>
                <w:kern w:val="0"/>
                <w:sz w:val="18"/>
                <w:szCs w:val="18"/>
                <w:u w:val="single"/>
              </w:rPr>
            </w:pPr>
            <w:r>
              <w:rPr>
                <w:rFonts w:ascii="Arial Narrow" w:hAnsi="Arial Narrow" w:cs="Arial"/>
                <w:kern w:val="0"/>
                <w:sz w:val="18"/>
                <w:szCs w:val="18"/>
              </w:rPr>
              <w:t>dic</w:t>
            </w:r>
            <w:r w:rsidRPr="00DB5B05">
              <w:rPr>
                <w:rFonts w:ascii="Arial Narrow" w:hAnsi="Arial Narrow" w:cs="Arial"/>
                <w:kern w:val="0"/>
                <w:sz w:val="18"/>
                <w:szCs w:val="18"/>
              </w:rPr>
              <w:t>-2</w:t>
            </w:r>
            <w:r>
              <w:rPr>
                <w:rFonts w:ascii="Arial Narrow" w:hAnsi="Arial Narrow" w:cs="Arial"/>
                <w:kern w:val="0"/>
                <w:sz w:val="18"/>
                <w:szCs w:val="18"/>
              </w:rPr>
              <w:t>4</w:t>
            </w:r>
          </w:p>
        </w:tc>
        <w:tc>
          <w:tcPr>
            <w:tcW w:w="1156" w:type="dxa"/>
            <w:vMerge/>
            <w:shd w:val="clear" w:color="auto" w:fill="auto"/>
            <w:vAlign w:val="center"/>
            <w:hideMark/>
          </w:tcPr>
          <w:p w14:paraId="6F2E7EB0" w14:textId="77777777" w:rsidR="00A45941" w:rsidRPr="00DB5B05" w:rsidRDefault="00A45941" w:rsidP="00486EDA">
            <w:pPr>
              <w:widowControl/>
              <w:overflowPunct/>
              <w:autoSpaceDE/>
              <w:autoSpaceDN/>
              <w:adjustRightInd/>
              <w:spacing w:before="0" w:after="0"/>
              <w:jc w:val="right"/>
              <w:rPr>
                <w:rFonts w:ascii="Arial Narrow" w:hAnsi="Arial Narrow" w:cs="Arial"/>
                <w:b/>
                <w:bCs/>
                <w:kern w:val="0"/>
                <w:sz w:val="18"/>
                <w:szCs w:val="18"/>
              </w:rPr>
            </w:pPr>
          </w:p>
        </w:tc>
      </w:tr>
      <w:tr w:rsidR="00902654" w:rsidRPr="006E630A" w14:paraId="5F4C6BF6" w14:textId="77777777" w:rsidTr="006169B5">
        <w:trPr>
          <w:trHeight w:val="255"/>
          <w:jc w:val="center"/>
        </w:trPr>
        <w:tc>
          <w:tcPr>
            <w:tcW w:w="3571" w:type="dxa"/>
            <w:shd w:val="clear" w:color="auto" w:fill="auto"/>
            <w:vAlign w:val="center"/>
            <w:hideMark/>
          </w:tcPr>
          <w:p w14:paraId="70B409FF" w14:textId="77777777" w:rsidR="00902654" w:rsidRPr="008814F3" w:rsidRDefault="00902654" w:rsidP="00902654">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Prodotti alimentari e bevande analcoliche</w:t>
            </w:r>
          </w:p>
        </w:tc>
        <w:tc>
          <w:tcPr>
            <w:tcW w:w="1164" w:type="dxa"/>
            <w:shd w:val="clear" w:color="000000" w:fill="D9D9D9"/>
            <w:vAlign w:val="center"/>
          </w:tcPr>
          <w:p w14:paraId="45F06762" w14:textId="377C97A0"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178.511</w:t>
            </w:r>
          </w:p>
        </w:tc>
        <w:tc>
          <w:tcPr>
            <w:tcW w:w="1074" w:type="dxa"/>
            <w:shd w:val="clear" w:color="auto" w:fill="auto"/>
            <w:vAlign w:val="center"/>
          </w:tcPr>
          <w:p w14:paraId="32BAFC3C" w14:textId="7BC5829F"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1</w:t>
            </w:r>
            <w:r>
              <w:rPr>
                <w:rFonts w:ascii="Arial Narrow" w:hAnsi="Arial Narrow" w:cs="Calibri"/>
                <w:sz w:val="18"/>
                <w:szCs w:val="18"/>
              </w:rPr>
              <w:t>,0</w:t>
            </w:r>
          </w:p>
        </w:tc>
        <w:tc>
          <w:tcPr>
            <w:tcW w:w="1053" w:type="dxa"/>
            <w:shd w:val="clear" w:color="auto" w:fill="D9D9D9" w:themeFill="background1" w:themeFillShade="D9"/>
            <w:vAlign w:val="center"/>
          </w:tcPr>
          <w:p w14:paraId="4A6B5746" w14:textId="6B797AD5"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74" w:type="dxa"/>
            <w:shd w:val="clear" w:color="auto" w:fill="auto"/>
            <w:vAlign w:val="center"/>
          </w:tcPr>
          <w:p w14:paraId="12FFEB3B" w14:textId="2F2F6D80"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2,5</w:t>
            </w:r>
          </w:p>
        </w:tc>
        <w:tc>
          <w:tcPr>
            <w:tcW w:w="1074" w:type="dxa"/>
            <w:shd w:val="clear" w:color="000000" w:fill="D9D9D9"/>
            <w:vAlign w:val="center"/>
          </w:tcPr>
          <w:p w14:paraId="7EEFDEE4" w14:textId="7C1D0AEB"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156" w:type="dxa"/>
            <w:shd w:val="clear" w:color="auto" w:fill="auto"/>
            <w:vAlign w:val="center"/>
          </w:tcPr>
          <w:p w14:paraId="5346D454" w14:textId="7CAE00C3"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1,5</w:t>
            </w:r>
          </w:p>
        </w:tc>
      </w:tr>
      <w:tr w:rsidR="00902654" w:rsidRPr="00FB460C" w14:paraId="2F4B304D" w14:textId="77777777" w:rsidTr="006169B5">
        <w:trPr>
          <w:trHeight w:val="255"/>
          <w:jc w:val="center"/>
        </w:trPr>
        <w:tc>
          <w:tcPr>
            <w:tcW w:w="3571" w:type="dxa"/>
            <w:shd w:val="clear" w:color="auto" w:fill="auto"/>
            <w:vAlign w:val="center"/>
            <w:hideMark/>
          </w:tcPr>
          <w:p w14:paraId="11D6A738" w14:textId="77777777" w:rsidR="00902654" w:rsidRPr="008814F3" w:rsidRDefault="00902654" w:rsidP="00902654">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Bevande alcoliche</w:t>
            </w:r>
            <w:r>
              <w:rPr>
                <w:rFonts w:ascii="Arial Narrow" w:hAnsi="Arial Narrow" w:cs="Arial"/>
                <w:kern w:val="0"/>
                <w:sz w:val="18"/>
                <w:szCs w:val="18"/>
              </w:rPr>
              <w:t>,</w:t>
            </w:r>
            <w:r w:rsidRPr="008814F3">
              <w:rPr>
                <w:rFonts w:ascii="Arial Narrow" w:hAnsi="Arial Narrow" w:cs="Arial"/>
                <w:kern w:val="0"/>
                <w:sz w:val="18"/>
                <w:szCs w:val="18"/>
              </w:rPr>
              <w:t xml:space="preserve"> tabac</w:t>
            </w:r>
            <w:r>
              <w:rPr>
                <w:rFonts w:ascii="Arial Narrow" w:hAnsi="Arial Narrow" w:cs="Arial"/>
                <w:kern w:val="0"/>
                <w:sz w:val="18"/>
                <w:szCs w:val="18"/>
              </w:rPr>
              <w:t>co e droghe</w:t>
            </w:r>
          </w:p>
        </w:tc>
        <w:tc>
          <w:tcPr>
            <w:tcW w:w="1164" w:type="dxa"/>
            <w:shd w:val="clear" w:color="000000" w:fill="D9D9D9"/>
            <w:vAlign w:val="center"/>
          </w:tcPr>
          <w:p w14:paraId="72D9C391" w14:textId="41D1B628"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30.315</w:t>
            </w:r>
          </w:p>
        </w:tc>
        <w:tc>
          <w:tcPr>
            <w:tcW w:w="1074" w:type="dxa"/>
            <w:shd w:val="clear" w:color="auto" w:fill="auto"/>
            <w:vAlign w:val="center"/>
          </w:tcPr>
          <w:p w14:paraId="273082AB" w14:textId="63310186"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0,8</w:t>
            </w:r>
          </w:p>
        </w:tc>
        <w:tc>
          <w:tcPr>
            <w:tcW w:w="1053" w:type="dxa"/>
            <w:shd w:val="clear" w:color="auto" w:fill="D9D9D9" w:themeFill="background1" w:themeFillShade="D9"/>
            <w:vAlign w:val="center"/>
          </w:tcPr>
          <w:p w14:paraId="0B11B0AB" w14:textId="2E6A20CF"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74" w:type="dxa"/>
            <w:shd w:val="clear" w:color="auto" w:fill="auto"/>
            <w:vAlign w:val="center"/>
          </w:tcPr>
          <w:p w14:paraId="40B33BBB" w14:textId="4988955A"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1,9</w:t>
            </w:r>
          </w:p>
        </w:tc>
        <w:tc>
          <w:tcPr>
            <w:tcW w:w="1074" w:type="dxa"/>
            <w:shd w:val="clear" w:color="000000" w:fill="D9D9D9"/>
            <w:vAlign w:val="center"/>
          </w:tcPr>
          <w:p w14:paraId="370743D5" w14:textId="0138C56C"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156" w:type="dxa"/>
            <w:shd w:val="clear" w:color="auto" w:fill="auto"/>
            <w:vAlign w:val="center"/>
          </w:tcPr>
          <w:p w14:paraId="2CC2267C" w14:textId="3A602569"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0,3</w:t>
            </w:r>
          </w:p>
        </w:tc>
      </w:tr>
      <w:tr w:rsidR="00902654" w:rsidRPr="00FB460C" w14:paraId="6C270E16" w14:textId="77777777" w:rsidTr="006169B5">
        <w:trPr>
          <w:trHeight w:val="255"/>
          <w:jc w:val="center"/>
        </w:trPr>
        <w:tc>
          <w:tcPr>
            <w:tcW w:w="3571" w:type="dxa"/>
            <w:shd w:val="clear" w:color="auto" w:fill="auto"/>
            <w:vAlign w:val="center"/>
            <w:hideMark/>
          </w:tcPr>
          <w:p w14:paraId="7288B7DC" w14:textId="77777777" w:rsidR="00902654" w:rsidRPr="008814F3" w:rsidRDefault="00902654" w:rsidP="00902654">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Abbigliamento e calzature</w:t>
            </w:r>
          </w:p>
        </w:tc>
        <w:tc>
          <w:tcPr>
            <w:tcW w:w="1164" w:type="dxa"/>
            <w:shd w:val="clear" w:color="000000" w:fill="D9D9D9"/>
            <w:vAlign w:val="center"/>
          </w:tcPr>
          <w:p w14:paraId="0202747A" w14:textId="2545FEFD"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67.862</w:t>
            </w:r>
          </w:p>
        </w:tc>
        <w:tc>
          <w:tcPr>
            <w:tcW w:w="1074" w:type="dxa"/>
            <w:shd w:val="clear" w:color="auto" w:fill="auto"/>
            <w:vAlign w:val="center"/>
          </w:tcPr>
          <w:p w14:paraId="333B220C" w14:textId="78410F2C"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-18,4</w:t>
            </w:r>
          </w:p>
        </w:tc>
        <w:tc>
          <w:tcPr>
            <w:tcW w:w="1053" w:type="dxa"/>
            <w:shd w:val="clear" w:color="000000" w:fill="D9D9D9"/>
            <w:vAlign w:val="center"/>
          </w:tcPr>
          <w:p w14:paraId="7E95E2E6" w14:textId="3879808A"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74" w:type="dxa"/>
            <w:shd w:val="clear" w:color="auto" w:fill="auto"/>
            <w:vAlign w:val="center"/>
          </w:tcPr>
          <w:p w14:paraId="572E9FC4" w14:textId="02E739DC"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2</w:t>
            </w:r>
            <w:r>
              <w:rPr>
                <w:rFonts w:ascii="Arial Narrow" w:hAnsi="Arial Narrow" w:cs="Calibri"/>
                <w:sz w:val="18"/>
                <w:szCs w:val="18"/>
              </w:rPr>
              <w:t>,0</w:t>
            </w:r>
          </w:p>
        </w:tc>
        <w:tc>
          <w:tcPr>
            <w:tcW w:w="1074" w:type="dxa"/>
            <w:shd w:val="clear" w:color="000000" w:fill="D9D9D9"/>
            <w:vAlign w:val="center"/>
          </w:tcPr>
          <w:p w14:paraId="32B4191E" w14:textId="79FA7102"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156" w:type="dxa"/>
            <w:shd w:val="clear" w:color="auto" w:fill="auto"/>
            <w:vAlign w:val="center"/>
          </w:tcPr>
          <w:p w14:paraId="4234517D" w14:textId="1C363398"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-11,4</w:t>
            </w:r>
          </w:p>
        </w:tc>
      </w:tr>
      <w:tr w:rsidR="00902654" w:rsidRPr="00FB460C" w14:paraId="6E0F02BB" w14:textId="77777777" w:rsidTr="006169B5">
        <w:trPr>
          <w:trHeight w:val="255"/>
          <w:jc w:val="center"/>
        </w:trPr>
        <w:tc>
          <w:tcPr>
            <w:tcW w:w="3571" w:type="dxa"/>
            <w:shd w:val="clear" w:color="auto" w:fill="auto"/>
            <w:vAlign w:val="center"/>
            <w:hideMark/>
          </w:tcPr>
          <w:p w14:paraId="31544E7D" w14:textId="77777777" w:rsidR="00902654" w:rsidRPr="008814F3" w:rsidRDefault="00902654" w:rsidP="00902654">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Abitazione, acqua, elettricità</w:t>
            </w:r>
            <w:r>
              <w:rPr>
                <w:rFonts w:ascii="Arial Narrow" w:hAnsi="Arial Narrow" w:cs="Arial"/>
                <w:kern w:val="0"/>
                <w:sz w:val="18"/>
                <w:szCs w:val="18"/>
              </w:rPr>
              <w:t>, gas e altri</w:t>
            </w:r>
            <w:r w:rsidRPr="008814F3">
              <w:rPr>
                <w:rFonts w:ascii="Arial Narrow" w:hAnsi="Arial Narrow" w:cs="Arial"/>
                <w:kern w:val="0"/>
                <w:sz w:val="18"/>
                <w:szCs w:val="18"/>
              </w:rPr>
              <w:t xml:space="preserve"> combustibili</w:t>
            </w:r>
          </w:p>
        </w:tc>
        <w:tc>
          <w:tcPr>
            <w:tcW w:w="1164" w:type="dxa"/>
            <w:shd w:val="clear" w:color="000000" w:fill="D9D9D9"/>
            <w:vAlign w:val="center"/>
          </w:tcPr>
          <w:p w14:paraId="0A53EBDA" w14:textId="0953FD51"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124.289</w:t>
            </w:r>
          </w:p>
        </w:tc>
        <w:tc>
          <w:tcPr>
            <w:tcW w:w="1074" w:type="dxa"/>
            <w:shd w:val="clear" w:color="auto" w:fill="auto"/>
            <w:vAlign w:val="center"/>
          </w:tcPr>
          <w:p w14:paraId="508BC6E3" w14:textId="7A6AE1A7"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3</w:t>
            </w:r>
            <w:r>
              <w:rPr>
                <w:rFonts w:ascii="Arial Narrow" w:hAnsi="Arial Narrow" w:cs="Calibri"/>
                <w:sz w:val="18"/>
                <w:szCs w:val="18"/>
              </w:rPr>
              <w:t>,0</w:t>
            </w:r>
          </w:p>
        </w:tc>
        <w:tc>
          <w:tcPr>
            <w:tcW w:w="1053" w:type="dxa"/>
            <w:shd w:val="clear" w:color="000000" w:fill="D9D9D9"/>
            <w:vAlign w:val="center"/>
          </w:tcPr>
          <w:p w14:paraId="1D59D140" w14:textId="2844F1B8"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74" w:type="dxa"/>
            <w:shd w:val="clear" w:color="auto" w:fill="auto"/>
            <w:vAlign w:val="center"/>
          </w:tcPr>
          <w:p w14:paraId="19BD557A" w14:textId="2DAAB38F"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-1,3</w:t>
            </w:r>
          </w:p>
        </w:tc>
        <w:tc>
          <w:tcPr>
            <w:tcW w:w="1074" w:type="dxa"/>
            <w:shd w:val="clear" w:color="000000" w:fill="D9D9D9"/>
            <w:vAlign w:val="center"/>
          </w:tcPr>
          <w:p w14:paraId="0F84D8E7" w14:textId="17CE6373"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156" w:type="dxa"/>
            <w:shd w:val="clear" w:color="auto" w:fill="auto"/>
            <w:vAlign w:val="center"/>
          </w:tcPr>
          <w:p w14:paraId="7681D681" w14:textId="15880EA1"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1,5</w:t>
            </w:r>
          </w:p>
        </w:tc>
      </w:tr>
      <w:tr w:rsidR="00902654" w:rsidRPr="00FB460C" w14:paraId="1490B724" w14:textId="77777777" w:rsidTr="006169B5">
        <w:trPr>
          <w:trHeight w:val="255"/>
          <w:jc w:val="center"/>
        </w:trPr>
        <w:tc>
          <w:tcPr>
            <w:tcW w:w="3571" w:type="dxa"/>
            <w:shd w:val="clear" w:color="auto" w:fill="auto"/>
            <w:vAlign w:val="center"/>
            <w:hideMark/>
          </w:tcPr>
          <w:p w14:paraId="50E8A11D" w14:textId="77777777" w:rsidR="00902654" w:rsidRPr="008814F3" w:rsidRDefault="00902654" w:rsidP="00902654">
            <w:pPr>
              <w:widowControl/>
              <w:overflowPunct/>
              <w:autoSpaceDE/>
              <w:autoSpaceDN/>
              <w:adjustRightInd/>
              <w:spacing w:before="0" w:after="0"/>
              <w:rPr>
                <w:rFonts w:ascii="Arial Narrow" w:hAnsi="Arial Narrow" w:cs="Arial"/>
                <w:kern w:val="0"/>
                <w:sz w:val="18"/>
                <w:szCs w:val="18"/>
              </w:rPr>
            </w:pPr>
            <w:r>
              <w:rPr>
                <w:rFonts w:ascii="Arial Narrow" w:hAnsi="Arial Narrow" w:cs="Arial"/>
                <w:kern w:val="0"/>
                <w:sz w:val="18"/>
                <w:szCs w:val="18"/>
              </w:rPr>
              <w:t>Arredamenti, apparecchi per uso domestico e manutenzione corrente dell’abitazione</w:t>
            </w:r>
          </w:p>
        </w:tc>
        <w:tc>
          <w:tcPr>
            <w:tcW w:w="1164" w:type="dxa"/>
            <w:shd w:val="clear" w:color="000000" w:fill="D9D9D9"/>
            <w:vAlign w:val="center"/>
          </w:tcPr>
          <w:p w14:paraId="0779C602" w14:textId="7629B1E3"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70.569</w:t>
            </w:r>
          </w:p>
        </w:tc>
        <w:tc>
          <w:tcPr>
            <w:tcW w:w="1074" w:type="dxa"/>
            <w:shd w:val="clear" w:color="auto" w:fill="auto"/>
            <w:vAlign w:val="center"/>
          </w:tcPr>
          <w:p w14:paraId="65ADE07D" w14:textId="08B736D1"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-0,3</w:t>
            </w:r>
          </w:p>
        </w:tc>
        <w:tc>
          <w:tcPr>
            <w:tcW w:w="1053" w:type="dxa"/>
            <w:shd w:val="clear" w:color="000000" w:fill="D9D9D9"/>
            <w:vAlign w:val="center"/>
          </w:tcPr>
          <w:p w14:paraId="5A8A0A3A" w14:textId="77F9F389"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74" w:type="dxa"/>
            <w:shd w:val="clear" w:color="auto" w:fill="auto"/>
            <w:vAlign w:val="center"/>
          </w:tcPr>
          <w:p w14:paraId="7CB745B5" w14:textId="7BA36CAF"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0,2</w:t>
            </w:r>
          </w:p>
        </w:tc>
        <w:tc>
          <w:tcPr>
            <w:tcW w:w="1074" w:type="dxa"/>
            <w:shd w:val="clear" w:color="000000" w:fill="D9D9D9"/>
            <w:vAlign w:val="center"/>
          </w:tcPr>
          <w:p w14:paraId="1DFA2D83" w14:textId="63C9EC3F"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156" w:type="dxa"/>
            <w:shd w:val="clear" w:color="auto" w:fill="auto"/>
            <w:vAlign w:val="center"/>
          </w:tcPr>
          <w:p w14:paraId="21B0BEB4" w14:textId="72F9F438"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-0,1</w:t>
            </w:r>
          </w:p>
        </w:tc>
      </w:tr>
      <w:tr w:rsidR="00902654" w:rsidRPr="00FB460C" w14:paraId="71D3BC97" w14:textId="77777777" w:rsidTr="006169B5">
        <w:trPr>
          <w:trHeight w:val="255"/>
          <w:jc w:val="center"/>
        </w:trPr>
        <w:tc>
          <w:tcPr>
            <w:tcW w:w="3571" w:type="dxa"/>
            <w:shd w:val="clear" w:color="auto" w:fill="auto"/>
            <w:vAlign w:val="center"/>
            <w:hideMark/>
          </w:tcPr>
          <w:p w14:paraId="0ECE98F4" w14:textId="77777777" w:rsidR="00902654" w:rsidRPr="008814F3" w:rsidRDefault="00902654" w:rsidP="00902654">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S</w:t>
            </w:r>
            <w:r>
              <w:rPr>
                <w:rFonts w:ascii="Arial Narrow" w:hAnsi="Arial Narrow" w:cs="Arial"/>
                <w:kern w:val="0"/>
                <w:sz w:val="18"/>
                <w:szCs w:val="18"/>
              </w:rPr>
              <w:t>anità</w:t>
            </w:r>
          </w:p>
        </w:tc>
        <w:tc>
          <w:tcPr>
            <w:tcW w:w="1164" w:type="dxa"/>
            <w:shd w:val="clear" w:color="000000" w:fill="D9D9D9"/>
            <w:vAlign w:val="center"/>
          </w:tcPr>
          <w:p w14:paraId="26CE76F3" w14:textId="389A4AC6"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39.998</w:t>
            </w:r>
          </w:p>
        </w:tc>
        <w:tc>
          <w:tcPr>
            <w:tcW w:w="1074" w:type="dxa"/>
            <w:shd w:val="clear" w:color="auto" w:fill="auto"/>
            <w:vAlign w:val="center"/>
          </w:tcPr>
          <w:p w14:paraId="59B6057E" w14:textId="715FBF4C"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0,3</w:t>
            </w:r>
          </w:p>
        </w:tc>
        <w:tc>
          <w:tcPr>
            <w:tcW w:w="1053" w:type="dxa"/>
            <w:shd w:val="clear" w:color="000000" w:fill="D9D9D9"/>
            <w:vAlign w:val="center"/>
          </w:tcPr>
          <w:p w14:paraId="36FD9BF9" w14:textId="4B00CADA"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74" w:type="dxa"/>
            <w:shd w:val="clear" w:color="auto" w:fill="auto"/>
            <w:vAlign w:val="center"/>
          </w:tcPr>
          <w:p w14:paraId="3A557A32" w14:textId="478D6585"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2,3</w:t>
            </w:r>
          </w:p>
        </w:tc>
        <w:tc>
          <w:tcPr>
            <w:tcW w:w="1074" w:type="dxa"/>
            <w:shd w:val="clear" w:color="000000" w:fill="D9D9D9"/>
            <w:vAlign w:val="center"/>
          </w:tcPr>
          <w:p w14:paraId="7C3DA8BA" w14:textId="547912F0"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156" w:type="dxa"/>
            <w:shd w:val="clear" w:color="auto" w:fill="auto"/>
            <w:vAlign w:val="center"/>
          </w:tcPr>
          <w:p w14:paraId="647EDC3B" w14:textId="1FA5F608"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0,9</w:t>
            </w:r>
          </w:p>
        </w:tc>
      </w:tr>
      <w:tr w:rsidR="00902654" w:rsidRPr="00FB460C" w14:paraId="7FD8F4F0" w14:textId="77777777" w:rsidTr="006169B5">
        <w:trPr>
          <w:trHeight w:val="255"/>
          <w:jc w:val="center"/>
        </w:trPr>
        <w:tc>
          <w:tcPr>
            <w:tcW w:w="3571" w:type="dxa"/>
            <w:shd w:val="clear" w:color="auto" w:fill="auto"/>
            <w:vAlign w:val="center"/>
            <w:hideMark/>
          </w:tcPr>
          <w:p w14:paraId="62F6E20B" w14:textId="77777777" w:rsidR="00902654" w:rsidRPr="008814F3" w:rsidRDefault="00902654" w:rsidP="00902654">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Trasporti</w:t>
            </w:r>
          </w:p>
        </w:tc>
        <w:tc>
          <w:tcPr>
            <w:tcW w:w="1164" w:type="dxa"/>
            <w:shd w:val="clear" w:color="000000" w:fill="D9D9D9"/>
            <w:vAlign w:val="center"/>
          </w:tcPr>
          <w:p w14:paraId="344A9D22" w14:textId="12336AC5"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160.752</w:t>
            </w:r>
          </w:p>
        </w:tc>
        <w:tc>
          <w:tcPr>
            <w:tcW w:w="1074" w:type="dxa"/>
            <w:shd w:val="clear" w:color="auto" w:fill="auto"/>
            <w:vAlign w:val="center"/>
          </w:tcPr>
          <w:p w14:paraId="2D7AF2BA" w14:textId="63E49167"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-2,3</w:t>
            </w:r>
          </w:p>
        </w:tc>
        <w:tc>
          <w:tcPr>
            <w:tcW w:w="1053" w:type="dxa"/>
            <w:shd w:val="clear" w:color="000000" w:fill="D9D9D9"/>
            <w:vAlign w:val="center"/>
          </w:tcPr>
          <w:p w14:paraId="60BE8716" w14:textId="7872DF3D"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74" w:type="dxa"/>
            <w:shd w:val="clear" w:color="auto" w:fill="auto"/>
            <w:vAlign w:val="center"/>
          </w:tcPr>
          <w:p w14:paraId="085135B5" w14:textId="52AB05D8"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-1,4</w:t>
            </w:r>
          </w:p>
        </w:tc>
        <w:tc>
          <w:tcPr>
            <w:tcW w:w="1074" w:type="dxa"/>
            <w:shd w:val="clear" w:color="000000" w:fill="D9D9D9"/>
            <w:vAlign w:val="center"/>
          </w:tcPr>
          <w:p w14:paraId="2E8604A5" w14:textId="43D86A2A"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156" w:type="dxa"/>
            <w:shd w:val="clear" w:color="auto" w:fill="auto"/>
            <w:vAlign w:val="center"/>
          </w:tcPr>
          <w:p w14:paraId="666D0801" w14:textId="7A998F3A"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-1,8</w:t>
            </w:r>
          </w:p>
        </w:tc>
      </w:tr>
      <w:tr w:rsidR="00902654" w:rsidRPr="00FB460C" w14:paraId="0D2546C3" w14:textId="77777777" w:rsidTr="006169B5">
        <w:trPr>
          <w:trHeight w:val="255"/>
          <w:jc w:val="center"/>
        </w:trPr>
        <w:tc>
          <w:tcPr>
            <w:tcW w:w="3571" w:type="dxa"/>
            <w:shd w:val="clear" w:color="auto" w:fill="auto"/>
            <w:vAlign w:val="center"/>
            <w:hideMark/>
          </w:tcPr>
          <w:p w14:paraId="41398E94" w14:textId="77777777" w:rsidR="00902654" w:rsidRPr="008814F3" w:rsidRDefault="00902654" w:rsidP="00902654">
            <w:pPr>
              <w:widowControl/>
              <w:overflowPunct/>
              <w:autoSpaceDE/>
              <w:autoSpaceDN/>
              <w:adjustRightInd/>
              <w:spacing w:before="0" w:after="0"/>
              <w:rPr>
                <w:rFonts w:ascii="Arial Narrow" w:hAnsi="Arial Narrow" w:cs="Arial"/>
                <w:kern w:val="0"/>
                <w:sz w:val="18"/>
                <w:szCs w:val="18"/>
              </w:rPr>
            </w:pPr>
            <w:r>
              <w:rPr>
                <w:rFonts w:ascii="Arial Narrow" w:hAnsi="Arial Narrow" w:cs="Arial"/>
                <w:kern w:val="0"/>
                <w:sz w:val="18"/>
                <w:szCs w:val="18"/>
              </w:rPr>
              <w:t>Informazione e c</w:t>
            </w:r>
            <w:r w:rsidRPr="008814F3">
              <w:rPr>
                <w:rFonts w:ascii="Arial Narrow" w:hAnsi="Arial Narrow" w:cs="Arial"/>
                <w:kern w:val="0"/>
                <w:sz w:val="18"/>
                <w:szCs w:val="18"/>
              </w:rPr>
              <w:t>omunicazion</w:t>
            </w:r>
            <w:r>
              <w:rPr>
                <w:rFonts w:ascii="Arial Narrow" w:hAnsi="Arial Narrow" w:cs="Arial"/>
                <w:kern w:val="0"/>
                <w:sz w:val="18"/>
                <w:szCs w:val="18"/>
              </w:rPr>
              <w:t>e</w:t>
            </w:r>
          </w:p>
        </w:tc>
        <w:tc>
          <w:tcPr>
            <w:tcW w:w="1164" w:type="dxa"/>
            <w:shd w:val="clear" w:color="000000" w:fill="D9D9D9"/>
            <w:vAlign w:val="center"/>
          </w:tcPr>
          <w:p w14:paraId="581F931D" w14:textId="5993BD10"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28.772</w:t>
            </w:r>
          </w:p>
        </w:tc>
        <w:tc>
          <w:tcPr>
            <w:tcW w:w="1074" w:type="dxa"/>
            <w:shd w:val="clear" w:color="auto" w:fill="auto"/>
            <w:vAlign w:val="center"/>
          </w:tcPr>
          <w:p w14:paraId="4E5BA716" w14:textId="013ABBBA"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0,9</w:t>
            </w:r>
          </w:p>
        </w:tc>
        <w:tc>
          <w:tcPr>
            <w:tcW w:w="1053" w:type="dxa"/>
            <w:shd w:val="clear" w:color="000000" w:fill="D9D9D9"/>
            <w:vAlign w:val="center"/>
          </w:tcPr>
          <w:p w14:paraId="2D25D1E2" w14:textId="69EB2364"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74" w:type="dxa"/>
            <w:shd w:val="clear" w:color="auto" w:fill="auto"/>
            <w:vAlign w:val="center"/>
          </w:tcPr>
          <w:p w14:paraId="1EF18B3E" w14:textId="167A9120"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-4,6</w:t>
            </w:r>
          </w:p>
        </w:tc>
        <w:tc>
          <w:tcPr>
            <w:tcW w:w="1074" w:type="dxa"/>
            <w:shd w:val="clear" w:color="000000" w:fill="D9D9D9"/>
            <w:vAlign w:val="center"/>
          </w:tcPr>
          <w:p w14:paraId="33778F95" w14:textId="606D9317"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156" w:type="dxa"/>
            <w:shd w:val="clear" w:color="auto" w:fill="auto"/>
            <w:vAlign w:val="center"/>
          </w:tcPr>
          <w:p w14:paraId="0CCC1A9A" w14:textId="70189463"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-1,9</w:t>
            </w:r>
          </w:p>
        </w:tc>
      </w:tr>
      <w:tr w:rsidR="00902654" w:rsidRPr="00FB460C" w14:paraId="160AC95D" w14:textId="77777777" w:rsidTr="006169B5">
        <w:trPr>
          <w:trHeight w:val="255"/>
          <w:jc w:val="center"/>
        </w:trPr>
        <w:tc>
          <w:tcPr>
            <w:tcW w:w="3571" w:type="dxa"/>
            <w:shd w:val="clear" w:color="auto" w:fill="auto"/>
            <w:vAlign w:val="center"/>
            <w:hideMark/>
          </w:tcPr>
          <w:p w14:paraId="6A185EE2" w14:textId="77777777" w:rsidR="00902654" w:rsidRPr="008814F3" w:rsidRDefault="00902654" w:rsidP="00902654">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 xml:space="preserve">Ricreazione, </w:t>
            </w:r>
            <w:r>
              <w:rPr>
                <w:rFonts w:ascii="Arial Narrow" w:hAnsi="Arial Narrow" w:cs="Arial"/>
                <w:kern w:val="0"/>
                <w:sz w:val="18"/>
                <w:szCs w:val="18"/>
              </w:rPr>
              <w:t>sport</w:t>
            </w:r>
            <w:r w:rsidRPr="008814F3">
              <w:rPr>
                <w:rFonts w:ascii="Arial Narrow" w:hAnsi="Arial Narrow" w:cs="Arial"/>
                <w:kern w:val="0"/>
                <w:sz w:val="18"/>
                <w:szCs w:val="18"/>
              </w:rPr>
              <w:t xml:space="preserve"> e cultura</w:t>
            </w:r>
          </w:p>
        </w:tc>
        <w:tc>
          <w:tcPr>
            <w:tcW w:w="1164" w:type="dxa"/>
            <w:shd w:val="clear" w:color="000000" w:fill="D9D9D9"/>
            <w:vAlign w:val="center"/>
          </w:tcPr>
          <w:p w14:paraId="43FCFF35" w14:textId="13C9032E"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58.705</w:t>
            </w:r>
          </w:p>
        </w:tc>
        <w:tc>
          <w:tcPr>
            <w:tcW w:w="1074" w:type="dxa"/>
            <w:shd w:val="clear" w:color="auto" w:fill="auto"/>
            <w:vAlign w:val="center"/>
          </w:tcPr>
          <w:p w14:paraId="5BD77ECD" w14:textId="45407E73"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0,3</w:t>
            </w:r>
          </w:p>
        </w:tc>
        <w:tc>
          <w:tcPr>
            <w:tcW w:w="1053" w:type="dxa"/>
            <w:shd w:val="clear" w:color="000000" w:fill="D9D9D9"/>
            <w:vAlign w:val="center"/>
          </w:tcPr>
          <w:p w14:paraId="7528638C" w14:textId="7CB99375"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74" w:type="dxa"/>
            <w:shd w:val="clear" w:color="auto" w:fill="auto"/>
            <w:vAlign w:val="center"/>
          </w:tcPr>
          <w:p w14:paraId="297FF356" w14:textId="167C781C"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1,3</w:t>
            </w:r>
          </w:p>
        </w:tc>
        <w:tc>
          <w:tcPr>
            <w:tcW w:w="1074" w:type="dxa"/>
            <w:shd w:val="clear" w:color="000000" w:fill="D9D9D9"/>
            <w:vAlign w:val="center"/>
          </w:tcPr>
          <w:p w14:paraId="2CA6FF4A" w14:textId="66B0BE48"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156" w:type="dxa"/>
            <w:shd w:val="clear" w:color="auto" w:fill="auto"/>
            <w:vAlign w:val="center"/>
          </w:tcPr>
          <w:p w14:paraId="1D9C7394" w14:textId="3CDC4595"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0,4</w:t>
            </w:r>
          </w:p>
        </w:tc>
      </w:tr>
      <w:tr w:rsidR="00902654" w:rsidRPr="00FB460C" w14:paraId="58A5A60E" w14:textId="77777777" w:rsidTr="006169B5">
        <w:trPr>
          <w:trHeight w:val="255"/>
          <w:jc w:val="center"/>
        </w:trPr>
        <w:tc>
          <w:tcPr>
            <w:tcW w:w="3571" w:type="dxa"/>
            <w:shd w:val="clear" w:color="auto" w:fill="auto"/>
            <w:vAlign w:val="center"/>
            <w:hideMark/>
          </w:tcPr>
          <w:p w14:paraId="36DBAB09" w14:textId="77777777" w:rsidR="00902654" w:rsidRPr="008814F3" w:rsidRDefault="00902654" w:rsidP="00902654">
            <w:pPr>
              <w:widowControl/>
              <w:overflowPunct/>
              <w:autoSpaceDE/>
              <w:autoSpaceDN/>
              <w:adjustRightInd/>
              <w:spacing w:before="0" w:after="0"/>
              <w:rPr>
                <w:rFonts w:ascii="Arial Narrow" w:hAnsi="Arial Narrow" w:cs="Arial"/>
                <w:kern w:val="0"/>
                <w:sz w:val="18"/>
                <w:szCs w:val="18"/>
              </w:rPr>
            </w:pPr>
            <w:r>
              <w:rPr>
                <w:rFonts w:ascii="Arial Narrow" w:hAnsi="Arial Narrow" w:cs="Arial"/>
                <w:kern w:val="0"/>
                <w:sz w:val="18"/>
                <w:szCs w:val="18"/>
              </w:rPr>
              <w:t>Servizi di i</w:t>
            </w:r>
            <w:r w:rsidRPr="008814F3">
              <w:rPr>
                <w:rFonts w:ascii="Arial Narrow" w:hAnsi="Arial Narrow" w:cs="Arial"/>
                <w:kern w:val="0"/>
                <w:sz w:val="18"/>
                <w:szCs w:val="18"/>
              </w:rPr>
              <w:t>struzione</w:t>
            </w:r>
          </w:p>
        </w:tc>
        <w:tc>
          <w:tcPr>
            <w:tcW w:w="1164" w:type="dxa"/>
            <w:shd w:val="clear" w:color="000000" w:fill="D9D9D9"/>
            <w:vAlign w:val="center"/>
          </w:tcPr>
          <w:p w14:paraId="243D3F3B" w14:textId="218BB290"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9.830</w:t>
            </w:r>
          </w:p>
        </w:tc>
        <w:tc>
          <w:tcPr>
            <w:tcW w:w="1074" w:type="dxa"/>
            <w:shd w:val="clear" w:color="auto" w:fill="auto"/>
            <w:vAlign w:val="center"/>
          </w:tcPr>
          <w:p w14:paraId="5CAF6E6F" w14:textId="6B3DB501"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0</w:t>
            </w:r>
            <w:r w:rsidR="00B339E3">
              <w:rPr>
                <w:rFonts w:ascii="Arial Narrow" w:hAnsi="Arial Narrow" w:cs="Calibri"/>
                <w:sz w:val="18"/>
                <w:szCs w:val="18"/>
              </w:rPr>
              <w:t>,0</w:t>
            </w:r>
          </w:p>
        </w:tc>
        <w:tc>
          <w:tcPr>
            <w:tcW w:w="1053" w:type="dxa"/>
            <w:shd w:val="clear" w:color="000000" w:fill="D9D9D9"/>
            <w:vAlign w:val="center"/>
          </w:tcPr>
          <w:p w14:paraId="512C7469" w14:textId="765AF16D"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74" w:type="dxa"/>
            <w:shd w:val="clear" w:color="auto" w:fill="auto"/>
            <w:vAlign w:val="center"/>
          </w:tcPr>
          <w:p w14:paraId="317AC30D" w14:textId="40188704"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1,6</w:t>
            </w:r>
          </w:p>
        </w:tc>
        <w:tc>
          <w:tcPr>
            <w:tcW w:w="1074" w:type="dxa"/>
            <w:shd w:val="clear" w:color="000000" w:fill="D9D9D9"/>
            <w:vAlign w:val="center"/>
          </w:tcPr>
          <w:p w14:paraId="4D999A92" w14:textId="2580C3B3"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156" w:type="dxa"/>
            <w:shd w:val="clear" w:color="auto" w:fill="auto"/>
            <w:vAlign w:val="center"/>
          </w:tcPr>
          <w:p w14:paraId="18CBAC82" w14:textId="457224C2"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1</w:t>
            </w:r>
            <w:r>
              <w:rPr>
                <w:rFonts w:ascii="Arial Narrow" w:hAnsi="Arial Narrow" w:cs="Calibri"/>
                <w:sz w:val="18"/>
                <w:szCs w:val="18"/>
              </w:rPr>
              <w:t>,0</w:t>
            </w:r>
          </w:p>
        </w:tc>
      </w:tr>
      <w:tr w:rsidR="00902654" w:rsidRPr="00FB460C" w14:paraId="3457582A" w14:textId="77777777" w:rsidTr="006169B5">
        <w:trPr>
          <w:trHeight w:val="255"/>
          <w:jc w:val="center"/>
        </w:trPr>
        <w:tc>
          <w:tcPr>
            <w:tcW w:w="3571" w:type="dxa"/>
            <w:shd w:val="clear" w:color="auto" w:fill="auto"/>
            <w:vAlign w:val="center"/>
            <w:hideMark/>
          </w:tcPr>
          <w:p w14:paraId="65E05514" w14:textId="77777777" w:rsidR="00902654" w:rsidRPr="008814F3" w:rsidRDefault="00902654" w:rsidP="00902654">
            <w:pPr>
              <w:widowControl/>
              <w:overflowPunct/>
              <w:autoSpaceDE/>
              <w:autoSpaceDN/>
              <w:adjustRightInd/>
              <w:spacing w:before="0" w:after="0"/>
              <w:rPr>
                <w:rFonts w:ascii="Arial Narrow" w:hAnsi="Arial Narrow" w:cs="Arial"/>
                <w:kern w:val="0"/>
                <w:sz w:val="18"/>
                <w:szCs w:val="18"/>
              </w:rPr>
            </w:pPr>
            <w:r w:rsidRPr="008814F3">
              <w:rPr>
                <w:rFonts w:ascii="Arial Narrow" w:hAnsi="Arial Narrow" w:cs="Arial"/>
                <w:kern w:val="0"/>
                <w:sz w:val="18"/>
                <w:szCs w:val="18"/>
              </w:rPr>
              <w:t xml:space="preserve">Servizi </w:t>
            </w:r>
            <w:r>
              <w:rPr>
                <w:rFonts w:ascii="Arial Narrow" w:hAnsi="Arial Narrow" w:cs="Arial"/>
                <w:kern w:val="0"/>
                <w:sz w:val="18"/>
                <w:szCs w:val="18"/>
              </w:rPr>
              <w:t>di ristoranti e servizi di alloggio</w:t>
            </w:r>
          </w:p>
        </w:tc>
        <w:tc>
          <w:tcPr>
            <w:tcW w:w="1164" w:type="dxa"/>
            <w:shd w:val="clear" w:color="000000" w:fill="D9D9D9"/>
            <w:vAlign w:val="center"/>
          </w:tcPr>
          <w:p w14:paraId="6A2CD2FB" w14:textId="074DF04B"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131.056</w:t>
            </w:r>
          </w:p>
        </w:tc>
        <w:tc>
          <w:tcPr>
            <w:tcW w:w="1074" w:type="dxa"/>
            <w:shd w:val="clear" w:color="auto" w:fill="auto"/>
            <w:vAlign w:val="center"/>
          </w:tcPr>
          <w:p w14:paraId="54A6C48B" w14:textId="3955E851"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0,7</w:t>
            </w:r>
          </w:p>
        </w:tc>
        <w:tc>
          <w:tcPr>
            <w:tcW w:w="1053" w:type="dxa"/>
            <w:shd w:val="clear" w:color="000000" w:fill="D9D9D9"/>
            <w:vAlign w:val="center"/>
          </w:tcPr>
          <w:p w14:paraId="1CCEEEC7" w14:textId="19ECE19B"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74" w:type="dxa"/>
            <w:shd w:val="clear" w:color="auto" w:fill="auto"/>
            <w:vAlign w:val="center"/>
          </w:tcPr>
          <w:p w14:paraId="49AAF972" w14:textId="08006AD1"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3,5</w:t>
            </w:r>
          </w:p>
        </w:tc>
        <w:tc>
          <w:tcPr>
            <w:tcW w:w="1074" w:type="dxa"/>
            <w:shd w:val="clear" w:color="000000" w:fill="D9D9D9"/>
            <w:vAlign w:val="center"/>
          </w:tcPr>
          <w:p w14:paraId="3F306A3F" w14:textId="57E060F3"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156" w:type="dxa"/>
            <w:shd w:val="clear" w:color="auto" w:fill="auto"/>
            <w:vAlign w:val="center"/>
          </w:tcPr>
          <w:p w14:paraId="3F68D8F0" w14:textId="27C7FFD2"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-0,6</w:t>
            </w:r>
          </w:p>
        </w:tc>
      </w:tr>
      <w:tr w:rsidR="00902654" w:rsidRPr="00FB460C" w14:paraId="6A88C752" w14:textId="77777777" w:rsidTr="006169B5">
        <w:trPr>
          <w:trHeight w:val="255"/>
          <w:jc w:val="center"/>
        </w:trPr>
        <w:tc>
          <w:tcPr>
            <w:tcW w:w="3571" w:type="dxa"/>
            <w:shd w:val="clear" w:color="auto" w:fill="auto"/>
            <w:vAlign w:val="center"/>
            <w:hideMark/>
          </w:tcPr>
          <w:p w14:paraId="15DE0918" w14:textId="77777777" w:rsidR="00902654" w:rsidRPr="008814F3" w:rsidRDefault="00902654" w:rsidP="00902654">
            <w:pPr>
              <w:widowControl/>
              <w:overflowPunct/>
              <w:autoSpaceDE/>
              <w:autoSpaceDN/>
              <w:adjustRightInd/>
              <w:spacing w:before="0" w:after="0"/>
              <w:rPr>
                <w:rFonts w:ascii="Arial Narrow" w:hAnsi="Arial Narrow" w:cs="Arial"/>
                <w:kern w:val="0"/>
                <w:sz w:val="18"/>
                <w:szCs w:val="18"/>
              </w:rPr>
            </w:pPr>
            <w:r>
              <w:rPr>
                <w:rFonts w:ascii="Arial Narrow" w:hAnsi="Arial Narrow" w:cs="Arial"/>
                <w:kern w:val="0"/>
                <w:sz w:val="18"/>
                <w:szCs w:val="18"/>
              </w:rPr>
              <w:t>Servizi finanziari e assicurativi</w:t>
            </w:r>
          </w:p>
        </w:tc>
        <w:tc>
          <w:tcPr>
            <w:tcW w:w="1164" w:type="dxa"/>
            <w:shd w:val="clear" w:color="000000" w:fill="D9D9D9"/>
            <w:vAlign w:val="center"/>
          </w:tcPr>
          <w:p w14:paraId="020F9C4A" w14:textId="540826A4"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28.154</w:t>
            </w:r>
          </w:p>
        </w:tc>
        <w:tc>
          <w:tcPr>
            <w:tcW w:w="1074" w:type="dxa"/>
            <w:shd w:val="clear" w:color="auto" w:fill="auto"/>
            <w:vAlign w:val="center"/>
          </w:tcPr>
          <w:p w14:paraId="2BEB69B2" w14:textId="2FBE3621"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0,3</w:t>
            </w:r>
          </w:p>
        </w:tc>
        <w:tc>
          <w:tcPr>
            <w:tcW w:w="1053" w:type="dxa"/>
            <w:shd w:val="clear" w:color="000000" w:fill="D9D9D9"/>
            <w:vAlign w:val="center"/>
          </w:tcPr>
          <w:p w14:paraId="0142AEF5" w14:textId="2F97A64A"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74" w:type="dxa"/>
            <w:shd w:val="clear" w:color="auto" w:fill="auto"/>
            <w:vAlign w:val="center"/>
          </w:tcPr>
          <w:p w14:paraId="763E9696" w14:textId="130E768C"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4,3</w:t>
            </w:r>
          </w:p>
        </w:tc>
        <w:tc>
          <w:tcPr>
            <w:tcW w:w="1074" w:type="dxa"/>
            <w:shd w:val="clear" w:color="000000" w:fill="D9D9D9"/>
            <w:vAlign w:val="center"/>
          </w:tcPr>
          <w:p w14:paraId="5A23F16D" w14:textId="55F42996"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156" w:type="dxa"/>
            <w:shd w:val="clear" w:color="auto" w:fill="auto"/>
            <w:vAlign w:val="center"/>
          </w:tcPr>
          <w:p w14:paraId="2FF1CE6C" w14:textId="46F9069C"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2,3</w:t>
            </w:r>
          </w:p>
        </w:tc>
      </w:tr>
      <w:tr w:rsidR="00902654" w:rsidRPr="00FB460C" w14:paraId="19E98977" w14:textId="77777777" w:rsidTr="006169B5">
        <w:trPr>
          <w:trHeight w:val="255"/>
          <w:jc w:val="center"/>
        </w:trPr>
        <w:tc>
          <w:tcPr>
            <w:tcW w:w="3571" w:type="dxa"/>
            <w:shd w:val="clear" w:color="auto" w:fill="auto"/>
            <w:vAlign w:val="center"/>
          </w:tcPr>
          <w:p w14:paraId="1C537693" w14:textId="77777777" w:rsidR="00902654" w:rsidRDefault="00902654" w:rsidP="00902654">
            <w:pPr>
              <w:widowControl/>
              <w:overflowPunct/>
              <w:autoSpaceDE/>
              <w:autoSpaceDN/>
              <w:adjustRightInd/>
              <w:spacing w:before="0" w:after="0"/>
              <w:rPr>
                <w:rFonts w:ascii="Arial Narrow" w:hAnsi="Arial Narrow" w:cs="Arial"/>
                <w:kern w:val="0"/>
                <w:sz w:val="18"/>
                <w:szCs w:val="18"/>
              </w:rPr>
            </w:pPr>
            <w:r>
              <w:rPr>
                <w:rFonts w:ascii="Arial Narrow" w:hAnsi="Arial Narrow" w:cs="Arial"/>
                <w:kern w:val="0"/>
                <w:sz w:val="18"/>
                <w:szCs w:val="18"/>
              </w:rPr>
              <w:t>Assistenza alla persona, protezione sociale e beni e servizi vari</w:t>
            </w:r>
          </w:p>
        </w:tc>
        <w:tc>
          <w:tcPr>
            <w:tcW w:w="1164" w:type="dxa"/>
            <w:shd w:val="clear" w:color="000000" w:fill="D9D9D9"/>
            <w:vAlign w:val="center"/>
          </w:tcPr>
          <w:p w14:paraId="48F89A74" w14:textId="57BF40A9"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71.187</w:t>
            </w:r>
          </w:p>
        </w:tc>
        <w:tc>
          <w:tcPr>
            <w:tcW w:w="1074" w:type="dxa"/>
            <w:shd w:val="clear" w:color="auto" w:fill="auto"/>
            <w:vAlign w:val="center"/>
          </w:tcPr>
          <w:p w14:paraId="044A1EB3" w14:textId="51E1147E" w:rsidR="00902654" w:rsidRPr="006169B5" w:rsidRDefault="00902654" w:rsidP="00902654">
            <w:pPr>
              <w:widowControl/>
              <w:overflowPunct/>
              <w:autoSpaceDE/>
              <w:autoSpaceDN/>
              <w:adjustRightInd/>
              <w:spacing w:before="0" w:after="0"/>
              <w:ind w:right="57"/>
              <w:jc w:val="right"/>
              <w:rPr>
                <w:rFonts w:ascii="Arial Narrow" w:hAnsi="Arial Narrow" w:cs="Calibri"/>
                <w:sz w:val="18"/>
                <w:szCs w:val="18"/>
              </w:rPr>
            </w:pPr>
            <w:r w:rsidRPr="006169B5">
              <w:rPr>
                <w:rFonts w:ascii="Arial Narrow" w:hAnsi="Arial Narrow" w:cs="Calibri"/>
                <w:sz w:val="18"/>
                <w:szCs w:val="18"/>
              </w:rPr>
              <w:t>-0,5</w:t>
            </w:r>
          </w:p>
        </w:tc>
        <w:tc>
          <w:tcPr>
            <w:tcW w:w="1053" w:type="dxa"/>
            <w:shd w:val="clear" w:color="000000" w:fill="D9D9D9"/>
            <w:vAlign w:val="center"/>
          </w:tcPr>
          <w:p w14:paraId="2A88623D" w14:textId="67D33A73"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074" w:type="dxa"/>
            <w:shd w:val="clear" w:color="auto" w:fill="auto"/>
            <w:vAlign w:val="center"/>
          </w:tcPr>
          <w:p w14:paraId="4D2D9441" w14:textId="1710DAFE"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3</w:t>
            </w:r>
            <w:r>
              <w:rPr>
                <w:rFonts w:ascii="Arial Narrow" w:hAnsi="Arial Narrow" w:cs="Calibri"/>
                <w:sz w:val="18"/>
                <w:szCs w:val="18"/>
              </w:rPr>
              <w:t>,0</w:t>
            </w:r>
          </w:p>
        </w:tc>
        <w:tc>
          <w:tcPr>
            <w:tcW w:w="1074" w:type="dxa"/>
            <w:shd w:val="clear" w:color="000000" w:fill="D9D9D9"/>
            <w:vAlign w:val="center"/>
          </w:tcPr>
          <w:p w14:paraId="689D5023" w14:textId="12EC3B22" w:rsidR="00902654" w:rsidRPr="006169B5" w:rsidRDefault="00902654" w:rsidP="00902654">
            <w:pPr>
              <w:widowControl/>
              <w:overflowPunct/>
              <w:autoSpaceDE/>
              <w:autoSpaceDN/>
              <w:adjustRightInd/>
              <w:spacing w:before="0" w:after="0"/>
              <w:ind w:right="57"/>
              <w:jc w:val="center"/>
              <w:rPr>
                <w:rFonts w:ascii="Arial Narrow" w:hAnsi="Arial Narrow" w:cs="Calibri"/>
                <w:sz w:val="18"/>
                <w:szCs w:val="18"/>
              </w:rPr>
            </w:pPr>
            <w:r>
              <w:rPr>
                <w:rFonts w:ascii="Arial Narrow" w:hAnsi="Arial Narrow" w:cs="Calibri"/>
                <w:sz w:val="18"/>
                <w:szCs w:val="18"/>
              </w:rPr>
              <w:t>-</w:t>
            </w:r>
          </w:p>
        </w:tc>
        <w:tc>
          <w:tcPr>
            <w:tcW w:w="1156" w:type="dxa"/>
            <w:shd w:val="clear" w:color="auto" w:fill="auto"/>
            <w:vAlign w:val="center"/>
          </w:tcPr>
          <w:p w14:paraId="76183656" w14:textId="5A7F6A3C" w:rsidR="00902654" w:rsidRPr="006169B5" w:rsidRDefault="00B339E3" w:rsidP="00902654">
            <w:pPr>
              <w:widowControl/>
              <w:overflowPunct/>
              <w:autoSpaceDE/>
              <w:autoSpaceDN/>
              <w:adjustRightInd/>
              <w:spacing w:before="0" w:after="0"/>
              <w:ind w:right="57"/>
              <w:jc w:val="right"/>
              <w:rPr>
                <w:rFonts w:ascii="Arial Narrow" w:hAnsi="Arial Narrow" w:cs="Calibri"/>
                <w:sz w:val="18"/>
                <w:szCs w:val="18"/>
              </w:rPr>
            </w:pPr>
            <w:r>
              <w:rPr>
                <w:rFonts w:ascii="Arial Narrow" w:hAnsi="Arial Narrow" w:cs="Calibri"/>
                <w:sz w:val="18"/>
                <w:szCs w:val="18"/>
              </w:rPr>
              <w:t>+</w:t>
            </w:r>
            <w:r w:rsidR="00902654" w:rsidRPr="006169B5">
              <w:rPr>
                <w:rFonts w:ascii="Arial Narrow" w:hAnsi="Arial Narrow" w:cs="Calibri"/>
                <w:sz w:val="18"/>
                <w:szCs w:val="18"/>
              </w:rPr>
              <w:t>1,2</w:t>
            </w:r>
          </w:p>
        </w:tc>
      </w:tr>
      <w:tr w:rsidR="006169B5" w:rsidRPr="0006302A" w14:paraId="59539ADA" w14:textId="77777777" w:rsidTr="006169B5">
        <w:trPr>
          <w:trHeight w:val="255"/>
          <w:jc w:val="center"/>
        </w:trPr>
        <w:tc>
          <w:tcPr>
            <w:tcW w:w="3571" w:type="dxa"/>
            <w:shd w:val="clear" w:color="000000" w:fill="E42618"/>
            <w:vAlign w:val="center"/>
            <w:hideMark/>
          </w:tcPr>
          <w:p w14:paraId="2F4B5666" w14:textId="77777777" w:rsidR="006169B5" w:rsidRPr="00D179A1" w:rsidRDefault="006169B5" w:rsidP="006169B5">
            <w:pPr>
              <w:widowControl/>
              <w:overflowPunct/>
              <w:autoSpaceDE/>
              <w:autoSpaceDN/>
              <w:adjustRightInd/>
              <w:spacing w:before="0" w:after="0"/>
              <w:rPr>
                <w:rFonts w:ascii="Arial Narrow" w:hAnsi="Arial Narrow" w:cs="Arial"/>
                <w:b/>
                <w:color w:val="FFFFFF" w:themeColor="background1"/>
                <w:kern w:val="0"/>
                <w:sz w:val="18"/>
                <w:szCs w:val="18"/>
              </w:rPr>
            </w:pPr>
            <w:r w:rsidRPr="00D179A1">
              <w:rPr>
                <w:rFonts w:ascii="Arial Narrow" w:hAnsi="Arial Narrow" w:cs="Arial"/>
                <w:b/>
                <w:color w:val="FFFFFF" w:themeColor="background1"/>
                <w:kern w:val="0"/>
                <w:sz w:val="18"/>
                <w:szCs w:val="18"/>
              </w:rPr>
              <w:t>Indice generale</w:t>
            </w:r>
          </w:p>
        </w:tc>
        <w:tc>
          <w:tcPr>
            <w:tcW w:w="1164" w:type="dxa"/>
            <w:shd w:val="clear" w:color="000000" w:fill="E42618"/>
            <w:vAlign w:val="center"/>
          </w:tcPr>
          <w:p w14:paraId="783E5B6C" w14:textId="5F20807D" w:rsidR="006169B5" w:rsidRPr="00D16643" w:rsidRDefault="006169B5" w:rsidP="006169B5">
            <w:pPr>
              <w:widowControl/>
              <w:overflowPunct/>
              <w:autoSpaceDE/>
              <w:autoSpaceDN/>
              <w:adjustRightInd/>
              <w:spacing w:before="0" w:after="0"/>
              <w:ind w:right="57"/>
              <w:jc w:val="right"/>
              <w:rPr>
                <w:rFonts w:ascii="Arial Narrow" w:hAnsi="Arial Narrow" w:cs="Calibri"/>
                <w:b/>
                <w:bCs/>
                <w:color w:val="FFFFFF" w:themeColor="background1"/>
                <w:sz w:val="18"/>
                <w:szCs w:val="18"/>
              </w:rPr>
            </w:pPr>
            <w:r w:rsidRPr="00D16643">
              <w:rPr>
                <w:rFonts w:ascii="Arial Narrow" w:hAnsi="Arial Narrow" w:cs="Calibri"/>
                <w:b/>
                <w:bCs/>
                <w:color w:val="FFFFFF" w:themeColor="background1"/>
                <w:sz w:val="18"/>
                <w:szCs w:val="18"/>
              </w:rPr>
              <w:t>1.000.000</w:t>
            </w:r>
          </w:p>
        </w:tc>
        <w:tc>
          <w:tcPr>
            <w:tcW w:w="1074" w:type="dxa"/>
            <w:shd w:val="clear" w:color="000000" w:fill="E42618"/>
            <w:vAlign w:val="center"/>
          </w:tcPr>
          <w:p w14:paraId="0B462C4F" w14:textId="44C0B7B6" w:rsidR="006169B5" w:rsidRPr="00D16643" w:rsidRDefault="006169B5" w:rsidP="006169B5">
            <w:pPr>
              <w:widowControl/>
              <w:overflowPunct/>
              <w:autoSpaceDE/>
              <w:autoSpaceDN/>
              <w:adjustRightInd/>
              <w:spacing w:before="0" w:after="0"/>
              <w:ind w:right="57"/>
              <w:jc w:val="right"/>
              <w:rPr>
                <w:rFonts w:ascii="Arial Narrow" w:hAnsi="Arial Narrow" w:cs="Calibri"/>
                <w:b/>
                <w:bCs/>
                <w:color w:val="FFFFFF" w:themeColor="background1"/>
                <w:sz w:val="18"/>
                <w:szCs w:val="18"/>
              </w:rPr>
            </w:pPr>
            <w:r w:rsidRPr="00D16643">
              <w:rPr>
                <w:rFonts w:ascii="Arial Narrow" w:hAnsi="Arial Narrow" w:cs="Calibri"/>
                <w:b/>
                <w:bCs/>
                <w:color w:val="FFFFFF" w:themeColor="background1"/>
                <w:sz w:val="18"/>
                <w:szCs w:val="18"/>
              </w:rPr>
              <w:t>-1</w:t>
            </w:r>
            <w:r w:rsidR="0031481A">
              <w:rPr>
                <w:rFonts w:ascii="Arial Narrow" w:hAnsi="Arial Narrow" w:cs="Calibri"/>
                <w:b/>
                <w:bCs/>
                <w:color w:val="FFFFFF" w:themeColor="background1"/>
                <w:sz w:val="18"/>
                <w:szCs w:val="18"/>
              </w:rPr>
              <w:t>,0</w:t>
            </w:r>
          </w:p>
        </w:tc>
        <w:tc>
          <w:tcPr>
            <w:tcW w:w="1053" w:type="dxa"/>
            <w:shd w:val="clear" w:color="000000" w:fill="E42618"/>
            <w:vAlign w:val="center"/>
          </w:tcPr>
          <w:p w14:paraId="1E1E7FBC" w14:textId="4C01730A" w:rsidR="006169B5" w:rsidRPr="00D16643" w:rsidRDefault="0031481A" w:rsidP="006169B5">
            <w:pPr>
              <w:widowControl/>
              <w:overflowPunct/>
              <w:autoSpaceDE/>
              <w:autoSpaceDN/>
              <w:adjustRightInd/>
              <w:spacing w:before="0" w:after="0"/>
              <w:ind w:right="57"/>
              <w:jc w:val="right"/>
              <w:rPr>
                <w:rFonts w:ascii="Arial Narrow" w:hAnsi="Arial Narrow" w:cs="Calibri"/>
                <w:b/>
                <w:bCs/>
                <w:color w:val="FFFFFF" w:themeColor="background1"/>
                <w:sz w:val="18"/>
                <w:szCs w:val="18"/>
              </w:rPr>
            </w:pPr>
            <w:r>
              <w:rPr>
                <w:rFonts w:ascii="Arial Narrow" w:hAnsi="Arial Narrow" w:cs="Calibri"/>
                <w:b/>
                <w:bCs/>
                <w:color w:val="FFFFFF" w:themeColor="background1"/>
                <w:sz w:val="18"/>
                <w:szCs w:val="18"/>
              </w:rPr>
              <w:t>+0.2</w:t>
            </w:r>
          </w:p>
        </w:tc>
        <w:tc>
          <w:tcPr>
            <w:tcW w:w="1074" w:type="dxa"/>
            <w:shd w:val="clear" w:color="000000" w:fill="E42618"/>
            <w:vAlign w:val="center"/>
          </w:tcPr>
          <w:p w14:paraId="13170925" w14:textId="28923C53" w:rsidR="006169B5" w:rsidRPr="00D16643" w:rsidRDefault="0031481A" w:rsidP="006169B5">
            <w:pPr>
              <w:widowControl/>
              <w:overflowPunct/>
              <w:autoSpaceDE/>
              <w:autoSpaceDN/>
              <w:adjustRightInd/>
              <w:spacing w:before="0" w:after="0"/>
              <w:ind w:right="57"/>
              <w:jc w:val="right"/>
              <w:rPr>
                <w:rFonts w:ascii="Arial Narrow" w:hAnsi="Arial Narrow" w:cs="Calibri"/>
                <w:b/>
                <w:bCs/>
                <w:color w:val="FFFFFF" w:themeColor="background1"/>
                <w:sz w:val="18"/>
                <w:szCs w:val="18"/>
              </w:rPr>
            </w:pPr>
            <w:r>
              <w:rPr>
                <w:rFonts w:ascii="Arial Narrow" w:hAnsi="Arial Narrow" w:cs="Calibri"/>
                <w:b/>
                <w:bCs/>
                <w:color w:val="FFFFFF" w:themeColor="background1"/>
                <w:sz w:val="18"/>
                <w:szCs w:val="18"/>
              </w:rPr>
              <w:t>+</w:t>
            </w:r>
            <w:r w:rsidR="006169B5" w:rsidRPr="00D16643">
              <w:rPr>
                <w:rFonts w:ascii="Arial Narrow" w:hAnsi="Arial Narrow" w:cs="Calibri"/>
                <w:b/>
                <w:bCs/>
                <w:color w:val="FFFFFF" w:themeColor="background1"/>
                <w:sz w:val="18"/>
                <w:szCs w:val="18"/>
              </w:rPr>
              <w:t>1</w:t>
            </w:r>
            <w:r>
              <w:rPr>
                <w:rFonts w:ascii="Arial Narrow" w:hAnsi="Arial Narrow" w:cs="Calibri"/>
                <w:b/>
                <w:bCs/>
                <w:color w:val="FFFFFF" w:themeColor="background1"/>
                <w:sz w:val="18"/>
                <w:szCs w:val="18"/>
              </w:rPr>
              <w:t>,0</w:t>
            </w:r>
          </w:p>
        </w:tc>
        <w:tc>
          <w:tcPr>
            <w:tcW w:w="1074" w:type="dxa"/>
            <w:shd w:val="clear" w:color="000000" w:fill="E42618"/>
            <w:vAlign w:val="center"/>
          </w:tcPr>
          <w:p w14:paraId="75C68C9B" w14:textId="026150CB" w:rsidR="006169B5" w:rsidRPr="00D16643" w:rsidRDefault="0031481A" w:rsidP="006169B5">
            <w:pPr>
              <w:widowControl/>
              <w:overflowPunct/>
              <w:autoSpaceDE/>
              <w:autoSpaceDN/>
              <w:adjustRightInd/>
              <w:spacing w:before="0" w:after="0"/>
              <w:ind w:right="57"/>
              <w:jc w:val="right"/>
              <w:rPr>
                <w:rFonts w:ascii="Arial Narrow" w:hAnsi="Arial Narrow" w:cs="Calibri"/>
                <w:b/>
                <w:bCs/>
                <w:color w:val="FFFFFF" w:themeColor="background1"/>
                <w:sz w:val="18"/>
                <w:szCs w:val="18"/>
              </w:rPr>
            </w:pPr>
            <w:r>
              <w:rPr>
                <w:rFonts w:ascii="Arial Narrow" w:hAnsi="Arial Narrow" w:cs="Calibri"/>
                <w:b/>
                <w:bCs/>
                <w:color w:val="FFFFFF" w:themeColor="background1"/>
                <w:sz w:val="18"/>
                <w:szCs w:val="18"/>
              </w:rPr>
              <w:t>+1,2</w:t>
            </w:r>
          </w:p>
        </w:tc>
        <w:tc>
          <w:tcPr>
            <w:tcW w:w="1156" w:type="dxa"/>
            <w:shd w:val="clear" w:color="000000" w:fill="E42618"/>
            <w:vAlign w:val="center"/>
          </w:tcPr>
          <w:p w14:paraId="5D0D110A" w14:textId="29363CD1" w:rsidR="006169B5" w:rsidRPr="00D16643" w:rsidRDefault="006169B5" w:rsidP="006169B5">
            <w:pPr>
              <w:widowControl/>
              <w:overflowPunct/>
              <w:autoSpaceDE/>
              <w:autoSpaceDN/>
              <w:adjustRightInd/>
              <w:spacing w:before="0" w:after="0"/>
              <w:ind w:right="57"/>
              <w:jc w:val="right"/>
              <w:rPr>
                <w:rFonts w:ascii="Arial Narrow" w:hAnsi="Arial Narrow" w:cs="Calibri"/>
                <w:b/>
                <w:bCs/>
                <w:color w:val="FFFFFF" w:themeColor="background1"/>
                <w:sz w:val="18"/>
                <w:szCs w:val="18"/>
              </w:rPr>
            </w:pPr>
            <w:r w:rsidRPr="00D16643">
              <w:rPr>
                <w:rFonts w:ascii="Arial Narrow" w:hAnsi="Arial Narrow" w:cs="Calibri"/>
                <w:b/>
                <w:bCs/>
                <w:color w:val="FFFFFF" w:themeColor="background1"/>
                <w:sz w:val="18"/>
                <w:szCs w:val="18"/>
              </w:rPr>
              <w:t>-0,5</w:t>
            </w:r>
          </w:p>
        </w:tc>
      </w:tr>
    </w:tbl>
    <w:p w14:paraId="0E548C31" w14:textId="5DA63EFD" w:rsidR="003B6F86" w:rsidRPr="008A1DA4" w:rsidRDefault="005031DD" w:rsidP="00902654">
      <w:pPr>
        <w:widowControl/>
        <w:tabs>
          <w:tab w:val="left" w:pos="2041"/>
        </w:tabs>
        <w:overflowPunct/>
        <w:spacing w:before="0" w:after="0" w:line="240" w:lineRule="exact"/>
        <w:jc w:val="both"/>
        <w:rPr>
          <w:rFonts w:ascii="Arial" w:hAnsi="Arial" w:cs="Arial"/>
          <w:b/>
        </w:rPr>
      </w:pPr>
      <w:r>
        <w:rPr>
          <w:rFonts w:ascii="Arial" w:hAnsi="Arial" w:cs="Arial"/>
          <w:b/>
        </w:rPr>
        <w:br w:type="page"/>
      </w:r>
    </w:p>
    <w:p w14:paraId="5C92F25D" w14:textId="77777777" w:rsidR="003B6F86" w:rsidRDefault="003B6F86" w:rsidP="003B6F86">
      <w:pPr>
        <w:spacing w:before="0" w:after="120"/>
        <w:jc w:val="both"/>
        <w:rPr>
          <w:rFonts w:ascii="Arial" w:hAnsi="Arial" w:cs="Arial"/>
          <w:b/>
        </w:rPr>
        <w:sectPr w:rsidR="003B6F86" w:rsidSect="00AE446C">
          <w:headerReference w:type="default" r:id="rId28"/>
          <w:footerReference w:type="default" r:id="rId29"/>
          <w:type w:val="continuous"/>
          <w:pgSz w:w="11907" w:h="16840" w:code="9"/>
          <w:pgMar w:top="1534" w:right="851" w:bottom="680" w:left="851" w:header="567" w:footer="567" w:gutter="0"/>
          <w:cols w:space="720"/>
          <w:noEndnote/>
          <w:docGrid w:linePitch="272"/>
        </w:sectPr>
      </w:pPr>
    </w:p>
    <w:p w14:paraId="0A7480F4" w14:textId="77777777" w:rsidR="00902654" w:rsidRDefault="00902654" w:rsidP="007466AE">
      <w:pPr>
        <w:spacing w:before="0" w:after="120"/>
        <w:jc w:val="both"/>
        <w:rPr>
          <w:rFonts w:ascii="Arial" w:hAnsi="Arial" w:cs="Arial"/>
          <w:b/>
          <w:bCs/>
        </w:rPr>
      </w:pPr>
    </w:p>
    <w:p w14:paraId="49A5104E" w14:textId="4DCB4720" w:rsidR="007466AE" w:rsidRPr="0052659F" w:rsidRDefault="007466AE" w:rsidP="007466AE">
      <w:pPr>
        <w:spacing w:before="0" w:after="120"/>
        <w:jc w:val="both"/>
        <w:rPr>
          <w:rFonts w:ascii="Arial" w:hAnsi="Arial" w:cs="Arial"/>
          <w:b/>
          <w:bCs/>
        </w:rPr>
      </w:pPr>
      <w:r w:rsidRPr="0052659F">
        <w:rPr>
          <w:rFonts w:ascii="Arial" w:hAnsi="Arial" w:cs="Arial"/>
          <w:b/>
          <w:bCs/>
        </w:rPr>
        <w:t>Altri beni</w:t>
      </w:r>
      <w:r w:rsidRPr="0052659F">
        <w:rPr>
          <w:rFonts w:ascii="Arial" w:hAnsi="Arial" w:cs="Arial"/>
          <w:bCs/>
        </w:rPr>
        <w:t>:</w:t>
      </w:r>
      <w:r w:rsidRPr="0052659F">
        <w:rPr>
          <w:rFonts w:ascii="Arial" w:hAnsi="Arial" w:cs="Arial"/>
          <w:b/>
          <w:bCs/>
        </w:rPr>
        <w:t xml:space="preserve"> </w:t>
      </w:r>
      <w:r w:rsidRPr="0052659F">
        <w:rPr>
          <w:rFonts w:ascii="Arial" w:hAnsi="Arial" w:cs="Arial"/>
          <w:bCs/>
        </w:rPr>
        <w:t>comprendono i beni di consumo ad esclusione dei beni alimentari, dei beni energetici e dei tabacchi.</w:t>
      </w:r>
    </w:p>
    <w:p w14:paraId="5C6F5262" w14:textId="77777777" w:rsidR="007466AE" w:rsidRPr="0052659F" w:rsidRDefault="007466AE" w:rsidP="007466AE">
      <w:pPr>
        <w:spacing w:before="0" w:after="120"/>
        <w:jc w:val="both"/>
        <w:rPr>
          <w:rFonts w:ascii="Arial" w:hAnsi="Arial" w:cs="Arial"/>
          <w:bCs/>
        </w:rPr>
      </w:pPr>
      <w:r w:rsidRPr="0052659F">
        <w:rPr>
          <w:rFonts w:ascii="Arial" w:hAnsi="Arial" w:cs="Arial"/>
          <w:b/>
          <w:bCs/>
        </w:rPr>
        <w:t>Altri beni regolamentati</w:t>
      </w:r>
      <w:r w:rsidRPr="0052659F">
        <w:rPr>
          <w:rFonts w:ascii="Arial" w:hAnsi="Arial" w:cs="Arial"/>
          <w:bCs/>
        </w:rPr>
        <w:t>: comprendono l’acqua potabile e i medicinali.</w:t>
      </w:r>
    </w:p>
    <w:p w14:paraId="35B84F78" w14:textId="77777777" w:rsidR="007466AE" w:rsidRPr="000F531B" w:rsidRDefault="007466AE" w:rsidP="007466AE">
      <w:pPr>
        <w:spacing w:before="0" w:after="120"/>
        <w:jc w:val="both"/>
        <w:rPr>
          <w:rFonts w:ascii="Arial" w:hAnsi="Arial" w:cs="Arial"/>
          <w:bCs/>
        </w:rPr>
      </w:pPr>
      <w:r w:rsidRPr="0052659F">
        <w:rPr>
          <w:rFonts w:ascii="Arial" w:hAnsi="Arial" w:cs="Arial"/>
          <w:b/>
          <w:bCs/>
        </w:rPr>
        <w:t>Beni alimentari</w:t>
      </w:r>
      <w:r w:rsidRPr="0052659F">
        <w:rPr>
          <w:rFonts w:ascii="Arial" w:hAnsi="Arial" w:cs="Arial"/>
          <w:bCs/>
        </w:rPr>
        <w:t>: comprendono oltre ai generi alimentari (come, ad esempio, il pane, la carne, i formaggi), le bevande</w:t>
      </w:r>
      <w:r w:rsidRPr="000F531B">
        <w:rPr>
          <w:rFonts w:ascii="Arial" w:hAnsi="Arial" w:cs="Arial"/>
          <w:bCs/>
        </w:rPr>
        <w:t xml:space="preserve"> analcoliche e quelle alcoliche.</w:t>
      </w:r>
    </w:p>
    <w:p w14:paraId="7ACD8E93" w14:textId="77777777" w:rsidR="007466AE" w:rsidRPr="000F531B" w:rsidRDefault="007466AE" w:rsidP="007466AE">
      <w:pPr>
        <w:spacing w:before="0" w:after="120"/>
        <w:jc w:val="both"/>
        <w:rPr>
          <w:rFonts w:ascii="Arial" w:hAnsi="Arial" w:cs="Arial"/>
          <w:bCs/>
        </w:rPr>
      </w:pPr>
      <w:r w:rsidRPr="000F531B">
        <w:rPr>
          <w:rFonts w:ascii="Arial" w:hAnsi="Arial" w:cs="Arial"/>
          <w:bCs/>
        </w:rPr>
        <w:t xml:space="preserve">Si definiscono </w:t>
      </w:r>
      <w:r w:rsidRPr="000F531B">
        <w:rPr>
          <w:rFonts w:ascii="Arial" w:hAnsi="Arial" w:cs="Arial"/>
          <w:bCs/>
          <w:i/>
        </w:rPr>
        <w:t>lavorati</w:t>
      </w:r>
      <w:r w:rsidRPr="000F531B">
        <w:rPr>
          <w:rFonts w:ascii="Arial" w:hAnsi="Arial" w:cs="Arial"/>
          <w:bCs/>
        </w:rPr>
        <w:t xml:space="preserve"> i beni alimentari destinati al consumo finale che sono il risultato di un processo di trasformazione industriale (come</w:t>
      </w:r>
      <w:r>
        <w:rPr>
          <w:rFonts w:ascii="Arial" w:hAnsi="Arial" w:cs="Arial"/>
          <w:bCs/>
        </w:rPr>
        <w:t>,</w:t>
      </w:r>
      <w:r w:rsidRPr="000F531B">
        <w:rPr>
          <w:rFonts w:ascii="Arial" w:hAnsi="Arial" w:cs="Arial"/>
          <w:bCs/>
        </w:rPr>
        <w:t xml:space="preserve"> ad esempio</w:t>
      </w:r>
      <w:r>
        <w:rPr>
          <w:rFonts w:ascii="Arial" w:hAnsi="Arial" w:cs="Arial"/>
          <w:bCs/>
        </w:rPr>
        <w:t>,</w:t>
      </w:r>
      <w:r w:rsidRPr="000F531B">
        <w:rPr>
          <w:rFonts w:ascii="Arial" w:hAnsi="Arial" w:cs="Arial"/>
          <w:bCs/>
        </w:rPr>
        <w:t xml:space="preserve"> i succhi di frutta, gli insaccati, i prodotti surgelati). Si dicono </w:t>
      </w:r>
      <w:r w:rsidRPr="000F531B">
        <w:rPr>
          <w:rFonts w:ascii="Arial" w:hAnsi="Arial" w:cs="Arial"/>
          <w:bCs/>
          <w:i/>
        </w:rPr>
        <w:t>non lavorati</w:t>
      </w:r>
      <w:r w:rsidRPr="000F531B">
        <w:rPr>
          <w:rFonts w:ascii="Arial" w:hAnsi="Arial" w:cs="Arial"/>
          <w:bCs/>
        </w:rPr>
        <w:t xml:space="preserve"> i beni alimentari non trasformati (come la carne fresca, il pesce fresco, la frutta e la verdura fresca).</w:t>
      </w:r>
    </w:p>
    <w:p w14:paraId="3AE39164" w14:textId="77777777" w:rsidR="007466AE" w:rsidRPr="000F531B" w:rsidRDefault="007466AE" w:rsidP="007466AE">
      <w:pPr>
        <w:spacing w:before="0" w:after="120"/>
        <w:jc w:val="both"/>
        <w:rPr>
          <w:rFonts w:ascii="Arial" w:hAnsi="Arial" w:cs="Arial"/>
          <w:bCs/>
        </w:rPr>
      </w:pPr>
      <w:r w:rsidRPr="000F531B">
        <w:rPr>
          <w:rFonts w:ascii="Arial" w:hAnsi="Arial" w:cs="Arial"/>
          <w:b/>
          <w:bCs/>
        </w:rPr>
        <w:t>Beni alimentari, per la cura della casa e della persona</w:t>
      </w:r>
      <w:r>
        <w:rPr>
          <w:rFonts w:ascii="Arial" w:hAnsi="Arial" w:cs="Arial"/>
          <w:b/>
          <w:bCs/>
        </w:rPr>
        <w:t xml:space="preserve"> (</w:t>
      </w:r>
      <w:r w:rsidRPr="00FC185A">
        <w:rPr>
          <w:rFonts w:ascii="Arial" w:hAnsi="Arial" w:cs="Arial"/>
          <w:b/>
          <w:bCs/>
        </w:rPr>
        <w:t>cos</w:t>
      </w:r>
      <w:r>
        <w:rPr>
          <w:rFonts w:ascii="Arial" w:hAnsi="Arial" w:cs="Arial"/>
          <w:b/>
          <w:bCs/>
        </w:rPr>
        <w:t>i</w:t>
      </w:r>
      <w:r w:rsidRPr="00FC185A">
        <w:rPr>
          <w:rFonts w:ascii="Arial" w:hAnsi="Arial" w:cs="Arial"/>
          <w:b/>
          <w:bCs/>
        </w:rPr>
        <w:t>ddetto "carrello della spesa"</w:t>
      </w:r>
      <w:r>
        <w:rPr>
          <w:rFonts w:ascii="Arial" w:hAnsi="Arial" w:cs="Arial"/>
          <w:b/>
          <w:bCs/>
        </w:rPr>
        <w:t>)</w:t>
      </w:r>
      <w:r w:rsidRPr="000F531B">
        <w:rPr>
          <w:rFonts w:ascii="Arial" w:hAnsi="Arial" w:cs="Arial"/>
          <w:bCs/>
        </w:rPr>
        <w:t>: includono, oltre ai beni alimentari, i beni per la pulizia e la manutenzione ordinaria della casa e i beni per l’igiene personale e pr</w:t>
      </w:r>
      <w:r>
        <w:rPr>
          <w:rFonts w:ascii="Arial" w:hAnsi="Arial" w:cs="Arial"/>
          <w:bCs/>
        </w:rPr>
        <w:t>odotti di bellezza.</w:t>
      </w:r>
    </w:p>
    <w:p w14:paraId="474D8A0F" w14:textId="77777777" w:rsidR="007466AE" w:rsidRDefault="007466AE" w:rsidP="007466AE">
      <w:pPr>
        <w:spacing w:before="0" w:after="120"/>
        <w:jc w:val="both"/>
        <w:rPr>
          <w:rFonts w:ascii="Arial" w:hAnsi="Arial" w:cs="Arial"/>
          <w:bCs/>
        </w:rPr>
      </w:pPr>
      <w:r w:rsidRPr="000F531B">
        <w:rPr>
          <w:rFonts w:ascii="Arial" w:hAnsi="Arial" w:cs="Arial"/>
          <w:b/>
          <w:bCs/>
        </w:rPr>
        <w:t>Beni durevoli</w:t>
      </w:r>
      <w:r w:rsidRPr="000F531B">
        <w:rPr>
          <w:rFonts w:ascii="Arial" w:hAnsi="Arial" w:cs="Arial"/>
          <w:bCs/>
        </w:rPr>
        <w:t>: includono</w:t>
      </w:r>
      <w:r>
        <w:rPr>
          <w:rFonts w:ascii="Arial" w:hAnsi="Arial" w:cs="Arial"/>
          <w:bCs/>
        </w:rPr>
        <w:t xml:space="preserve"> i beni di trasporto, gli articoli di arredamento, gli elettrodomestici, le attrezzature sanitarie e gli apparecchi terapeutici, gli apparecchi telefonici, gli apparecchi per la ricreazione, i prodotti della gioielleria e orologeria.</w:t>
      </w:r>
    </w:p>
    <w:p w14:paraId="04B64E66" w14:textId="77777777" w:rsidR="007466AE" w:rsidRDefault="007466AE" w:rsidP="007466AE">
      <w:pPr>
        <w:spacing w:before="0" w:after="120"/>
        <w:jc w:val="both"/>
        <w:rPr>
          <w:rFonts w:ascii="Arial" w:hAnsi="Arial" w:cs="Arial"/>
          <w:bCs/>
        </w:rPr>
      </w:pPr>
      <w:r w:rsidRPr="000F531B">
        <w:rPr>
          <w:rFonts w:ascii="Arial" w:hAnsi="Arial" w:cs="Arial"/>
          <w:b/>
          <w:bCs/>
        </w:rPr>
        <w:t>Beni non durevoli</w:t>
      </w:r>
      <w:r w:rsidRPr="000F531B">
        <w:rPr>
          <w:rFonts w:ascii="Arial" w:hAnsi="Arial" w:cs="Arial"/>
          <w:bCs/>
        </w:rPr>
        <w:t>: comprendono i detergenti per la pulizia della casa, i prodotti per la c</w:t>
      </w:r>
      <w:r>
        <w:rPr>
          <w:rFonts w:ascii="Arial" w:hAnsi="Arial" w:cs="Arial"/>
          <w:bCs/>
        </w:rPr>
        <w:t>ura della persona, i medicinali, i prodotti per la riparazione e manutenzione della casa, i prodotti per il giardinaggio, i giornali e periodici, gli articoli di cancelleria.</w:t>
      </w:r>
    </w:p>
    <w:p w14:paraId="60EA5693" w14:textId="77777777" w:rsidR="007466AE" w:rsidRPr="000F531B" w:rsidRDefault="007466AE" w:rsidP="007466AE">
      <w:pPr>
        <w:spacing w:before="0" w:after="120"/>
        <w:jc w:val="both"/>
        <w:rPr>
          <w:rFonts w:ascii="Arial" w:hAnsi="Arial" w:cs="Arial"/>
          <w:b/>
          <w:bCs/>
        </w:rPr>
      </w:pPr>
      <w:r w:rsidRPr="000F531B">
        <w:rPr>
          <w:rFonts w:ascii="Arial" w:hAnsi="Arial" w:cs="Arial"/>
          <w:b/>
          <w:bCs/>
        </w:rPr>
        <w:t>Beni semidurevoli</w:t>
      </w:r>
      <w:r w:rsidRPr="000F531B">
        <w:rPr>
          <w:rFonts w:ascii="Arial" w:hAnsi="Arial" w:cs="Arial"/>
          <w:bCs/>
        </w:rPr>
        <w:t>: comprendono i capi di abbigliamento, le calzature,</w:t>
      </w:r>
      <w:r>
        <w:rPr>
          <w:rFonts w:ascii="Arial" w:hAnsi="Arial" w:cs="Arial"/>
          <w:bCs/>
        </w:rPr>
        <w:t xml:space="preserve"> gli articoli tessili per la casa, la cristalleria, stoviglie e utensili domestici, i pezzi di ricambio e gli accessori per i mezzi di trasporto, gli accessori per gli apparecchi per la ricreazione, i giochi e i prodotti per gli hobby, i prodotti relativi agli effetti personali,</w:t>
      </w:r>
      <w:r w:rsidRPr="000F531B">
        <w:rPr>
          <w:rFonts w:ascii="Arial" w:hAnsi="Arial" w:cs="Arial"/>
          <w:bCs/>
        </w:rPr>
        <w:t xml:space="preserve"> i libri.</w:t>
      </w:r>
      <w:r w:rsidRPr="000F531B">
        <w:rPr>
          <w:rFonts w:ascii="Arial" w:hAnsi="Arial" w:cs="Arial"/>
          <w:b/>
          <w:bCs/>
        </w:rPr>
        <w:t xml:space="preserve"> </w:t>
      </w:r>
    </w:p>
    <w:p w14:paraId="19083619" w14:textId="77777777" w:rsidR="007466AE" w:rsidRPr="001F4360" w:rsidRDefault="007466AE" w:rsidP="007466AE">
      <w:pPr>
        <w:spacing w:before="0" w:after="120"/>
        <w:jc w:val="both"/>
        <w:rPr>
          <w:rFonts w:ascii="Arial" w:hAnsi="Arial" w:cs="Arial"/>
          <w:bCs/>
        </w:rPr>
      </w:pPr>
      <w:r w:rsidRPr="000F531B">
        <w:rPr>
          <w:rFonts w:ascii="Arial" w:hAnsi="Arial" w:cs="Arial"/>
          <w:b/>
          <w:bCs/>
        </w:rPr>
        <w:t>Beni energetici regolamentati</w:t>
      </w:r>
      <w:r w:rsidRPr="000F531B">
        <w:rPr>
          <w:rFonts w:ascii="Arial" w:hAnsi="Arial" w:cs="Arial"/>
          <w:bCs/>
        </w:rPr>
        <w:t xml:space="preserve">: includono le tariffe per l’energia elettrica </w:t>
      </w:r>
      <w:r>
        <w:rPr>
          <w:rFonts w:ascii="Arial" w:hAnsi="Arial" w:cs="Arial"/>
          <w:bCs/>
        </w:rPr>
        <w:t xml:space="preserve">mercato tutelato </w:t>
      </w:r>
      <w:r w:rsidRPr="000F531B">
        <w:rPr>
          <w:rFonts w:ascii="Arial" w:hAnsi="Arial" w:cs="Arial"/>
          <w:bCs/>
        </w:rPr>
        <w:t xml:space="preserve">e il gas di rete per uso </w:t>
      </w:r>
      <w:r w:rsidRPr="001F4360">
        <w:rPr>
          <w:rFonts w:ascii="Arial" w:hAnsi="Arial" w:cs="Arial"/>
          <w:bCs/>
        </w:rPr>
        <w:t>domestico mercato tutelato.</w:t>
      </w:r>
    </w:p>
    <w:p w14:paraId="6B1017C0" w14:textId="77777777" w:rsidR="007466AE" w:rsidRDefault="007466AE" w:rsidP="007466AE">
      <w:pPr>
        <w:spacing w:before="0" w:after="120"/>
        <w:jc w:val="both"/>
        <w:rPr>
          <w:rFonts w:ascii="Arial" w:hAnsi="Arial" w:cs="Arial"/>
          <w:bCs/>
        </w:rPr>
      </w:pPr>
      <w:r w:rsidRPr="001F4360">
        <w:rPr>
          <w:rFonts w:ascii="Arial" w:hAnsi="Arial" w:cs="Arial"/>
          <w:b/>
          <w:bCs/>
        </w:rPr>
        <w:t>Beni energetici non regolamentati</w:t>
      </w:r>
      <w:r w:rsidRPr="001F4360">
        <w:rPr>
          <w:rFonts w:ascii="Arial" w:hAnsi="Arial" w:cs="Arial"/>
          <w:bCs/>
        </w:rPr>
        <w:t>: comprendono i carburanti per gli autoveicoli, i lubrificanti, la ricarica elettrica per auto, i combustibili per uso domestico non regolamentati, il gas di rete per uso domestico mercato libero, l’energia elettrica mercato libe</w:t>
      </w:r>
      <w:r w:rsidR="00845C90">
        <w:rPr>
          <w:rFonts w:ascii="Arial" w:hAnsi="Arial" w:cs="Arial"/>
          <w:bCs/>
        </w:rPr>
        <w:t>ro</w:t>
      </w:r>
      <w:r w:rsidR="00324F83" w:rsidRPr="001F4360">
        <w:rPr>
          <w:rFonts w:ascii="Arial" w:hAnsi="Arial" w:cs="Arial"/>
          <w:bCs/>
        </w:rPr>
        <w:t>.</w:t>
      </w:r>
    </w:p>
    <w:p w14:paraId="636C0334" w14:textId="77777777" w:rsidR="007466AE" w:rsidRPr="000F531B" w:rsidRDefault="007466AE" w:rsidP="007466AE">
      <w:pPr>
        <w:spacing w:before="0" w:after="120"/>
        <w:jc w:val="both"/>
        <w:rPr>
          <w:rFonts w:ascii="Arial" w:hAnsi="Arial" w:cs="Arial"/>
          <w:bCs/>
        </w:rPr>
      </w:pPr>
      <w:r w:rsidRPr="000F531B">
        <w:rPr>
          <w:rFonts w:ascii="Arial" w:hAnsi="Arial" w:cs="Arial"/>
          <w:b/>
          <w:bCs/>
        </w:rPr>
        <w:t>Beni regolamentati</w:t>
      </w:r>
      <w:r w:rsidRPr="000F531B">
        <w:rPr>
          <w:rFonts w:ascii="Arial" w:hAnsi="Arial" w:cs="Arial"/>
          <w:bCs/>
        </w:rPr>
        <w:t>: includono i beni energetici regolamentati e gli altri beni regolamentati.</w:t>
      </w:r>
    </w:p>
    <w:p w14:paraId="41C3D5CE" w14:textId="77777777" w:rsidR="007466AE" w:rsidRPr="000F531B" w:rsidRDefault="007466AE" w:rsidP="007466AE">
      <w:pPr>
        <w:spacing w:before="0" w:after="120"/>
        <w:jc w:val="both"/>
        <w:rPr>
          <w:rFonts w:ascii="Arial" w:hAnsi="Arial" w:cs="Arial"/>
          <w:bCs/>
        </w:rPr>
      </w:pPr>
      <w:r w:rsidRPr="000F531B">
        <w:rPr>
          <w:rFonts w:ascii="Arial" w:hAnsi="Arial" w:cs="Arial"/>
          <w:b/>
          <w:bCs/>
        </w:rPr>
        <w:t>COICOP</w:t>
      </w:r>
      <w:r w:rsidRPr="000F531B">
        <w:rPr>
          <w:rFonts w:ascii="Arial" w:hAnsi="Arial" w:cs="Arial"/>
          <w:bCs/>
        </w:rPr>
        <w:t>: classificazione dei consumi individuali secondo l’utilizzo finale</w:t>
      </w:r>
      <w:r>
        <w:rPr>
          <w:rFonts w:ascii="Arial" w:hAnsi="Arial" w:cs="Arial"/>
          <w:bCs/>
        </w:rPr>
        <w:t>.</w:t>
      </w:r>
    </w:p>
    <w:p w14:paraId="10EE199A" w14:textId="77777777" w:rsidR="007466AE" w:rsidRPr="000F531B" w:rsidRDefault="007466AE" w:rsidP="007466AE">
      <w:pPr>
        <w:spacing w:before="0" w:after="120"/>
        <w:jc w:val="both"/>
        <w:rPr>
          <w:rFonts w:ascii="Arial" w:hAnsi="Arial" w:cs="Arial"/>
        </w:rPr>
      </w:pPr>
      <w:r w:rsidRPr="000F531B">
        <w:rPr>
          <w:rFonts w:ascii="Arial" w:hAnsi="Arial" w:cs="Arial"/>
          <w:b/>
        </w:rPr>
        <w:t>Componente di fondo</w:t>
      </w:r>
      <w:r w:rsidRPr="000F531B">
        <w:rPr>
          <w:rFonts w:ascii="Arial" w:hAnsi="Arial" w:cs="Arial"/>
        </w:rPr>
        <w:t xml:space="preserve">: viene calcolata escludendo i beni alimentari non lavorati e i beni energetici. </w:t>
      </w:r>
    </w:p>
    <w:p w14:paraId="1958F3A7" w14:textId="77777777" w:rsidR="007466AE" w:rsidRPr="000F531B" w:rsidRDefault="007466AE" w:rsidP="007466AE">
      <w:pPr>
        <w:spacing w:before="0" w:after="120"/>
        <w:jc w:val="both"/>
        <w:rPr>
          <w:rFonts w:ascii="Arial" w:hAnsi="Arial" w:cs="Arial"/>
          <w:bCs/>
        </w:rPr>
      </w:pPr>
      <w:r w:rsidRPr="000F531B">
        <w:rPr>
          <w:rFonts w:ascii="Arial" w:hAnsi="Arial" w:cs="Arial"/>
          <w:b/>
          <w:bCs/>
        </w:rPr>
        <w:t>Contributo alla variazione tendenziale dell’indice generale</w:t>
      </w:r>
      <w:r w:rsidRPr="000F531B">
        <w:rPr>
          <w:rFonts w:ascii="Arial" w:hAnsi="Arial" w:cs="Arial"/>
          <w:bCs/>
        </w:rPr>
        <w:t>: permette di valutare l’incidenza delle variazioni di prezzo delle singole componenti sull’aumento o sulla diminuzione dell’indice aggregato. A tal fine, il tasso di variazione tendenziale dell’indice generale viene scomposto nella somma degli effetti attribuibili a ciascuna delle variazioni delle sue componenti. Poiché si tratta di un indice concatenato, il contributo della componente i-esima alla variazione dell’indice generale è funzione della dinamica di prezzo di tale componente e della modifica del suo peso relativo nei due anni a confronto. I contributi alla variazione tendenziale dell’indice generale sono calcolati a partire dagli indici elementari di prezzo dei prodotti del paniere di riferimento. Per effetto degli arrotondamenti, la loro somma può differire dalla variazione dell’indice generale.</w:t>
      </w:r>
    </w:p>
    <w:p w14:paraId="048804D2" w14:textId="77777777" w:rsidR="007466AE" w:rsidRPr="000F531B" w:rsidRDefault="00DA1B56" w:rsidP="007466AE">
      <w:pPr>
        <w:spacing w:before="0" w:after="120"/>
        <w:jc w:val="both"/>
        <w:rPr>
          <w:rFonts w:ascii="Arial" w:hAnsi="Arial" w:cs="Arial"/>
          <w:b/>
          <w:bCs/>
        </w:rPr>
      </w:pPr>
      <w:hyperlink r:id="rId30" w:history="1">
        <w:r w:rsidR="007466AE" w:rsidRPr="00C55AE4">
          <w:rPr>
            <w:rStyle w:val="Collegamentoipertestuale"/>
            <w:rFonts w:ascii="Arial" w:hAnsi="Arial" w:cs="Arial"/>
            <w:b/>
            <w:bCs/>
          </w:rPr>
          <w:t>ECOICOP</w:t>
        </w:r>
      </w:hyperlink>
      <w:r w:rsidR="007466AE">
        <w:rPr>
          <w:rFonts w:ascii="Arial" w:hAnsi="Arial" w:cs="Arial"/>
          <w:bCs/>
        </w:rPr>
        <w:t xml:space="preserve">: </w:t>
      </w:r>
      <w:r w:rsidR="007466AE" w:rsidRPr="000F531B">
        <w:rPr>
          <w:rFonts w:ascii="Arial" w:hAnsi="Arial" w:cs="Arial"/>
          <w:bCs/>
        </w:rPr>
        <w:t>classificazione europea dei consumi individuali secondo l’utilizzo finale</w:t>
      </w:r>
      <w:r w:rsidR="007466AE" w:rsidRPr="00C55AE4">
        <w:rPr>
          <w:rFonts w:ascii="Arial" w:hAnsi="Arial" w:cs="Arial"/>
          <w:bCs/>
        </w:rPr>
        <w:t>, che prevede un livello di dettaglio (le sottoclassi) maggiore rispetto alla COICOP.</w:t>
      </w:r>
    </w:p>
    <w:p w14:paraId="712D93C6" w14:textId="77777777" w:rsidR="007466AE" w:rsidRDefault="007466AE" w:rsidP="007466AE">
      <w:pPr>
        <w:spacing w:before="0" w:after="120"/>
        <w:jc w:val="both"/>
        <w:rPr>
          <w:rFonts w:ascii="Arial" w:hAnsi="Arial" w:cs="Arial"/>
          <w:bCs/>
        </w:rPr>
      </w:pPr>
      <w:r w:rsidRPr="000F531B">
        <w:rPr>
          <w:rFonts w:ascii="Arial" w:hAnsi="Arial" w:cs="Arial"/>
          <w:b/>
          <w:bCs/>
        </w:rPr>
        <w:t>FOI</w:t>
      </w:r>
      <w:r w:rsidRPr="000F531B">
        <w:rPr>
          <w:rFonts w:ascii="Arial" w:hAnsi="Arial" w:cs="Arial"/>
          <w:bCs/>
        </w:rPr>
        <w:t>: indice nazionale dei prezzi al consumo per le famiglie di operai e impiegati.</w:t>
      </w:r>
    </w:p>
    <w:p w14:paraId="7C8B0890" w14:textId="77777777" w:rsidR="007466AE" w:rsidRDefault="007466AE" w:rsidP="007466AE">
      <w:pPr>
        <w:spacing w:before="0" w:after="120"/>
        <w:jc w:val="both"/>
        <w:rPr>
          <w:rFonts w:ascii="Arial" w:hAnsi="Arial" w:cs="Arial"/>
          <w:bCs/>
        </w:rPr>
      </w:pPr>
      <w:r w:rsidRPr="00C96343">
        <w:rPr>
          <w:rFonts w:ascii="Arial" w:hAnsi="Arial" w:cs="Arial"/>
          <w:b/>
          <w:bCs/>
        </w:rPr>
        <w:t>Inflazione</w:t>
      </w:r>
      <w:r w:rsidRPr="00C96343">
        <w:rPr>
          <w:rFonts w:ascii="Arial" w:hAnsi="Arial" w:cs="Arial"/>
          <w:bCs/>
        </w:rPr>
        <w:t>: misura le variazioni nel tempo dei prezzi di un insieme di prodotti (paniere) rappresentativo di tutti i beni e servizi destinati al consumo finale delle famiglie, acquistabili sul mercato attraverso transazioni monetarie.</w:t>
      </w:r>
    </w:p>
    <w:p w14:paraId="7CD48368" w14:textId="77777777" w:rsidR="007466AE" w:rsidRDefault="007466AE" w:rsidP="007466AE">
      <w:pPr>
        <w:spacing w:before="0" w:after="120"/>
        <w:jc w:val="both"/>
        <w:rPr>
          <w:rFonts w:ascii="Arial" w:hAnsi="Arial" w:cs="Arial"/>
          <w:bCs/>
        </w:rPr>
      </w:pPr>
      <w:r w:rsidRPr="000F531B">
        <w:rPr>
          <w:rFonts w:ascii="Arial" w:hAnsi="Arial" w:cs="Arial"/>
          <w:b/>
          <w:bCs/>
        </w:rPr>
        <w:t>Inflazione acquisita</w:t>
      </w:r>
      <w:r w:rsidRPr="000F531B">
        <w:rPr>
          <w:rFonts w:ascii="Arial" w:hAnsi="Arial" w:cs="Arial"/>
          <w:bCs/>
        </w:rPr>
        <w:t xml:space="preserve">: rappresenta la variazione media dell’indice nell’anno indicato, che si avrebbe ipotizzando che l’indice stesso rimanga al medesimo livello dell’ultimo dato mensile disponibile nella restante parte dell’anno. </w:t>
      </w:r>
    </w:p>
    <w:p w14:paraId="7FC219CC" w14:textId="77777777" w:rsidR="0052434B" w:rsidRPr="005863C9" w:rsidRDefault="0052434B" w:rsidP="0052434B">
      <w:pPr>
        <w:spacing w:before="0" w:after="120"/>
        <w:jc w:val="both"/>
        <w:rPr>
          <w:rFonts w:ascii="Arial" w:hAnsi="Arial" w:cs="Arial"/>
          <w:bCs/>
        </w:rPr>
      </w:pPr>
      <w:r>
        <w:rPr>
          <w:rFonts w:ascii="Arial" w:hAnsi="Arial" w:cs="Arial"/>
          <w:b/>
          <w:bCs/>
        </w:rPr>
        <w:t>I</w:t>
      </w:r>
      <w:r w:rsidRPr="005863C9">
        <w:rPr>
          <w:rFonts w:ascii="Arial" w:hAnsi="Arial" w:cs="Arial"/>
          <w:b/>
          <w:bCs/>
        </w:rPr>
        <w:t>nflazione “ereditat</w:t>
      </w:r>
      <w:r>
        <w:rPr>
          <w:rFonts w:ascii="Arial" w:hAnsi="Arial" w:cs="Arial"/>
          <w:b/>
          <w:bCs/>
        </w:rPr>
        <w:t>a</w:t>
      </w:r>
      <w:r w:rsidRPr="005863C9">
        <w:rPr>
          <w:rFonts w:ascii="Arial" w:hAnsi="Arial" w:cs="Arial"/>
          <w:b/>
          <w:bCs/>
        </w:rPr>
        <w:t>” nell’anno t dall’anno t-1</w:t>
      </w:r>
      <w:r w:rsidRPr="005863C9">
        <w:rPr>
          <w:rFonts w:ascii="Arial" w:hAnsi="Arial" w:cs="Arial"/>
          <w:bCs/>
        </w:rPr>
        <w:t xml:space="preserve">: variazione percentuale misurata tra il mese di dicembre dell’anno t-1 e la media dell’anno t-1. </w:t>
      </w:r>
      <w:r>
        <w:rPr>
          <w:rFonts w:ascii="Arial" w:hAnsi="Arial" w:cs="Arial"/>
          <w:bCs/>
        </w:rPr>
        <w:t>In altre parole, se nel corso dell’anno t non si verificassero variazioni congiunturali dell’indice generale dei prezzi, la sua variazione media annua risulterebbe pari all’inflazione ereditata.</w:t>
      </w:r>
    </w:p>
    <w:p w14:paraId="5464B266" w14:textId="77777777" w:rsidR="0052434B" w:rsidRDefault="0052434B" w:rsidP="0052434B">
      <w:pPr>
        <w:spacing w:before="0" w:after="120"/>
        <w:jc w:val="both"/>
        <w:rPr>
          <w:rFonts w:ascii="Arial" w:hAnsi="Arial" w:cs="Arial"/>
          <w:bCs/>
        </w:rPr>
      </w:pPr>
      <w:r>
        <w:rPr>
          <w:rFonts w:ascii="Arial" w:hAnsi="Arial" w:cs="Arial"/>
          <w:b/>
          <w:bCs/>
        </w:rPr>
        <w:t>Inflazione “propria</w:t>
      </w:r>
      <w:r w:rsidRPr="005863C9">
        <w:rPr>
          <w:rFonts w:ascii="Arial" w:hAnsi="Arial" w:cs="Arial"/>
          <w:b/>
          <w:bCs/>
        </w:rPr>
        <w:t>” dell’anno t</w:t>
      </w:r>
      <w:r w:rsidRPr="005863C9">
        <w:rPr>
          <w:rFonts w:ascii="Arial" w:hAnsi="Arial" w:cs="Arial"/>
          <w:bCs/>
        </w:rPr>
        <w:t xml:space="preserve">: variazione percentuale misurata tra la media dell’anno t e il dicembre dell’anno t-1. </w:t>
      </w:r>
      <w:r>
        <w:rPr>
          <w:rFonts w:ascii="Arial" w:hAnsi="Arial" w:cs="Arial"/>
          <w:bCs/>
        </w:rPr>
        <w:t>Essa rappresenta la variazione dell’indice generale dovuta alle variazioni di prezzo verificatesi nel corso dell’anno t.</w:t>
      </w:r>
    </w:p>
    <w:p w14:paraId="361CE6AC" w14:textId="77777777" w:rsidR="00A32897" w:rsidRDefault="00A32897" w:rsidP="0052434B">
      <w:pPr>
        <w:spacing w:before="0" w:after="120"/>
        <w:jc w:val="both"/>
        <w:rPr>
          <w:rFonts w:ascii="Arial" w:hAnsi="Arial" w:cs="Arial"/>
          <w:bCs/>
        </w:rPr>
      </w:pPr>
    </w:p>
    <w:p w14:paraId="0DCA1261" w14:textId="77777777" w:rsidR="00A32897" w:rsidRPr="005863C9" w:rsidRDefault="00A32897" w:rsidP="0052434B">
      <w:pPr>
        <w:spacing w:before="0" w:after="120"/>
        <w:jc w:val="both"/>
        <w:rPr>
          <w:rFonts w:ascii="Arial" w:hAnsi="Arial" w:cs="Arial"/>
          <w:bCs/>
        </w:rPr>
      </w:pPr>
    </w:p>
    <w:p w14:paraId="1C2FC811" w14:textId="77777777" w:rsidR="007466AE" w:rsidRPr="000F531B" w:rsidRDefault="007466AE" w:rsidP="007466AE">
      <w:pPr>
        <w:spacing w:before="0" w:after="120"/>
        <w:jc w:val="both"/>
        <w:rPr>
          <w:rFonts w:ascii="Arial" w:hAnsi="Arial" w:cs="Arial"/>
          <w:bCs/>
        </w:rPr>
      </w:pPr>
      <w:r w:rsidRPr="000F531B">
        <w:rPr>
          <w:rFonts w:ascii="Arial" w:hAnsi="Arial" w:cs="Arial"/>
          <w:b/>
          <w:bCs/>
        </w:rPr>
        <w:t>IPCA</w:t>
      </w:r>
      <w:r w:rsidRPr="000F531B">
        <w:rPr>
          <w:rFonts w:ascii="Arial" w:hAnsi="Arial" w:cs="Arial"/>
          <w:bCs/>
        </w:rPr>
        <w:t>: indice armonizzato dei prezzi al consumo per i Paesi dell’Unione europea.</w:t>
      </w:r>
    </w:p>
    <w:p w14:paraId="701AE9D2" w14:textId="77777777" w:rsidR="007466AE" w:rsidRPr="000F531B" w:rsidRDefault="007466AE" w:rsidP="007466AE">
      <w:pPr>
        <w:spacing w:before="0" w:after="120"/>
        <w:jc w:val="both"/>
        <w:rPr>
          <w:rFonts w:ascii="Arial" w:hAnsi="Arial" w:cs="Arial"/>
          <w:bCs/>
        </w:rPr>
      </w:pPr>
      <w:r w:rsidRPr="000F531B">
        <w:rPr>
          <w:rFonts w:ascii="Arial" w:hAnsi="Arial" w:cs="Arial"/>
          <w:b/>
          <w:bCs/>
        </w:rPr>
        <w:t>IPCA-AS</w:t>
      </w:r>
      <w:r w:rsidRPr="000F531B">
        <w:rPr>
          <w:rFonts w:ascii="Arial" w:hAnsi="Arial" w:cs="Arial"/>
          <w:bCs/>
        </w:rPr>
        <w:t>: indici armonizzati dei prezzi al consumo per aggregati speciali</w:t>
      </w:r>
      <w:r>
        <w:rPr>
          <w:rFonts w:ascii="Arial" w:hAnsi="Arial" w:cs="Arial"/>
          <w:bCs/>
        </w:rPr>
        <w:t xml:space="preserve"> s</w:t>
      </w:r>
      <w:r w:rsidRPr="000F531B">
        <w:rPr>
          <w:rFonts w:ascii="Arial" w:hAnsi="Arial" w:cs="Arial"/>
          <w:bCs/>
        </w:rPr>
        <w:t xml:space="preserve">ono indicatori costruiti secondo uno schema classificatorio </w:t>
      </w:r>
      <w:r>
        <w:rPr>
          <w:rFonts w:ascii="Arial" w:hAnsi="Arial" w:cs="Arial"/>
          <w:bCs/>
        </w:rPr>
        <w:t>diverso</w:t>
      </w:r>
      <w:r w:rsidRPr="000F531B">
        <w:rPr>
          <w:rFonts w:ascii="Arial" w:hAnsi="Arial" w:cs="Arial"/>
          <w:bCs/>
        </w:rPr>
        <w:t xml:space="preserve"> </w:t>
      </w:r>
      <w:r>
        <w:rPr>
          <w:rFonts w:ascii="Arial" w:hAnsi="Arial" w:cs="Arial"/>
          <w:bCs/>
        </w:rPr>
        <w:t>d</w:t>
      </w:r>
      <w:r w:rsidRPr="000F531B">
        <w:rPr>
          <w:rFonts w:ascii="Arial" w:hAnsi="Arial" w:cs="Arial"/>
          <w:bCs/>
        </w:rPr>
        <w:t>alla ECOICOP-IPCA e da quello utilizzato per gli indici NIC per tipologia di prodotto. L</w:t>
      </w:r>
      <w:r>
        <w:rPr>
          <w:rFonts w:ascii="Arial" w:hAnsi="Arial" w:cs="Arial"/>
          <w:bCs/>
        </w:rPr>
        <w:t>a struttura</w:t>
      </w:r>
      <w:r w:rsidRPr="000F531B">
        <w:rPr>
          <w:rFonts w:ascii="Arial" w:hAnsi="Arial" w:cs="Arial"/>
          <w:bCs/>
        </w:rPr>
        <w:t xml:space="preserve"> di classificazione </w:t>
      </w:r>
      <w:r>
        <w:rPr>
          <w:rFonts w:ascii="Arial" w:hAnsi="Arial" w:cs="Arial"/>
          <w:bCs/>
        </w:rPr>
        <w:t>e le procedure</w:t>
      </w:r>
      <w:r w:rsidRPr="000F531B">
        <w:rPr>
          <w:rFonts w:ascii="Arial" w:hAnsi="Arial" w:cs="Arial"/>
          <w:bCs/>
        </w:rPr>
        <w:t xml:space="preserve"> di calcolo sono comuni a quell</w:t>
      </w:r>
      <w:r>
        <w:rPr>
          <w:rFonts w:ascii="Arial" w:hAnsi="Arial" w:cs="Arial"/>
          <w:bCs/>
        </w:rPr>
        <w:t>e</w:t>
      </w:r>
      <w:r w:rsidRPr="000F531B">
        <w:rPr>
          <w:rFonts w:ascii="Arial" w:hAnsi="Arial" w:cs="Arial"/>
          <w:bCs/>
        </w:rPr>
        <w:t xml:space="preserve"> </w:t>
      </w:r>
      <w:r w:rsidRPr="000F531B">
        <w:rPr>
          <w:rFonts w:ascii="Arial" w:hAnsi="Arial" w:cs="Arial"/>
        </w:rPr>
        <w:t>utilizzat</w:t>
      </w:r>
      <w:r>
        <w:rPr>
          <w:rFonts w:ascii="Arial" w:hAnsi="Arial" w:cs="Arial"/>
        </w:rPr>
        <w:t>e</w:t>
      </w:r>
      <w:r w:rsidRPr="000F531B">
        <w:rPr>
          <w:rFonts w:ascii="Arial" w:hAnsi="Arial" w:cs="Arial"/>
        </w:rPr>
        <w:t xml:space="preserve"> da Eurostat</w:t>
      </w:r>
      <w:r>
        <w:rPr>
          <w:rFonts w:ascii="Arial" w:hAnsi="Arial" w:cs="Arial"/>
        </w:rPr>
        <w:t xml:space="preserve"> e ne condividono le innovazioni di carattere metodologico</w:t>
      </w:r>
      <w:r w:rsidRPr="000F531B">
        <w:rPr>
          <w:rFonts w:ascii="Arial" w:hAnsi="Arial" w:cs="Arial"/>
        </w:rPr>
        <w:t>.</w:t>
      </w:r>
      <w:r>
        <w:rPr>
          <w:rFonts w:ascii="Arial" w:hAnsi="Arial" w:cs="Arial"/>
        </w:rPr>
        <w:t xml:space="preserve"> In particolare, dalla diffusione degli indici definitivi di gennaio 2019 cambia il metodo di calcolo degli aggregati speciali dell’IPCA che sono ottenuti aggregando gli indici delle sottoclassi della ECOICOP (in precedenza, per il computo di questi indicatori erano utilizzati gli indici delle classi).</w:t>
      </w:r>
      <w:r w:rsidRPr="000F531B">
        <w:rPr>
          <w:rFonts w:ascii="Arial" w:hAnsi="Arial" w:cs="Arial"/>
          <w:bCs/>
        </w:rPr>
        <w:t xml:space="preserve"> </w:t>
      </w:r>
      <w:r>
        <w:rPr>
          <w:rFonts w:ascii="Arial" w:hAnsi="Arial" w:cs="Arial"/>
          <w:bCs/>
        </w:rPr>
        <w:t>Per una migliore fruibilità dei nuovi indicatori, le serie degli aggregati speciali, secondo il nuovo schema, sono state ricostruite per il periodo gennaio 2017 - dicembre 2018 e sostituiscono, per l’intervallo temporale in questione, quelle precedentemente diffuse, basate sulla vecchia metodologia di calcolo</w:t>
      </w:r>
      <w:r w:rsidRPr="000F531B">
        <w:rPr>
          <w:rFonts w:ascii="Arial" w:hAnsi="Arial" w:cs="Arial"/>
        </w:rPr>
        <w:t>.</w:t>
      </w:r>
      <w:r w:rsidRPr="000F531B">
        <w:rPr>
          <w:rFonts w:ascii="Arial" w:hAnsi="Arial" w:cs="Arial"/>
          <w:bCs/>
        </w:rPr>
        <w:t xml:space="preserve"> </w:t>
      </w:r>
    </w:p>
    <w:p w14:paraId="53891F97" w14:textId="161B602B" w:rsidR="007466AE" w:rsidRPr="000F531B" w:rsidRDefault="007466AE" w:rsidP="007466AE">
      <w:pPr>
        <w:spacing w:before="0" w:after="120"/>
        <w:jc w:val="both"/>
        <w:rPr>
          <w:rFonts w:ascii="Arial" w:hAnsi="Arial" w:cs="Arial"/>
          <w:bCs/>
        </w:rPr>
      </w:pPr>
      <w:r w:rsidRPr="000F531B">
        <w:rPr>
          <w:rFonts w:ascii="Arial" w:hAnsi="Arial" w:cs="Arial"/>
          <w:b/>
          <w:bCs/>
        </w:rPr>
        <w:t>IPCA-TC</w:t>
      </w:r>
      <w:r w:rsidRPr="000F531B">
        <w:rPr>
          <w:rFonts w:ascii="Arial" w:hAnsi="Arial" w:cs="Arial"/>
          <w:bCs/>
        </w:rPr>
        <w:t xml:space="preserve">: </w:t>
      </w:r>
      <w:r w:rsidR="004F59D9" w:rsidRPr="000F531B">
        <w:rPr>
          <w:rFonts w:ascii="Arial" w:hAnsi="Arial" w:cs="Arial"/>
          <w:bCs/>
        </w:rPr>
        <w:t>indice armonizzato dei prezzi al consumo a tassazione costante per i Paesi dell’Unione europea.</w:t>
      </w:r>
      <w:r w:rsidR="004F59D9">
        <w:rPr>
          <w:rFonts w:ascii="Arial" w:hAnsi="Arial" w:cs="Arial"/>
          <w:bCs/>
        </w:rPr>
        <w:t xml:space="preserve"> Viene calcolato escludendo l’impatto (teorico) delle variazioni delle imposte indirette sui prezzi al consumo</w:t>
      </w:r>
      <w:r w:rsidRPr="000F531B">
        <w:rPr>
          <w:rFonts w:ascii="Arial" w:hAnsi="Arial" w:cs="Arial"/>
          <w:bCs/>
        </w:rPr>
        <w:t>.</w:t>
      </w:r>
    </w:p>
    <w:p w14:paraId="4E8DB8E6" w14:textId="77777777" w:rsidR="007466AE" w:rsidRPr="000F531B" w:rsidRDefault="007466AE" w:rsidP="007466AE">
      <w:pPr>
        <w:spacing w:before="0" w:after="120"/>
        <w:jc w:val="both"/>
        <w:rPr>
          <w:rFonts w:ascii="Arial" w:hAnsi="Arial" w:cs="Arial"/>
        </w:rPr>
      </w:pPr>
      <w:r w:rsidRPr="000F531B">
        <w:rPr>
          <w:rFonts w:ascii="Arial" w:hAnsi="Arial" w:cs="Arial"/>
          <w:b/>
        </w:rPr>
        <w:t>NIC</w:t>
      </w:r>
      <w:r w:rsidRPr="000F531B">
        <w:rPr>
          <w:rFonts w:ascii="Arial" w:hAnsi="Arial" w:cs="Arial"/>
        </w:rPr>
        <w:t>: indice nazionale dei prezzi al consumo per l’intera collettività.</w:t>
      </w:r>
    </w:p>
    <w:p w14:paraId="2DFB2F9D" w14:textId="77777777" w:rsidR="007466AE" w:rsidRPr="000F531B" w:rsidRDefault="007466AE" w:rsidP="007466AE">
      <w:pPr>
        <w:widowControl/>
        <w:overflowPunct/>
        <w:autoSpaceDE/>
        <w:adjustRightInd/>
        <w:spacing w:before="0" w:after="120"/>
        <w:jc w:val="both"/>
        <w:rPr>
          <w:rFonts w:ascii="Arial" w:hAnsi="Arial" w:cs="Arial"/>
        </w:rPr>
      </w:pPr>
      <w:r w:rsidRPr="000F531B">
        <w:rPr>
          <w:rFonts w:ascii="Arial" w:hAnsi="Arial" w:cs="Arial"/>
          <w:b/>
        </w:rPr>
        <w:t>Prodotti ad alta frequenza di acquisto</w:t>
      </w:r>
      <w:r w:rsidRPr="000F531B">
        <w:rPr>
          <w:rFonts w:ascii="Arial" w:hAnsi="Arial" w:cs="Arial"/>
        </w:rPr>
        <w:t>: includono, oltre ai generi alimentari, le bevande alcoliche e analcoliche, i tabacchi, le spese per l’affitto, i beni non durevoli per la casa, i servizi per la pulizia e manutenzione della casa, i carburanti, i trasporti urbani, i giornali e i periodici, i servizi di ristorazione, le spese di assistenza.</w:t>
      </w:r>
    </w:p>
    <w:p w14:paraId="185E6EA2" w14:textId="77777777" w:rsidR="007466AE" w:rsidRPr="000F531B" w:rsidRDefault="007466AE" w:rsidP="007466AE">
      <w:pPr>
        <w:spacing w:before="0" w:after="120"/>
        <w:ind w:right="38"/>
        <w:jc w:val="both"/>
        <w:rPr>
          <w:rFonts w:ascii="Arial" w:hAnsi="Arial" w:cs="Arial"/>
        </w:rPr>
      </w:pPr>
      <w:r w:rsidRPr="000F531B">
        <w:rPr>
          <w:rFonts w:ascii="Arial" w:hAnsi="Arial" w:cs="Arial"/>
          <w:b/>
        </w:rPr>
        <w:t>Prodotti a media frequenza</w:t>
      </w:r>
      <w:r w:rsidRPr="000F531B">
        <w:rPr>
          <w:rFonts w:ascii="Arial" w:hAnsi="Arial" w:cs="Arial"/>
        </w:rPr>
        <w:t xml:space="preserve"> </w:t>
      </w:r>
      <w:r w:rsidRPr="000F531B">
        <w:rPr>
          <w:rFonts w:ascii="Arial" w:hAnsi="Arial" w:cs="Arial"/>
          <w:b/>
        </w:rPr>
        <w:t>di acquisto</w:t>
      </w:r>
      <w:r w:rsidRPr="000F531B">
        <w:rPr>
          <w:rFonts w:ascii="Arial" w:hAnsi="Arial" w:cs="Arial"/>
        </w:rPr>
        <w:t xml:space="preserve">: comprendono, </w:t>
      </w:r>
      <w:r w:rsidRPr="00642DBC">
        <w:rPr>
          <w:rFonts w:ascii="Arial" w:hAnsi="Arial" w:cs="Arial"/>
        </w:rPr>
        <w:t>tra gli altri,</w:t>
      </w:r>
      <w:r w:rsidRPr="000F531B">
        <w:rPr>
          <w:rFonts w:ascii="Arial" w:hAnsi="Arial" w:cs="Arial"/>
        </w:rPr>
        <w:t xml:space="preserve"> le spese di abbigliamento, le tariffe elettriche e quelle relative all’acqua potabile e lo smaltimento dei rifiuti, i medicinali, i servizi medici e quelli dentistici, i trasporti stradali, ferroviari marittimi e aerei, i servizi postali e telefonici, i servizi ricreativi e culturali, i pacchetti vacanze, i libri, gli alberghi e gli altri servizi di alloggio.</w:t>
      </w:r>
    </w:p>
    <w:p w14:paraId="79C6F319" w14:textId="77777777" w:rsidR="007466AE" w:rsidRPr="000F531B" w:rsidRDefault="007466AE" w:rsidP="007466AE">
      <w:pPr>
        <w:spacing w:before="0" w:after="120"/>
        <w:jc w:val="both"/>
        <w:rPr>
          <w:rFonts w:ascii="Arial" w:hAnsi="Arial" w:cs="Arial"/>
        </w:rPr>
      </w:pPr>
      <w:r w:rsidRPr="000F531B">
        <w:rPr>
          <w:rFonts w:ascii="Arial" w:hAnsi="Arial" w:cs="Arial"/>
          <w:b/>
        </w:rPr>
        <w:t>Prodotti a bassa frequenza di acquisto</w:t>
      </w:r>
      <w:r w:rsidRPr="000F531B">
        <w:rPr>
          <w:rFonts w:ascii="Arial" w:hAnsi="Arial" w:cs="Arial"/>
        </w:rPr>
        <w:t>: comprendono gli elettrodomestici, i servizi ospedalieri, l’acquisto dei mezzi di trasporto, i servizi di trasloco, gli apparecchi audiovisivi, fotografici e informatici, gli articoli sportivi.</w:t>
      </w:r>
    </w:p>
    <w:p w14:paraId="6068F367" w14:textId="77777777" w:rsidR="007466AE" w:rsidRDefault="007466AE" w:rsidP="007466AE">
      <w:pPr>
        <w:spacing w:before="0" w:after="120"/>
        <w:jc w:val="both"/>
        <w:rPr>
          <w:rFonts w:ascii="Arial" w:hAnsi="Arial" w:cs="Arial"/>
        </w:rPr>
      </w:pPr>
      <w:r w:rsidRPr="000F531B">
        <w:rPr>
          <w:rFonts w:ascii="Arial" w:hAnsi="Arial" w:cs="Arial"/>
          <w:b/>
        </w:rPr>
        <w:t>Servizi regolamentati</w:t>
      </w:r>
      <w:r w:rsidRPr="000F531B">
        <w:rPr>
          <w:rFonts w:ascii="Arial" w:hAnsi="Arial" w:cs="Arial"/>
        </w:rPr>
        <w:t xml:space="preserve">: tipologie di servizio i cui prezzi sono stabiliti da amministrazioni nazionali o locali e da servizi di pubblica utilità soggetti a regolamentazione da parte di specifiche Agenzie (Authority). Comprendono i certificati, </w:t>
      </w:r>
      <w:r>
        <w:rPr>
          <w:rFonts w:ascii="Arial" w:hAnsi="Arial" w:cs="Arial"/>
        </w:rPr>
        <w:t>i documenti di riconoscimento</w:t>
      </w:r>
      <w:r w:rsidRPr="000F531B">
        <w:rPr>
          <w:rFonts w:ascii="Arial" w:hAnsi="Arial" w:cs="Arial"/>
        </w:rPr>
        <w:t xml:space="preserve">, la tariffa per i rifiuti solidi, la tariffa per la raccolta di acque reflue, l’istruzione secondaria, le mense scolastiche, i trasporti urbani unimodali e multimodali (biglietti e abbonamenti), il trasporto extra-urbano su bus e multimodale, i taxi, i trasporti ferroviari regionali, i pedaggi autostradali, </w:t>
      </w:r>
      <w:r>
        <w:rPr>
          <w:rFonts w:ascii="Arial" w:hAnsi="Arial" w:cs="Arial"/>
        </w:rPr>
        <w:t>i musei, i giochi lotterie e scommesse, la revisione auto, alcuni servizi postali, i nidi d’infanzia comunali, i servizi di alloggio universitario.</w:t>
      </w:r>
    </w:p>
    <w:p w14:paraId="354E90DB" w14:textId="77777777" w:rsidR="007466AE" w:rsidRDefault="007466AE" w:rsidP="007466AE">
      <w:pPr>
        <w:spacing w:before="0" w:after="120"/>
        <w:jc w:val="both"/>
        <w:rPr>
          <w:rFonts w:ascii="Arial" w:hAnsi="Arial" w:cs="Arial"/>
        </w:rPr>
      </w:pPr>
      <w:r w:rsidRPr="000F531B">
        <w:rPr>
          <w:rFonts w:ascii="Arial" w:hAnsi="Arial" w:cs="Arial"/>
          <w:b/>
        </w:rPr>
        <w:t>Servizi relativi ai trasporti</w:t>
      </w:r>
      <w:r w:rsidRPr="000F531B">
        <w:rPr>
          <w:rFonts w:ascii="Arial" w:hAnsi="Arial" w:cs="Arial"/>
        </w:rPr>
        <w:t>: comprendono i traspor</w:t>
      </w:r>
      <w:r>
        <w:rPr>
          <w:rFonts w:ascii="Arial" w:hAnsi="Arial" w:cs="Arial"/>
        </w:rPr>
        <w:t>ti aerei, marittimi, ferroviari</w:t>
      </w:r>
      <w:r w:rsidRPr="000F531B">
        <w:rPr>
          <w:rFonts w:ascii="Arial" w:hAnsi="Arial" w:cs="Arial"/>
        </w:rPr>
        <w:t xml:space="preserve"> e stradali, i servizi di manutenzione e riparazione di mezzi di trasporto, le assicurazioni sui mezzi di trasporto.</w:t>
      </w:r>
    </w:p>
    <w:p w14:paraId="2218049E" w14:textId="77777777" w:rsidR="007466AE" w:rsidRDefault="007466AE" w:rsidP="007466AE">
      <w:pPr>
        <w:spacing w:before="0" w:after="120"/>
        <w:jc w:val="both"/>
        <w:rPr>
          <w:rFonts w:ascii="Arial" w:hAnsi="Arial" w:cs="Arial"/>
        </w:rPr>
      </w:pPr>
      <w:r w:rsidRPr="000F531B">
        <w:rPr>
          <w:rFonts w:ascii="Arial" w:hAnsi="Arial" w:cs="Arial"/>
          <w:b/>
        </w:rPr>
        <w:t>Servizi relativi all’abitazione</w:t>
      </w:r>
      <w:r w:rsidRPr="000F531B">
        <w:rPr>
          <w:rFonts w:ascii="Arial" w:hAnsi="Arial" w:cs="Arial"/>
        </w:rPr>
        <w:t>: comprendono i servizi di riparazione, la pulizia e la manutenzione della casa, la tariffa per i rifiuti solidi, la tariffa per la raccolta acque reflue, il canone d</w:t>
      </w:r>
      <w:r>
        <w:rPr>
          <w:rFonts w:ascii="Arial" w:hAnsi="Arial" w:cs="Arial"/>
        </w:rPr>
        <w:t>’affitto, le spese condominiali, i servizi assicurativi connessi all’abitazione.</w:t>
      </w:r>
    </w:p>
    <w:p w14:paraId="0E75D9D3" w14:textId="77777777" w:rsidR="007466AE" w:rsidRPr="000F531B" w:rsidRDefault="007466AE" w:rsidP="007466AE">
      <w:pPr>
        <w:spacing w:before="0" w:after="120"/>
        <w:jc w:val="both"/>
        <w:rPr>
          <w:rFonts w:ascii="Arial" w:hAnsi="Arial" w:cs="Arial"/>
        </w:rPr>
      </w:pPr>
      <w:r w:rsidRPr="000F531B">
        <w:rPr>
          <w:rFonts w:ascii="Arial" w:hAnsi="Arial" w:cs="Arial"/>
          <w:b/>
        </w:rPr>
        <w:t>Servizi relativi alle comunicazioni</w:t>
      </w:r>
      <w:r w:rsidRPr="000F531B">
        <w:rPr>
          <w:rFonts w:ascii="Arial" w:hAnsi="Arial" w:cs="Arial"/>
        </w:rPr>
        <w:t>: comprendono i servizi di telefonia e i servizi postali.</w:t>
      </w:r>
    </w:p>
    <w:p w14:paraId="5A321E83" w14:textId="77777777" w:rsidR="007466AE" w:rsidRDefault="007466AE" w:rsidP="007466AE">
      <w:pPr>
        <w:spacing w:before="0" w:after="120"/>
        <w:jc w:val="both"/>
        <w:rPr>
          <w:rFonts w:ascii="Arial" w:hAnsi="Arial" w:cs="Arial"/>
        </w:rPr>
      </w:pPr>
      <w:r w:rsidRPr="000F531B">
        <w:rPr>
          <w:rFonts w:ascii="Arial" w:hAnsi="Arial" w:cs="Arial"/>
          <w:b/>
        </w:rPr>
        <w:t>Servizi ricreativi, culturali e per la cura della persona</w:t>
      </w:r>
      <w:r w:rsidRPr="000F531B">
        <w:rPr>
          <w:rFonts w:ascii="Arial" w:hAnsi="Arial" w:cs="Arial"/>
        </w:rPr>
        <w:t>: comprendono i pacchetti vacanza, i servizi di alloggio, i ristoranti, bar e simili, le mense, la riparazione di apparecchi audiovisivi, fotografici e informatici, i servizi per l'abbigliamento, i servizi per l</w:t>
      </w:r>
      <w:r>
        <w:rPr>
          <w:rFonts w:ascii="Arial" w:hAnsi="Arial" w:cs="Arial"/>
        </w:rPr>
        <w:t>’</w:t>
      </w:r>
      <w:r w:rsidRPr="000F531B">
        <w:rPr>
          <w:rFonts w:ascii="Arial" w:hAnsi="Arial" w:cs="Arial"/>
        </w:rPr>
        <w:t xml:space="preserve">igiene personale, i servizi ricreativi e culturali vari, </w:t>
      </w:r>
      <w:r>
        <w:rPr>
          <w:rFonts w:ascii="Arial" w:hAnsi="Arial" w:cs="Arial"/>
        </w:rPr>
        <w:t>i giochi lotterie e scommesse</w:t>
      </w:r>
      <w:r w:rsidRPr="000F531B">
        <w:rPr>
          <w:rFonts w:ascii="Arial" w:hAnsi="Arial" w:cs="Arial"/>
        </w:rPr>
        <w:t>.</w:t>
      </w:r>
    </w:p>
    <w:p w14:paraId="4FC95D88" w14:textId="77777777" w:rsidR="007466AE" w:rsidRDefault="007466AE" w:rsidP="007466AE">
      <w:pPr>
        <w:spacing w:before="0" w:after="120"/>
        <w:jc w:val="both"/>
        <w:rPr>
          <w:rFonts w:ascii="Arial" w:hAnsi="Arial" w:cs="Arial"/>
        </w:rPr>
      </w:pPr>
      <w:r w:rsidRPr="000F531B">
        <w:rPr>
          <w:rFonts w:ascii="Arial" w:hAnsi="Arial" w:cs="Arial"/>
          <w:b/>
        </w:rPr>
        <w:t>Servizi vari</w:t>
      </w:r>
      <w:r w:rsidRPr="000F531B">
        <w:rPr>
          <w:rFonts w:ascii="Arial" w:hAnsi="Arial" w:cs="Arial"/>
        </w:rPr>
        <w:t>:</w:t>
      </w:r>
      <w:r w:rsidRPr="000F531B">
        <w:rPr>
          <w:rFonts w:ascii="Arial" w:hAnsi="Arial" w:cs="Arial"/>
          <w:b/>
        </w:rPr>
        <w:t xml:space="preserve"> </w:t>
      </w:r>
      <w:r w:rsidRPr="000F531B">
        <w:rPr>
          <w:rFonts w:ascii="Arial" w:hAnsi="Arial" w:cs="Arial"/>
        </w:rPr>
        <w:t>comprendono l’istruzione, i servizi medici, i servizi per l’assistenza, i servizi finanziari</w:t>
      </w:r>
      <w:r>
        <w:rPr>
          <w:rFonts w:ascii="Arial" w:hAnsi="Arial" w:cs="Arial"/>
        </w:rPr>
        <w:t>, professioni liberali, servizio funebre,</w:t>
      </w:r>
      <w:r w:rsidRPr="000F531B">
        <w:rPr>
          <w:rFonts w:ascii="Arial" w:hAnsi="Arial" w:cs="Arial"/>
        </w:rPr>
        <w:t xml:space="preserve"> </w:t>
      </w:r>
      <w:r>
        <w:rPr>
          <w:rFonts w:ascii="Arial" w:hAnsi="Arial" w:cs="Arial"/>
        </w:rPr>
        <w:t>servizi veterinari, servizi assicurativi privati connessi alla salute</w:t>
      </w:r>
      <w:r w:rsidRPr="000F531B">
        <w:rPr>
          <w:rFonts w:ascii="Arial" w:hAnsi="Arial" w:cs="Arial"/>
        </w:rPr>
        <w:t>.</w:t>
      </w:r>
    </w:p>
    <w:p w14:paraId="0897EE96" w14:textId="77777777" w:rsidR="004F59D9" w:rsidRDefault="004F59D9" w:rsidP="006775E2">
      <w:pPr>
        <w:spacing w:before="0" w:after="120"/>
        <w:jc w:val="both"/>
        <w:rPr>
          <w:rFonts w:ascii="Arial" w:hAnsi="Arial" w:cs="Arial"/>
        </w:rPr>
      </w:pPr>
      <w:r w:rsidRPr="00E75504">
        <w:rPr>
          <w:rFonts w:ascii="Arial" w:hAnsi="Arial" w:cs="Arial"/>
          <w:b/>
        </w:rPr>
        <w:t>Spesa equivalente</w:t>
      </w:r>
      <w:r>
        <w:t xml:space="preserve">: </w:t>
      </w:r>
      <w:r w:rsidRPr="00E75504">
        <w:rPr>
          <w:rFonts w:ascii="Arial" w:hAnsi="Arial" w:cs="Arial"/>
        </w:rPr>
        <w:t>è calcolata dividendo il valore della spesa familiare per un opportuno coefficiente di correzione (scala di equivalenza), che permette di tener conto dell’effetto delle economie di scala e di rendere direttamente confrontabili i livelli di spesa di famiglie di ampiezza diversa.</w:t>
      </w:r>
      <w:r>
        <w:rPr>
          <w:rFonts w:ascii="Arial" w:hAnsi="Arial" w:cs="Arial"/>
        </w:rPr>
        <w:t xml:space="preserve"> </w:t>
      </w:r>
      <w:r w:rsidRPr="002F5494">
        <w:rPr>
          <w:rFonts w:ascii="Arial" w:hAnsi="Arial" w:cs="Arial"/>
        </w:rPr>
        <w:t xml:space="preserve">Nel presente </w:t>
      </w:r>
      <w:r>
        <w:rPr>
          <w:rFonts w:ascii="Arial" w:hAnsi="Arial" w:cs="Arial"/>
        </w:rPr>
        <w:t>comunicato</w:t>
      </w:r>
      <w:r w:rsidRPr="002F5494">
        <w:rPr>
          <w:rFonts w:ascii="Arial" w:hAnsi="Arial" w:cs="Arial"/>
        </w:rPr>
        <w:t xml:space="preserve"> si utilizza la scala di equivalenza Carbonaro.</w:t>
      </w:r>
    </w:p>
    <w:p w14:paraId="7B16115B" w14:textId="56C2C1F6" w:rsidR="006775E2" w:rsidRPr="00431E4B" w:rsidRDefault="006775E2" w:rsidP="006775E2">
      <w:pPr>
        <w:spacing w:before="0" w:after="120"/>
        <w:jc w:val="both"/>
        <w:rPr>
          <w:rFonts w:ascii="Arial" w:hAnsi="Arial" w:cs="Arial"/>
          <w:bCs/>
        </w:rPr>
      </w:pPr>
      <w:r w:rsidRPr="00431E4B">
        <w:rPr>
          <w:rFonts w:ascii="Arial" w:hAnsi="Arial" w:cs="Arial"/>
          <w:b/>
          <w:bCs/>
        </w:rPr>
        <w:t>Trascinamento all’anno t+1</w:t>
      </w:r>
      <w:r w:rsidRPr="00431E4B">
        <w:rPr>
          <w:rFonts w:ascii="Arial" w:hAnsi="Arial" w:cs="Arial"/>
          <w:bCs/>
        </w:rPr>
        <w:t>: variazione percentuale misurata tra il mese di dicembre dell’anno t e la media dell’anno t</w:t>
      </w:r>
      <w:r>
        <w:rPr>
          <w:rFonts w:ascii="Arial" w:hAnsi="Arial" w:cs="Arial"/>
          <w:bCs/>
        </w:rPr>
        <w:t>. In altre parole, il trascinamento non è altro che l’eredità, in termini di inflazione, che l’anno t lascia all’anno t+1.</w:t>
      </w:r>
    </w:p>
    <w:p w14:paraId="18A4BFEE" w14:textId="77777777" w:rsidR="007466AE" w:rsidRPr="000F531B" w:rsidRDefault="007466AE" w:rsidP="007466AE">
      <w:pPr>
        <w:spacing w:before="0" w:after="120"/>
        <w:jc w:val="both"/>
        <w:rPr>
          <w:rFonts w:ascii="Arial" w:hAnsi="Arial" w:cs="Arial"/>
          <w:bCs/>
        </w:rPr>
      </w:pPr>
      <w:r w:rsidRPr="000F531B">
        <w:rPr>
          <w:rFonts w:ascii="Arial" w:hAnsi="Arial" w:cs="Arial"/>
          <w:b/>
          <w:bCs/>
        </w:rPr>
        <w:t>Variazione congiunturale</w:t>
      </w:r>
      <w:r w:rsidRPr="000F531B">
        <w:rPr>
          <w:rFonts w:ascii="Arial" w:hAnsi="Arial" w:cs="Arial"/>
          <w:bCs/>
        </w:rPr>
        <w:t>: variazione rispetto al periodo precedente.</w:t>
      </w:r>
    </w:p>
    <w:p w14:paraId="0363C849" w14:textId="77777777" w:rsidR="007466AE" w:rsidRPr="0049298E" w:rsidRDefault="007466AE" w:rsidP="007466AE">
      <w:pPr>
        <w:spacing w:before="0" w:after="120"/>
        <w:jc w:val="both"/>
        <w:rPr>
          <w:rFonts w:ascii="Arial" w:hAnsi="Arial" w:cs="Arial"/>
          <w:bCs/>
        </w:rPr>
      </w:pPr>
      <w:r w:rsidRPr="000F531B">
        <w:rPr>
          <w:rFonts w:ascii="Arial" w:hAnsi="Arial" w:cs="Arial"/>
          <w:b/>
          <w:bCs/>
        </w:rPr>
        <w:t>Variazione tendenziale</w:t>
      </w:r>
      <w:r w:rsidRPr="0049298E">
        <w:rPr>
          <w:rFonts w:ascii="Arial" w:hAnsi="Arial" w:cs="Arial"/>
          <w:b/>
          <w:bCs/>
        </w:rPr>
        <w:t>:</w:t>
      </w:r>
      <w:r w:rsidRPr="000F531B">
        <w:rPr>
          <w:rFonts w:ascii="Arial" w:hAnsi="Arial" w:cs="Arial"/>
          <w:b/>
          <w:bCs/>
        </w:rPr>
        <w:t xml:space="preserve"> </w:t>
      </w:r>
      <w:r w:rsidRPr="0049298E">
        <w:rPr>
          <w:rFonts w:ascii="Arial" w:hAnsi="Arial" w:cs="Arial"/>
          <w:bCs/>
        </w:rPr>
        <w:t>variazione rispetto allo stesso periodo dell’anno precedente.</w:t>
      </w:r>
    </w:p>
    <w:p w14:paraId="5EE23428" w14:textId="77777777" w:rsidR="002C01C5" w:rsidRDefault="002C01C5" w:rsidP="002C01C5">
      <w:pPr>
        <w:pStyle w:val="Corpodeltesto2"/>
        <w:tabs>
          <w:tab w:val="left" w:pos="0"/>
          <w:tab w:val="left" w:pos="6300"/>
        </w:tabs>
        <w:spacing w:line="240" w:lineRule="auto"/>
        <w:jc w:val="both"/>
        <w:rPr>
          <w:rFonts w:ascii="Arial" w:hAnsi="Arial" w:cs="Arial"/>
          <w:bCs/>
        </w:rPr>
      </w:pPr>
    </w:p>
    <w:p w14:paraId="26F7D4F3" w14:textId="77777777" w:rsidR="002C01C5" w:rsidRDefault="002C01C5" w:rsidP="002C01C5">
      <w:pPr>
        <w:widowControl/>
        <w:overflowPunct/>
        <w:autoSpaceDE/>
        <w:autoSpaceDN/>
        <w:adjustRightInd/>
        <w:spacing w:before="0" w:after="0"/>
        <w:rPr>
          <w:rFonts w:ascii="Arial" w:hAnsi="Arial" w:cs="Arial"/>
          <w:iCs/>
          <w:sz w:val="21"/>
          <w:szCs w:val="21"/>
        </w:rPr>
      </w:pPr>
      <w:r>
        <w:rPr>
          <w:rFonts w:ascii="Arial" w:hAnsi="Arial" w:cs="Arial"/>
          <w:bCs/>
        </w:rPr>
        <w:br w:type="page"/>
      </w:r>
    </w:p>
    <w:p w14:paraId="0CB12FC5" w14:textId="77777777" w:rsidR="002C01C5" w:rsidRPr="00C8504B" w:rsidRDefault="002C01C5" w:rsidP="002C01C5">
      <w:pPr>
        <w:pStyle w:val="Corpodeltesto2"/>
        <w:tabs>
          <w:tab w:val="left" w:pos="0"/>
          <w:tab w:val="left" w:pos="6300"/>
        </w:tabs>
        <w:spacing w:line="240" w:lineRule="auto"/>
        <w:jc w:val="both"/>
        <w:rPr>
          <w:rFonts w:ascii="Arial" w:hAnsi="Arial" w:cs="Arial"/>
          <w:iCs/>
          <w:sz w:val="21"/>
          <w:szCs w:val="21"/>
        </w:rPr>
        <w:sectPr w:rsidR="002C01C5" w:rsidRPr="00C8504B" w:rsidSect="002C01C5">
          <w:headerReference w:type="default" r:id="rId31"/>
          <w:pgSz w:w="11907" w:h="16840" w:code="9"/>
          <w:pgMar w:top="1537" w:right="851" w:bottom="680" w:left="851" w:header="567" w:footer="567" w:gutter="0"/>
          <w:cols w:space="720"/>
          <w:noEndnote/>
          <w:docGrid w:linePitch="272"/>
        </w:sectPr>
      </w:pPr>
    </w:p>
    <w:p w14:paraId="0482429B" w14:textId="77777777" w:rsidR="00AB34E1" w:rsidRPr="001969C1" w:rsidRDefault="00AB34E1" w:rsidP="00AB34E1">
      <w:pPr>
        <w:spacing w:before="0" w:after="120"/>
        <w:jc w:val="both"/>
        <w:rPr>
          <w:rFonts w:ascii="Arial" w:hAnsi="Arial" w:cs="Arial"/>
          <w:b/>
          <w:sz w:val="18"/>
          <w:szCs w:val="22"/>
        </w:rPr>
      </w:pPr>
    </w:p>
    <w:p w14:paraId="1441E3F7" w14:textId="77777777" w:rsidR="00AB34E1" w:rsidRPr="006C5085" w:rsidRDefault="00AB34E1" w:rsidP="00AB34E1">
      <w:pPr>
        <w:spacing w:before="0" w:after="120"/>
        <w:jc w:val="both"/>
        <w:rPr>
          <w:rFonts w:ascii="Arial" w:hAnsi="Arial" w:cs="Arial"/>
          <w:b/>
          <w:sz w:val="22"/>
          <w:szCs w:val="22"/>
        </w:rPr>
      </w:pPr>
      <w:r w:rsidRPr="006C5085">
        <w:rPr>
          <w:rFonts w:ascii="Arial" w:hAnsi="Arial" w:cs="Arial"/>
          <w:b/>
          <w:sz w:val="22"/>
          <w:szCs w:val="22"/>
        </w:rPr>
        <w:t>Introduzione e quadro normativo</w:t>
      </w:r>
    </w:p>
    <w:p w14:paraId="3ED3424A" w14:textId="77777777" w:rsidR="00AB34E1" w:rsidRPr="006C5085" w:rsidRDefault="00AB34E1" w:rsidP="00AB34E1">
      <w:pPr>
        <w:tabs>
          <w:tab w:val="left" w:pos="1843"/>
        </w:tabs>
        <w:spacing w:before="0" w:after="120"/>
        <w:jc w:val="both"/>
        <w:rPr>
          <w:rFonts w:ascii="Arial" w:hAnsi="Arial" w:cs="Arial"/>
          <w:szCs w:val="21"/>
          <w:highlight w:val="yellow"/>
        </w:rPr>
      </w:pPr>
      <w:r w:rsidRPr="006C5085">
        <w:rPr>
          <w:rFonts w:ascii="Arial" w:hAnsi="Arial" w:cs="Arial"/>
          <w:szCs w:val="21"/>
        </w:rPr>
        <w:t>Gli indici dei prezzi al consumo misurano le variazioni nel tempo dei prezzi di un insieme di prodotti (paniere) rappresentativo di tutti i beni e servizi destinati al consumo finale delle famiglie, acquistabili sul mercato attraverso transazioni monetarie (sono escluse le transazioni a titolo gratuito, gli autoconsumi, i fitti figurativi, ecc.). Gli indici dei prezzi al consumo sono calcolati utilizzando l’indice a catena del tipo Laspeyres, in cui sia il paniere dei prodotti sia il sistema dei pesi vengono aggiornati con cadenza annuale. In particolare, a dicembre di ogni anno, nel corso delle attività di ribasamento, si rinnova il paniere di prodotti e la struttura di ponderazione, ossia gli elementi di base per il calcolo degli indici dell’anno successivo.</w:t>
      </w:r>
    </w:p>
    <w:p w14:paraId="49A2D644" w14:textId="77777777" w:rsidR="00AB34E1" w:rsidRPr="006C5085" w:rsidRDefault="00AB34E1" w:rsidP="00AB34E1">
      <w:pPr>
        <w:tabs>
          <w:tab w:val="left" w:pos="1843"/>
        </w:tabs>
        <w:spacing w:before="0" w:after="120"/>
        <w:jc w:val="both"/>
        <w:rPr>
          <w:rFonts w:ascii="Arial" w:hAnsi="Arial" w:cs="Arial"/>
          <w:szCs w:val="21"/>
        </w:rPr>
      </w:pPr>
      <w:r w:rsidRPr="006C5085">
        <w:rPr>
          <w:rFonts w:ascii="Arial" w:hAnsi="Arial" w:cs="Arial"/>
          <w:szCs w:val="21"/>
        </w:rPr>
        <w:t xml:space="preserve">Il sistema degli indici dei prezzi al consumo è articolato in tre diversi indicatori: </w:t>
      </w:r>
    </w:p>
    <w:p w14:paraId="0702D030" w14:textId="77777777" w:rsidR="00AB34E1" w:rsidRPr="006C5085" w:rsidRDefault="00AB34E1" w:rsidP="002F535A">
      <w:pPr>
        <w:numPr>
          <w:ilvl w:val="0"/>
          <w:numId w:val="1"/>
        </w:numPr>
        <w:tabs>
          <w:tab w:val="left" w:pos="284"/>
          <w:tab w:val="left" w:pos="851"/>
          <w:tab w:val="left" w:pos="1843"/>
          <w:tab w:val="left" w:pos="2127"/>
          <w:tab w:val="left" w:pos="2410"/>
        </w:tabs>
        <w:spacing w:before="0" w:after="120"/>
        <w:ind w:left="0" w:firstLine="0"/>
        <w:jc w:val="both"/>
        <w:rPr>
          <w:rFonts w:ascii="Arial" w:hAnsi="Arial" w:cs="Arial"/>
          <w:szCs w:val="21"/>
        </w:rPr>
      </w:pPr>
      <w:r w:rsidRPr="006C5085">
        <w:rPr>
          <w:rFonts w:ascii="Arial" w:hAnsi="Arial" w:cs="Arial"/>
          <w:b/>
          <w:bCs/>
          <w:szCs w:val="21"/>
        </w:rPr>
        <w:t xml:space="preserve">l’indice nazionale dei prezzi al consumo per l’intera collettività (NIC) </w:t>
      </w:r>
      <w:r w:rsidRPr="006C5085">
        <w:rPr>
          <w:rFonts w:ascii="Arial" w:hAnsi="Arial" w:cs="Arial"/>
          <w:szCs w:val="21"/>
        </w:rPr>
        <w:t xml:space="preserve">è utilizzato come misura dell’inflazione per l’intero sistema economico; in altre parole, si considera la collettività nazionale come un’unica grande famiglia di consumatori sebbene caratterizzata, al suo interno, da abitudini di spesa molto differenziate; </w:t>
      </w:r>
    </w:p>
    <w:p w14:paraId="11F980FB" w14:textId="77777777" w:rsidR="00AB34E1" w:rsidRPr="006C5085" w:rsidRDefault="00AB34E1" w:rsidP="002F535A">
      <w:pPr>
        <w:numPr>
          <w:ilvl w:val="0"/>
          <w:numId w:val="1"/>
        </w:numPr>
        <w:tabs>
          <w:tab w:val="left" w:pos="284"/>
          <w:tab w:val="left" w:pos="851"/>
          <w:tab w:val="left" w:pos="1843"/>
          <w:tab w:val="left" w:pos="2127"/>
          <w:tab w:val="left" w:pos="2410"/>
        </w:tabs>
        <w:spacing w:before="0" w:after="120"/>
        <w:ind w:left="0" w:firstLine="0"/>
        <w:jc w:val="both"/>
        <w:rPr>
          <w:rFonts w:ascii="Arial" w:hAnsi="Arial" w:cs="Arial"/>
          <w:szCs w:val="21"/>
        </w:rPr>
      </w:pPr>
      <w:r w:rsidRPr="006C5085">
        <w:rPr>
          <w:rFonts w:ascii="Arial" w:hAnsi="Arial" w:cs="Arial"/>
          <w:b/>
          <w:bCs/>
          <w:szCs w:val="21"/>
        </w:rPr>
        <w:t xml:space="preserve">l’indice dei prezzi al consumo per le famiglie di operai e impiegati (FOI) </w:t>
      </w:r>
      <w:r w:rsidRPr="006C5085">
        <w:rPr>
          <w:rFonts w:ascii="Arial" w:hAnsi="Arial" w:cs="Arial"/>
          <w:szCs w:val="21"/>
        </w:rPr>
        <w:t xml:space="preserve">si riferisce ai consumi dell’insieme delle famiglie che fanno capo ad un lavoratore dipendente; è l’indice usato per adeguare periodicamente valori monetari, quali i canoni di affitto o gli assegni dovuti al coniuge separato; </w:t>
      </w:r>
    </w:p>
    <w:p w14:paraId="2BD5D1DC" w14:textId="77777777" w:rsidR="00AB34E1" w:rsidRPr="006C5085" w:rsidRDefault="00AB34E1" w:rsidP="002F535A">
      <w:pPr>
        <w:numPr>
          <w:ilvl w:val="0"/>
          <w:numId w:val="1"/>
        </w:numPr>
        <w:tabs>
          <w:tab w:val="left" w:pos="284"/>
          <w:tab w:val="left" w:pos="851"/>
          <w:tab w:val="left" w:pos="1843"/>
          <w:tab w:val="left" w:pos="2127"/>
          <w:tab w:val="left" w:pos="2410"/>
        </w:tabs>
        <w:spacing w:before="0" w:after="120"/>
        <w:ind w:left="0" w:firstLine="0"/>
        <w:jc w:val="both"/>
        <w:rPr>
          <w:rFonts w:ascii="Arial" w:hAnsi="Arial" w:cs="Arial"/>
          <w:szCs w:val="21"/>
        </w:rPr>
      </w:pPr>
      <w:r w:rsidRPr="006C5085">
        <w:rPr>
          <w:rFonts w:ascii="Arial" w:hAnsi="Arial" w:cs="Arial"/>
          <w:b/>
          <w:bCs/>
          <w:szCs w:val="21"/>
        </w:rPr>
        <w:t xml:space="preserve">l’indice dei prezzi al consumo armonizzato per i paesi dell’Unione europea (IPCA) </w:t>
      </w:r>
      <w:r w:rsidRPr="006C5085">
        <w:rPr>
          <w:rFonts w:ascii="Arial" w:hAnsi="Arial" w:cs="Arial"/>
          <w:iCs/>
          <w:szCs w:val="21"/>
        </w:rPr>
        <w:t>assicura una misura dell’inflazione comparabile tra i diversi paesi europei, attraverso l’adozione di un impianto concettuale, metodologico e tecnico condiviso; viene quindi assunto come indicatore per verificare la convergenza delle economie dei paesi membri dell’Unione europea; l’indice viene calcolato, pubblicato e inviato mensilmente dall’Istat a Eurostat secondo un calendario prefissato. Eurostat, a sua volta, diffonde gli indici armonizzati dei singoli paesi dell’Ue, sulla base dei quali elabora e diffonde l’indice sintetico europeo; l’indice IPCA è elaborato anche nella versione “a tassazione costante (IPCA-TC)”.</w:t>
      </w:r>
    </w:p>
    <w:p w14:paraId="44E0B2FF" w14:textId="77777777" w:rsidR="00AB34E1" w:rsidRPr="006C5085" w:rsidRDefault="00AB34E1" w:rsidP="00AB34E1">
      <w:pPr>
        <w:spacing w:before="0" w:after="120"/>
        <w:jc w:val="both"/>
        <w:rPr>
          <w:rFonts w:ascii="Arial" w:hAnsi="Arial" w:cs="Arial"/>
          <w:szCs w:val="21"/>
        </w:rPr>
      </w:pPr>
      <w:r w:rsidRPr="006C5085">
        <w:rPr>
          <w:rFonts w:ascii="Arial" w:hAnsi="Arial" w:cs="Arial"/>
          <w:szCs w:val="21"/>
        </w:rPr>
        <w:t xml:space="preserve">Le serie degli indici nazionali NIC e FOI hanno base di riferimento 2015=100. Anche l’indice IPCA è calcolato e diffuso con base di riferimento 2015=100, in linea con gli altri Paesi dell’Unione europea e in conformità al </w:t>
      </w:r>
      <w:hyperlink r:id="rId32" w:history="1">
        <w:r w:rsidRPr="006C5085">
          <w:rPr>
            <w:rStyle w:val="Collegamentoipertestuale"/>
            <w:rFonts w:ascii="Arial" w:hAnsi="Arial" w:cs="Arial"/>
            <w:b/>
            <w:szCs w:val="21"/>
          </w:rPr>
          <w:t>Regolamento (UE) n. 2016/792</w:t>
        </w:r>
      </w:hyperlink>
      <w:r w:rsidRPr="006C5085">
        <w:rPr>
          <w:rFonts w:ascii="Arial" w:hAnsi="Arial" w:cs="Arial"/>
          <w:szCs w:val="21"/>
        </w:rPr>
        <w:t xml:space="preserve"> del Parlamento e del Consiglio</w:t>
      </w:r>
      <w:r w:rsidRPr="006C5085">
        <w:t xml:space="preserve"> </w:t>
      </w:r>
      <w:r w:rsidRPr="006C5085">
        <w:rPr>
          <w:rFonts w:ascii="Arial" w:hAnsi="Arial" w:cs="Arial"/>
          <w:szCs w:val="21"/>
        </w:rPr>
        <w:t xml:space="preserve">e con il </w:t>
      </w:r>
      <w:hyperlink r:id="rId33" w:history="1">
        <w:r w:rsidRPr="006C5085">
          <w:rPr>
            <w:rStyle w:val="Collegamentoipertestuale"/>
            <w:rFonts w:ascii="Arial" w:hAnsi="Arial" w:cs="Arial"/>
            <w:b/>
            <w:szCs w:val="21"/>
          </w:rPr>
          <w:t>Regolamento di Esecuzione (UE) n. 2020/1148</w:t>
        </w:r>
      </w:hyperlink>
      <w:r w:rsidRPr="006C5085">
        <w:rPr>
          <w:rFonts w:ascii="Arial" w:hAnsi="Arial" w:cs="Arial"/>
          <w:szCs w:val="21"/>
        </w:rPr>
        <w:t xml:space="preserve"> della Commissione del 31 luglio 2020.</w:t>
      </w:r>
    </w:p>
    <w:p w14:paraId="7B3FC4D0" w14:textId="77777777" w:rsidR="00AB34E1" w:rsidRPr="006C5085" w:rsidRDefault="00AB34E1" w:rsidP="00AB34E1">
      <w:pPr>
        <w:spacing w:before="0" w:after="120"/>
        <w:jc w:val="both"/>
        <w:rPr>
          <w:rFonts w:ascii="Arial" w:hAnsi="Arial" w:cs="Arial"/>
          <w:szCs w:val="21"/>
        </w:rPr>
      </w:pPr>
      <w:r w:rsidRPr="006C5085">
        <w:rPr>
          <w:rFonts w:ascii="Arial" w:hAnsi="Arial" w:cs="Arial"/>
          <w:szCs w:val="21"/>
        </w:rPr>
        <w:t>La rilevazione dei prezzi al consumo è disciplinata anche da diverse leggi e regolamenti che definiscono i soggetti coinvolti (l’Istituto nazionale di statistica e i Comuni) e le relative funzioni:</w:t>
      </w:r>
    </w:p>
    <w:p w14:paraId="586E5A25" w14:textId="77777777" w:rsidR="00AB34E1" w:rsidRPr="006C5085" w:rsidRDefault="00AB34E1" w:rsidP="002F535A">
      <w:pPr>
        <w:numPr>
          <w:ilvl w:val="0"/>
          <w:numId w:val="3"/>
        </w:numPr>
        <w:spacing w:before="0" w:after="0"/>
        <w:ind w:left="426" w:hanging="284"/>
        <w:jc w:val="both"/>
        <w:rPr>
          <w:rFonts w:ascii="Arial" w:hAnsi="Arial" w:cs="Arial"/>
          <w:spacing w:val="-4"/>
          <w:szCs w:val="21"/>
        </w:rPr>
      </w:pPr>
      <w:r w:rsidRPr="006C5085">
        <w:rPr>
          <w:rFonts w:ascii="Arial" w:hAnsi="Arial" w:cs="Arial"/>
          <w:szCs w:val="21"/>
        </w:rPr>
        <w:t xml:space="preserve">il </w:t>
      </w:r>
      <w:r w:rsidRPr="006C5085">
        <w:rPr>
          <w:rFonts w:ascii="Arial" w:hAnsi="Arial" w:cs="Arial"/>
          <w:b/>
          <w:szCs w:val="21"/>
        </w:rPr>
        <w:t xml:space="preserve">Regio Decreto Legge </w:t>
      </w:r>
      <w:r w:rsidRPr="006C5085">
        <w:rPr>
          <w:rFonts w:ascii="Arial" w:hAnsi="Arial" w:cs="Arial"/>
          <w:b/>
          <w:iCs/>
          <w:szCs w:val="21"/>
        </w:rPr>
        <w:t>n. 222/1927</w:t>
      </w:r>
      <w:r w:rsidRPr="006C5085">
        <w:rPr>
          <w:rFonts w:ascii="Arial" w:hAnsi="Arial" w:cs="Arial"/>
          <w:szCs w:val="21"/>
        </w:rPr>
        <w:t>, che</w:t>
      </w:r>
      <w:r w:rsidRPr="006C5085">
        <w:rPr>
          <w:rFonts w:ascii="Arial" w:hAnsi="Arial" w:cs="Arial"/>
          <w:i/>
          <w:iCs/>
          <w:szCs w:val="21"/>
        </w:rPr>
        <w:t xml:space="preserve"> </w:t>
      </w:r>
      <w:r w:rsidRPr="006C5085">
        <w:rPr>
          <w:rFonts w:ascii="Arial" w:hAnsi="Arial" w:cs="Arial"/>
          <w:szCs w:val="21"/>
        </w:rPr>
        <w:t>conferisce l’incarico all’Istituto centrale di statistica di promuovere la formazione di indici del costo della vita in tutti i comuni con più di 100.000 abitanti e in altri, preferibilmente scelti tra i capoluoghi di provincia o tra quelli con più di 50.000 abitanti che abbiano uffici di statistica idonei;</w:t>
      </w:r>
    </w:p>
    <w:p w14:paraId="1C851D94" w14:textId="77777777" w:rsidR="00AB34E1" w:rsidRPr="006C5085" w:rsidRDefault="00AB34E1" w:rsidP="002F535A">
      <w:pPr>
        <w:numPr>
          <w:ilvl w:val="0"/>
          <w:numId w:val="3"/>
        </w:numPr>
        <w:spacing w:before="0" w:after="0"/>
        <w:ind w:left="426" w:hanging="284"/>
        <w:jc w:val="both"/>
        <w:rPr>
          <w:rFonts w:ascii="Arial" w:hAnsi="Arial" w:cs="Arial"/>
          <w:spacing w:val="-4"/>
          <w:szCs w:val="21"/>
        </w:rPr>
      </w:pPr>
      <w:r w:rsidRPr="006C5085">
        <w:rPr>
          <w:rFonts w:ascii="Arial" w:hAnsi="Arial" w:cs="Arial"/>
          <w:color w:val="000000"/>
          <w:szCs w:val="21"/>
        </w:rPr>
        <w:t xml:space="preserve">la </w:t>
      </w:r>
      <w:r w:rsidRPr="006C5085">
        <w:rPr>
          <w:rFonts w:ascii="Arial" w:hAnsi="Arial" w:cs="Arial"/>
          <w:b/>
          <w:iCs/>
          <w:szCs w:val="21"/>
        </w:rPr>
        <w:t>Legge n. 621/1975</w:t>
      </w:r>
      <w:r w:rsidRPr="006C5085">
        <w:rPr>
          <w:rFonts w:ascii="Arial" w:hAnsi="Arial" w:cs="Arial"/>
          <w:i/>
          <w:iCs/>
          <w:szCs w:val="21"/>
        </w:rPr>
        <w:t xml:space="preserve"> </w:t>
      </w:r>
      <w:r w:rsidRPr="006C5085">
        <w:rPr>
          <w:rFonts w:ascii="Arial" w:hAnsi="Arial" w:cs="Arial"/>
          <w:color w:val="000000"/>
          <w:szCs w:val="21"/>
        </w:rPr>
        <w:t>modifica come di seguito il regio decreto relativamente ai comuni cui spetta l’obbligo di condurre l’indagine sui prezzi al consumo: “tra i comuni di cui all’art. 1 … devono intendersi compresi tutti i comuni capoluogo di provincia e quelli con oltre 30.000 abitanti che abbiano un ufficio di statistica idoneo”;</w:t>
      </w:r>
    </w:p>
    <w:p w14:paraId="39CC6BF7" w14:textId="77777777" w:rsidR="00AB34E1" w:rsidRPr="006C5085" w:rsidRDefault="00AB34E1" w:rsidP="002F535A">
      <w:pPr>
        <w:numPr>
          <w:ilvl w:val="0"/>
          <w:numId w:val="3"/>
        </w:numPr>
        <w:spacing w:before="0" w:after="0"/>
        <w:ind w:left="426" w:hanging="284"/>
        <w:jc w:val="both"/>
        <w:rPr>
          <w:rFonts w:ascii="Arial" w:hAnsi="Arial" w:cs="Arial"/>
          <w:spacing w:val="-4"/>
          <w:szCs w:val="21"/>
        </w:rPr>
      </w:pPr>
      <w:r w:rsidRPr="006C5085">
        <w:rPr>
          <w:rFonts w:ascii="Arial" w:hAnsi="Arial" w:cs="Arial"/>
          <w:szCs w:val="21"/>
        </w:rPr>
        <w:t xml:space="preserve">il </w:t>
      </w:r>
      <w:hyperlink r:id="rId34" w:history="1">
        <w:r w:rsidRPr="006C5085">
          <w:rPr>
            <w:rStyle w:val="Collegamentoipertestuale"/>
            <w:rFonts w:ascii="Arial" w:hAnsi="Arial" w:cs="Arial"/>
            <w:b/>
            <w:szCs w:val="21"/>
          </w:rPr>
          <w:t>D.lgs n. 322/1989</w:t>
        </w:r>
      </w:hyperlink>
      <w:r w:rsidRPr="006C5085">
        <w:rPr>
          <w:rFonts w:ascii="Arial" w:hAnsi="Arial" w:cs="Arial"/>
          <w:color w:val="000000"/>
          <w:szCs w:val="21"/>
        </w:rPr>
        <w:t>,</w:t>
      </w:r>
      <w:r w:rsidRPr="006C5085">
        <w:rPr>
          <w:rFonts w:ascii="Arial" w:hAnsi="Arial" w:cs="Arial"/>
          <w:i/>
          <w:iCs/>
          <w:szCs w:val="21"/>
        </w:rPr>
        <w:t xml:space="preserve"> </w:t>
      </w:r>
      <w:r w:rsidRPr="006C5085">
        <w:rPr>
          <w:rFonts w:ascii="Arial" w:hAnsi="Arial" w:cs="Arial"/>
          <w:color w:val="000000"/>
          <w:szCs w:val="21"/>
        </w:rPr>
        <w:t>che disciplina le attività di rilevazione, elaborazione, analisi e diffusione e archiviazione dei dati statistici svolte dagli enti e organismi pubblici di informazione statistica, al fine di realizzare l’unità di indirizzo, l’omogeneità organizzativa e la razionalizzazione dei flussi a livello centrale e locale.</w:t>
      </w:r>
    </w:p>
    <w:p w14:paraId="7256BB38" w14:textId="77777777" w:rsidR="00AB34E1" w:rsidRPr="002C252F" w:rsidRDefault="00AB34E1" w:rsidP="00AB34E1">
      <w:pPr>
        <w:spacing w:before="0" w:after="120"/>
        <w:jc w:val="both"/>
        <w:rPr>
          <w:rFonts w:ascii="Arial" w:hAnsi="Arial" w:cs="Arial"/>
          <w:b/>
          <w:sz w:val="18"/>
          <w:szCs w:val="22"/>
        </w:rPr>
      </w:pPr>
    </w:p>
    <w:p w14:paraId="0459410B" w14:textId="77777777" w:rsidR="00AB34E1" w:rsidRPr="002C252F" w:rsidRDefault="00AB34E1" w:rsidP="00AB34E1">
      <w:pPr>
        <w:spacing w:before="0" w:after="120"/>
        <w:jc w:val="both"/>
        <w:rPr>
          <w:rFonts w:ascii="Arial" w:hAnsi="Arial" w:cs="Arial"/>
          <w:b/>
          <w:sz w:val="22"/>
          <w:szCs w:val="22"/>
        </w:rPr>
      </w:pPr>
      <w:r w:rsidRPr="002C252F">
        <w:rPr>
          <w:rFonts w:ascii="Arial" w:hAnsi="Arial" w:cs="Arial"/>
          <w:b/>
          <w:sz w:val="22"/>
          <w:szCs w:val="22"/>
        </w:rPr>
        <w:t xml:space="preserve">Copertura dell’indagine e organizzazione della rilevazione </w:t>
      </w:r>
    </w:p>
    <w:p w14:paraId="6F20F379" w14:textId="77777777" w:rsidR="00AB34E1" w:rsidRPr="002C252F" w:rsidRDefault="00AB34E1" w:rsidP="00AB34E1">
      <w:pPr>
        <w:spacing w:before="0" w:after="80"/>
        <w:jc w:val="both"/>
        <w:rPr>
          <w:rFonts w:ascii="Arial" w:hAnsi="Arial" w:cs="Arial"/>
          <w:szCs w:val="21"/>
        </w:rPr>
      </w:pPr>
      <w:r w:rsidRPr="002C252F">
        <w:rPr>
          <w:rFonts w:ascii="Arial" w:hAnsi="Arial" w:cs="Arial"/>
          <w:szCs w:val="21"/>
        </w:rPr>
        <w:t xml:space="preserve">I dati che concorrono alla costruzione degli indici mensili dei prezzi al consumo sono raccolti attraverso l’utilizzo di una pluralità di fonti: la </w:t>
      </w:r>
      <w:r w:rsidRPr="002C252F">
        <w:rPr>
          <w:rFonts w:ascii="Arial" w:hAnsi="Arial" w:cs="Arial"/>
          <w:i/>
          <w:szCs w:val="21"/>
        </w:rPr>
        <w:t>rilevazione territoriale</w:t>
      </w:r>
      <w:r w:rsidRPr="002C252F">
        <w:rPr>
          <w:rFonts w:ascii="Arial" w:hAnsi="Arial" w:cs="Arial"/>
          <w:szCs w:val="21"/>
        </w:rPr>
        <w:t xml:space="preserve">, condotta dagli Uffici comunali di statistica (UCS); la </w:t>
      </w:r>
      <w:r w:rsidRPr="002C252F">
        <w:rPr>
          <w:rFonts w:ascii="Arial" w:hAnsi="Arial" w:cs="Arial"/>
          <w:i/>
          <w:szCs w:val="21"/>
        </w:rPr>
        <w:t>rilevazione centralizzata</w:t>
      </w:r>
      <w:r w:rsidRPr="002C252F">
        <w:rPr>
          <w:rFonts w:ascii="Arial" w:hAnsi="Arial" w:cs="Arial"/>
          <w:szCs w:val="21"/>
        </w:rPr>
        <w:t xml:space="preserve">, condotta dall’Istat direttamente o attraverso la collaborazione con grandi fornitori di dati; </w:t>
      </w:r>
      <w:r w:rsidRPr="00705AA4">
        <w:rPr>
          <w:rFonts w:ascii="Arial" w:hAnsi="Arial" w:cs="Arial"/>
          <w:i/>
          <w:szCs w:val="21"/>
        </w:rPr>
        <w:t>gli scanner data</w:t>
      </w:r>
      <w:r w:rsidRPr="002C252F">
        <w:rPr>
          <w:rFonts w:ascii="Arial" w:hAnsi="Arial" w:cs="Arial"/>
          <w:szCs w:val="21"/>
        </w:rPr>
        <w:t xml:space="preserve"> provenienti dalla Grande Distribuzione Organizzata (GDO); </w:t>
      </w:r>
      <w:r w:rsidRPr="00705AA4">
        <w:rPr>
          <w:rFonts w:ascii="Arial" w:hAnsi="Arial" w:cs="Arial"/>
          <w:i/>
          <w:szCs w:val="21"/>
        </w:rPr>
        <w:t>la fonte amministrativa</w:t>
      </w:r>
      <w:r w:rsidRPr="002C252F">
        <w:rPr>
          <w:rFonts w:ascii="Arial" w:hAnsi="Arial" w:cs="Arial"/>
          <w:szCs w:val="21"/>
        </w:rPr>
        <w:t xml:space="preserve">. </w:t>
      </w:r>
    </w:p>
    <w:p w14:paraId="5E2956CD" w14:textId="77777777" w:rsidR="00AB34E1" w:rsidRDefault="00AB34E1" w:rsidP="00AB34E1">
      <w:pPr>
        <w:jc w:val="both"/>
        <w:rPr>
          <w:rFonts w:ascii="Arial" w:hAnsi="Arial" w:cs="Arial"/>
          <w:szCs w:val="21"/>
        </w:rPr>
      </w:pPr>
      <w:r>
        <w:rPr>
          <w:rFonts w:ascii="Arial" w:hAnsi="Arial" w:cs="Arial"/>
          <w:szCs w:val="21"/>
        </w:rPr>
        <w:t>Nel 2025</w:t>
      </w:r>
      <w:r w:rsidRPr="006E14F1">
        <w:rPr>
          <w:rFonts w:ascii="Arial" w:hAnsi="Arial" w:cs="Arial"/>
          <w:szCs w:val="21"/>
        </w:rPr>
        <w:t xml:space="preserve">, i prodotti rilevati in modo esclusivo mediante la rilevazione territoriale ammontano, in </w:t>
      </w:r>
      <w:r>
        <w:rPr>
          <w:rFonts w:ascii="Arial" w:hAnsi="Arial" w:cs="Arial"/>
          <w:szCs w:val="21"/>
        </w:rPr>
        <w:t>termini di peso, a circa il 49,4% del paniere, contro il 25,8</w:t>
      </w:r>
      <w:r w:rsidRPr="006E14F1">
        <w:rPr>
          <w:rFonts w:ascii="Arial" w:hAnsi="Arial" w:cs="Arial"/>
          <w:szCs w:val="21"/>
        </w:rPr>
        <w:t xml:space="preserve">% dei beni e servizi a rilevazione esclusivamente centralizzata. Tramite l’acquisizione dei dati scanner dalla GDO vengono rilevati tutti i prodotti cosiddetti grocery (beni alimentari confezionati e beni per la cura della casa e della persona) e alcuni prodotti relativi alla frutta e verdura fresca a peso imposto, che rappresentano </w:t>
      </w:r>
      <w:r>
        <w:rPr>
          <w:rFonts w:ascii="Arial" w:hAnsi="Arial" w:cs="Arial"/>
          <w:szCs w:val="21"/>
        </w:rPr>
        <w:t>il 13,4</w:t>
      </w:r>
      <w:r w:rsidRPr="006E14F1">
        <w:rPr>
          <w:rFonts w:ascii="Arial" w:hAnsi="Arial" w:cs="Arial"/>
          <w:szCs w:val="21"/>
        </w:rPr>
        <w:t xml:space="preserve">% in termini di peso. </w:t>
      </w:r>
      <w:r w:rsidRPr="00372BEA">
        <w:rPr>
          <w:rFonts w:ascii="Arial" w:hAnsi="Arial" w:cs="Arial"/>
          <w:szCs w:val="21"/>
        </w:rPr>
        <w:t xml:space="preserve">A queste tre modalità si aggiunge l’utilizzo delle fonti amministrative: la base dati </w:t>
      </w:r>
      <w:r>
        <w:rPr>
          <w:rFonts w:ascii="Arial" w:hAnsi="Arial" w:cs="Arial"/>
          <w:szCs w:val="21"/>
        </w:rPr>
        <w:t xml:space="preserve">del Ministero delle imprese e del made in Italy (MIMIT, ex </w:t>
      </w:r>
      <w:r w:rsidRPr="00372BEA">
        <w:rPr>
          <w:rFonts w:ascii="Arial" w:hAnsi="Arial" w:cs="Arial"/>
          <w:szCs w:val="21"/>
        </w:rPr>
        <w:t>MISE</w:t>
      </w:r>
      <w:r>
        <w:rPr>
          <w:rFonts w:ascii="Arial" w:hAnsi="Arial" w:cs="Arial"/>
          <w:szCs w:val="21"/>
        </w:rPr>
        <w:t xml:space="preserve"> Ministero dello Sviluppo Economico)</w:t>
      </w:r>
      <w:r w:rsidRPr="00372BEA">
        <w:rPr>
          <w:rFonts w:ascii="Arial" w:hAnsi="Arial" w:cs="Arial"/>
          <w:szCs w:val="21"/>
        </w:rPr>
        <w:t xml:space="preserve"> dei prezzi dei</w:t>
      </w:r>
      <w:r>
        <w:rPr>
          <w:rFonts w:ascii="Arial" w:hAnsi="Arial" w:cs="Arial"/>
          <w:szCs w:val="21"/>
        </w:rPr>
        <w:t xml:space="preserve"> carburanti, che pesa per il 6,6% </w:t>
      </w:r>
      <w:r w:rsidRPr="00372BEA">
        <w:rPr>
          <w:rFonts w:ascii="Arial" w:hAnsi="Arial" w:cs="Arial"/>
          <w:szCs w:val="21"/>
        </w:rPr>
        <w:t>sul paniere, i dati forniti dall’Osservatorio immobiliare dell’Agenzia delle entrate per la rilevazione dei prezzi degli Affitti reali per abitazioni di privati c</w:t>
      </w:r>
      <w:r>
        <w:rPr>
          <w:rFonts w:ascii="Arial" w:hAnsi="Arial" w:cs="Arial"/>
          <w:szCs w:val="21"/>
        </w:rPr>
        <w:t>he pesa per il 2,7</w:t>
      </w:r>
      <w:r w:rsidRPr="00372BEA">
        <w:rPr>
          <w:rFonts w:ascii="Arial" w:hAnsi="Arial" w:cs="Arial"/>
          <w:szCs w:val="21"/>
        </w:rPr>
        <w:t>% e l’Agenzia delle dogane e dei monopoli per la rilevazione dei tabacchi c</w:t>
      </w:r>
      <w:r>
        <w:rPr>
          <w:rFonts w:ascii="Arial" w:hAnsi="Arial" w:cs="Arial"/>
          <w:szCs w:val="21"/>
        </w:rPr>
        <w:t>he incide sul paniere per il 2,1</w:t>
      </w:r>
      <w:r w:rsidRPr="00372BEA">
        <w:rPr>
          <w:rFonts w:ascii="Arial" w:hAnsi="Arial" w:cs="Arial"/>
          <w:szCs w:val="21"/>
        </w:rPr>
        <w:t>%.</w:t>
      </w:r>
    </w:p>
    <w:p w14:paraId="72F3DB66" w14:textId="77777777" w:rsidR="00AB34E1" w:rsidRDefault="00AB34E1" w:rsidP="00AB34E1">
      <w:pPr>
        <w:tabs>
          <w:tab w:val="left" w:pos="5812"/>
        </w:tabs>
        <w:spacing w:before="0" w:after="120"/>
        <w:jc w:val="both"/>
        <w:rPr>
          <w:rFonts w:ascii="Arial" w:hAnsi="Arial" w:cs="Arial"/>
          <w:szCs w:val="21"/>
        </w:rPr>
      </w:pPr>
    </w:p>
    <w:p w14:paraId="1034CB99" w14:textId="77777777" w:rsidR="00AB34E1" w:rsidRDefault="00AB34E1" w:rsidP="00AB34E1">
      <w:pPr>
        <w:tabs>
          <w:tab w:val="left" w:pos="5812"/>
        </w:tabs>
        <w:spacing w:before="0" w:after="120"/>
        <w:jc w:val="both"/>
        <w:rPr>
          <w:rFonts w:ascii="Arial" w:hAnsi="Arial" w:cs="Arial"/>
          <w:szCs w:val="21"/>
        </w:rPr>
      </w:pPr>
    </w:p>
    <w:p w14:paraId="547363A7" w14:textId="77777777" w:rsidR="00AB34E1" w:rsidRDefault="00AB34E1" w:rsidP="00AB34E1">
      <w:pPr>
        <w:tabs>
          <w:tab w:val="left" w:pos="5812"/>
        </w:tabs>
        <w:spacing w:before="0" w:after="120"/>
        <w:jc w:val="both"/>
        <w:rPr>
          <w:rFonts w:ascii="Arial" w:hAnsi="Arial" w:cs="Arial"/>
          <w:szCs w:val="21"/>
        </w:rPr>
      </w:pPr>
      <w:r w:rsidRPr="006E560E">
        <w:rPr>
          <w:rFonts w:ascii="Arial" w:hAnsi="Arial" w:cs="Arial"/>
          <w:szCs w:val="21"/>
        </w:rPr>
        <w:t xml:space="preserve">Nel </w:t>
      </w:r>
      <w:r>
        <w:rPr>
          <w:rFonts w:ascii="Arial" w:hAnsi="Arial" w:cs="Arial"/>
          <w:szCs w:val="21"/>
        </w:rPr>
        <w:t>2025,</w:t>
      </w:r>
      <w:r w:rsidRPr="006E560E">
        <w:rPr>
          <w:rFonts w:ascii="Arial" w:hAnsi="Arial" w:cs="Arial"/>
          <w:szCs w:val="21"/>
        </w:rPr>
        <w:t xml:space="preserve"> i comuni che concorrono al calcolo degli indici per tutti gli aggregati di prodotto del paniere sono </w:t>
      </w:r>
      <w:r>
        <w:rPr>
          <w:rFonts w:ascii="Arial" w:hAnsi="Arial" w:cs="Arial"/>
          <w:szCs w:val="21"/>
        </w:rPr>
        <w:t>80</w:t>
      </w:r>
      <w:r w:rsidRPr="006E560E">
        <w:rPr>
          <w:rFonts w:ascii="Arial" w:hAnsi="Arial" w:cs="Arial"/>
          <w:szCs w:val="21"/>
        </w:rPr>
        <w:t xml:space="preserve"> (di cui 19 capoluoghi di regione, </w:t>
      </w:r>
      <w:r>
        <w:rPr>
          <w:rFonts w:ascii="Arial" w:hAnsi="Arial" w:cs="Arial"/>
          <w:szCs w:val="21"/>
        </w:rPr>
        <w:t>60</w:t>
      </w:r>
      <w:r w:rsidRPr="006E560E">
        <w:rPr>
          <w:rFonts w:ascii="Arial" w:hAnsi="Arial" w:cs="Arial"/>
          <w:szCs w:val="21"/>
        </w:rPr>
        <w:t xml:space="preserve"> capoluoghi di provincia</w:t>
      </w:r>
      <w:r>
        <w:rPr>
          <w:rFonts w:ascii="Arial" w:hAnsi="Arial" w:cs="Arial"/>
          <w:szCs w:val="21"/>
        </w:rPr>
        <w:t xml:space="preserve">, </w:t>
      </w:r>
      <w:r w:rsidRPr="006E560E">
        <w:rPr>
          <w:rFonts w:ascii="Arial" w:hAnsi="Arial" w:cs="Arial"/>
          <w:szCs w:val="21"/>
        </w:rPr>
        <w:t>1 comune non capoluogo con più di 30</w:t>
      </w:r>
      <w:r>
        <w:rPr>
          <w:rFonts w:ascii="Arial" w:hAnsi="Arial" w:cs="Arial"/>
          <w:szCs w:val="21"/>
        </w:rPr>
        <w:t xml:space="preserve">mila </w:t>
      </w:r>
      <w:r w:rsidRPr="006E560E">
        <w:rPr>
          <w:rFonts w:ascii="Arial" w:hAnsi="Arial" w:cs="Arial"/>
          <w:szCs w:val="21"/>
        </w:rPr>
        <w:t>abitanti</w:t>
      </w:r>
      <w:r w:rsidRPr="006E560E">
        <w:rPr>
          <w:rStyle w:val="Rimandonotaapidipagina"/>
          <w:rFonts w:ascii="Arial" w:hAnsi="Arial" w:cs="Arial"/>
          <w:szCs w:val="21"/>
        </w:rPr>
        <w:footnoteReference w:id="2"/>
      </w:r>
      <w:r>
        <w:rPr>
          <w:rFonts w:ascii="Arial" w:hAnsi="Arial" w:cs="Arial"/>
          <w:szCs w:val="21"/>
        </w:rPr>
        <w:t>); rispetto al 2024 si segnala il passaggio alla rilevazione completa del comune di Savona, che invece fino al 2024 svolgeva la rilevazione su un sottoinsieme di prodotti. Oltre a Savona che ha ampliato la rilevazione, si segnala l’uscita dal campione di Monza, s</w:t>
      </w:r>
      <w:r w:rsidRPr="006E560E">
        <w:rPr>
          <w:rFonts w:ascii="Arial" w:hAnsi="Arial" w:cs="Arial"/>
          <w:szCs w:val="21"/>
        </w:rPr>
        <w:t xml:space="preserve">ono </w:t>
      </w:r>
      <w:r>
        <w:rPr>
          <w:rFonts w:ascii="Arial" w:hAnsi="Arial" w:cs="Arial"/>
          <w:szCs w:val="21"/>
        </w:rPr>
        <w:t>così</w:t>
      </w:r>
      <w:r w:rsidRPr="006E560E">
        <w:rPr>
          <w:rFonts w:ascii="Arial" w:hAnsi="Arial" w:cs="Arial"/>
          <w:szCs w:val="21"/>
        </w:rPr>
        <w:t xml:space="preserve"> 1</w:t>
      </w:r>
      <w:r>
        <w:rPr>
          <w:rFonts w:ascii="Arial" w:hAnsi="Arial" w:cs="Arial"/>
          <w:szCs w:val="21"/>
        </w:rPr>
        <w:t>0</w:t>
      </w:r>
      <w:r w:rsidRPr="006E560E">
        <w:rPr>
          <w:rFonts w:ascii="Arial" w:hAnsi="Arial" w:cs="Arial"/>
          <w:szCs w:val="21"/>
        </w:rPr>
        <w:t xml:space="preserve"> i comuni</w:t>
      </w:r>
      <w:r w:rsidRPr="006E560E">
        <w:rPr>
          <w:rStyle w:val="Rimandonotaapidipagina"/>
          <w:rFonts w:ascii="Arial" w:hAnsi="Arial"/>
          <w:szCs w:val="21"/>
        </w:rPr>
        <w:footnoteReference w:id="3"/>
      </w:r>
      <w:r w:rsidRPr="006E560E">
        <w:rPr>
          <w:rFonts w:ascii="Arial" w:hAnsi="Arial" w:cs="Arial"/>
          <w:szCs w:val="21"/>
        </w:rPr>
        <w:t xml:space="preserve"> che partecipano al calcolo degli indici per un sottoinsieme di prodotti (</w:t>
      </w:r>
      <w:r w:rsidRPr="006E560E">
        <w:rPr>
          <w:rFonts w:ascii="Arial" w:hAnsi="Arial" w:cs="Arial"/>
        </w:rPr>
        <w:t>tariffe locali quali fornitura acqua, raccolta rifiuti, raccolta acque reflue, trasporti urbani, taxi, mense scolastiche, nido d’infanzia comunale, e altri servizi come manifestazioni sportive, cinema, spettacoli teatrali, istruzione secondaria superiore, mense universitarie, ecc.)</w:t>
      </w:r>
      <w:r>
        <w:rPr>
          <w:rFonts w:ascii="Arial" w:hAnsi="Arial" w:cs="Arial"/>
          <w:szCs w:val="21"/>
        </w:rPr>
        <w:t>.</w:t>
      </w:r>
    </w:p>
    <w:p w14:paraId="69C2EAE9" w14:textId="77777777" w:rsidR="00AB34E1" w:rsidRDefault="00AB34E1" w:rsidP="00AB34E1">
      <w:pPr>
        <w:tabs>
          <w:tab w:val="left" w:pos="5812"/>
        </w:tabs>
        <w:spacing w:before="0" w:after="120"/>
        <w:jc w:val="both"/>
        <w:rPr>
          <w:rFonts w:ascii="Arial" w:hAnsi="Arial" w:cs="Arial"/>
        </w:rPr>
      </w:pPr>
      <w:r>
        <w:rPr>
          <w:rFonts w:ascii="Arial" w:hAnsi="Arial" w:cs="Arial"/>
        </w:rPr>
        <w:t>Nei 90</w:t>
      </w:r>
      <w:r w:rsidRPr="000C2436">
        <w:rPr>
          <w:rFonts w:ascii="Arial" w:hAnsi="Arial" w:cs="Arial"/>
        </w:rPr>
        <w:t xml:space="preserve"> comuni si contano </w:t>
      </w:r>
      <w:r>
        <w:rPr>
          <w:rFonts w:ascii="Arial" w:hAnsi="Arial" w:cs="Arial"/>
        </w:rPr>
        <w:t>più di 45</w:t>
      </w:r>
      <w:r w:rsidRPr="000C2436">
        <w:rPr>
          <w:rFonts w:ascii="Arial" w:hAnsi="Arial" w:cs="Arial"/>
        </w:rPr>
        <w:t xml:space="preserve">mila unità di rilevazione (tra punti vendita, imprese e istituzioni) dove gli Uffici comunali di statistica monitorano il prezzo di almeno un prodotto; a queste si aggiungono </w:t>
      </w:r>
      <w:r>
        <w:rPr>
          <w:rFonts w:ascii="Arial" w:hAnsi="Arial" w:cs="Arial"/>
        </w:rPr>
        <w:t>più di</w:t>
      </w:r>
      <w:r w:rsidRPr="000C2436">
        <w:rPr>
          <w:rFonts w:ascii="Arial" w:hAnsi="Arial" w:cs="Arial"/>
        </w:rPr>
        <w:t xml:space="preserve"> 2.</w:t>
      </w:r>
      <w:r>
        <w:rPr>
          <w:rFonts w:ascii="Arial" w:hAnsi="Arial" w:cs="Arial"/>
        </w:rPr>
        <w:t>9</w:t>
      </w:r>
      <w:r w:rsidRPr="000C2436">
        <w:rPr>
          <w:rFonts w:ascii="Arial" w:hAnsi="Arial" w:cs="Arial"/>
        </w:rPr>
        <w:t>00 abitazioni per la rilevazione dei canoni di affitto di abitazioni di Enti pubblici</w:t>
      </w:r>
      <w:r w:rsidRPr="009F011E">
        <w:rPr>
          <w:rStyle w:val="Rimandonotaapidipagina"/>
          <w:rFonts w:ascii="Arial" w:hAnsi="Arial"/>
          <w:szCs w:val="21"/>
        </w:rPr>
        <w:footnoteReference w:id="4"/>
      </w:r>
      <w:r w:rsidRPr="009F011E">
        <w:rPr>
          <w:rFonts w:ascii="Arial" w:hAnsi="Arial" w:cs="Arial"/>
          <w:szCs w:val="21"/>
        </w:rPr>
        <w:t>.</w:t>
      </w:r>
      <w:r>
        <w:rPr>
          <w:rFonts w:ascii="Arial" w:hAnsi="Arial" w:cs="Arial"/>
          <w:szCs w:val="21"/>
        </w:rPr>
        <w:t xml:space="preserve"> </w:t>
      </w:r>
      <w:r w:rsidRPr="006E14F1">
        <w:rPr>
          <w:rFonts w:ascii="Arial" w:hAnsi="Arial" w:cs="Arial"/>
        </w:rPr>
        <w:t xml:space="preserve">Nel complesso sono </w:t>
      </w:r>
      <w:r>
        <w:rPr>
          <w:rFonts w:ascii="Arial" w:hAnsi="Arial" w:cs="Arial"/>
        </w:rPr>
        <w:t>più di 388</w:t>
      </w:r>
      <w:r w:rsidRPr="006E14F1">
        <w:rPr>
          <w:rFonts w:ascii="Arial" w:hAnsi="Arial" w:cs="Arial"/>
        </w:rPr>
        <w:t xml:space="preserve">mila le quotazioni che contribuiscono al calcolo dell’inflazione, inviate mensilmente all’Istat dagli Uffici comunali di statistica (erano </w:t>
      </w:r>
      <w:r>
        <w:rPr>
          <w:rFonts w:ascii="Arial" w:hAnsi="Arial" w:cs="Arial"/>
        </w:rPr>
        <w:t>circa 385</w:t>
      </w:r>
      <w:r w:rsidRPr="006E14F1">
        <w:rPr>
          <w:rFonts w:ascii="Arial" w:hAnsi="Arial" w:cs="Arial"/>
        </w:rPr>
        <w:t>mila del 202</w:t>
      </w:r>
      <w:r>
        <w:rPr>
          <w:rFonts w:ascii="Arial" w:hAnsi="Arial" w:cs="Arial"/>
        </w:rPr>
        <w:t>4)</w:t>
      </w:r>
      <w:r w:rsidRPr="006E14F1">
        <w:rPr>
          <w:rFonts w:ascii="Arial" w:hAnsi="Arial" w:cs="Arial"/>
        </w:rPr>
        <w:t xml:space="preserve">. </w:t>
      </w:r>
      <w:r w:rsidRPr="007D28C7">
        <w:rPr>
          <w:rFonts w:ascii="Arial" w:hAnsi="Arial" w:cs="Arial"/>
          <w:szCs w:val="21"/>
        </w:rPr>
        <w:t>A seguito dell’aggiornamento annuale dei piani di ril</w:t>
      </w:r>
      <w:r>
        <w:rPr>
          <w:rFonts w:ascii="Arial" w:hAnsi="Arial" w:cs="Arial"/>
          <w:szCs w:val="21"/>
        </w:rPr>
        <w:t>evazione comunali sono nuove il 5,7</w:t>
      </w:r>
      <w:r w:rsidRPr="007D28C7">
        <w:rPr>
          <w:rFonts w:ascii="Arial" w:hAnsi="Arial" w:cs="Arial"/>
          <w:szCs w:val="21"/>
        </w:rPr>
        <w:t>% delle at</w:t>
      </w:r>
      <w:r>
        <w:rPr>
          <w:rFonts w:ascii="Arial" w:hAnsi="Arial" w:cs="Arial"/>
          <w:szCs w:val="21"/>
        </w:rPr>
        <w:t>tuali referenze di prodotto (5,4% nel 2024</w:t>
      </w:r>
      <w:r w:rsidRPr="007D28C7">
        <w:rPr>
          <w:rFonts w:ascii="Arial" w:hAnsi="Arial" w:cs="Arial"/>
          <w:szCs w:val="21"/>
        </w:rPr>
        <w:t xml:space="preserve">): di queste, il </w:t>
      </w:r>
      <w:r>
        <w:rPr>
          <w:rFonts w:ascii="Arial" w:hAnsi="Arial" w:cs="Arial"/>
          <w:szCs w:val="21"/>
        </w:rPr>
        <w:t>1,8</w:t>
      </w:r>
      <w:r w:rsidRPr="007D28C7">
        <w:rPr>
          <w:rFonts w:ascii="Arial" w:hAnsi="Arial" w:cs="Arial"/>
          <w:szCs w:val="21"/>
        </w:rPr>
        <w:t xml:space="preserve">% sono referenze di prodotti nuovi mentre nel restante </w:t>
      </w:r>
      <w:r>
        <w:rPr>
          <w:rFonts w:ascii="Arial" w:hAnsi="Arial" w:cs="Arial"/>
          <w:szCs w:val="21"/>
        </w:rPr>
        <w:t>4,0</w:t>
      </w:r>
      <w:r w:rsidRPr="007D28C7">
        <w:rPr>
          <w:rFonts w:ascii="Arial" w:hAnsi="Arial" w:cs="Arial"/>
          <w:szCs w:val="21"/>
        </w:rPr>
        <w:t>% si tratta di referenze di prodotti già presenti nel paniere dello scorso anno</w:t>
      </w:r>
      <w:r w:rsidRPr="006E14F1">
        <w:rPr>
          <w:rFonts w:ascii="Arial" w:hAnsi="Arial" w:cs="Arial"/>
        </w:rPr>
        <w:t>.</w:t>
      </w:r>
    </w:p>
    <w:p w14:paraId="75BAE666" w14:textId="1C3F7F22" w:rsidR="00AB34E1" w:rsidRDefault="00AB34E1" w:rsidP="00AB34E1">
      <w:pPr>
        <w:widowControl/>
        <w:overflowPunct/>
        <w:spacing w:before="120" w:after="60"/>
        <w:jc w:val="both"/>
        <w:rPr>
          <w:rFonts w:ascii="Arial" w:hAnsi="Arial" w:cs="Arial"/>
        </w:rPr>
      </w:pPr>
      <w:r w:rsidRPr="009F011E">
        <w:rPr>
          <w:rFonts w:ascii="Arial" w:hAnsi="Arial" w:cs="Arial"/>
        </w:rPr>
        <w:t>Nel 202</w:t>
      </w:r>
      <w:r>
        <w:rPr>
          <w:rFonts w:ascii="Arial" w:hAnsi="Arial" w:cs="Arial"/>
        </w:rPr>
        <w:t>5</w:t>
      </w:r>
      <w:r w:rsidRPr="009F011E">
        <w:rPr>
          <w:rFonts w:ascii="Arial" w:hAnsi="Arial" w:cs="Arial"/>
        </w:rPr>
        <w:t xml:space="preserve">, </w:t>
      </w:r>
      <w:r>
        <w:rPr>
          <w:rFonts w:ascii="Arial" w:hAnsi="Arial" w:cs="Arial"/>
        </w:rPr>
        <w:t>sono oltre 237</w:t>
      </w:r>
      <w:r w:rsidRPr="006E14F1">
        <w:rPr>
          <w:rFonts w:ascii="Arial" w:hAnsi="Arial" w:cs="Arial"/>
        </w:rPr>
        <w:t xml:space="preserve">mila le quotazioni di prezzo raccolte ogni mese centralmente dall’Istat, a cui si aggiungono, 80 milioni di dati utilizzati, rilevati tramite tecniche di scraping relativamente al trasporto aereo passeggeri. </w:t>
      </w:r>
      <w:r w:rsidR="00243E75" w:rsidRPr="009F011E">
        <w:rPr>
          <w:rFonts w:ascii="Arial" w:hAnsi="Arial" w:cs="Arial"/>
          <w:szCs w:val="21"/>
        </w:rPr>
        <w:t>Inoltre,</w:t>
      </w:r>
      <w:r>
        <w:rPr>
          <w:rFonts w:ascii="Arial" w:hAnsi="Arial" w:cs="Arial"/>
          <w:szCs w:val="21"/>
        </w:rPr>
        <w:t xml:space="preserve"> </w:t>
      </w:r>
      <w:r w:rsidRPr="009F011E">
        <w:rPr>
          <w:rFonts w:ascii="Arial" w:hAnsi="Arial" w:cs="Arial"/>
          <w:szCs w:val="21"/>
        </w:rPr>
        <w:t xml:space="preserve">circa 400 </w:t>
      </w:r>
      <w:r>
        <w:rPr>
          <w:rFonts w:ascii="Arial" w:hAnsi="Arial" w:cs="Arial"/>
          <w:szCs w:val="21"/>
        </w:rPr>
        <w:t xml:space="preserve">vengono </w:t>
      </w:r>
      <w:r w:rsidRPr="009F011E">
        <w:rPr>
          <w:rFonts w:ascii="Arial" w:hAnsi="Arial" w:cs="Arial"/>
          <w:szCs w:val="21"/>
        </w:rPr>
        <w:t xml:space="preserve">rilevate </w:t>
      </w:r>
      <w:r w:rsidRPr="00990771">
        <w:rPr>
          <w:rFonts w:ascii="Arial" w:hAnsi="Arial" w:cs="Arial"/>
          <w:szCs w:val="21"/>
        </w:rPr>
        <w:t xml:space="preserve">mediante indagine diretta, condotta presso un campione di imprese di </w:t>
      </w:r>
      <w:r w:rsidR="00243E75" w:rsidRPr="00990771">
        <w:rPr>
          <w:rFonts w:ascii="Arial" w:hAnsi="Arial" w:cs="Arial"/>
          <w:szCs w:val="21"/>
        </w:rPr>
        <w:t>assicurazione,</w:t>
      </w:r>
      <w:r w:rsidRPr="00990771">
        <w:rPr>
          <w:rFonts w:ascii="Arial" w:hAnsi="Arial" w:cs="Arial"/>
          <w:szCs w:val="21"/>
        </w:rPr>
        <w:t xml:space="preserve"> le quali forniscono i prezzi relativi a tre profili assicurativi riconducibili alla copertura dei rischi contro incendio, furto e danneggiament</w:t>
      </w:r>
      <w:r>
        <w:rPr>
          <w:rFonts w:ascii="Arial" w:hAnsi="Arial" w:cs="Arial"/>
          <w:szCs w:val="21"/>
        </w:rPr>
        <w:t>o del contenuto dell’abitazione</w:t>
      </w:r>
      <w:r w:rsidRPr="009F011E">
        <w:rPr>
          <w:rFonts w:ascii="Arial" w:hAnsi="Arial" w:cs="Arial"/>
        </w:rPr>
        <w:t xml:space="preserve">. </w:t>
      </w:r>
    </w:p>
    <w:p w14:paraId="1E25DDA1" w14:textId="77777777" w:rsidR="00AB34E1" w:rsidRDefault="00AB34E1" w:rsidP="00AB34E1">
      <w:pPr>
        <w:widowControl/>
        <w:overflowPunct/>
        <w:spacing w:before="120" w:after="60"/>
        <w:jc w:val="both"/>
        <w:rPr>
          <w:rFonts w:ascii="Arial" w:hAnsi="Arial" w:cs="Arial"/>
          <w:szCs w:val="21"/>
        </w:rPr>
      </w:pPr>
      <w:r w:rsidRPr="00990771">
        <w:rPr>
          <w:rFonts w:ascii="Arial" w:hAnsi="Arial" w:cs="Arial"/>
        </w:rPr>
        <w:t>La rilevazione dei prezzi al consumo tramite scanner data interessa cinque tipologie distributive della Grande Distribuzione Organizzata: ipermercati, supermercati, discount, piccole superfici di vendita (note anche come “libero servizio”, punti vendita con superficie compresa tra i 100 e i 400 mq) e specialist drug (specialisti dei prodotti per la cura della casa e della persona). Nel complesso, la rilevazione dei prezzi tramite scanner data interessa 105 aggregati di prodotto, appartenenti a sei divisioni della ECOICOP (Prodotti alimentari e bevande analcoliche, Bevande alcoliche e tabacchi, Mobili articoli e servizi per la casa, Servizi sanitari e spese per la salute, Ricreazione spettacoli e cultura, Altri beni e servizi</w:t>
      </w:r>
      <w:r>
        <w:rPr>
          <w:rFonts w:ascii="Arial" w:hAnsi="Arial" w:cs="Arial"/>
        </w:rPr>
        <w:t xml:space="preserve">). </w:t>
      </w:r>
      <w:r w:rsidRPr="00990771">
        <w:rPr>
          <w:rFonts w:ascii="Arial" w:hAnsi="Arial" w:cs="Arial"/>
          <w:szCs w:val="21"/>
        </w:rPr>
        <w:t xml:space="preserve">L’utilizzo stabile di informazioni provenienti dalle casse della GDO per la stima dell’inflazione si è reso possibile grazie a una proficua collaborazione dell’Istat con l’Associazione della Distribuzione moderna (ADM) e i rappresentanti delle principali catene operanti in Italia. L’accordo prevede che i dati vengano acquisiti dall’Istat per il tramite della società A.C. Nielsen, previa autorizzazione all’utilizzo dei dati da parte delle catene della Grande Distribuzione. L’Istat acquisisce i dati settimanali di fatturato e quantità distinti per punto vendita e per GTIN (codice a barre), per singolo punto vendita di 19 grandi gruppi della GDO in Italia per tutte le 107 province del territorio nazionale. Il campione dei punti vendita è rappresentativo di tutto l’universo delle cinque tipologie distributive </w:t>
      </w:r>
      <w:r>
        <w:rPr>
          <w:rFonts w:ascii="Arial" w:hAnsi="Arial" w:cs="Arial"/>
          <w:szCs w:val="21"/>
        </w:rPr>
        <w:t>della GDO e comprende circa 4.25</w:t>
      </w:r>
      <w:r w:rsidRPr="00990771">
        <w:rPr>
          <w:rFonts w:ascii="Arial" w:hAnsi="Arial" w:cs="Arial"/>
          <w:szCs w:val="21"/>
        </w:rPr>
        <w:t>0 punti vendita distribuiti sull’intero territorio nazionale.</w:t>
      </w:r>
      <w:r>
        <w:rPr>
          <w:rFonts w:ascii="Arial" w:hAnsi="Arial" w:cs="Arial"/>
          <w:szCs w:val="21"/>
        </w:rPr>
        <w:t xml:space="preserve"> </w:t>
      </w:r>
      <w:r w:rsidRPr="00990771">
        <w:rPr>
          <w:rFonts w:ascii="Arial" w:hAnsi="Arial" w:cs="Arial"/>
          <w:szCs w:val="21"/>
        </w:rPr>
        <w:t>L’individuazione delle referenze che entrano nel calcolo dell’indice avviene tramite i codici a barre (GTIN), che identificano univocamente i prodotti sull’intero territorio nazionale. Il valore unitario del prezzo per ciascun codice a barre è la media dei prezzi effettivamente pagati dai consumatori per quei prodotti.</w:t>
      </w:r>
      <w:r>
        <w:rPr>
          <w:rFonts w:ascii="Arial" w:hAnsi="Arial" w:cs="Arial"/>
          <w:szCs w:val="21"/>
        </w:rPr>
        <w:t xml:space="preserve"> </w:t>
      </w:r>
      <w:r w:rsidRPr="00990771">
        <w:rPr>
          <w:rFonts w:ascii="Arial" w:hAnsi="Arial" w:cs="Arial"/>
          <w:szCs w:val="21"/>
        </w:rPr>
        <w:t>Per la selezione delle referenze, l’Istat utilizza un approccio di tipo dinamico che implica una selezione del campione di referenze in ciascun mese. L’approccio dinamico permette di utilizzare l’informazione proveniente dall’universo dei GTIN venduti in ciascun punto vendita e di seguire l’evoluzione dei prodotti che entrano ed escono dal mercato nei dodici mesi dell’anno.</w:t>
      </w:r>
      <w:r>
        <w:rPr>
          <w:rFonts w:ascii="Arial" w:hAnsi="Arial" w:cs="Arial"/>
          <w:szCs w:val="21"/>
        </w:rPr>
        <w:t xml:space="preserve"> </w:t>
      </w:r>
      <w:r w:rsidRPr="00990771">
        <w:rPr>
          <w:rFonts w:ascii="Arial" w:hAnsi="Arial" w:cs="Arial"/>
          <w:szCs w:val="21"/>
        </w:rPr>
        <w:t xml:space="preserve">Nel complesso, per ciascuna settimana, si utilizzano per </w:t>
      </w:r>
      <w:r>
        <w:rPr>
          <w:rFonts w:ascii="Arial" w:hAnsi="Arial" w:cs="Arial"/>
          <w:szCs w:val="21"/>
        </w:rPr>
        <w:t>il calcolo degli indici oltre 21</w:t>
      </w:r>
      <w:r w:rsidRPr="00990771">
        <w:rPr>
          <w:rFonts w:ascii="Arial" w:hAnsi="Arial" w:cs="Arial"/>
          <w:szCs w:val="21"/>
        </w:rPr>
        <w:t xml:space="preserve"> milioni di referenze il cui prezzo settimanale viene calcolato sulla base dei dati di fatturato e quantità vendute in ciascun punto vendita e relative a </w:t>
      </w:r>
      <w:r>
        <w:rPr>
          <w:rFonts w:ascii="Arial" w:hAnsi="Arial" w:cs="Arial"/>
          <w:szCs w:val="21"/>
        </w:rPr>
        <w:t xml:space="preserve">circa </w:t>
      </w:r>
      <w:r w:rsidRPr="00990771">
        <w:rPr>
          <w:rFonts w:ascii="Arial" w:hAnsi="Arial" w:cs="Arial"/>
          <w:szCs w:val="21"/>
        </w:rPr>
        <w:t xml:space="preserve">260mila GTIN distinti. A seguito della selezione dinamica contribuiscono quindi mediamente ogni mese al calcolo degli indici </w:t>
      </w:r>
      <w:r>
        <w:rPr>
          <w:rFonts w:ascii="Arial" w:hAnsi="Arial" w:cs="Arial"/>
          <w:szCs w:val="21"/>
        </w:rPr>
        <w:t>circa</w:t>
      </w:r>
      <w:r w:rsidRPr="00990771">
        <w:rPr>
          <w:rFonts w:ascii="Arial" w:hAnsi="Arial" w:cs="Arial"/>
          <w:szCs w:val="21"/>
        </w:rPr>
        <w:t xml:space="preserve"> 12 milioni di referenze, per un totale di circa 33 milioni di quotazioni di prezzo.</w:t>
      </w:r>
    </w:p>
    <w:p w14:paraId="2DB425A8" w14:textId="77777777" w:rsidR="00AB34E1" w:rsidRDefault="00AB34E1" w:rsidP="00AB34E1">
      <w:pPr>
        <w:widowControl/>
        <w:overflowPunct/>
        <w:spacing w:before="0" w:after="120"/>
        <w:jc w:val="both"/>
        <w:rPr>
          <w:rFonts w:ascii="Arial" w:hAnsi="Arial" w:cs="Arial"/>
        </w:rPr>
      </w:pPr>
      <w:r w:rsidRPr="00990771">
        <w:rPr>
          <w:rFonts w:ascii="Arial" w:hAnsi="Arial" w:cs="Arial"/>
        </w:rPr>
        <w:t>Le rilevazioni di fonte amministrativa per il calcolo dei prezzi al consumo sono diverse. Tra queste rientrano quelle relative ai Tabacchi i cui dati sono forniti dall’Agenzia delle dogane e dei monopoli (ADM). Gli indici calcolati sono relativi a tre aggregati di prodotto: Sigarette, Sigari e sigaretti e Altri tabacchi (trinciati per sigarette, tabacco da fiuto e da mastico, altri tabacchi da fumo, tabacchi da inalazione). Il campione e il sistema di ponderazione sono ottenuti sulla base del valore annuo delle vendite dei principali tabacchi lavorati in commercio.</w:t>
      </w:r>
      <w:r>
        <w:rPr>
          <w:rFonts w:ascii="Arial" w:hAnsi="Arial" w:cs="Arial"/>
        </w:rPr>
        <w:t xml:space="preserve"> </w:t>
      </w:r>
    </w:p>
    <w:p w14:paraId="73157266" w14:textId="77777777" w:rsidR="00AB34E1" w:rsidRDefault="00AB34E1" w:rsidP="00AB34E1">
      <w:pPr>
        <w:widowControl/>
        <w:overflowPunct/>
        <w:spacing w:before="0" w:after="120"/>
        <w:jc w:val="both"/>
        <w:rPr>
          <w:rFonts w:ascii="Arial" w:hAnsi="Arial" w:cs="Arial"/>
        </w:rPr>
      </w:pPr>
      <w:r>
        <w:rPr>
          <w:rFonts w:ascii="Arial" w:hAnsi="Arial" w:cs="Arial"/>
          <w:szCs w:val="21"/>
        </w:rPr>
        <w:t>D</w:t>
      </w:r>
      <w:r w:rsidRPr="00B41AD2">
        <w:rPr>
          <w:rFonts w:ascii="Arial" w:hAnsi="Arial" w:cs="Arial"/>
          <w:szCs w:val="21"/>
        </w:rPr>
        <w:t>al 2017</w:t>
      </w:r>
      <w:r w:rsidRPr="00B41AD2">
        <w:rPr>
          <w:rFonts w:ascii="Arial" w:hAnsi="Arial" w:cs="Arial"/>
        </w:rPr>
        <w:t xml:space="preserve"> </w:t>
      </w:r>
      <w:r>
        <w:rPr>
          <w:rFonts w:ascii="Arial" w:hAnsi="Arial" w:cs="Arial"/>
        </w:rPr>
        <w:t xml:space="preserve">anche per i </w:t>
      </w:r>
      <w:r w:rsidRPr="00B41AD2">
        <w:rPr>
          <w:rFonts w:ascii="Arial" w:hAnsi="Arial" w:cs="Arial"/>
        </w:rPr>
        <w:t xml:space="preserve">prezzi al consumo dei carburanti </w:t>
      </w:r>
      <w:r>
        <w:rPr>
          <w:rFonts w:ascii="Arial" w:hAnsi="Arial" w:cs="Arial"/>
        </w:rPr>
        <w:t xml:space="preserve">si utilizzano </w:t>
      </w:r>
      <w:r w:rsidRPr="00B41AD2">
        <w:rPr>
          <w:rFonts w:ascii="Arial" w:hAnsi="Arial" w:cs="Arial"/>
        </w:rPr>
        <w:t xml:space="preserve">dati di fonte amministrativa, grazie a un accordo siglato con il </w:t>
      </w:r>
      <w:r>
        <w:rPr>
          <w:rFonts w:ascii="Arial" w:hAnsi="Arial" w:cs="Arial"/>
        </w:rPr>
        <w:t>MIMIT (ex MISE)</w:t>
      </w:r>
      <w:r w:rsidRPr="00B41AD2">
        <w:rPr>
          <w:rFonts w:ascii="Arial" w:hAnsi="Arial" w:cs="Arial"/>
        </w:rPr>
        <w:t xml:space="preserve"> che, in ottemperanza alla normativa vigente, raccoglie i dati sui prezzi di questi prodott</w:t>
      </w:r>
      <w:r>
        <w:rPr>
          <w:rFonts w:ascii="Arial" w:hAnsi="Arial" w:cs="Arial"/>
        </w:rPr>
        <w:t>i</w:t>
      </w:r>
      <w:r w:rsidRPr="00B41AD2">
        <w:rPr>
          <w:rFonts w:ascii="Arial" w:hAnsi="Arial" w:cs="Arial"/>
        </w:rPr>
        <w:t xml:space="preserve">. </w:t>
      </w:r>
      <w:r>
        <w:rPr>
          <w:rFonts w:ascii="Arial" w:hAnsi="Arial" w:cs="Arial"/>
        </w:rPr>
        <w:t>In particolare, n</w:t>
      </w:r>
      <w:r w:rsidRPr="00BF0530">
        <w:rPr>
          <w:rFonts w:ascii="Arial" w:hAnsi="Arial" w:cs="Arial"/>
          <w:szCs w:val="21"/>
        </w:rPr>
        <w:t>el 202</w:t>
      </w:r>
      <w:r>
        <w:rPr>
          <w:rFonts w:ascii="Arial" w:hAnsi="Arial" w:cs="Arial"/>
          <w:szCs w:val="21"/>
        </w:rPr>
        <w:t xml:space="preserve">5, gli </w:t>
      </w:r>
      <w:r w:rsidRPr="00BF0530">
        <w:rPr>
          <w:rFonts w:ascii="Arial" w:hAnsi="Arial" w:cs="Arial"/>
          <w:szCs w:val="21"/>
        </w:rPr>
        <w:t>indic</w:t>
      </w:r>
      <w:r>
        <w:rPr>
          <w:rFonts w:ascii="Arial" w:hAnsi="Arial" w:cs="Arial"/>
          <w:szCs w:val="21"/>
        </w:rPr>
        <w:t>i dei prezzi dei carburanti</w:t>
      </w:r>
      <w:r w:rsidRPr="00BF0530">
        <w:rPr>
          <w:rFonts w:ascii="Arial" w:hAnsi="Arial" w:cs="Arial"/>
          <w:szCs w:val="21"/>
        </w:rPr>
        <w:t xml:space="preserve"> </w:t>
      </w:r>
      <w:r>
        <w:rPr>
          <w:rFonts w:ascii="Arial" w:hAnsi="Arial" w:cs="Arial"/>
          <w:szCs w:val="21"/>
        </w:rPr>
        <w:t>sono</w:t>
      </w:r>
      <w:r w:rsidRPr="00BF0530">
        <w:rPr>
          <w:rFonts w:ascii="Arial" w:hAnsi="Arial" w:cs="Arial"/>
          <w:szCs w:val="21"/>
        </w:rPr>
        <w:t xml:space="preserve"> calcolat</w:t>
      </w:r>
      <w:r>
        <w:rPr>
          <w:rFonts w:ascii="Arial" w:hAnsi="Arial" w:cs="Arial"/>
          <w:szCs w:val="21"/>
        </w:rPr>
        <w:t>i</w:t>
      </w:r>
      <w:r w:rsidRPr="00BF0530">
        <w:rPr>
          <w:rFonts w:ascii="Arial" w:hAnsi="Arial" w:cs="Arial"/>
          <w:szCs w:val="21"/>
        </w:rPr>
        <w:t xml:space="preserve"> attraverso l’elaborazione di </w:t>
      </w:r>
      <w:r>
        <w:rPr>
          <w:rFonts w:ascii="Arial" w:hAnsi="Arial" w:cs="Arial"/>
          <w:szCs w:val="21"/>
        </w:rPr>
        <w:t>circa 214</w:t>
      </w:r>
      <w:r w:rsidRPr="00BF0530">
        <w:rPr>
          <w:rFonts w:ascii="Arial" w:hAnsi="Arial" w:cs="Arial"/>
          <w:szCs w:val="21"/>
        </w:rPr>
        <w:t xml:space="preserve">mila </w:t>
      </w:r>
      <w:r w:rsidRPr="00BF0530">
        <w:rPr>
          <w:rFonts w:ascii="Arial" w:hAnsi="Arial" w:cs="Arial"/>
          <w:szCs w:val="21"/>
        </w:rPr>
        <w:lastRenderedPageBreak/>
        <w:t xml:space="preserve">osservazioni di prezzo al mese, provenienti da </w:t>
      </w:r>
      <w:r>
        <w:rPr>
          <w:rFonts w:ascii="Arial" w:hAnsi="Arial" w:cs="Arial"/>
          <w:szCs w:val="21"/>
        </w:rPr>
        <w:t>circa 20.700</w:t>
      </w:r>
      <w:r w:rsidRPr="00BF0530">
        <w:rPr>
          <w:rFonts w:ascii="Arial" w:hAnsi="Arial" w:cs="Arial"/>
          <w:szCs w:val="21"/>
        </w:rPr>
        <w:t xml:space="preserve"> impianti, pari a</w:t>
      </w:r>
      <w:r>
        <w:rPr>
          <w:rFonts w:ascii="Arial" w:hAnsi="Arial" w:cs="Arial"/>
          <w:szCs w:val="21"/>
        </w:rPr>
        <w:t>l 92,7</w:t>
      </w:r>
      <w:r w:rsidRPr="00BF0530">
        <w:rPr>
          <w:rFonts w:ascii="Arial" w:hAnsi="Arial" w:cs="Arial"/>
          <w:szCs w:val="21"/>
        </w:rPr>
        <w:t xml:space="preserve">% di quelli attivi e presenti nella banca dati del </w:t>
      </w:r>
      <w:r>
        <w:rPr>
          <w:rFonts w:ascii="Arial" w:hAnsi="Arial" w:cs="Arial"/>
        </w:rPr>
        <w:t>MIMIT</w:t>
      </w:r>
      <w:r w:rsidRPr="00BF0530">
        <w:rPr>
          <w:rFonts w:ascii="Arial" w:hAnsi="Arial" w:cs="Arial"/>
          <w:szCs w:val="21"/>
        </w:rPr>
        <w:t>. La copertura dei distributori di carburanti per area territoriale comprende</w:t>
      </w:r>
      <w:r>
        <w:rPr>
          <w:rFonts w:ascii="Arial" w:hAnsi="Arial" w:cs="Arial"/>
          <w:szCs w:val="21"/>
        </w:rPr>
        <w:t xml:space="preserve"> oltre 4.800 impianti nel Nord-Ovest, oltre 4.200 nel Nord-Est, quasi 4.600 al Centro, circa 4.800 al Sud e circa 2.250 nelle Isole</w:t>
      </w:r>
      <w:r w:rsidRPr="00BF0530">
        <w:rPr>
          <w:rFonts w:ascii="Arial" w:hAnsi="Arial" w:cs="Arial"/>
          <w:szCs w:val="21"/>
        </w:rPr>
        <w:t>.</w:t>
      </w:r>
    </w:p>
    <w:p w14:paraId="18D2A121" w14:textId="77777777" w:rsidR="00AB34E1" w:rsidRPr="00990771" w:rsidRDefault="00AB34E1" w:rsidP="00AB34E1">
      <w:pPr>
        <w:widowControl/>
        <w:overflowPunct/>
        <w:spacing w:before="0" w:after="120"/>
        <w:jc w:val="both"/>
        <w:rPr>
          <w:rFonts w:ascii="Arial" w:hAnsi="Arial" w:cs="Arial"/>
        </w:rPr>
      </w:pPr>
      <w:r w:rsidRPr="00B9233A">
        <w:rPr>
          <w:rFonts w:ascii="Arial" w:hAnsi="Arial" w:cs="Arial"/>
          <w:szCs w:val="21"/>
        </w:rPr>
        <w:t xml:space="preserve">I dati del Ministero </w:t>
      </w:r>
      <w:r>
        <w:rPr>
          <w:rFonts w:ascii="Arial" w:hAnsi="Arial" w:cs="Arial"/>
          <w:szCs w:val="21"/>
        </w:rPr>
        <w:t>delle Imprese e del Made in Italy</w:t>
      </w:r>
      <w:r w:rsidRPr="00B9233A">
        <w:rPr>
          <w:rFonts w:ascii="Arial" w:hAnsi="Arial" w:cs="Arial"/>
          <w:szCs w:val="21"/>
        </w:rPr>
        <w:t xml:space="preserve"> </w:t>
      </w:r>
      <w:r>
        <w:rPr>
          <w:rFonts w:ascii="Arial" w:hAnsi="Arial" w:cs="Arial"/>
          <w:szCs w:val="21"/>
        </w:rPr>
        <w:t>coprono i quattro</w:t>
      </w:r>
      <w:r w:rsidRPr="00B9233A">
        <w:rPr>
          <w:rFonts w:ascii="Arial" w:hAnsi="Arial" w:cs="Arial"/>
          <w:szCs w:val="21"/>
        </w:rPr>
        <w:t xml:space="preserve"> aggregati di prodotto riferi</w:t>
      </w:r>
      <w:r>
        <w:rPr>
          <w:rFonts w:ascii="Arial" w:hAnsi="Arial" w:cs="Arial"/>
          <w:szCs w:val="21"/>
        </w:rPr>
        <w:t>ti</w:t>
      </w:r>
      <w:r w:rsidRPr="00B9233A">
        <w:rPr>
          <w:rFonts w:ascii="Arial" w:hAnsi="Arial" w:cs="Arial"/>
          <w:szCs w:val="21"/>
        </w:rPr>
        <w:t xml:space="preserve"> ai carburanti per autotrazione che compongono il paniere: </w:t>
      </w:r>
      <w:r>
        <w:rPr>
          <w:rFonts w:ascii="Arial" w:hAnsi="Arial" w:cs="Arial"/>
          <w:szCs w:val="21"/>
        </w:rPr>
        <w:t>Benzina, G</w:t>
      </w:r>
      <w:r w:rsidRPr="00B9233A">
        <w:rPr>
          <w:rFonts w:ascii="Arial" w:hAnsi="Arial" w:cs="Arial"/>
          <w:szCs w:val="21"/>
        </w:rPr>
        <w:t>asolio</w:t>
      </w:r>
      <w:r>
        <w:rPr>
          <w:rFonts w:ascii="Arial" w:hAnsi="Arial" w:cs="Arial"/>
          <w:szCs w:val="21"/>
        </w:rPr>
        <w:t xml:space="preserve"> per mezzi di trasporto</w:t>
      </w:r>
      <w:r w:rsidRPr="00B9233A">
        <w:rPr>
          <w:rFonts w:ascii="Arial" w:hAnsi="Arial" w:cs="Arial"/>
          <w:szCs w:val="21"/>
        </w:rPr>
        <w:t xml:space="preserve">, </w:t>
      </w:r>
      <w:r>
        <w:rPr>
          <w:rFonts w:ascii="Arial" w:hAnsi="Arial" w:cs="Arial"/>
          <w:szCs w:val="21"/>
        </w:rPr>
        <w:t xml:space="preserve">Gas </w:t>
      </w:r>
      <w:r w:rsidRPr="00B9233A">
        <w:rPr>
          <w:rFonts w:ascii="Arial" w:hAnsi="Arial" w:cs="Arial"/>
          <w:szCs w:val="21"/>
        </w:rPr>
        <w:t xml:space="preserve">GPL e </w:t>
      </w:r>
      <w:r>
        <w:rPr>
          <w:rFonts w:ascii="Arial" w:hAnsi="Arial" w:cs="Arial"/>
          <w:szCs w:val="21"/>
        </w:rPr>
        <w:t xml:space="preserve">Gas </w:t>
      </w:r>
      <w:r w:rsidRPr="00B9233A">
        <w:rPr>
          <w:rFonts w:ascii="Arial" w:hAnsi="Arial" w:cs="Arial"/>
          <w:szCs w:val="21"/>
        </w:rPr>
        <w:t>metano</w:t>
      </w:r>
      <w:r>
        <w:rPr>
          <w:rFonts w:ascii="Arial" w:hAnsi="Arial" w:cs="Arial"/>
          <w:szCs w:val="21"/>
        </w:rPr>
        <w:t xml:space="preserve"> per autotrazione</w:t>
      </w:r>
      <w:r w:rsidRPr="00990771">
        <w:rPr>
          <w:rFonts w:ascii="Arial" w:hAnsi="Arial" w:cs="Arial"/>
        </w:rPr>
        <w:t>.</w:t>
      </w:r>
    </w:p>
    <w:p w14:paraId="637C1C05" w14:textId="77777777" w:rsidR="00AB34E1" w:rsidRDefault="00AB34E1" w:rsidP="00AB34E1">
      <w:pPr>
        <w:widowControl/>
        <w:overflowPunct/>
        <w:spacing w:before="0" w:after="120"/>
        <w:jc w:val="both"/>
        <w:rPr>
          <w:rFonts w:ascii="Arial" w:hAnsi="Arial" w:cs="Arial"/>
        </w:rPr>
      </w:pPr>
      <w:r w:rsidRPr="00990771">
        <w:rPr>
          <w:rFonts w:ascii="Arial" w:hAnsi="Arial" w:cs="Arial"/>
        </w:rPr>
        <w:t>Infine, dal 2022 la rilevazione sui canoni di affitto per le abitazioni di proprietà privata viene effettuata dall’Istat utilizzando la base dati delle locazioni immobiliari dell’Osservatorio del mercato immobiliare dell’Agenzia delle entrate. In seguito alla operazione di validazione dei dati, sono circa un milione e mezzo i canoni di affitto utilizzabili per il calcolo dell’indice mensile.</w:t>
      </w:r>
    </w:p>
    <w:p w14:paraId="2B4BCC07" w14:textId="77777777" w:rsidR="00AB34E1" w:rsidRDefault="00AB34E1" w:rsidP="00AB34E1">
      <w:pPr>
        <w:widowControl/>
        <w:overflowPunct/>
        <w:spacing w:before="0" w:after="120"/>
        <w:jc w:val="both"/>
        <w:rPr>
          <w:rFonts w:ascii="Arial" w:hAnsi="Arial" w:cs="Arial"/>
        </w:rPr>
      </w:pPr>
    </w:p>
    <w:p w14:paraId="15DEE4B7" w14:textId="77777777" w:rsidR="00AB34E1" w:rsidRPr="00C8504B" w:rsidRDefault="00AB34E1" w:rsidP="00AB34E1">
      <w:pPr>
        <w:spacing w:before="0" w:after="120"/>
        <w:jc w:val="both"/>
        <w:rPr>
          <w:rFonts w:ascii="Arial" w:hAnsi="Arial" w:cs="Arial"/>
          <w:b/>
          <w:sz w:val="6"/>
          <w:szCs w:val="6"/>
        </w:rPr>
      </w:pPr>
      <w:r w:rsidRPr="00C8504B">
        <w:rPr>
          <w:rFonts w:ascii="Arial" w:hAnsi="Arial" w:cs="Arial"/>
          <w:b/>
          <w:sz w:val="22"/>
          <w:szCs w:val="22"/>
        </w:rPr>
        <w:t>Metodologia di calcolo degli indici e delle variazioni</w:t>
      </w:r>
    </w:p>
    <w:p w14:paraId="22F8EE7D" w14:textId="77777777" w:rsidR="00AB34E1" w:rsidRPr="00C8504B" w:rsidRDefault="00AB34E1" w:rsidP="00AB34E1">
      <w:pPr>
        <w:spacing w:before="0" w:after="120"/>
        <w:jc w:val="both"/>
        <w:rPr>
          <w:rFonts w:ascii="Arial" w:hAnsi="Arial" w:cs="Arial"/>
          <w:b/>
          <w:sz w:val="18"/>
          <w:szCs w:val="18"/>
        </w:rPr>
      </w:pPr>
      <w:r w:rsidRPr="00C8504B">
        <w:rPr>
          <w:rFonts w:ascii="Arial" w:hAnsi="Arial" w:cs="Arial"/>
          <w:b/>
        </w:rPr>
        <w:t xml:space="preserve">Struttura di ponderazione </w:t>
      </w:r>
    </w:p>
    <w:p w14:paraId="42E1F91E" w14:textId="77777777" w:rsidR="00AB34E1" w:rsidRDefault="00AB34E1" w:rsidP="00AB34E1">
      <w:pPr>
        <w:tabs>
          <w:tab w:val="left" w:pos="10206"/>
        </w:tabs>
        <w:spacing w:before="0" w:after="120"/>
        <w:jc w:val="both"/>
        <w:rPr>
          <w:rFonts w:ascii="Arial" w:hAnsi="Arial" w:cs="Arial"/>
          <w:szCs w:val="21"/>
        </w:rPr>
      </w:pPr>
      <w:r w:rsidRPr="002C252F">
        <w:rPr>
          <w:rFonts w:ascii="Arial" w:hAnsi="Arial" w:cs="Arial"/>
          <w:szCs w:val="21"/>
        </w:rPr>
        <w:t>Non tutti i beni e i servizi che entrano nel paniere hanno la stessa importanza nei consumi della popolazione. L’esigenza di misurare il livello dei prezzi e la loro dinamica temporale attraverso indicatori di sintesi richiede la definizione di un sistema</w:t>
      </w:r>
      <w:r w:rsidRPr="00C43F15">
        <w:rPr>
          <w:rFonts w:ascii="Arial" w:hAnsi="Arial" w:cs="Arial"/>
          <w:szCs w:val="21"/>
        </w:rPr>
        <w:t xml:space="preserve"> di ponderazione che consenta di elaborare tali indicatori tenendo conto della diversa rilevanza che i singoli prodotti assumono sulla spesa complessiva per consumi delle famiglie. </w:t>
      </w:r>
    </w:p>
    <w:p w14:paraId="721EC737" w14:textId="77777777" w:rsidR="00AB34E1" w:rsidRDefault="00AB34E1" w:rsidP="00AB34E1">
      <w:pPr>
        <w:tabs>
          <w:tab w:val="left" w:pos="10206"/>
        </w:tabs>
        <w:spacing w:before="0" w:after="120"/>
        <w:jc w:val="both"/>
        <w:rPr>
          <w:rFonts w:ascii="Arial" w:hAnsi="Arial" w:cs="Arial"/>
          <w:szCs w:val="21"/>
        </w:rPr>
      </w:pPr>
      <w:r w:rsidRPr="00CB741B">
        <w:rPr>
          <w:rFonts w:ascii="Arial" w:hAnsi="Arial" w:cs="Arial"/>
          <w:szCs w:val="21"/>
        </w:rPr>
        <w:t xml:space="preserve">Ogni anno i coefficienti di ponderazione degli indici sono aggiornati per tener conto dell’evoluzione dei consumi finali delle famiglie, come risulta dalle stime della Contabilità nazionale dell’Istat e dell’indagine sulle Spese delle famiglie, oltre che dai dati provenienti da altre fonti ausiliarie interne ed esterne all’Istituto (tra queste ultime le basi dati di importanti società di analisi e ricerche di mercato, quali </w:t>
      </w:r>
      <w:r w:rsidRPr="00464FBB">
        <w:rPr>
          <w:rFonts w:ascii="Arial" w:hAnsi="Arial" w:cs="Arial"/>
          <w:szCs w:val="21"/>
        </w:rPr>
        <w:t xml:space="preserve">A.C. Nielsen, Banca d’Italia, GfK </w:t>
      </w:r>
      <w:r>
        <w:rPr>
          <w:rFonts w:ascii="Arial" w:hAnsi="Arial" w:cs="Arial"/>
          <w:szCs w:val="21"/>
        </w:rPr>
        <w:t>Italia S.r.l.</w:t>
      </w:r>
      <w:r w:rsidRPr="00CB741B">
        <w:rPr>
          <w:rFonts w:ascii="Arial" w:hAnsi="Arial" w:cs="Arial"/>
          <w:szCs w:val="21"/>
        </w:rPr>
        <w:t>).</w:t>
      </w:r>
      <w:r>
        <w:rPr>
          <w:rFonts w:ascii="Arial" w:hAnsi="Arial" w:cs="Arial"/>
          <w:szCs w:val="21"/>
        </w:rPr>
        <w:t xml:space="preserve"> </w:t>
      </w:r>
      <w:r w:rsidRPr="00CB741B">
        <w:rPr>
          <w:rFonts w:ascii="Arial" w:hAnsi="Arial" w:cs="Arial"/>
          <w:szCs w:val="21"/>
        </w:rPr>
        <w:t>Tale operazione garantisce che il sistema dei pesi utilizzato per la stima dell’inflazione mantenga elevato nel tempo il grado di rappresentatività delle quote di spesa che i consumatori destinano all’acquisto dei beni e servizi finali.</w:t>
      </w:r>
    </w:p>
    <w:p w14:paraId="21CD8896" w14:textId="77777777" w:rsidR="00AB34E1" w:rsidRDefault="00AB34E1" w:rsidP="00AB34E1">
      <w:pPr>
        <w:tabs>
          <w:tab w:val="left" w:pos="10206"/>
        </w:tabs>
        <w:spacing w:before="0" w:after="120"/>
        <w:jc w:val="both"/>
        <w:rPr>
          <w:rFonts w:ascii="Arial" w:hAnsi="Arial" w:cs="Arial"/>
        </w:rPr>
      </w:pPr>
      <w:r>
        <w:rPr>
          <w:rFonts w:ascii="Arial" w:hAnsi="Arial" w:cs="Arial"/>
        </w:rPr>
        <w:t>A</w:t>
      </w:r>
      <w:r w:rsidRPr="004E5BD7">
        <w:rPr>
          <w:rFonts w:ascii="Arial" w:hAnsi="Arial" w:cs="Arial"/>
        </w:rPr>
        <w:t>l fine di salvaguardare la coerenza tra la struttura di ponderazione degli indici e quella dei bilanci delle famiglie, e nel rispetto delle linee guida Eurostat, per la revisione dei pesi sono stati utilizzati i dati delle principali fonti int</w:t>
      </w:r>
      <w:r>
        <w:rPr>
          <w:rFonts w:ascii="Arial" w:hAnsi="Arial" w:cs="Arial"/>
        </w:rPr>
        <w:t>erne più recenti disponibili. In particolare, le spese di riferimento sono relative al 2024 per la fonte di</w:t>
      </w:r>
      <w:r w:rsidRPr="004E5BD7">
        <w:rPr>
          <w:rFonts w:ascii="Arial" w:hAnsi="Arial" w:cs="Arial"/>
        </w:rPr>
        <w:t xml:space="preserve"> Contabilità nazionale</w:t>
      </w:r>
      <w:r>
        <w:rPr>
          <w:rStyle w:val="Rimandonotaapidipagina"/>
          <w:rFonts w:ascii="Arial" w:hAnsi="Arial" w:cs="Arial"/>
        </w:rPr>
        <w:footnoteReference w:id="5"/>
      </w:r>
      <w:r w:rsidRPr="004E5BD7">
        <w:rPr>
          <w:rFonts w:ascii="Arial" w:hAnsi="Arial" w:cs="Arial"/>
        </w:rPr>
        <w:t xml:space="preserve"> </w:t>
      </w:r>
      <w:r>
        <w:rPr>
          <w:rFonts w:ascii="Arial" w:hAnsi="Arial" w:cs="Arial"/>
        </w:rPr>
        <w:t>e al 2023 per l’</w:t>
      </w:r>
      <w:r w:rsidRPr="004E5BD7">
        <w:rPr>
          <w:rFonts w:ascii="Arial" w:hAnsi="Arial" w:cs="Arial"/>
        </w:rPr>
        <w:t>indagine sulle Spese del</w:t>
      </w:r>
      <w:r>
        <w:rPr>
          <w:rFonts w:ascii="Arial" w:hAnsi="Arial" w:cs="Arial"/>
        </w:rPr>
        <w:t>le</w:t>
      </w:r>
      <w:r w:rsidRPr="004E5BD7">
        <w:rPr>
          <w:rFonts w:ascii="Arial" w:hAnsi="Arial" w:cs="Arial"/>
        </w:rPr>
        <w:t xml:space="preserve"> famiglie</w:t>
      </w:r>
      <w:r>
        <w:rPr>
          <w:rFonts w:ascii="Arial" w:hAnsi="Arial" w:cs="Arial"/>
        </w:rPr>
        <w:t>.</w:t>
      </w:r>
      <w:r w:rsidRPr="004E5BD7">
        <w:rPr>
          <w:rFonts w:ascii="Arial" w:hAnsi="Arial" w:cs="Arial"/>
        </w:rPr>
        <w:t xml:space="preserve"> </w:t>
      </w:r>
    </w:p>
    <w:p w14:paraId="715D8685" w14:textId="2759189A" w:rsidR="00AB34E1" w:rsidRPr="00CF58C9" w:rsidRDefault="00AB34E1" w:rsidP="00AB34E1">
      <w:pPr>
        <w:tabs>
          <w:tab w:val="left" w:pos="10206"/>
        </w:tabs>
        <w:spacing w:before="0" w:after="120"/>
        <w:jc w:val="both"/>
        <w:rPr>
          <w:rFonts w:ascii="Arial" w:hAnsi="Arial" w:cs="Arial"/>
          <w:sz w:val="16"/>
          <w:szCs w:val="16"/>
        </w:rPr>
      </w:pPr>
      <w:r w:rsidRPr="009E5858">
        <w:rPr>
          <w:rFonts w:ascii="Arial" w:hAnsi="Arial" w:cs="Arial"/>
        </w:rPr>
        <w:t xml:space="preserve">Nel Prospetto 1 è riportata la versione </w:t>
      </w:r>
      <w:r>
        <w:rPr>
          <w:rFonts w:ascii="Arial" w:hAnsi="Arial" w:cs="Arial"/>
        </w:rPr>
        <w:t>finale</w:t>
      </w:r>
      <w:r w:rsidRPr="009E5858">
        <w:rPr>
          <w:rFonts w:ascii="Arial" w:hAnsi="Arial" w:cs="Arial"/>
        </w:rPr>
        <w:t xml:space="preserve"> della struttura dei pesi per divisione di spesa utilizzata per il calcolo dei tre indici dei prezzi al consumo (NIC, IPCA e FOI).</w:t>
      </w:r>
    </w:p>
    <w:p w14:paraId="2BFE89CA" w14:textId="33C6EBD6" w:rsidR="00AB34E1" w:rsidRPr="00881841" w:rsidRDefault="00AB34E1" w:rsidP="00AB34E1">
      <w:pPr>
        <w:pStyle w:val="001TitoGra"/>
        <w:spacing w:after="120" w:line="240" w:lineRule="auto"/>
        <w:jc w:val="both"/>
        <w:rPr>
          <w:b w:val="0"/>
          <w:sz w:val="20"/>
          <w:szCs w:val="20"/>
        </w:rPr>
      </w:pPr>
      <w:r w:rsidRPr="001611C8">
        <w:rPr>
          <w:rStyle w:val="001TitoGraRed"/>
        </w:rPr>
        <w:t xml:space="preserve">PROSPETTO </w:t>
      </w:r>
      <w:r>
        <w:rPr>
          <w:rStyle w:val="001TitoGraRed"/>
        </w:rPr>
        <w:t>1</w:t>
      </w:r>
      <w:r w:rsidRPr="001611C8">
        <w:rPr>
          <w:rStyle w:val="001TitoGraRed"/>
        </w:rPr>
        <w:t>.</w:t>
      </w:r>
      <w:r w:rsidRPr="00703E31">
        <w:t xml:space="preserve"> PESI UTILIZZATI PER IL CALCOLO DEGLI INDICI NAZIONALI DEI PREZZI AL CONSUMO, PER DIVISIONI DI SPESA</w:t>
      </w:r>
      <w:r>
        <w:t>.</w:t>
      </w:r>
      <w:r w:rsidRPr="00E95D57">
        <w:rPr>
          <w:b w:val="0"/>
        </w:rPr>
        <w:t xml:space="preserve"> </w:t>
      </w:r>
      <w:r>
        <w:rPr>
          <w:b w:val="0"/>
          <w:sz w:val="20"/>
          <w:szCs w:val="20"/>
        </w:rPr>
        <w:t>Anno 202</w:t>
      </w:r>
      <w:r w:rsidR="00A45941">
        <w:rPr>
          <w:b w:val="0"/>
          <w:sz w:val="20"/>
          <w:szCs w:val="20"/>
        </w:rPr>
        <w:t>6</w:t>
      </w:r>
      <w:r w:rsidRPr="00881841">
        <w:rPr>
          <w:b w:val="0"/>
          <w:sz w:val="20"/>
          <w:szCs w:val="20"/>
        </w:rPr>
        <w:t xml:space="preserve">, valori percentuali </w:t>
      </w:r>
    </w:p>
    <w:tbl>
      <w:tblPr>
        <w:tblW w:w="10206" w:type="dxa"/>
        <w:tblInd w:w="70"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4872"/>
        <w:gridCol w:w="1778"/>
        <w:gridCol w:w="1778"/>
        <w:gridCol w:w="1778"/>
      </w:tblGrid>
      <w:tr w:rsidR="00AB34E1" w:rsidRPr="00881841" w14:paraId="0FCD4966" w14:textId="77777777" w:rsidTr="00E06FB8">
        <w:trPr>
          <w:trHeight w:val="255"/>
        </w:trPr>
        <w:tc>
          <w:tcPr>
            <w:tcW w:w="4872" w:type="dxa"/>
            <w:vMerge w:val="restart"/>
            <w:shd w:val="clear" w:color="auto" w:fill="FFFFFF"/>
            <w:vAlign w:val="center"/>
            <w:hideMark/>
          </w:tcPr>
          <w:p w14:paraId="5EF8CC65" w14:textId="77777777" w:rsidR="00AB34E1" w:rsidRPr="0046573B" w:rsidRDefault="00AB34E1" w:rsidP="00E06FB8">
            <w:pPr>
              <w:widowControl/>
              <w:overflowPunct/>
              <w:autoSpaceDE/>
              <w:adjustRightInd/>
              <w:spacing w:before="0" w:after="0"/>
              <w:rPr>
                <w:rFonts w:ascii="Arial Narrow" w:hAnsi="Arial Narrow" w:cs="Calibri"/>
                <w:b/>
                <w:bCs/>
                <w:color w:val="000000"/>
                <w:kern w:val="0"/>
                <w:sz w:val="18"/>
                <w:szCs w:val="18"/>
              </w:rPr>
            </w:pPr>
            <w:r w:rsidRPr="0046573B">
              <w:rPr>
                <w:rFonts w:ascii="Arial Narrow" w:hAnsi="Arial Narrow" w:cs="Calibri"/>
                <w:b/>
                <w:bCs/>
                <w:color w:val="000000"/>
                <w:kern w:val="0"/>
                <w:sz w:val="18"/>
                <w:szCs w:val="18"/>
              </w:rPr>
              <w:t>DIVISIONI DI SPESA</w:t>
            </w:r>
          </w:p>
        </w:tc>
        <w:tc>
          <w:tcPr>
            <w:tcW w:w="5334" w:type="dxa"/>
            <w:gridSpan w:val="3"/>
            <w:shd w:val="clear" w:color="auto" w:fill="D9D9D9"/>
            <w:vAlign w:val="center"/>
            <w:hideMark/>
          </w:tcPr>
          <w:p w14:paraId="09C61982" w14:textId="77777777" w:rsidR="00AB34E1" w:rsidRPr="00881841" w:rsidRDefault="00AB34E1" w:rsidP="00E06FB8">
            <w:pPr>
              <w:spacing w:before="0" w:after="0"/>
              <w:jc w:val="center"/>
              <w:rPr>
                <w:rFonts w:ascii="Arial Narrow" w:hAnsi="Arial Narrow" w:cs="Arial"/>
                <w:b/>
                <w:sz w:val="18"/>
                <w:szCs w:val="18"/>
              </w:rPr>
            </w:pPr>
            <w:r w:rsidRPr="0046573B">
              <w:rPr>
                <w:rFonts w:ascii="Arial Narrow" w:hAnsi="Arial Narrow" w:cs="Calibri"/>
                <w:b/>
                <w:bCs/>
                <w:color w:val="000000"/>
                <w:kern w:val="0"/>
                <w:sz w:val="18"/>
                <w:szCs w:val="18"/>
              </w:rPr>
              <w:t>Pesi</w:t>
            </w:r>
          </w:p>
        </w:tc>
      </w:tr>
      <w:tr w:rsidR="00AB34E1" w:rsidRPr="00881841" w14:paraId="72CFAF88" w14:textId="77777777" w:rsidTr="00E06FB8">
        <w:trPr>
          <w:trHeight w:val="255"/>
        </w:trPr>
        <w:tc>
          <w:tcPr>
            <w:tcW w:w="4872" w:type="dxa"/>
            <w:vMerge/>
            <w:vAlign w:val="center"/>
            <w:hideMark/>
          </w:tcPr>
          <w:p w14:paraId="5185983C" w14:textId="77777777" w:rsidR="00AB34E1" w:rsidRPr="0046573B" w:rsidRDefault="00AB34E1" w:rsidP="00E06FB8">
            <w:pPr>
              <w:widowControl/>
              <w:overflowPunct/>
              <w:autoSpaceDE/>
              <w:autoSpaceDN/>
              <w:adjustRightInd/>
              <w:spacing w:before="0" w:after="0"/>
              <w:rPr>
                <w:rFonts w:ascii="Arial Narrow" w:hAnsi="Arial Narrow" w:cs="Calibri"/>
                <w:b/>
                <w:bCs/>
                <w:color w:val="000000"/>
                <w:kern w:val="0"/>
                <w:sz w:val="18"/>
                <w:szCs w:val="18"/>
              </w:rPr>
            </w:pPr>
          </w:p>
        </w:tc>
        <w:tc>
          <w:tcPr>
            <w:tcW w:w="1778" w:type="dxa"/>
            <w:shd w:val="clear" w:color="auto" w:fill="auto"/>
            <w:vAlign w:val="center"/>
            <w:hideMark/>
          </w:tcPr>
          <w:p w14:paraId="0D2E08E5" w14:textId="77777777" w:rsidR="00AB34E1" w:rsidRPr="0046573B" w:rsidRDefault="00AB34E1" w:rsidP="00E06FB8">
            <w:pPr>
              <w:widowControl/>
              <w:overflowPunct/>
              <w:autoSpaceDE/>
              <w:adjustRightInd/>
              <w:spacing w:before="0" w:after="0"/>
              <w:jc w:val="center"/>
              <w:rPr>
                <w:rFonts w:ascii="Arial Narrow" w:hAnsi="Arial Narrow" w:cs="Calibri"/>
                <w:b/>
                <w:bCs/>
                <w:color w:val="000000"/>
                <w:kern w:val="0"/>
                <w:sz w:val="18"/>
                <w:szCs w:val="18"/>
              </w:rPr>
            </w:pPr>
            <w:r w:rsidRPr="0046573B">
              <w:rPr>
                <w:rFonts w:ascii="Arial Narrow" w:hAnsi="Arial Narrow" w:cs="Calibri"/>
                <w:b/>
                <w:bCs/>
                <w:color w:val="000000"/>
                <w:kern w:val="0"/>
                <w:sz w:val="18"/>
                <w:szCs w:val="18"/>
              </w:rPr>
              <w:t>NIC</w:t>
            </w:r>
          </w:p>
        </w:tc>
        <w:tc>
          <w:tcPr>
            <w:tcW w:w="1778" w:type="dxa"/>
            <w:shd w:val="clear" w:color="auto" w:fill="auto"/>
            <w:vAlign w:val="center"/>
            <w:hideMark/>
          </w:tcPr>
          <w:p w14:paraId="3A17FD87" w14:textId="77777777" w:rsidR="00AB34E1" w:rsidRPr="0046573B" w:rsidRDefault="00AB34E1" w:rsidP="00E06FB8">
            <w:pPr>
              <w:widowControl/>
              <w:overflowPunct/>
              <w:autoSpaceDE/>
              <w:adjustRightInd/>
              <w:spacing w:before="0" w:after="0"/>
              <w:jc w:val="center"/>
              <w:rPr>
                <w:rFonts w:ascii="Arial Narrow" w:hAnsi="Arial Narrow" w:cs="Calibri"/>
                <w:b/>
                <w:bCs/>
                <w:color w:val="000000"/>
                <w:kern w:val="0"/>
                <w:sz w:val="18"/>
                <w:szCs w:val="18"/>
              </w:rPr>
            </w:pPr>
            <w:r w:rsidRPr="0046573B">
              <w:rPr>
                <w:rFonts w:ascii="Arial Narrow" w:hAnsi="Arial Narrow" w:cs="Calibri"/>
                <w:b/>
                <w:bCs/>
                <w:color w:val="000000"/>
                <w:kern w:val="0"/>
                <w:sz w:val="18"/>
                <w:szCs w:val="18"/>
              </w:rPr>
              <w:t>IPCA</w:t>
            </w:r>
          </w:p>
        </w:tc>
        <w:tc>
          <w:tcPr>
            <w:tcW w:w="1778" w:type="dxa"/>
            <w:shd w:val="clear" w:color="auto" w:fill="auto"/>
            <w:vAlign w:val="center"/>
            <w:hideMark/>
          </w:tcPr>
          <w:p w14:paraId="4565F0B2" w14:textId="77777777" w:rsidR="00AB34E1" w:rsidRPr="0046573B" w:rsidRDefault="00AB34E1" w:rsidP="00E06FB8">
            <w:pPr>
              <w:widowControl/>
              <w:overflowPunct/>
              <w:autoSpaceDE/>
              <w:adjustRightInd/>
              <w:spacing w:before="0" w:after="0"/>
              <w:jc w:val="center"/>
              <w:rPr>
                <w:rFonts w:ascii="Arial Narrow" w:hAnsi="Arial Narrow" w:cs="Calibri"/>
                <w:b/>
                <w:bCs/>
                <w:color w:val="000000"/>
                <w:kern w:val="0"/>
                <w:sz w:val="18"/>
                <w:szCs w:val="18"/>
              </w:rPr>
            </w:pPr>
            <w:r w:rsidRPr="0046573B">
              <w:rPr>
                <w:rFonts w:ascii="Arial Narrow" w:hAnsi="Arial Narrow" w:cs="Calibri"/>
                <w:b/>
                <w:bCs/>
                <w:color w:val="000000"/>
                <w:kern w:val="0"/>
                <w:sz w:val="18"/>
                <w:szCs w:val="18"/>
              </w:rPr>
              <w:t>FOI</w:t>
            </w:r>
          </w:p>
        </w:tc>
      </w:tr>
      <w:tr w:rsidR="00A45941" w:rsidRPr="00881841" w14:paraId="3482A856" w14:textId="77777777" w:rsidTr="00E06FB8">
        <w:trPr>
          <w:trHeight w:val="255"/>
        </w:trPr>
        <w:tc>
          <w:tcPr>
            <w:tcW w:w="4872" w:type="dxa"/>
            <w:vAlign w:val="center"/>
            <w:hideMark/>
          </w:tcPr>
          <w:p w14:paraId="248DF090" w14:textId="1FC440CC" w:rsidR="00A45941" w:rsidRPr="0046573B" w:rsidRDefault="00A45941" w:rsidP="00A45941">
            <w:pPr>
              <w:widowControl/>
              <w:overflowPunct/>
              <w:autoSpaceDE/>
              <w:adjustRightInd/>
              <w:spacing w:before="0" w:after="0"/>
              <w:jc w:val="both"/>
              <w:rPr>
                <w:rFonts w:ascii="Arial Narrow" w:hAnsi="Arial Narrow" w:cs="Calibri"/>
                <w:color w:val="000000"/>
                <w:kern w:val="0"/>
                <w:sz w:val="18"/>
                <w:szCs w:val="18"/>
              </w:rPr>
            </w:pPr>
            <w:r w:rsidRPr="008814F3">
              <w:rPr>
                <w:rFonts w:ascii="Arial Narrow" w:hAnsi="Arial Narrow" w:cs="Arial"/>
                <w:kern w:val="0"/>
                <w:sz w:val="18"/>
                <w:szCs w:val="18"/>
              </w:rPr>
              <w:t>Prodotti alimentari e bevande analcoliche</w:t>
            </w:r>
          </w:p>
        </w:tc>
        <w:tc>
          <w:tcPr>
            <w:tcW w:w="1778" w:type="dxa"/>
            <w:tcBorders>
              <w:top w:val="single" w:sz="4" w:space="0" w:color="auto"/>
              <w:left w:val="nil"/>
              <w:bottom w:val="single" w:sz="4" w:space="0" w:color="auto"/>
              <w:right w:val="nil"/>
            </w:tcBorders>
            <w:shd w:val="clear" w:color="000000" w:fill="D9D9D9"/>
            <w:vAlign w:val="center"/>
          </w:tcPr>
          <w:p w14:paraId="74529D66"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17,1290</w:t>
            </w:r>
          </w:p>
        </w:tc>
        <w:tc>
          <w:tcPr>
            <w:tcW w:w="1778" w:type="dxa"/>
            <w:tcBorders>
              <w:top w:val="single" w:sz="4" w:space="0" w:color="auto"/>
              <w:left w:val="nil"/>
              <w:bottom w:val="single" w:sz="4" w:space="0" w:color="auto"/>
              <w:right w:val="nil"/>
            </w:tcBorders>
            <w:shd w:val="clear" w:color="auto" w:fill="auto"/>
            <w:vAlign w:val="center"/>
          </w:tcPr>
          <w:p w14:paraId="206D5123"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18,1425</w:t>
            </w:r>
          </w:p>
        </w:tc>
        <w:tc>
          <w:tcPr>
            <w:tcW w:w="1778" w:type="dxa"/>
            <w:tcBorders>
              <w:top w:val="single" w:sz="4" w:space="0" w:color="auto"/>
              <w:left w:val="nil"/>
              <w:bottom w:val="single" w:sz="4" w:space="0" w:color="auto"/>
              <w:right w:val="nil"/>
            </w:tcBorders>
            <w:shd w:val="clear" w:color="000000" w:fill="D9D9D9"/>
            <w:vAlign w:val="center"/>
          </w:tcPr>
          <w:p w14:paraId="1CCE6197"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15,7993</w:t>
            </w:r>
          </w:p>
        </w:tc>
      </w:tr>
      <w:tr w:rsidR="00A45941" w:rsidRPr="00881841" w14:paraId="0C5F28FA" w14:textId="77777777" w:rsidTr="00E06FB8">
        <w:trPr>
          <w:trHeight w:val="255"/>
        </w:trPr>
        <w:tc>
          <w:tcPr>
            <w:tcW w:w="4872" w:type="dxa"/>
            <w:vAlign w:val="center"/>
            <w:hideMark/>
          </w:tcPr>
          <w:p w14:paraId="1380B3DA" w14:textId="7F74835A" w:rsidR="00A45941" w:rsidRPr="0046573B" w:rsidRDefault="00A45941" w:rsidP="00A45941">
            <w:pPr>
              <w:widowControl/>
              <w:overflowPunct/>
              <w:autoSpaceDE/>
              <w:adjustRightInd/>
              <w:spacing w:before="0" w:after="0"/>
              <w:jc w:val="both"/>
              <w:rPr>
                <w:rFonts w:ascii="Arial Narrow" w:hAnsi="Arial Narrow" w:cs="Calibri"/>
                <w:color w:val="000000"/>
                <w:kern w:val="0"/>
                <w:sz w:val="18"/>
                <w:szCs w:val="18"/>
              </w:rPr>
            </w:pPr>
            <w:r w:rsidRPr="008814F3">
              <w:rPr>
                <w:rFonts w:ascii="Arial Narrow" w:hAnsi="Arial Narrow" w:cs="Arial"/>
                <w:kern w:val="0"/>
                <w:sz w:val="18"/>
                <w:szCs w:val="18"/>
              </w:rPr>
              <w:t>Bevande alcoliche</w:t>
            </w:r>
            <w:r>
              <w:rPr>
                <w:rFonts w:ascii="Arial Narrow" w:hAnsi="Arial Narrow" w:cs="Arial"/>
                <w:kern w:val="0"/>
                <w:sz w:val="18"/>
                <w:szCs w:val="18"/>
              </w:rPr>
              <w:t>,</w:t>
            </w:r>
            <w:r w:rsidRPr="008814F3">
              <w:rPr>
                <w:rFonts w:ascii="Arial Narrow" w:hAnsi="Arial Narrow" w:cs="Arial"/>
                <w:kern w:val="0"/>
                <w:sz w:val="18"/>
                <w:szCs w:val="18"/>
              </w:rPr>
              <w:t xml:space="preserve"> tabac</w:t>
            </w:r>
            <w:r>
              <w:rPr>
                <w:rFonts w:ascii="Arial Narrow" w:hAnsi="Arial Narrow" w:cs="Arial"/>
                <w:kern w:val="0"/>
                <w:sz w:val="18"/>
                <w:szCs w:val="18"/>
              </w:rPr>
              <w:t>co e droghe</w:t>
            </w:r>
          </w:p>
        </w:tc>
        <w:tc>
          <w:tcPr>
            <w:tcW w:w="1778" w:type="dxa"/>
            <w:tcBorders>
              <w:top w:val="single" w:sz="4" w:space="0" w:color="auto"/>
              <w:left w:val="nil"/>
              <w:bottom w:val="single" w:sz="4" w:space="0" w:color="auto"/>
              <w:right w:val="nil"/>
            </w:tcBorders>
            <w:shd w:val="clear" w:color="000000" w:fill="D9D9D9"/>
            <w:vAlign w:val="center"/>
          </w:tcPr>
          <w:p w14:paraId="4B80660C"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3,0112</w:t>
            </w:r>
          </w:p>
        </w:tc>
        <w:tc>
          <w:tcPr>
            <w:tcW w:w="1778" w:type="dxa"/>
            <w:tcBorders>
              <w:top w:val="single" w:sz="4" w:space="0" w:color="auto"/>
              <w:left w:val="nil"/>
              <w:bottom w:val="single" w:sz="4" w:space="0" w:color="auto"/>
              <w:right w:val="nil"/>
            </w:tcBorders>
            <w:shd w:val="clear" w:color="auto" w:fill="auto"/>
            <w:vAlign w:val="center"/>
          </w:tcPr>
          <w:p w14:paraId="17D7A883"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3,1911</w:t>
            </w:r>
          </w:p>
        </w:tc>
        <w:tc>
          <w:tcPr>
            <w:tcW w:w="1778" w:type="dxa"/>
            <w:tcBorders>
              <w:top w:val="single" w:sz="4" w:space="0" w:color="auto"/>
              <w:left w:val="nil"/>
              <w:bottom w:val="single" w:sz="4" w:space="0" w:color="auto"/>
              <w:right w:val="nil"/>
            </w:tcBorders>
            <w:shd w:val="clear" w:color="000000" w:fill="D9D9D9"/>
            <w:vAlign w:val="center"/>
          </w:tcPr>
          <w:p w14:paraId="47686E60"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3,2673</w:t>
            </w:r>
          </w:p>
        </w:tc>
      </w:tr>
      <w:tr w:rsidR="00A45941" w:rsidRPr="00881841" w14:paraId="66305295" w14:textId="77777777" w:rsidTr="00E06FB8">
        <w:trPr>
          <w:trHeight w:val="255"/>
        </w:trPr>
        <w:tc>
          <w:tcPr>
            <w:tcW w:w="4872" w:type="dxa"/>
            <w:vAlign w:val="center"/>
            <w:hideMark/>
          </w:tcPr>
          <w:p w14:paraId="39B3B8F7" w14:textId="363D122B" w:rsidR="00A45941" w:rsidRPr="0046573B" w:rsidRDefault="00A45941" w:rsidP="00A45941">
            <w:pPr>
              <w:widowControl/>
              <w:overflowPunct/>
              <w:autoSpaceDE/>
              <w:adjustRightInd/>
              <w:spacing w:before="0" w:after="0"/>
              <w:jc w:val="both"/>
              <w:rPr>
                <w:rFonts w:ascii="Arial Narrow" w:hAnsi="Arial Narrow" w:cs="Calibri"/>
                <w:color w:val="000000"/>
                <w:kern w:val="0"/>
                <w:sz w:val="18"/>
                <w:szCs w:val="18"/>
              </w:rPr>
            </w:pPr>
            <w:r w:rsidRPr="008814F3">
              <w:rPr>
                <w:rFonts w:ascii="Arial Narrow" w:hAnsi="Arial Narrow" w:cs="Arial"/>
                <w:kern w:val="0"/>
                <w:sz w:val="18"/>
                <w:szCs w:val="18"/>
              </w:rPr>
              <w:t>Abbigliamento e calzature</w:t>
            </w:r>
          </w:p>
        </w:tc>
        <w:tc>
          <w:tcPr>
            <w:tcW w:w="1778" w:type="dxa"/>
            <w:tcBorders>
              <w:top w:val="single" w:sz="4" w:space="0" w:color="auto"/>
              <w:left w:val="nil"/>
              <w:bottom w:val="single" w:sz="4" w:space="0" w:color="auto"/>
              <w:right w:val="nil"/>
            </w:tcBorders>
            <w:shd w:val="clear" w:color="000000" w:fill="D9D9D9"/>
            <w:vAlign w:val="center"/>
          </w:tcPr>
          <w:p w14:paraId="3ECBB3C6"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5,9351</w:t>
            </w:r>
          </w:p>
        </w:tc>
        <w:tc>
          <w:tcPr>
            <w:tcW w:w="1778" w:type="dxa"/>
            <w:tcBorders>
              <w:top w:val="single" w:sz="4" w:space="0" w:color="auto"/>
              <w:left w:val="nil"/>
              <w:bottom w:val="single" w:sz="4" w:space="0" w:color="auto"/>
              <w:right w:val="nil"/>
            </w:tcBorders>
            <w:shd w:val="clear" w:color="auto" w:fill="auto"/>
            <w:vAlign w:val="center"/>
          </w:tcPr>
          <w:p w14:paraId="27BC76D1"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6,7911</w:t>
            </w:r>
          </w:p>
        </w:tc>
        <w:tc>
          <w:tcPr>
            <w:tcW w:w="1778" w:type="dxa"/>
            <w:tcBorders>
              <w:top w:val="single" w:sz="4" w:space="0" w:color="auto"/>
              <w:left w:val="nil"/>
              <w:bottom w:val="single" w:sz="4" w:space="0" w:color="auto"/>
              <w:right w:val="nil"/>
            </w:tcBorders>
            <w:shd w:val="clear" w:color="000000" w:fill="D9D9D9"/>
            <w:vAlign w:val="center"/>
          </w:tcPr>
          <w:p w14:paraId="0426F922"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6,3457</w:t>
            </w:r>
          </w:p>
        </w:tc>
      </w:tr>
      <w:tr w:rsidR="00A45941" w:rsidRPr="00881841" w14:paraId="52679A19" w14:textId="77777777" w:rsidTr="00E06FB8">
        <w:trPr>
          <w:trHeight w:val="255"/>
        </w:trPr>
        <w:tc>
          <w:tcPr>
            <w:tcW w:w="4872" w:type="dxa"/>
            <w:vAlign w:val="center"/>
            <w:hideMark/>
          </w:tcPr>
          <w:p w14:paraId="66DD1809" w14:textId="66329C0C" w:rsidR="00A45941" w:rsidRPr="0046573B" w:rsidRDefault="00A45941" w:rsidP="00A45941">
            <w:pPr>
              <w:widowControl/>
              <w:overflowPunct/>
              <w:autoSpaceDE/>
              <w:adjustRightInd/>
              <w:spacing w:before="0" w:after="0"/>
              <w:jc w:val="both"/>
              <w:rPr>
                <w:rFonts w:ascii="Arial Narrow" w:hAnsi="Arial Narrow" w:cs="Calibri"/>
                <w:color w:val="000000"/>
                <w:kern w:val="0"/>
                <w:sz w:val="18"/>
                <w:szCs w:val="18"/>
              </w:rPr>
            </w:pPr>
            <w:r w:rsidRPr="008814F3">
              <w:rPr>
                <w:rFonts w:ascii="Arial Narrow" w:hAnsi="Arial Narrow" w:cs="Arial"/>
                <w:kern w:val="0"/>
                <w:sz w:val="18"/>
                <w:szCs w:val="18"/>
              </w:rPr>
              <w:t>Abitazione, acqua, elettricità</w:t>
            </w:r>
            <w:r>
              <w:rPr>
                <w:rFonts w:ascii="Arial Narrow" w:hAnsi="Arial Narrow" w:cs="Arial"/>
                <w:kern w:val="0"/>
                <w:sz w:val="18"/>
                <w:szCs w:val="18"/>
              </w:rPr>
              <w:t>, gas e altri</w:t>
            </w:r>
            <w:r w:rsidRPr="008814F3">
              <w:rPr>
                <w:rFonts w:ascii="Arial Narrow" w:hAnsi="Arial Narrow" w:cs="Arial"/>
                <w:kern w:val="0"/>
                <w:sz w:val="18"/>
                <w:szCs w:val="18"/>
              </w:rPr>
              <w:t xml:space="preserve"> combustibili</w:t>
            </w:r>
          </w:p>
        </w:tc>
        <w:tc>
          <w:tcPr>
            <w:tcW w:w="1778" w:type="dxa"/>
            <w:tcBorders>
              <w:top w:val="single" w:sz="4" w:space="0" w:color="auto"/>
              <w:left w:val="nil"/>
              <w:bottom w:val="single" w:sz="4" w:space="0" w:color="auto"/>
              <w:right w:val="nil"/>
            </w:tcBorders>
            <w:shd w:val="clear" w:color="000000" w:fill="D9D9D9"/>
            <w:vAlign w:val="center"/>
          </w:tcPr>
          <w:p w14:paraId="4AEFFF6A"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11,8883</w:t>
            </w:r>
          </w:p>
        </w:tc>
        <w:tc>
          <w:tcPr>
            <w:tcW w:w="1778" w:type="dxa"/>
            <w:tcBorders>
              <w:top w:val="single" w:sz="4" w:space="0" w:color="auto"/>
              <w:left w:val="nil"/>
              <w:bottom w:val="single" w:sz="4" w:space="0" w:color="auto"/>
              <w:right w:val="nil"/>
            </w:tcBorders>
            <w:shd w:val="clear" w:color="auto" w:fill="auto"/>
            <w:vAlign w:val="center"/>
          </w:tcPr>
          <w:p w14:paraId="74265FCB"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12,6003</w:t>
            </w:r>
          </w:p>
        </w:tc>
        <w:tc>
          <w:tcPr>
            <w:tcW w:w="1778" w:type="dxa"/>
            <w:tcBorders>
              <w:top w:val="single" w:sz="4" w:space="0" w:color="auto"/>
              <w:left w:val="nil"/>
              <w:bottom w:val="single" w:sz="4" w:space="0" w:color="auto"/>
              <w:right w:val="nil"/>
            </w:tcBorders>
            <w:shd w:val="clear" w:color="000000" w:fill="D9D9D9"/>
            <w:vAlign w:val="center"/>
          </w:tcPr>
          <w:p w14:paraId="7F35EA39"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12,1653</w:t>
            </w:r>
          </w:p>
        </w:tc>
      </w:tr>
      <w:tr w:rsidR="00A45941" w:rsidRPr="00881841" w14:paraId="4B910F44" w14:textId="77777777" w:rsidTr="00E06FB8">
        <w:trPr>
          <w:trHeight w:val="255"/>
        </w:trPr>
        <w:tc>
          <w:tcPr>
            <w:tcW w:w="4872" w:type="dxa"/>
            <w:vAlign w:val="center"/>
            <w:hideMark/>
          </w:tcPr>
          <w:p w14:paraId="6B8F81A1" w14:textId="20C15D57" w:rsidR="00A45941" w:rsidRPr="0046573B" w:rsidRDefault="00A45941" w:rsidP="00A45941">
            <w:pPr>
              <w:widowControl/>
              <w:overflowPunct/>
              <w:autoSpaceDE/>
              <w:adjustRightInd/>
              <w:spacing w:before="0" w:after="0"/>
              <w:jc w:val="both"/>
              <w:rPr>
                <w:rFonts w:ascii="Arial Narrow" w:hAnsi="Arial Narrow" w:cs="Calibri"/>
                <w:color w:val="000000"/>
                <w:kern w:val="0"/>
                <w:sz w:val="18"/>
                <w:szCs w:val="18"/>
              </w:rPr>
            </w:pPr>
            <w:r>
              <w:rPr>
                <w:rFonts w:ascii="Arial Narrow" w:hAnsi="Arial Narrow" w:cs="Arial"/>
                <w:kern w:val="0"/>
                <w:sz w:val="18"/>
                <w:szCs w:val="18"/>
              </w:rPr>
              <w:t>Arredamenti, apparecchi per uso domestico e manutenzione corrente dell’abitazione</w:t>
            </w:r>
          </w:p>
        </w:tc>
        <w:tc>
          <w:tcPr>
            <w:tcW w:w="1778" w:type="dxa"/>
            <w:tcBorders>
              <w:top w:val="single" w:sz="4" w:space="0" w:color="auto"/>
              <w:left w:val="nil"/>
              <w:bottom w:val="single" w:sz="4" w:space="0" w:color="auto"/>
              <w:right w:val="nil"/>
            </w:tcBorders>
            <w:shd w:val="clear" w:color="000000" w:fill="D9D9D9"/>
            <w:vAlign w:val="center"/>
          </w:tcPr>
          <w:p w14:paraId="7B6CE170"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6,8441</w:t>
            </w:r>
          </w:p>
        </w:tc>
        <w:tc>
          <w:tcPr>
            <w:tcW w:w="1778" w:type="dxa"/>
            <w:tcBorders>
              <w:top w:val="single" w:sz="4" w:space="0" w:color="auto"/>
              <w:left w:val="nil"/>
              <w:bottom w:val="single" w:sz="4" w:space="0" w:color="auto"/>
              <w:right w:val="nil"/>
            </w:tcBorders>
            <w:shd w:val="clear" w:color="auto" w:fill="auto"/>
            <w:vAlign w:val="center"/>
          </w:tcPr>
          <w:p w14:paraId="1B1191E2"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7,2823</w:t>
            </w:r>
          </w:p>
        </w:tc>
        <w:tc>
          <w:tcPr>
            <w:tcW w:w="1778" w:type="dxa"/>
            <w:tcBorders>
              <w:top w:val="single" w:sz="4" w:space="0" w:color="auto"/>
              <w:left w:val="nil"/>
              <w:bottom w:val="single" w:sz="4" w:space="0" w:color="auto"/>
              <w:right w:val="nil"/>
            </w:tcBorders>
            <w:shd w:val="clear" w:color="000000" w:fill="D9D9D9"/>
            <w:vAlign w:val="center"/>
          </w:tcPr>
          <w:p w14:paraId="0C1638E3"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6,9536</w:t>
            </w:r>
          </w:p>
        </w:tc>
      </w:tr>
      <w:tr w:rsidR="00A45941" w:rsidRPr="00881841" w14:paraId="559538E8" w14:textId="77777777" w:rsidTr="00E06FB8">
        <w:trPr>
          <w:trHeight w:val="255"/>
        </w:trPr>
        <w:tc>
          <w:tcPr>
            <w:tcW w:w="4872" w:type="dxa"/>
            <w:vAlign w:val="center"/>
            <w:hideMark/>
          </w:tcPr>
          <w:p w14:paraId="17038364" w14:textId="248AA76E" w:rsidR="00A45941" w:rsidRPr="0046573B" w:rsidRDefault="00A45941" w:rsidP="00A45941">
            <w:pPr>
              <w:widowControl/>
              <w:overflowPunct/>
              <w:autoSpaceDE/>
              <w:adjustRightInd/>
              <w:spacing w:before="0" w:after="0"/>
              <w:jc w:val="both"/>
              <w:rPr>
                <w:rFonts w:ascii="Arial Narrow" w:hAnsi="Arial Narrow" w:cs="Calibri"/>
                <w:color w:val="000000"/>
                <w:kern w:val="0"/>
                <w:sz w:val="18"/>
                <w:szCs w:val="18"/>
              </w:rPr>
            </w:pPr>
            <w:r w:rsidRPr="008814F3">
              <w:rPr>
                <w:rFonts w:ascii="Arial Narrow" w:hAnsi="Arial Narrow" w:cs="Arial"/>
                <w:kern w:val="0"/>
                <w:sz w:val="18"/>
                <w:szCs w:val="18"/>
              </w:rPr>
              <w:t>S</w:t>
            </w:r>
            <w:r>
              <w:rPr>
                <w:rFonts w:ascii="Arial Narrow" w:hAnsi="Arial Narrow" w:cs="Arial"/>
                <w:kern w:val="0"/>
                <w:sz w:val="18"/>
                <w:szCs w:val="18"/>
              </w:rPr>
              <w:t>anità</w:t>
            </w:r>
          </w:p>
        </w:tc>
        <w:tc>
          <w:tcPr>
            <w:tcW w:w="1778" w:type="dxa"/>
            <w:tcBorders>
              <w:top w:val="single" w:sz="4" w:space="0" w:color="auto"/>
              <w:left w:val="nil"/>
              <w:bottom w:val="single" w:sz="4" w:space="0" w:color="auto"/>
              <w:right w:val="nil"/>
            </w:tcBorders>
            <w:shd w:val="clear" w:color="000000" w:fill="D9D9D9"/>
            <w:vAlign w:val="center"/>
          </w:tcPr>
          <w:p w14:paraId="7CD44514"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8,1284</w:t>
            </w:r>
          </w:p>
        </w:tc>
        <w:tc>
          <w:tcPr>
            <w:tcW w:w="1778" w:type="dxa"/>
            <w:tcBorders>
              <w:top w:val="single" w:sz="4" w:space="0" w:color="auto"/>
              <w:left w:val="nil"/>
              <w:bottom w:val="single" w:sz="4" w:space="0" w:color="auto"/>
              <w:right w:val="nil"/>
            </w:tcBorders>
            <w:shd w:val="clear" w:color="auto" w:fill="auto"/>
            <w:vAlign w:val="center"/>
          </w:tcPr>
          <w:p w14:paraId="766B017B"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4,1673</w:t>
            </w:r>
          </w:p>
        </w:tc>
        <w:tc>
          <w:tcPr>
            <w:tcW w:w="1778" w:type="dxa"/>
            <w:tcBorders>
              <w:top w:val="single" w:sz="4" w:space="0" w:color="auto"/>
              <w:left w:val="nil"/>
              <w:bottom w:val="single" w:sz="4" w:space="0" w:color="auto"/>
              <w:right w:val="nil"/>
            </w:tcBorders>
            <w:shd w:val="clear" w:color="000000" w:fill="D9D9D9"/>
            <w:vAlign w:val="center"/>
          </w:tcPr>
          <w:p w14:paraId="0224B736"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6,9034</w:t>
            </w:r>
          </w:p>
        </w:tc>
      </w:tr>
      <w:tr w:rsidR="00A45941" w:rsidRPr="00881841" w14:paraId="228DA7F1" w14:textId="77777777" w:rsidTr="00E06FB8">
        <w:trPr>
          <w:trHeight w:val="255"/>
        </w:trPr>
        <w:tc>
          <w:tcPr>
            <w:tcW w:w="4872" w:type="dxa"/>
            <w:vAlign w:val="center"/>
            <w:hideMark/>
          </w:tcPr>
          <w:p w14:paraId="58B4EF27" w14:textId="71D9A0D9" w:rsidR="00A45941" w:rsidRPr="0046573B" w:rsidRDefault="00A45941" w:rsidP="00A45941">
            <w:pPr>
              <w:widowControl/>
              <w:overflowPunct/>
              <w:autoSpaceDE/>
              <w:adjustRightInd/>
              <w:spacing w:before="0" w:after="0"/>
              <w:jc w:val="both"/>
              <w:rPr>
                <w:rFonts w:ascii="Arial Narrow" w:hAnsi="Arial Narrow" w:cs="Calibri"/>
                <w:color w:val="000000"/>
                <w:kern w:val="0"/>
                <w:sz w:val="18"/>
                <w:szCs w:val="18"/>
              </w:rPr>
            </w:pPr>
            <w:r w:rsidRPr="008814F3">
              <w:rPr>
                <w:rFonts w:ascii="Arial Narrow" w:hAnsi="Arial Narrow" w:cs="Arial"/>
                <w:kern w:val="0"/>
                <w:sz w:val="18"/>
                <w:szCs w:val="18"/>
              </w:rPr>
              <w:t>Trasporti</w:t>
            </w:r>
          </w:p>
        </w:tc>
        <w:tc>
          <w:tcPr>
            <w:tcW w:w="1778" w:type="dxa"/>
            <w:tcBorders>
              <w:top w:val="single" w:sz="4" w:space="0" w:color="auto"/>
              <w:left w:val="nil"/>
              <w:bottom w:val="single" w:sz="4" w:space="0" w:color="auto"/>
              <w:right w:val="nil"/>
            </w:tcBorders>
            <w:shd w:val="clear" w:color="000000" w:fill="D9D9D9"/>
            <w:vAlign w:val="center"/>
          </w:tcPr>
          <w:p w14:paraId="304797F7"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15,2266</w:t>
            </w:r>
          </w:p>
        </w:tc>
        <w:tc>
          <w:tcPr>
            <w:tcW w:w="1778" w:type="dxa"/>
            <w:tcBorders>
              <w:top w:val="single" w:sz="4" w:space="0" w:color="auto"/>
              <w:left w:val="nil"/>
              <w:bottom w:val="single" w:sz="4" w:space="0" w:color="auto"/>
              <w:right w:val="nil"/>
            </w:tcBorders>
            <w:shd w:val="clear" w:color="auto" w:fill="auto"/>
            <w:vAlign w:val="center"/>
          </w:tcPr>
          <w:p w14:paraId="459DAEAE"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16,0891</w:t>
            </w:r>
          </w:p>
        </w:tc>
        <w:tc>
          <w:tcPr>
            <w:tcW w:w="1778" w:type="dxa"/>
            <w:tcBorders>
              <w:top w:val="single" w:sz="4" w:space="0" w:color="auto"/>
              <w:left w:val="nil"/>
              <w:bottom w:val="single" w:sz="4" w:space="0" w:color="auto"/>
              <w:right w:val="nil"/>
            </w:tcBorders>
            <w:shd w:val="clear" w:color="000000" w:fill="D9D9D9"/>
            <w:vAlign w:val="center"/>
          </w:tcPr>
          <w:p w14:paraId="4D431BC8"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17,0123</w:t>
            </w:r>
          </w:p>
        </w:tc>
      </w:tr>
      <w:tr w:rsidR="00A45941" w:rsidRPr="00881841" w14:paraId="32C03589" w14:textId="77777777" w:rsidTr="00E06FB8">
        <w:trPr>
          <w:trHeight w:val="255"/>
        </w:trPr>
        <w:tc>
          <w:tcPr>
            <w:tcW w:w="4872" w:type="dxa"/>
            <w:vAlign w:val="center"/>
            <w:hideMark/>
          </w:tcPr>
          <w:p w14:paraId="2F708BB0" w14:textId="280CC1C8" w:rsidR="00A45941" w:rsidRPr="0046573B" w:rsidRDefault="00A45941" w:rsidP="00A45941">
            <w:pPr>
              <w:widowControl/>
              <w:overflowPunct/>
              <w:autoSpaceDE/>
              <w:adjustRightInd/>
              <w:spacing w:before="0" w:after="0"/>
              <w:jc w:val="both"/>
              <w:rPr>
                <w:rFonts w:ascii="Arial Narrow" w:hAnsi="Arial Narrow" w:cs="Calibri"/>
                <w:color w:val="000000"/>
                <w:kern w:val="0"/>
                <w:sz w:val="18"/>
                <w:szCs w:val="18"/>
              </w:rPr>
            </w:pPr>
            <w:r>
              <w:rPr>
                <w:rFonts w:ascii="Arial Narrow" w:hAnsi="Arial Narrow" w:cs="Arial"/>
                <w:kern w:val="0"/>
                <w:sz w:val="18"/>
                <w:szCs w:val="18"/>
              </w:rPr>
              <w:t>Informazione e c</w:t>
            </w:r>
            <w:r w:rsidRPr="008814F3">
              <w:rPr>
                <w:rFonts w:ascii="Arial Narrow" w:hAnsi="Arial Narrow" w:cs="Arial"/>
                <w:kern w:val="0"/>
                <w:sz w:val="18"/>
                <w:szCs w:val="18"/>
              </w:rPr>
              <w:t>omunicazion</w:t>
            </w:r>
            <w:r>
              <w:rPr>
                <w:rFonts w:ascii="Arial Narrow" w:hAnsi="Arial Narrow" w:cs="Arial"/>
                <w:kern w:val="0"/>
                <w:sz w:val="18"/>
                <w:szCs w:val="18"/>
              </w:rPr>
              <w:t>e</w:t>
            </w:r>
          </w:p>
        </w:tc>
        <w:tc>
          <w:tcPr>
            <w:tcW w:w="1778" w:type="dxa"/>
            <w:tcBorders>
              <w:top w:val="single" w:sz="4" w:space="0" w:color="auto"/>
              <w:left w:val="nil"/>
              <w:bottom w:val="single" w:sz="4" w:space="0" w:color="auto"/>
              <w:right w:val="nil"/>
            </w:tcBorders>
            <w:shd w:val="clear" w:color="000000" w:fill="D9D9D9"/>
            <w:vAlign w:val="center"/>
          </w:tcPr>
          <w:p w14:paraId="0BABAF30"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1,9136</w:t>
            </w:r>
          </w:p>
        </w:tc>
        <w:tc>
          <w:tcPr>
            <w:tcW w:w="1778" w:type="dxa"/>
            <w:tcBorders>
              <w:top w:val="single" w:sz="4" w:space="0" w:color="auto"/>
              <w:left w:val="nil"/>
              <w:bottom w:val="single" w:sz="4" w:space="0" w:color="auto"/>
              <w:right w:val="nil"/>
            </w:tcBorders>
            <w:shd w:val="clear" w:color="auto" w:fill="auto"/>
            <w:vAlign w:val="center"/>
          </w:tcPr>
          <w:p w14:paraId="546C8C85"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2,0303</w:t>
            </w:r>
          </w:p>
        </w:tc>
        <w:tc>
          <w:tcPr>
            <w:tcW w:w="1778" w:type="dxa"/>
            <w:tcBorders>
              <w:top w:val="single" w:sz="4" w:space="0" w:color="auto"/>
              <w:left w:val="nil"/>
              <w:bottom w:val="single" w:sz="4" w:space="0" w:color="auto"/>
              <w:right w:val="nil"/>
            </w:tcBorders>
            <w:shd w:val="clear" w:color="000000" w:fill="D9D9D9"/>
            <w:vAlign w:val="center"/>
          </w:tcPr>
          <w:p w14:paraId="63579A1D"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2,2695</w:t>
            </w:r>
          </w:p>
        </w:tc>
      </w:tr>
      <w:tr w:rsidR="00A45941" w:rsidRPr="00881841" w14:paraId="50ADFB74" w14:textId="77777777" w:rsidTr="00E06FB8">
        <w:trPr>
          <w:trHeight w:val="255"/>
        </w:trPr>
        <w:tc>
          <w:tcPr>
            <w:tcW w:w="4872" w:type="dxa"/>
            <w:vAlign w:val="center"/>
            <w:hideMark/>
          </w:tcPr>
          <w:p w14:paraId="12D28AEF" w14:textId="2DB16B76" w:rsidR="00A45941" w:rsidRPr="0046573B" w:rsidRDefault="00A45941" w:rsidP="00A45941">
            <w:pPr>
              <w:widowControl/>
              <w:overflowPunct/>
              <w:autoSpaceDE/>
              <w:adjustRightInd/>
              <w:spacing w:before="0" w:after="0"/>
              <w:jc w:val="both"/>
              <w:rPr>
                <w:rFonts w:ascii="Arial Narrow" w:hAnsi="Arial Narrow" w:cs="Calibri"/>
                <w:color w:val="000000"/>
                <w:kern w:val="0"/>
                <w:sz w:val="18"/>
                <w:szCs w:val="18"/>
              </w:rPr>
            </w:pPr>
            <w:r w:rsidRPr="008814F3">
              <w:rPr>
                <w:rFonts w:ascii="Arial Narrow" w:hAnsi="Arial Narrow" w:cs="Arial"/>
                <w:kern w:val="0"/>
                <w:sz w:val="18"/>
                <w:szCs w:val="18"/>
              </w:rPr>
              <w:t xml:space="preserve">Ricreazione, </w:t>
            </w:r>
            <w:r>
              <w:rPr>
                <w:rFonts w:ascii="Arial Narrow" w:hAnsi="Arial Narrow" w:cs="Arial"/>
                <w:kern w:val="0"/>
                <w:sz w:val="18"/>
                <w:szCs w:val="18"/>
              </w:rPr>
              <w:t>sport</w:t>
            </w:r>
            <w:r w:rsidRPr="008814F3">
              <w:rPr>
                <w:rFonts w:ascii="Arial Narrow" w:hAnsi="Arial Narrow" w:cs="Arial"/>
                <w:kern w:val="0"/>
                <w:sz w:val="18"/>
                <w:szCs w:val="18"/>
              </w:rPr>
              <w:t xml:space="preserve"> e cultura</w:t>
            </w:r>
          </w:p>
        </w:tc>
        <w:tc>
          <w:tcPr>
            <w:tcW w:w="1778" w:type="dxa"/>
            <w:tcBorders>
              <w:top w:val="single" w:sz="4" w:space="0" w:color="auto"/>
              <w:left w:val="nil"/>
              <w:bottom w:val="single" w:sz="4" w:space="0" w:color="auto"/>
              <w:right w:val="nil"/>
            </w:tcBorders>
            <w:shd w:val="clear" w:color="000000" w:fill="D9D9D9"/>
            <w:vAlign w:val="center"/>
          </w:tcPr>
          <w:p w14:paraId="3228B536"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7,4624</w:t>
            </w:r>
          </w:p>
        </w:tc>
        <w:tc>
          <w:tcPr>
            <w:tcW w:w="1778" w:type="dxa"/>
            <w:tcBorders>
              <w:top w:val="single" w:sz="4" w:space="0" w:color="auto"/>
              <w:left w:val="nil"/>
              <w:bottom w:val="single" w:sz="4" w:space="0" w:color="auto"/>
              <w:right w:val="nil"/>
            </w:tcBorders>
            <w:shd w:val="clear" w:color="auto" w:fill="auto"/>
            <w:vAlign w:val="center"/>
          </w:tcPr>
          <w:p w14:paraId="5EBCAFE8"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5,8814</w:t>
            </w:r>
          </w:p>
        </w:tc>
        <w:tc>
          <w:tcPr>
            <w:tcW w:w="1778" w:type="dxa"/>
            <w:tcBorders>
              <w:top w:val="single" w:sz="4" w:space="0" w:color="auto"/>
              <w:left w:val="nil"/>
              <w:bottom w:val="single" w:sz="4" w:space="0" w:color="auto"/>
              <w:right w:val="nil"/>
            </w:tcBorders>
            <w:shd w:val="clear" w:color="000000" w:fill="D9D9D9"/>
            <w:vAlign w:val="center"/>
          </w:tcPr>
          <w:p w14:paraId="07B54894"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7,6695</w:t>
            </w:r>
          </w:p>
        </w:tc>
      </w:tr>
      <w:tr w:rsidR="00A45941" w:rsidRPr="00881841" w14:paraId="59E7F49E" w14:textId="77777777" w:rsidTr="00E06FB8">
        <w:trPr>
          <w:trHeight w:val="255"/>
        </w:trPr>
        <w:tc>
          <w:tcPr>
            <w:tcW w:w="4872" w:type="dxa"/>
            <w:vAlign w:val="center"/>
            <w:hideMark/>
          </w:tcPr>
          <w:p w14:paraId="3D9478FE" w14:textId="2B8DE107" w:rsidR="00A45941" w:rsidRPr="0046573B" w:rsidRDefault="00A45941" w:rsidP="00A45941">
            <w:pPr>
              <w:widowControl/>
              <w:overflowPunct/>
              <w:autoSpaceDE/>
              <w:adjustRightInd/>
              <w:spacing w:before="0" w:after="0"/>
              <w:jc w:val="both"/>
              <w:rPr>
                <w:rFonts w:ascii="Arial Narrow" w:hAnsi="Arial Narrow" w:cs="Calibri"/>
                <w:color w:val="000000"/>
                <w:kern w:val="0"/>
                <w:sz w:val="18"/>
                <w:szCs w:val="18"/>
              </w:rPr>
            </w:pPr>
            <w:r>
              <w:rPr>
                <w:rFonts w:ascii="Arial Narrow" w:hAnsi="Arial Narrow" w:cs="Arial"/>
                <w:kern w:val="0"/>
                <w:sz w:val="18"/>
                <w:szCs w:val="18"/>
              </w:rPr>
              <w:t>Servizi di i</w:t>
            </w:r>
            <w:r w:rsidRPr="008814F3">
              <w:rPr>
                <w:rFonts w:ascii="Arial Narrow" w:hAnsi="Arial Narrow" w:cs="Arial"/>
                <w:kern w:val="0"/>
                <w:sz w:val="18"/>
                <w:szCs w:val="18"/>
              </w:rPr>
              <w:t>struzione</w:t>
            </w:r>
          </w:p>
        </w:tc>
        <w:tc>
          <w:tcPr>
            <w:tcW w:w="1778" w:type="dxa"/>
            <w:tcBorders>
              <w:top w:val="single" w:sz="4" w:space="0" w:color="auto"/>
              <w:left w:val="nil"/>
              <w:bottom w:val="single" w:sz="4" w:space="0" w:color="auto"/>
              <w:right w:val="nil"/>
            </w:tcBorders>
            <w:shd w:val="clear" w:color="000000" w:fill="D9D9D9"/>
            <w:vAlign w:val="center"/>
          </w:tcPr>
          <w:p w14:paraId="03F278AD"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0,921</w:t>
            </w:r>
          </w:p>
        </w:tc>
        <w:tc>
          <w:tcPr>
            <w:tcW w:w="1778" w:type="dxa"/>
            <w:tcBorders>
              <w:top w:val="single" w:sz="4" w:space="0" w:color="auto"/>
              <w:left w:val="nil"/>
              <w:bottom w:val="single" w:sz="4" w:space="0" w:color="auto"/>
              <w:right w:val="nil"/>
            </w:tcBorders>
            <w:shd w:val="clear" w:color="auto" w:fill="auto"/>
            <w:vAlign w:val="center"/>
          </w:tcPr>
          <w:p w14:paraId="080C3481"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0,9761</w:t>
            </w:r>
          </w:p>
        </w:tc>
        <w:tc>
          <w:tcPr>
            <w:tcW w:w="1778" w:type="dxa"/>
            <w:tcBorders>
              <w:top w:val="single" w:sz="4" w:space="0" w:color="auto"/>
              <w:left w:val="nil"/>
              <w:bottom w:val="single" w:sz="4" w:space="0" w:color="auto"/>
              <w:right w:val="nil"/>
            </w:tcBorders>
            <w:shd w:val="clear" w:color="000000" w:fill="D9D9D9"/>
            <w:vAlign w:val="center"/>
          </w:tcPr>
          <w:p w14:paraId="5747006B"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1,1337</w:t>
            </w:r>
          </w:p>
        </w:tc>
      </w:tr>
      <w:tr w:rsidR="00A45941" w:rsidRPr="00881841" w14:paraId="48B2F623" w14:textId="77777777" w:rsidTr="00E06FB8">
        <w:trPr>
          <w:trHeight w:val="255"/>
        </w:trPr>
        <w:tc>
          <w:tcPr>
            <w:tcW w:w="4872" w:type="dxa"/>
            <w:vAlign w:val="center"/>
            <w:hideMark/>
          </w:tcPr>
          <w:p w14:paraId="32A032E2" w14:textId="4C4B00C1" w:rsidR="00A45941" w:rsidRPr="0046573B" w:rsidRDefault="00A45941" w:rsidP="00A45941">
            <w:pPr>
              <w:widowControl/>
              <w:overflowPunct/>
              <w:autoSpaceDE/>
              <w:adjustRightInd/>
              <w:spacing w:before="0" w:after="0"/>
              <w:jc w:val="both"/>
              <w:rPr>
                <w:rFonts w:ascii="Arial Narrow" w:hAnsi="Arial Narrow" w:cs="Calibri"/>
                <w:color w:val="000000"/>
                <w:kern w:val="0"/>
                <w:sz w:val="18"/>
                <w:szCs w:val="18"/>
              </w:rPr>
            </w:pPr>
            <w:r w:rsidRPr="008814F3">
              <w:rPr>
                <w:rFonts w:ascii="Arial Narrow" w:hAnsi="Arial Narrow" w:cs="Arial"/>
                <w:kern w:val="0"/>
                <w:sz w:val="18"/>
                <w:szCs w:val="18"/>
              </w:rPr>
              <w:t xml:space="preserve">Servizi </w:t>
            </w:r>
            <w:r>
              <w:rPr>
                <w:rFonts w:ascii="Arial Narrow" w:hAnsi="Arial Narrow" w:cs="Arial"/>
                <w:kern w:val="0"/>
                <w:sz w:val="18"/>
                <w:szCs w:val="18"/>
              </w:rPr>
              <w:t>di ristoranti e servizi di alloggio</w:t>
            </w:r>
          </w:p>
        </w:tc>
        <w:tc>
          <w:tcPr>
            <w:tcW w:w="1778" w:type="dxa"/>
            <w:tcBorders>
              <w:top w:val="single" w:sz="4" w:space="0" w:color="auto"/>
              <w:left w:val="nil"/>
              <w:bottom w:val="single" w:sz="4" w:space="0" w:color="auto"/>
              <w:right w:val="nil"/>
            </w:tcBorders>
            <w:shd w:val="clear" w:color="000000" w:fill="D9D9D9"/>
            <w:vAlign w:val="center"/>
          </w:tcPr>
          <w:p w14:paraId="46CCC7A4"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11,9507</w:t>
            </w:r>
          </w:p>
        </w:tc>
        <w:tc>
          <w:tcPr>
            <w:tcW w:w="1778" w:type="dxa"/>
            <w:tcBorders>
              <w:top w:val="single" w:sz="4" w:space="0" w:color="auto"/>
              <w:left w:val="nil"/>
              <w:bottom w:val="single" w:sz="4" w:space="0" w:color="auto"/>
              <w:right w:val="nil"/>
            </w:tcBorders>
            <w:shd w:val="clear" w:color="auto" w:fill="auto"/>
            <w:vAlign w:val="center"/>
          </w:tcPr>
          <w:p w14:paraId="3913B99E"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12,6621</w:t>
            </w:r>
          </w:p>
        </w:tc>
        <w:tc>
          <w:tcPr>
            <w:tcW w:w="1778" w:type="dxa"/>
            <w:tcBorders>
              <w:top w:val="single" w:sz="4" w:space="0" w:color="auto"/>
              <w:left w:val="nil"/>
              <w:bottom w:val="single" w:sz="4" w:space="0" w:color="auto"/>
              <w:right w:val="nil"/>
            </w:tcBorders>
            <w:shd w:val="clear" w:color="000000" w:fill="D9D9D9"/>
            <w:vAlign w:val="center"/>
          </w:tcPr>
          <w:p w14:paraId="44C4B079"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11,3922</w:t>
            </w:r>
          </w:p>
        </w:tc>
      </w:tr>
      <w:tr w:rsidR="00A45941" w:rsidRPr="00881841" w14:paraId="1E546951" w14:textId="77777777" w:rsidTr="00E06FB8">
        <w:trPr>
          <w:trHeight w:val="255"/>
        </w:trPr>
        <w:tc>
          <w:tcPr>
            <w:tcW w:w="4872" w:type="dxa"/>
            <w:vAlign w:val="center"/>
          </w:tcPr>
          <w:p w14:paraId="5067731F" w14:textId="7468B71D" w:rsidR="00A45941" w:rsidRPr="0046573B" w:rsidRDefault="00A45941" w:rsidP="00A45941">
            <w:pPr>
              <w:widowControl/>
              <w:overflowPunct/>
              <w:autoSpaceDE/>
              <w:adjustRightInd/>
              <w:spacing w:before="0" w:after="0"/>
              <w:jc w:val="both"/>
              <w:rPr>
                <w:rFonts w:ascii="Arial Narrow" w:hAnsi="Arial Narrow" w:cs="Calibri"/>
                <w:color w:val="000000"/>
                <w:kern w:val="0"/>
                <w:sz w:val="18"/>
                <w:szCs w:val="18"/>
              </w:rPr>
            </w:pPr>
            <w:r>
              <w:rPr>
                <w:rFonts w:ascii="Arial Narrow" w:hAnsi="Arial Narrow" w:cs="Arial"/>
                <w:kern w:val="0"/>
                <w:sz w:val="18"/>
                <w:szCs w:val="18"/>
              </w:rPr>
              <w:t>Servizi finanziari e assicurativi</w:t>
            </w:r>
          </w:p>
        </w:tc>
        <w:tc>
          <w:tcPr>
            <w:tcW w:w="1778" w:type="dxa"/>
            <w:tcBorders>
              <w:top w:val="single" w:sz="4" w:space="0" w:color="auto"/>
              <w:left w:val="nil"/>
              <w:bottom w:val="single" w:sz="4" w:space="0" w:color="auto"/>
              <w:right w:val="nil"/>
            </w:tcBorders>
            <w:shd w:val="clear" w:color="000000" w:fill="D9D9D9"/>
            <w:vAlign w:val="center"/>
          </w:tcPr>
          <w:p w14:paraId="2BB84BB9" w14:textId="77777777" w:rsidR="00A45941" w:rsidRDefault="00A45941" w:rsidP="00A45941">
            <w:pPr>
              <w:widowControl/>
              <w:overflowPunct/>
              <w:autoSpaceDE/>
              <w:autoSpaceDN/>
              <w:adjustRightInd/>
              <w:spacing w:before="0" w:after="0"/>
              <w:jc w:val="center"/>
              <w:rPr>
                <w:rFonts w:ascii="Arial Narrow" w:hAnsi="Arial Narrow" w:cs="Calibri"/>
                <w:color w:val="000000"/>
                <w:sz w:val="18"/>
                <w:szCs w:val="18"/>
              </w:rPr>
            </w:pPr>
          </w:p>
        </w:tc>
        <w:tc>
          <w:tcPr>
            <w:tcW w:w="1778" w:type="dxa"/>
            <w:tcBorders>
              <w:top w:val="single" w:sz="4" w:space="0" w:color="auto"/>
              <w:left w:val="nil"/>
              <w:bottom w:val="single" w:sz="4" w:space="0" w:color="auto"/>
              <w:right w:val="nil"/>
            </w:tcBorders>
            <w:shd w:val="clear" w:color="auto" w:fill="auto"/>
            <w:vAlign w:val="center"/>
          </w:tcPr>
          <w:p w14:paraId="583DBB6B" w14:textId="77777777" w:rsidR="00A45941" w:rsidRDefault="00A45941" w:rsidP="00A45941">
            <w:pPr>
              <w:widowControl/>
              <w:overflowPunct/>
              <w:autoSpaceDE/>
              <w:autoSpaceDN/>
              <w:adjustRightInd/>
              <w:spacing w:before="0" w:after="0"/>
              <w:jc w:val="center"/>
              <w:rPr>
                <w:rFonts w:ascii="Arial Narrow" w:hAnsi="Arial Narrow" w:cs="Calibri"/>
                <w:color w:val="000000"/>
                <w:sz w:val="18"/>
                <w:szCs w:val="18"/>
              </w:rPr>
            </w:pPr>
          </w:p>
        </w:tc>
        <w:tc>
          <w:tcPr>
            <w:tcW w:w="1778" w:type="dxa"/>
            <w:tcBorders>
              <w:top w:val="single" w:sz="4" w:space="0" w:color="auto"/>
              <w:left w:val="nil"/>
              <w:bottom w:val="single" w:sz="4" w:space="0" w:color="auto"/>
              <w:right w:val="nil"/>
            </w:tcBorders>
            <w:shd w:val="clear" w:color="000000" w:fill="D9D9D9"/>
            <w:vAlign w:val="center"/>
          </w:tcPr>
          <w:p w14:paraId="534BCF16" w14:textId="77777777" w:rsidR="00A45941" w:rsidRDefault="00A45941" w:rsidP="00A45941">
            <w:pPr>
              <w:widowControl/>
              <w:overflowPunct/>
              <w:autoSpaceDE/>
              <w:autoSpaceDN/>
              <w:adjustRightInd/>
              <w:spacing w:before="0" w:after="0"/>
              <w:jc w:val="center"/>
              <w:rPr>
                <w:rFonts w:ascii="Arial Narrow" w:hAnsi="Arial Narrow" w:cs="Calibri"/>
                <w:color w:val="000000"/>
                <w:sz w:val="18"/>
                <w:szCs w:val="18"/>
              </w:rPr>
            </w:pPr>
          </w:p>
        </w:tc>
      </w:tr>
      <w:tr w:rsidR="00A45941" w:rsidRPr="00881841" w14:paraId="27F221F4" w14:textId="77777777" w:rsidTr="00E06FB8">
        <w:trPr>
          <w:trHeight w:val="255"/>
        </w:trPr>
        <w:tc>
          <w:tcPr>
            <w:tcW w:w="4872" w:type="dxa"/>
            <w:vAlign w:val="center"/>
            <w:hideMark/>
          </w:tcPr>
          <w:p w14:paraId="149970F0" w14:textId="40D3371A" w:rsidR="00A45941" w:rsidRPr="0046573B" w:rsidRDefault="00A45941" w:rsidP="00A45941">
            <w:pPr>
              <w:widowControl/>
              <w:overflowPunct/>
              <w:autoSpaceDE/>
              <w:adjustRightInd/>
              <w:spacing w:before="0" w:after="0"/>
              <w:jc w:val="both"/>
              <w:rPr>
                <w:rFonts w:ascii="Arial Narrow" w:hAnsi="Arial Narrow" w:cs="Calibri"/>
                <w:color w:val="000000"/>
                <w:kern w:val="0"/>
                <w:sz w:val="18"/>
                <w:szCs w:val="18"/>
              </w:rPr>
            </w:pPr>
            <w:r>
              <w:rPr>
                <w:rFonts w:ascii="Arial Narrow" w:hAnsi="Arial Narrow" w:cs="Arial"/>
                <w:kern w:val="0"/>
                <w:sz w:val="18"/>
                <w:szCs w:val="18"/>
              </w:rPr>
              <w:t>Assistenza alla persona, protezione sociale e beni e servizi vari</w:t>
            </w:r>
          </w:p>
        </w:tc>
        <w:tc>
          <w:tcPr>
            <w:tcW w:w="1778" w:type="dxa"/>
            <w:tcBorders>
              <w:top w:val="single" w:sz="4" w:space="0" w:color="auto"/>
              <w:left w:val="nil"/>
              <w:bottom w:val="single" w:sz="4" w:space="0" w:color="auto"/>
              <w:right w:val="nil"/>
            </w:tcBorders>
            <w:shd w:val="clear" w:color="000000" w:fill="D9D9D9"/>
            <w:vAlign w:val="center"/>
          </w:tcPr>
          <w:p w14:paraId="5D8E60F5"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9,5896</w:t>
            </w:r>
          </w:p>
        </w:tc>
        <w:tc>
          <w:tcPr>
            <w:tcW w:w="1778" w:type="dxa"/>
            <w:tcBorders>
              <w:top w:val="single" w:sz="4" w:space="0" w:color="auto"/>
              <w:left w:val="nil"/>
              <w:bottom w:val="single" w:sz="4" w:space="0" w:color="auto"/>
              <w:right w:val="nil"/>
            </w:tcBorders>
            <w:shd w:val="clear" w:color="auto" w:fill="auto"/>
            <w:vAlign w:val="center"/>
          </w:tcPr>
          <w:p w14:paraId="3A2A7291"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10,1864</w:t>
            </w:r>
          </w:p>
        </w:tc>
        <w:tc>
          <w:tcPr>
            <w:tcW w:w="1778" w:type="dxa"/>
            <w:tcBorders>
              <w:top w:val="single" w:sz="4" w:space="0" w:color="auto"/>
              <w:left w:val="nil"/>
              <w:bottom w:val="single" w:sz="4" w:space="0" w:color="auto"/>
              <w:right w:val="nil"/>
            </w:tcBorders>
            <w:shd w:val="clear" w:color="000000" w:fill="D9D9D9"/>
            <w:vAlign w:val="center"/>
          </w:tcPr>
          <w:p w14:paraId="0979FD2B" w14:textId="77777777" w:rsidR="00A45941" w:rsidRPr="00361427" w:rsidRDefault="00A45941" w:rsidP="00A45941">
            <w:pPr>
              <w:widowControl/>
              <w:overflowPunct/>
              <w:autoSpaceDE/>
              <w:autoSpaceDN/>
              <w:adjustRightInd/>
              <w:spacing w:before="0" w:after="0"/>
              <w:jc w:val="center"/>
              <w:rPr>
                <w:rFonts w:ascii="Arial Narrow" w:hAnsi="Arial Narrow" w:cs="Calibri"/>
                <w:color w:val="000000"/>
                <w:kern w:val="0"/>
                <w:sz w:val="18"/>
                <w:szCs w:val="18"/>
              </w:rPr>
            </w:pPr>
            <w:r>
              <w:rPr>
                <w:rFonts w:ascii="Arial Narrow" w:hAnsi="Arial Narrow" w:cs="Calibri"/>
                <w:color w:val="000000"/>
                <w:sz w:val="18"/>
                <w:szCs w:val="18"/>
              </w:rPr>
              <w:t>9,0882</w:t>
            </w:r>
          </w:p>
        </w:tc>
      </w:tr>
      <w:tr w:rsidR="00AB34E1" w:rsidRPr="00881841" w14:paraId="7AA6A05A" w14:textId="77777777" w:rsidTr="00E06FB8">
        <w:trPr>
          <w:trHeight w:val="255"/>
        </w:trPr>
        <w:tc>
          <w:tcPr>
            <w:tcW w:w="4872" w:type="dxa"/>
            <w:shd w:val="clear" w:color="auto" w:fill="E31C18"/>
            <w:vAlign w:val="center"/>
            <w:hideMark/>
          </w:tcPr>
          <w:p w14:paraId="0F0D647C" w14:textId="77777777" w:rsidR="00AB34E1" w:rsidRPr="0046573B" w:rsidRDefault="00AB34E1" w:rsidP="00E06FB8">
            <w:pPr>
              <w:widowControl/>
              <w:overflowPunct/>
              <w:autoSpaceDE/>
              <w:adjustRightInd/>
              <w:spacing w:before="0" w:after="0"/>
              <w:rPr>
                <w:rFonts w:ascii="Arial Narrow" w:hAnsi="Arial Narrow" w:cs="Calibri"/>
                <w:b/>
                <w:bCs/>
                <w:color w:val="FFFFFF"/>
                <w:kern w:val="0"/>
                <w:sz w:val="18"/>
                <w:szCs w:val="18"/>
              </w:rPr>
            </w:pPr>
            <w:r w:rsidRPr="0046573B">
              <w:rPr>
                <w:rFonts w:ascii="Arial Narrow" w:hAnsi="Arial Narrow" w:cs="Calibri"/>
                <w:b/>
                <w:bCs/>
                <w:color w:val="FFFFFF"/>
                <w:kern w:val="0"/>
                <w:sz w:val="18"/>
                <w:szCs w:val="18"/>
              </w:rPr>
              <w:t>Indice generale</w:t>
            </w:r>
          </w:p>
        </w:tc>
        <w:tc>
          <w:tcPr>
            <w:tcW w:w="1778" w:type="dxa"/>
            <w:shd w:val="clear" w:color="auto" w:fill="E31C18"/>
            <w:vAlign w:val="center"/>
          </w:tcPr>
          <w:p w14:paraId="0FD4B088" w14:textId="77777777" w:rsidR="00AB34E1" w:rsidRPr="00881705" w:rsidRDefault="00AB34E1" w:rsidP="00E06FB8">
            <w:pPr>
              <w:widowControl/>
              <w:overflowPunct/>
              <w:autoSpaceDE/>
              <w:autoSpaceDN/>
              <w:adjustRightInd/>
              <w:spacing w:before="0" w:after="0"/>
              <w:jc w:val="center"/>
              <w:rPr>
                <w:rFonts w:ascii="Arial Narrow" w:hAnsi="Arial Narrow" w:cs="Calibri"/>
                <w:b/>
                <w:bCs/>
                <w:color w:val="FFFFFF"/>
                <w:kern w:val="0"/>
                <w:sz w:val="18"/>
                <w:szCs w:val="18"/>
              </w:rPr>
            </w:pPr>
            <w:r w:rsidRPr="00881705">
              <w:rPr>
                <w:rFonts w:ascii="Arial Narrow" w:hAnsi="Arial Narrow" w:cs="Calibri"/>
                <w:b/>
                <w:bCs/>
                <w:color w:val="FFFFFF"/>
                <w:kern w:val="0"/>
                <w:sz w:val="18"/>
                <w:szCs w:val="18"/>
              </w:rPr>
              <w:t>100,0000</w:t>
            </w:r>
          </w:p>
        </w:tc>
        <w:tc>
          <w:tcPr>
            <w:tcW w:w="1778" w:type="dxa"/>
            <w:shd w:val="clear" w:color="auto" w:fill="E31C18"/>
            <w:vAlign w:val="center"/>
          </w:tcPr>
          <w:p w14:paraId="6D850FD2" w14:textId="77777777" w:rsidR="00AB34E1" w:rsidRPr="00881705" w:rsidRDefault="00AB34E1" w:rsidP="00E06FB8">
            <w:pPr>
              <w:widowControl/>
              <w:overflowPunct/>
              <w:autoSpaceDE/>
              <w:autoSpaceDN/>
              <w:adjustRightInd/>
              <w:spacing w:before="0" w:after="0"/>
              <w:jc w:val="center"/>
              <w:rPr>
                <w:rFonts w:ascii="Arial Narrow" w:hAnsi="Arial Narrow" w:cs="Calibri"/>
                <w:b/>
                <w:bCs/>
                <w:color w:val="FFFFFF"/>
                <w:kern w:val="0"/>
                <w:sz w:val="18"/>
                <w:szCs w:val="18"/>
              </w:rPr>
            </w:pPr>
            <w:r w:rsidRPr="00881705">
              <w:rPr>
                <w:rFonts w:ascii="Arial Narrow" w:hAnsi="Arial Narrow" w:cs="Calibri"/>
                <w:b/>
                <w:bCs/>
                <w:color w:val="FFFFFF"/>
                <w:kern w:val="0"/>
                <w:sz w:val="18"/>
                <w:szCs w:val="18"/>
              </w:rPr>
              <w:t>100,0000</w:t>
            </w:r>
          </w:p>
        </w:tc>
        <w:tc>
          <w:tcPr>
            <w:tcW w:w="1778" w:type="dxa"/>
            <w:shd w:val="clear" w:color="auto" w:fill="E31C18"/>
            <w:vAlign w:val="center"/>
          </w:tcPr>
          <w:p w14:paraId="24BCD0E5" w14:textId="77777777" w:rsidR="00AB34E1" w:rsidRPr="00881705" w:rsidRDefault="00AB34E1" w:rsidP="00E06FB8">
            <w:pPr>
              <w:widowControl/>
              <w:overflowPunct/>
              <w:autoSpaceDE/>
              <w:autoSpaceDN/>
              <w:adjustRightInd/>
              <w:spacing w:before="0" w:after="0"/>
              <w:jc w:val="center"/>
              <w:rPr>
                <w:rFonts w:ascii="Arial Narrow" w:hAnsi="Arial Narrow" w:cs="Calibri"/>
                <w:b/>
                <w:bCs/>
                <w:color w:val="FFFFFF"/>
                <w:kern w:val="0"/>
                <w:sz w:val="18"/>
                <w:szCs w:val="18"/>
              </w:rPr>
            </w:pPr>
            <w:r w:rsidRPr="00881705">
              <w:rPr>
                <w:rFonts w:ascii="Arial Narrow" w:hAnsi="Arial Narrow" w:cs="Calibri"/>
                <w:b/>
                <w:bCs/>
                <w:color w:val="FFFFFF"/>
                <w:kern w:val="0"/>
                <w:sz w:val="18"/>
                <w:szCs w:val="18"/>
              </w:rPr>
              <w:t>100,0000</w:t>
            </w:r>
          </w:p>
        </w:tc>
      </w:tr>
    </w:tbl>
    <w:p w14:paraId="6562A19E" w14:textId="77777777" w:rsidR="00AB34E1" w:rsidRPr="00DD3CBF" w:rsidRDefault="00AB34E1" w:rsidP="00AB34E1">
      <w:pPr>
        <w:tabs>
          <w:tab w:val="left" w:pos="10206"/>
        </w:tabs>
        <w:spacing w:before="0" w:after="120"/>
        <w:jc w:val="both"/>
        <w:rPr>
          <w:rFonts w:ascii="Arial" w:hAnsi="Arial" w:cs="Arial"/>
        </w:rPr>
      </w:pPr>
    </w:p>
    <w:p w14:paraId="13DF0D3B" w14:textId="77777777" w:rsidR="00AB34E1" w:rsidRPr="00C8504B" w:rsidRDefault="00AB34E1" w:rsidP="00AB34E1">
      <w:pPr>
        <w:pStyle w:val="Titolo4"/>
        <w:spacing w:before="0" w:after="120"/>
        <w:rPr>
          <w:rFonts w:ascii="Arial" w:hAnsi="Arial" w:cs="Arial"/>
          <w:bCs w:val="0"/>
          <w:i w:val="0"/>
          <w:color w:val="auto"/>
          <w:szCs w:val="22"/>
        </w:rPr>
      </w:pPr>
      <w:r w:rsidRPr="00C8504B">
        <w:rPr>
          <w:rFonts w:ascii="Arial" w:hAnsi="Arial" w:cs="Arial"/>
          <w:bCs w:val="0"/>
          <w:i w:val="0"/>
          <w:color w:val="auto"/>
          <w:szCs w:val="22"/>
        </w:rPr>
        <w:t xml:space="preserve">Indici nazionali e territoriali </w:t>
      </w:r>
    </w:p>
    <w:p w14:paraId="6F0B5A4F" w14:textId="77777777" w:rsidR="00AB34E1" w:rsidRDefault="00AB34E1" w:rsidP="00AB34E1">
      <w:pPr>
        <w:spacing w:before="0" w:after="120"/>
        <w:jc w:val="both"/>
        <w:rPr>
          <w:rFonts w:ascii="Arial" w:hAnsi="Arial" w:cs="Arial"/>
          <w:szCs w:val="21"/>
        </w:rPr>
      </w:pPr>
      <w:r w:rsidRPr="002875F7">
        <w:rPr>
          <w:rFonts w:ascii="Arial" w:hAnsi="Arial" w:cs="Arial"/>
          <w:szCs w:val="21"/>
        </w:rPr>
        <w:t xml:space="preserve">La metodologia di calcolo degli indici dei prezzi al consumo prevede quattro diversi processi di aggregazione degli indici di ciascun aggregato di prodotto calcolati per ogni capoluogo di provincia. </w:t>
      </w:r>
    </w:p>
    <w:p w14:paraId="21948CA6" w14:textId="77777777" w:rsidR="00AB34E1" w:rsidRPr="002875F7" w:rsidRDefault="00AB34E1" w:rsidP="00AB34E1">
      <w:pPr>
        <w:spacing w:before="0" w:after="120"/>
        <w:jc w:val="both"/>
        <w:rPr>
          <w:rFonts w:ascii="Arial" w:hAnsi="Arial" w:cs="Arial"/>
          <w:szCs w:val="21"/>
        </w:rPr>
      </w:pPr>
      <w:r w:rsidRPr="002875F7">
        <w:rPr>
          <w:rFonts w:ascii="Arial" w:hAnsi="Arial" w:cs="Arial"/>
          <w:bCs/>
          <w:szCs w:val="21"/>
        </w:rPr>
        <w:t>L’</w:t>
      </w:r>
      <w:r w:rsidRPr="002875F7">
        <w:rPr>
          <w:rFonts w:ascii="Arial" w:hAnsi="Arial" w:cs="Arial"/>
          <w:bCs/>
          <w:i/>
          <w:szCs w:val="21"/>
        </w:rPr>
        <w:t>indice nazionale</w:t>
      </w:r>
      <w:r w:rsidRPr="002875F7">
        <w:rPr>
          <w:rFonts w:ascii="Arial" w:hAnsi="Arial" w:cs="Arial"/>
          <w:bCs/>
          <w:szCs w:val="21"/>
        </w:rPr>
        <w:t xml:space="preserve"> si ottiene nel modo seguente</w:t>
      </w:r>
      <w:r w:rsidRPr="002875F7">
        <w:rPr>
          <w:rFonts w:ascii="Arial" w:hAnsi="Arial" w:cs="Arial"/>
          <w:szCs w:val="21"/>
        </w:rPr>
        <w:t>:</w:t>
      </w:r>
    </w:p>
    <w:p w14:paraId="5AE49132" w14:textId="77777777" w:rsidR="00AB34E1" w:rsidRPr="002875F7" w:rsidRDefault="00AB34E1" w:rsidP="002F535A">
      <w:pPr>
        <w:widowControl/>
        <w:numPr>
          <w:ilvl w:val="0"/>
          <w:numId w:val="2"/>
        </w:numPr>
        <w:tabs>
          <w:tab w:val="clear" w:pos="720"/>
          <w:tab w:val="num" w:pos="502"/>
        </w:tabs>
        <w:spacing w:before="0" w:after="120"/>
        <w:ind w:left="284" w:hanging="284"/>
        <w:jc w:val="both"/>
        <w:rPr>
          <w:rFonts w:ascii="Arial" w:hAnsi="Arial" w:cs="Arial"/>
          <w:szCs w:val="21"/>
        </w:rPr>
      </w:pPr>
      <w:r w:rsidRPr="002875F7">
        <w:rPr>
          <w:rFonts w:ascii="Arial" w:hAnsi="Arial" w:cs="Arial"/>
          <w:szCs w:val="21"/>
        </w:rPr>
        <w:t xml:space="preserve">si aggregano tra loro gli indici provinciali di aggregato di prodotto per costruire l’indice regionale di aggregato di prodotto; per quanto riguarda i beni alimentari (esclusi i prodotti freschi) e per la cura della casa e della persona, gli indici regionali di aggregato di prodotto sono calcolati tendendo distinte le diverse tipologie distributive (ipermercati, supermercati, discount, libero servizio, specialist drug) per i quali si utilizzano le informazioni provenienti dai registratori elettronici di cassa (scanner data); per un numero limitato di aggregati, l’indice viene calcolato integrando le informazioni provenienti dagli scanner data con quelle rilevate direttamente dagli Uffici Comunali di Statistica; i coefficienti di ponderazione adoperati per le sintesi degli indici provinciali si basano, in generale, sul peso di ciascun capoluogo di provincia in termini di popolazione residente; </w:t>
      </w:r>
    </w:p>
    <w:p w14:paraId="0DA323A7" w14:textId="77777777" w:rsidR="00AB34E1" w:rsidRPr="002875F7" w:rsidRDefault="00AB34E1" w:rsidP="002F535A">
      <w:pPr>
        <w:widowControl/>
        <w:numPr>
          <w:ilvl w:val="0"/>
          <w:numId w:val="2"/>
        </w:numPr>
        <w:tabs>
          <w:tab w:val="clear" w:pos="720"/>
          <w:tab w:val="num" w:pos="502"/>
        </w:tabs>
        <w:spacing w:before="0" w:after="120"/>
        <w:ind w:left="284" w:hanging="284"/>
        <w:jc w:val="both"/>
        <w:rPr>
          <w:rFonts w:ascii="Arial" w:hAnsi="Arial" w:cs="Arial"/>
          <w:szCs w:val="21"/>
        </w:rPr>
      </w:pPr>
      <w:r w:rsidRPr="002875F7">
        <w:rPr>
          <w:rFonts w:ascii="Arial" w:hAnsi="Arial" w:cs="Arial"/>
          <w:szCs w:val="21"/>
        </w:rPr>
        <w:t xml:space="preserve">si aggregano tra loro gli indici regionali di aggregato di prodotto per costruire l’indice nazionale di aggregato di prodotto; i coefficienti di ponderazione utilizzati si basano sul peso di ciascuna regione in termini di consumi delle famiglie; </w:t>
      </w:r>
    </w:p>
    <w:p w14:paraId="469B7424" w14:textId="77777777" w:rsidR="00AB34E1" w:rsidRPr="002875F7" w:rsidRDefault="00AB34E1" w:rsidP="002F535A">
      <w:pPr>
        <w:widowControl/>
        <w:numPr>
          <w:ilvl w:val="0"/>
          <w:numId w:val="2"/>
        </w:numPr>
        <w:tabs>
          <w:tab w:val="clear" w:pos="720"/>
          <w:tab w:val="num" w:pos="502"/>
        </w:tabs>
        <w:spacing w:before="0" w:after="120"/>
        <w:ind w:left="284" w:hanging="284"/>
        <w:jc w:val="both"/>
        <w:rPr>
          <w:rFonts w:ascii="Arial" w:hAnsi="Arial" w:cs="Arial"/>
          <w:szCs w:val="21"/>
        </w:rPr>
      </w:pPr>
      <w:r w:rsidRPr="002875F7">
        <w:rPr>
          <w:rFonts w:ascii="Arial" w:hAnsi="Arial" w:cs="Arial"/>
          <w:szCs w:val="21"/>
        </w:rPr>
        <w:t xml:space="preserve">l’indice generale nazionale dei prezzi al consumo si ottiene come media ponderata degli indici nazionali di aggregato di prodotto. I coefficienti di ponderazione utilizzati si basano sul peso di ciascun aggregato di prodotto in termini di consumi delle famiglie. </w:t>
      </w:r>
    </w:p>
    <w:p w14:paraId="54C364F0" w14:textId="77777777" w:rsidR="00AB34E1" w:rsidRPr="002875F7" w:rsidRDefault="00AB34E1" w:rsidP="00AB34E1">
      <w:pPr>
        <w:tabs>
          <w:tab w:val="left" w:pos="2098"/>
        </w:tabs>
        <w:spacing w:before="0" w:after="120"/>
        <w:jc w:val="both"/>
        <w:rPr>
          <w:rFonts w:ascii="Arial" w:hAnsi="Arial" w:cs="Arial"/>
          <w:szCs w:val="21"/>
        </w:rPr>
      </w:pPr>
      <w:r w:rsidRPr="002875F7">
        <w:rPr>
          <w:rFonts w:ascii="Arial" w:hAnsi="Arial" w:cs="Arial"/>
          <w:bCs/>
          <w:szCs w:val="21"/>
        </w:rPr>
        <w:t xml:space="preserve">Gli </w:t>
      </w:r>
      <w:r w:rsidRPr="002875F7">
        <w:rPr>
          <w:rFonts w:ascii="Arial" w:hAnsi="Arial" w:cs="Arial"/>
          <w:i/>
          <w:szCs w:val="21"/>
        </w:rPr>
        <w:t xml:space="preserve">indici per </w:t>
      </w:r>
      <w:r w:rsidRPr="002875F7">
        <w:rPr>
          <w:rFonts w:ascii="Arial" w:hAnsi="Arial" w:cs="Arial"/>
          <w:bCs/>
          <w:i/>
          <w:szCs w:val="21"/>
        </w:rPr>
        <w:t>capoluogo di provincia, regione e</w:t>
      </w:r>
      <w:r w:rsidRPr="002875F7">
        <w:rPr>
          <w:rFonts w:ascii="Arial" w:hAnsi="Arial" w:cs="Arial"/>
          <w:bCs/>
          <w:szCs w:val="21"/>
        </w:rPr>
        <w:t xml:space="preserve"> </w:t>
      </w:r>
      <w:r w:rsidRPr="002875F7">
        <w:rPr>
          <w:rFonts w:ascii="Arial" w:hAnsi="Arial" w:cs="Arial"/>
          <w:i/>
          <w:szCs w:val="21"/>
        </w:rPr>
        <w:t>ripartizione geografica</w:t>
      </w:r>
      <w:r w:rsidRPr="002875F7">
        <w:rPr>
          <w:rFonts w:ascii="Arial" w:hAnsi="Arial" w:cs="Arial"/>
          <w:szCs w:val="21"/>
        </w:rPr>
        <w:t xml:space="preserve"> si ottengono come segue:</w:t>
      </w:r>
    </w:p>
    <w:p w14:paraId="67043F8D" w14:textId="77777777" w:rsidR="00AB34E1" w:rsidRPr="002875F7" w:rsidRDefault="00AB34E1" w:rsidP="002F535A">
      <w:pPr>
        <w:widowControl/>
        <w:numPr>
          <w:ilvl w:val="0"/>
          <w:numId w:val="2"/>
        </w:numPr>
        <w:tabs>
          <w:tab w:val="clear" w:pos="720"/>
          <w:tab w:val="num" w:pos="502"/>
        </w:tabs>
        <w:spacing w:before="0" w:after="120"/>
        <w:ind w:left="284" w:hanging="284"/>
        <w:jc w:val="both"/>
        <w:rPr>
          <w:rFonts w:ascii="Arial" w:hAnsi="Arial" w:cs="Arial"/>
          <w:szCs w:val="21"/>
        </w:rPr>
      </w:pPr>
      <w:r w:rsidRPr="002875F7">
        <w:rPr>
          <w:rFonts w:ascii="Arial" w:hAnsi="Arial" w:cs="Arial"/>
          <w:szCs w:val="21"/>
        </w:rPr>
        <w:t>l’indice generale per regione e per ripartizione geografica dei prezzi sono calcolati rispettivamente come media ponderata degli indici regionali e ripartizionali di aggregato di prodotto</w:t>
      </w:r>
      <w:r>
        <w:rPr>
          <w:rFonts w:ascii="Arial" w:hAnsi="Arial" w:cs="Arial"/>
          <w:szCs w:val="21"/>
        </w:rPr>
        <w:t>; i</w:t>
      </w:r>
      <w:r w:rsidRPr="002875F7">
        <w:rPr>
          <w:rFonts w:ascii="Arial" w:hAnsi="Arial" w:cs="Arial"/>
          <w:szCs w:val="21"/>
        </w:rPr>
        <w:t xml:space="preserve"> coefficienti di ponderazione utilizzati si basano sul peso di ciascun aggregato di prodotto in te</w:t>
      </w:r>
      <w:r>
        <w:rPr>
          <w:rFonts w:ascii="Arial" w:hAnsi="Arial" w:cs="Arial"/>
          <w:szCs w:val="21"/>
        </w:rPr>
        <w:t>rmini di consumi delle famiglie;</w:t>
      </w:r>
    </w:p>
    <w:p w14:paraId="2906E16F" w14:textId="77777777" w:rsidR="00AB34E1" w:rsidRPr="002875F7" w:rsidRDefault="00AB34E1" w:rsidP="002F535A">
      <w:pPr>
        <w:widowControl/>
        <w:numPr>
          <w:ilvl w:val="0"/>
          <w:numId w:val="2"/>
        </w:numPr>
        <w:tabs>
          <w:tab w:val="clear" w:pos="720"/>
          <w:tab w:val="num" w:pos="502"/>
        </w:tabs>
        <w:spacing w:before="0" w:after="120"/>
        <w:ind w:left="284" w:hanging="284"/>
        <w:jc w:val="both"/>
        <w:rPr>
          <w:rFonts w:ascii="Arial" w:hAnsi="Arial" w:cs="Arial"/>
          <w:szCs w:val="21"/>
        </w:rPr>
      </w:pPr>
      <w:r w:rsidRPr="002875F7">
        <w:rPr>
          <w:rFonts w:ascii="Arial" w:hAnsi="Arial" w:cs="Arial"/>
          <w:szCs w:val="21"/>
        </w:rPr>
        <w:t>l’indice generale provinciale si ottiene come media aritmetica ponderata degli aggregati di prodotto calcolati a livello di capoluogo di provincia</w:t>
      </w:r>
      <w:r>
        <w:rPr>
          <w:rFonts w:ascii="Arial" w:hAnsi="Arial" w:cs="Arial"/>
          <w:szCs w:val="21"/>
        </w:rPr>
        <w:t>; i</w:t>
      </w:r>
      <w:r w:rsidRPr="002875F7">
        <w:rPr>
          <w:rFonts w:ascii="Arial" w:hAnsi="Arial" w:cs="Arial"/>
          <w:szCs w:val="21"/>
        </w:rPr>
        <w:t xml:space="preserve"> coefficienti di ponderazione utilizzati si basano sul peso di ciascun aggregato di prodotto in termini di consumi delle famiglie. La struttura di ponderazione utilizzata è quella definita a livello regionale.</w:t>
      </w:r>
    </w:p>
    <w:p w14:paraId="080337AB" w14:textId="77777777" w:rsidR="00AB34E1" w:rsidRPr="002875F7" w:rsidRDefault="00AB34E1" w:rsidP="00AB34E1">
      <w:pPr>
        <w:widowControl/>
        <w:spacing w:before="0" w:after="120"/>
        <w:jc w:val="both"/>
        <w:rPr>
          <w:rFonts w:ascii="Arial" w:hAnsi="Arial" w:cs="Arial"/>
          <w:bCs/>
          <w:szCs w:val="21"/>
          <w:highlight w:val="yellow"/>
        </w:rPr>
      </w:pPr>
      <w:r w:rsidRPr="002875F7">
        <w:rPr>
          <w:rFonts w:ascii="Arial" w:hAnsi="Arial" w:cs="Arial"/>
          <w:bCs/>
          <w:szCs w:val="21"/>
        </w:rPr>
        <w:t>Il calcolo degli indici sintetici (per ogni livello di sintesi degli aggregati) avviene applicando la formula dell’indice a catena di Laspeyres; pertanto, gli indici mensili dell’anno corrente sono calcolati con riferimento al mese di dicembre dell’anno precedente (base di calcolo) e successivamente raccordati al periodo scelto come base di riferimento dell’indice per misurare la dinamica dei prezzi su un periodo di tempo pluriennale.</w:t>
      </w:r>
    </w:p>
    <w:p w14:paraId="7E7B5483" w14:textId="77777777" w:rsidR="00AB34E1" w:rsidRPr="003D05D4" w:rsidRDefault="00AB34E1" w:rsidP="00DD6312">
      <w:pPr>
        <w:tabs>
          <w:tab w:val="left" w:pos="10206"/>
        </w:tabs>
        <w:spacing w:before="0" w:after="120"/>
        <w:jc w:val="both"/>
        <w:rPr>
          <w:rFonts w:ascii="Arial" w:hAnsi="Arial" w:cs="Arial"/>
          <w:sz w:val="8"/>
          <w:szCs w:val="8"/>
        </w:rPr>
      </w:pPr>
    </w:p>
    <w:p w14:paraId="5C662B09" w14:textId="77777777" w:rsidR="00AB34E1" w:rsidRPr="00833545" w:rsidRDefault="00AB34E1" w:rsidP="00AB34E1">
      <w:pPr>
        <w:tabs>
          <w:tab w:val="left" w:pos="10206"/>
        </w:tabs>
        <w:spacing w:before="0" w:after="120"/>
        <w:jc w:val="both"/>
        <w:rPr>
          <w:rFonts w:ascii="Arial" w:hAnsi="Arial" w:cs="Arial"/>
          <w:b/>
          <w:sz w:val="22"/>
          <w:szCs w:val="22"/>
        </w:rPr>
      </w:pPr>
      <w:r w:rsidRPr="00833545">
        <w:rPr>
          <w:rFonts w:ascii="Arial" w:hAnsi="Arial" w:cs="Arial"/>
          <w:b/>
          <w:sz w:val="22"/>
          <w:szCs w:val="22"/>
        </w:rPr>
        <w:t>Classificazione degli indici dei prezzi al consumo</w:t>
      </w:r>
    </w:p>
    <w:p w14:paraId="7A72FDA0" w14:textId="2878ED4B" w:rsidR="005A6588" w:rsidRDefault="005A6588" w:rsidP="00AB34E1">
      <w:pPr>
        <w:widowControl/>
        <w:tabs>
          <w:tab w:val="left" w:pos="10206"/>
        </w:tabs>
        <w:overflowPunct/>
        <w:spacing w:before="0" w:after="120"/>
        <w:jc w:val="both"/>
        <w:rPr>
          <w:rFonts w:ascii="Arial" w:hAnsi="Arial" w:cs="Arial"/>
          <w:szCs w:val="21"/>
        </w:rPr>
      </w:pPr>
      <w:r w:rsidRPr="00CE32DE">
        <w:rPr>
          <w:rFonts w:ascii="Arial" w:hAnsi="Arial" w:cs="Arial"/>
          <w:szCs w:val="21"/>
        </w:rPr>
        <w:t xml:space="preserve">La classificazione adottata per gli indici dei prezzi al consumo è la </w:t>
      </w:r>
      <w:r w:rsidRPr="00CE32DE">
        <w:rPr>
          <w:rFonts w:ascii="Arial" w:hAnsi="Arial" w:cs="Arial"/>
          <w:i/>
          <w:szCs w:val="21"/>
        </w:rPr>
        <w:t xml:space="preserve">European </w:t>
      </w:r>
      <w:r w:rsidRPr="00CE32DE">
        <w:rPr>
          <w:rFonts w:ascii="Arial" w:hAnsi="Arial" w:cs="Arial"/>
          <w:i/>
          <w:iCs/>
          <w:szCs w:val="21"/>
        </w:rPr>
        <w:t>Classification of Individual Consumption by Purpose</w:t>
      </w:r>
      <w:r w:rsidRPr="00CE32DE">
        <w:rPr>
          <w:rFonts w:ascii="Arial" w:hAnsi="Arial" w:cs="Arial"/>
          <w:szCs w:val="21"/>
        </w:rPr>
        <w:t xml:space="preserve"> (ECOICOP</w:t>
      </w:r>
      <w:r>
        <w:rPr>
          <w:rFonts w:ascii="Arial" w:hAnsi="Arial" w:cs="Arial"/>
          <w:szCs w:val="21"/>
        </w:rPr>
        <w:t xml:space="preserve"> versione 2</w:t>
      </w:r>
      <w:r w:rsidRPr="00CE32DE">
        <w:rPr>
          <w:rFonts w:ascii="Arial" w:hAnsi="Arial" w:cs="Arial"/>
          <w:szCs w:val="21"/>
        </w:rPr>
        <w:t>), allegata al nuovo</w:t>
      </w:r>
      <w:r w:rsidRPr="00BE19B8">
        <w:rPr>
          <w:rFonts w:ascii="Arial" w:hAnsi="Arial" w:cs="Arial"/>
          <w:szCs w:val="21"/>
        </w:rPr>
        <w:t xml:space="preserve"> Regolamento quadro europeo degli indici dei prezzi al consumo armonizzati e dell’indice dei prezzi delle abitazioni (Reg.</w:t>
      </w:r>
      <w:r>
        <w:rPr>
          <w:rFonts w:ascii="Arial" w:hAnsi="Arial" w:cs="Arial"/>
          <w:szCs w:val="21"/>
        </w:rPr>
        <w:t xml:space="preserve"> (UE)</w:t>
      </w:r>
      <w:r w:rsidRPr="00BE19B8">
        <w:rPr>
          <w:rFonts w:ascii="Arial" w:hAnsi="Arial" w:cs="Arial"/>
          <w:szCs w:val="21"/>
        </w:rPr>
        <w:t xml:space="preserve"> n. 2016</w:t>
      </w:r>
      <w:r>
        <w:rPr>
          <w:rFonts w:ascii="Arial" w:hAnsi="Arial" w:cs="Arial"/>
          <w:szCs w:val="21"/>
        </w:rPr>
        <w:t xml:space="preserve">/792 del Paramento europeo e del Consiglio </w:t>
      </w:r>
      <w:r w:rsidRPr="00902DF1">
        <w:rPr>
          <w:rFonts w:ascii="Arial" w:hAnsi="Arial" w:cs="Arial"/>
          <w:szCs w:val="21"/>
        </w:rPr>
        <w:t>relativo agli indici dei prezzi al consumo armonizzati e all'indice dei prezzi delle abitazioni, e recante abrogazione del regolamento (CE) n. 2494/95 del Consiglio</w:t>
      </w:r>
      <w:r>
        <w:rPr>
          <w:rFonts w:ascii="Arial" w:hAnsi="Arial" w:cs="Arial"/>
          <w:szCs w:val="21"/>
        </w:rPr>
        <w:t xml:space="preserve">, </w:t>
      </w:r>
      <w:r w:rsidRPr="00567456">
        <w:rPr>
          <w:rFonts w:ascii="Arial" w:hAnsi="Arial" w:cs="Arial"/>
          <w:szCs w:val="21"/>
        </w:rPr>
        <w:t xml:space="preserve">così come modificato dal </w:t>
      </w:r>
      <w:r w:rsidRPr="005A6588">
        <w:rPr>
          <w:rFonts w:ascii="Arial" w:hAnsi="Arial" w:cs="Arial"/>
          <w:b/>
          <w:bCs/>
          <w:szCs w:val="21"/>
        </w:rPr>
        <w:t>Reg.(UE) 2024/3159</w:t>
      </w:r>
      <w:r w:rsidRPr="00567456">
        <w:rPr>
          <w:rFonts w:ascii="Arial" w:hAnsi="Arial" w:cs="Arial"/>
          <w:szCs w:val="21"/>
        </w:rPr>
        <w:t xml:space="preserve"> </w:t>
      </w:r>
      <w:r>
        <w:rPr>
          <w:rFonts w:ascii="Arial" w:hAnsi="Arial" w:cs="Arial"/>
          <w:szCs w:val="21"/>
        </w:rPr>
        <w:t>della Commissione</w:t>
      </w:r>
      <w:r w:rsidRPr="00567456">
        <w:rPr>
          <w:rFonts w:ascii="Arial" w:hAnsi="Arial" w:cs="Arial"/>
          <w:szCs w:val="21"/>
        </w:rPr>
        <w:t xml:space="preserve"> per quanto riguarda la classificazione dei consumi e l’inclusione di giochi, lotterie e scommesse</w:t>
      </w:r>
      <w:r w:rsidRPr="00BE19B8">
        <w:rPr>
          <w:rFonts w:ascii="Arial" w:hAnsi="Arial" w:cs="Arial"/>
          <w:szCs w:val="21"/>
        </w:rPr>
        <w:t>)</w:t>
      </w:r>
      <w:r>
        <w:rPr>
          <w:rFonts w:ascii="Arial" w:hAnsi="Arial" w:cs="Arial"/>
          <w:szCs w:val="21"/>
        </w:rPr>
        <w:t>.</w:t>
      </w:r>
    </w:p>
    <w:p w14:paraId="1CA7EC7B" w14:textId="34AE8698" w:rsidR="00AB34E1" w:rsidRPr="00747050" w:rsidRDefault="005A6588" w:rsidP="00AB34E1">
      <w:pPr>
        <w:widowControl/>
        <w:tabs>
          <w:tab w:val="left" w:pos="10206"/>
        </w:tabs>
        <w:overflowPunct/>
        <w:spacing w:before="0" w:after="120"/>
        <w:jc w:val="both"/>
        <w:rPr>
          <w:rFonts w:ascii="Arial" w:hAnsi="Arial" w:cs="Arial"/>
          <w:szCs w:val="21"/>
        </w:rPr>
      </w:pPr>
      <w:r>
        <w:rPr>
          <w:rFonts w:ascii="Arial" w:hAnsi="Arial" w:cs="Arial"/>
        </w:rPr>
        <w:t>La ECOICOP v2 è articolata su quattro livelli classificatori gerarchicamente ordinati</w:t>
      </w:r>
      <w:r>
        <w:rPr>
          <w:rFonts w:ascii="Arial" w:hAnsi="Arial" w:cs="Arial"/>
          <w:szCs w:val="21"/>
        </w:rPr>
        <w:t xml:space="preserve">: Divisioni, Gruppi, Classi e Sottoclassi. </w:t>
      </w:r>
      <w:r w:rsidR="00AB34E1" w:rsidRPr="00747050">
        <w:rPr>
          <w:rFonts w:ascii="Arial" w:hAnsi="Arial" w:cs="Arial"/>
          <w:szCs w:val="21"/>
        </w:rPr>
        <w:t>Ai fini del calcolo degli indici dei prezzi al consumo, le Sottoclassi di prodotto sono ulteriormente disaggregate in Segmenti di consumo.</w:t>
      </w:r>
    </w:p>
    <w:p w14:paraId="7127E8A6" w14:textId="77777777" w:rsidR="00AB34E1" w:rsidRPr="00747050" w:rsidRDefault="00AB34E1" w:rsidP="00AB34E1">
      <w:pPr>
        <w:widowControl/>
        <w:tabs>
          <w:tab w:val="left" w:pos="10206"/>
        </w:tabs>
        <w:overflowPunct/>
        <w:spacing w:before="0" w:after="120"/>
        <w:jc w:val="both"/>
        <w:rPr>
          <w:rFonts w:ascii="Arial" w:hAnsi="Arial" w:cs="Arial"/>
          <w:szCs w:val="21"/>
        </w:rPr>
      </w:pPr>
      <w:r w:rsidRPr="00747050">
        <w:rPr>
          <w:rFonts w:ascii="Arial" w:hAnsi="Arial" w:cs="Arial"/>
          <w:szCs w:val="21"/>
        </w:rPr>
        <w:t>In base alla struttura di classificazione degli indici e al dettaglio territoriale, gli indici NIC sono pubblicati fino al livello dei segmenti di consumo se riferiti all’intero territorio nazionale</w:t>
      </w:r>
      <w:r w:rsidRPr="00747050">
        <w:rPr>
          <w:rFonts w:ascii="Arial" w:hAnsi="Arial"/>
          <w:szCs w:val="21"/>
          <w:vertAlign w:val="superscript"/>
        </w:rPr>
        <w:footnoteReference w:id="6"/>
      </w:r>
      <w:r w:rsidRPr="00747050">
        <w:rPr>
          <w:rFonts w:ascii="Arial" w:hAnsi="Arial" w:cs="Arial"/>
          <w:szCs w:val="21"/>
        </w:rPr>
        <w:t xml:space="preserve">, fino a quello dei gruppi di prodotto se riferiti a ripartizione, regione e provincia. Gli indici FOI sono diffusi a livello nazionale e provinciale fino alle divisioni di spesa. </w:t>
      </w:r>
    </w:p>
    <w:p w14:paraId="23150A76" w14:textId="77777777" w:rsidR="00AB34E1" w:rsidRDefault="00AB34E1" w:rsidP="00AB34E1">
      <w:pPr>
        <w:widowControl/>
        <w:overflowPunct/>
        <w:spacing w:before="0" w:after="120"/>
        <w:jc w:val="both"/>
        <w:rPr>
          <w:rFonts w:ascii="Arial" w:hAnsi="Arial" w:cs="Arial"/>
        </w:rPr>
      </w:pPr>
      <w:r w:rsidRPr="00747050">
        <w:rPr>
          <w:rFonts w:ascii="Arial" w:hAnsi="Arial" w:cs="Arial"/>
        </w:rPr>
        <w:t>In aggiunta, sia con riferimento all’indice NIC sia all’IPCA, vengono calcolati indici dei prezzi basati su schemi classificatori alternativi alla classificazione ECOICOP, rispettivamente gli indici per tipologia di prodotto e quelli degli aggregati speciali (IPCA-AS). In particolare,</w:t>
      </w:r>
      <w:r w:rsidRPr="00747050">
        <w:rPr>
          <w:rFonts w:ascii="Arial" w:hAnsi="Arial" w:cs="Arial"/>
          <w:szCs w:val="21"/>
        </w:rPr>
        <w:t xml:space="preserve"> </w:t>
      </w:r>
      <w:r w:rsidRPr="00747050">
        <w:rPr>
          <w:rFonts w:ascii="Arial" w:hAnsi="Arial" w:cs="Arial"/>
        </w:rPr>
        <w:t xml:space="preserve">gli IPCA-AS sono elaborati adottando lo stesso metodo di calcolo </w:t>
      </w:r>
      <w:r w:rsidRPr="00747050">
        <w:rPr>
          <w:rFonts w:ascii="Arial" w:hAnsi="Arial" w:cs="Arial"/>
        </w:rPr>
        <w:lastRenderedPageBreak/>
        <w:t>utilizzato da Eurostat (diverso da quello adottato per le tipologie di prodotto del NIC), al fine di permettere la piena comparabilità tra gli indici italiani e quelli elaborati da Eurostat per l’Ue, la zona euro e gli altri Paesi europei</w:t>
      </w:r>
      <w:r w:rsidRPr="00747050">
        <w:rPr>
          <w:rFonts w:ascii="Arial" w:hAnsi="Arial"/>
          <w:vertAlign w:val="superscript"/>
        </w:rPr>
        <w:footnoteReference w:id="7"/>
      </w:r>
      <w:r w:rsidRPr="00747050">
        <w:rPr>
          <w:rFonts w:ascii="Arial" w:hAnsi="Arial" w:cs="Arial"/>
        </w:rPr>
        <w:t xml:space="preserve">. </w:t>
      </w:r>
    </w:p>
    <w:p w14:paraId="07113689" w14:textId="77777777" w:rsidR="00AB34E1" w:rsidRPr="00747050" w:rsidRDefault="00AB34E1" w:rsidP="00AB34E1">
      <w:pPr>
        <w:widowControl/>
        <w:overflowPunct/>
        <w:spacing w:before="0" w:after="120"/>
        <w:jc w:val="both"/>
        <w:rPr>
          <w:rFonts w:ascii="Arial" w:hAnsi="Arial" w:cs="Arial"/>
        </w:rPr>
      </w:pPr>
      <w:r w:rsidRPr="00747050">
        <w:rPr>
          <w:rFonts w:ascii="Arial" w:hAnsi="Arial" w:cs="Arial"/>
        </w:rPr>
        <w:t>Gli IPCA-AS a partire dai dati definitivi di gennaio 2019 sono calcolati aggregando gli indici delle sottoclassi della ECOICOP (in precedenza, per il computo di questi indicatori erano utilizzati gli indici delle classi). Per una migliore fruibilità dei nuovi indicatori, le serie degli aggregati speciali, secondo il nuovo schema, sono state ricostruite per il periodo gennaio 2017 - dicembre 2018.</w:t>
      </w:r>
    </w:p>
    <w:p w14:paraId="3A65C8C3" w14:textId="77777777" w:rsidR="00AB34E1" w:rsidRPr="003D05D4" w:rsidRDefault="00AB34E1" w:rsidP="00AB34E1">
      <w:pPr>
        <w:widowControl/>
        <w:tabs>
          <w:tab w:val="left" w:pos="10206"/>
        </w:tabs>
        <w:overflowPunct/>
        <w:spacing w:before="0" w:after="120"/>
        <w:jc w:val="both"/>
        <w:rPr>
          <w:rFonts w:ascii="Arial" w:hAnsi="Arial" w:cs="Arial"/>
        </w:rPr>
      </w:pPr>
    </w:p>
    <w:p w14:paraId="6DD3B402" w14:textId="77777777" w:rsidR="00AB34E1" w:rsidRPr="00833545" w:rsidRDefault="00AB34E1" w:rsidP="00AB34E1">
      <w:pPr>
        <w:pStyle w:val="Rientrocorpodeltesto"/>
        <w:spacing w:before="0"/>
        <w:ind w:left="0" w:hanging="1"/>
        <w:rPr>
          <w:rFonts w:ascii="Arial" w:hAnsi="Arial" w:cs="Arial"/>
          <w:b/>
          <w:bCs/>
          <w:szCs w:val="22"/>
        </w:rPr>
      </w:pPr>
      <w:r w:rsidRPr="00833545">
        <w:rPr>
          <w:rFonts w:ascii="Arial" w:hAnsi="Arial" w:cs="Arial"/>
          <w:b/>
          <w:bCs/>
          <w:szCs w:val="22"/>
        </w:rPr>
        <w:t>Rilevazione e calcolo degli indici dei prezzi dei prodotti stagionali</w:t>
      </w:r>
    </w:p>
    <w:p w14:paraId="6DADA264" w14:textId="77777777" w:rsidR="00AB34E1" w:rsidRPr="00747050" w:rsidRDefault="00AB34E1" w:rsidP="00AB34E1">
      <w:pPr>
        <w:spacing w:before="0" w:after="120"/>
        <w:jc w:val="both"/>
        <w:rPr>
          <w:rFonts w:ascii="Arial" w:hAnsi="Arial" w:cs="Arial"/>
        </w:rPr>
      </w:pPr>
      <w:r w:rsidRPr="00747050">
        <w:rPr>
          <w:rFonts w:ascii="Arial" w:hAnsi="Arial" w:cs="Arial"/>
        </w:rPr>
        <w:t xml:space="preserve">Dai dati di gennaio 2011 viene adottata la metodologia di rilevazione e calcolo degli indici dei prezzi dei prodotti stagionali, conforme alle norme previste prima dal Regolamento (CE) n. 330/2009 del 22 aprile 2009 e poi dal Regolamento di Esecuzione (UE) n. 2020/1148 della Commissione del 31 luglio 2020 (che ha abrogato il Regolamento 330/2009), per i prodotti stagionali appartenenti ai gruppi e classi di prodotto </w:t>
      </w:r>
      <w:r w:rsidRPr="00747050">
        <w:rPr>
          <w:rFonts w:ascii="Arial" w:hAnsi="Arial" w:cs="Arial"/>
          <w:i/>
        </w:rPr>
        <w:t>Frutta,</w:t>
      </w:r>
      <w:r w:rsidRPr="00747050">
        <w:rPr>
          <w:rFonts w:ascii="Arial" w:hAnsi="Arial" w:cs="Arial"/>
        </w:rPr>
        <w:t xml:space="preserve"> </w:t>
      </w:r>
      <w:r w:rsidRPr="00747050">
        <w:rPr>
          <w:rFonts w:ascii="Arial" w:hAnsi="Arial" w:cs="Arial"/>
          <w:i/>
        </w:rPr>
        <w:t>Vegetali</w:t>
      </w:r>
      <w:r w:rsidRPr="00747050">
        <w:rPr>
          <w:rFonts w:ascii="Arial" w:hAnsi="Arial" w:cs="Arial"/>
        </w:rPr>
        <w:t xml:space="preserve">, </w:t>
      </w:r>
      <w:r w:rsidRPr="00747050">
        <w:rPr>
          <w:rFonts w:ascii="Arial" w:hAnsi="Arial" w:cs="Arial"/>
          <w:i/>
        </w:rPr>
        <w:t>Abbigliamento e Calzature</w:t>
      </w:r>
      <w:r w:rsidRPr="00747050">
        <w:rPr>
          <w:rFonts w:ascii="Arial" w:hAnsi="Arial" w:cs="Arial"/>
        </w:rPr>
        <w:t>. La metodologia è adottata per i tre indici NIC, FOI e IPCA.</w:t>
      </w:r>
    </w:p>
    <w:p w14:paraId="393BC54C" w14:textId="77777777" w:rsidR="00AB34E1" w:rsidRPr="00747050" w:rsidRDefault="00AB34E1" w:rsidP="00AB34E1">
      <w:pPr>
        <w:spacing w:before="0" w:after="120"/>
        <w:jc w:val="both"/>
        <w:rPr>
          <w:rFonts w:ascii="Arial" w:hAnsi="Arial" w:cs="Arial"/>
        </w:rPr>
      </w:pPr>
      <w:r w:rsidRPr="00747050">
        <w:rPr>
          <w:rFonts w:ascii="Arial" w:hAnsi="Arial" w:cs="Arial"/>
        </w:rPr>
        <w:t xml:space="preserve">Secondo il citato Regolamento si definisce </w:t>
      </w:r>
      <w:r w:rsidRPr="00747050">
        <w:rPr>
          <w:rFonts w:ascii="Arial" w:hAnsi="Arial" w:cs="Arial"/>
          <w:i/>
        </w:rPr>
        <w:t>prodotto stagionale</w:t>
      </w:r>
      <w:r w:rsidRPr="00747050">
        <w:rPr>
          <w:rFonts w:ascii="Arial" w:hAnsi="Arial" w:cs="Arial"/>
        </w:rPr>
        <w:t xml:space="preserve"> un singolo prodotto acquistabile o acquistato in quantità significative solo durante una parte dell’anno secondo uno schema ricorrente. </w:t>
      </w:r>
    </w:p>
    <w:p w14:paraId="450CCEE6" w14:textId="77777777" w:rsidR="00AB34E1" w:rsidRPr="00747050" w:rsidRDefault="00AB34E1" w:rsidP="00AB34E1">
      <w:pPr>
        <w:pStyle w:val="Default"/>
        <w:spacing w:after="120"/>
        <w:jc w:val="both"/>
        <w:rPr>
          <w:rFonts w:ascii="Arial" w:hAnsi="Arial" w:cs="Arial"/>
          <w:sz w:val="20"/>
          <w:szCs w:val="20"/>
        </w:rPr>
      </w:pPr>
      <w:r w:rsidRPr="00747050">
        <w:rPr>
          <w:rFonts w:ascii="Arial" w:hAnsi="Arial" w:cs="Arial"/>
          <w:sz w:val="20"/>
          <w:szCs w:val="20"/>
        </w:rPr>
        <w:t>Il Regolamento stabilisce, inoltre, che, in un dato mese, i prodotti stagionali siano considerati “in stagione” o “fuori stagione”. Sulla base di tale norma, ogni anno, l’Istat provvede alla definizione del calendario mensile valido per tutto l’anno, che stabilisce in un dato mese quando ogni specifico prodotto, appartenente alle suddette categorie o ai suddetti gruppi, deve essere considerato “</w:t>
      </w:r>
      <w:r w:rsidRPr="00747050">
        <w:rPr>
          <w:rFonts w:ascii="Arial" w:hAnsi="Arial" w:cs="Arial"/>
          <w:i/>
          <w:sz w:val="20"/>
          <w:szCs w:val="20"/>
        </w:rPr>
        <w:t>in stagione”</w:t>
      </w:r>
      <w:r w:rsidRPr="00747050">
        <w:rPr>
          <w:rFonts w:ascii="Arial" w:hAnsi="Arial" w:cs="Arial"/>
          <w:sz w:val="20"/>
          <w:szCs w:val="20"/>
        </w:rPr>
        <w:t xml:space="preserve"> oppure “</w:t>
      </w:r>
      <w:r w:rsidRPr="00747050">
        <w:rPr>
          <w:rFonts w:ascii="Arial" w:hAnsi="Arial" w:cs="Arial"/>
          <w:i/>
          <w:sz w:val="20"/>
          <w:szCs w:val="20"/>
        </w:rPr>
        <w:t>fuori stagione”</w:t>
      </w:r>
      <w:r w:rsidRPr="00747050">
        <w:rPr>
          <w:rFonts w:ascii="Arial" w:hAnsi="Arial" w:cs="Arial"/>
          <w:sz w:val="20"/>
          <w:szCs w:val="20"/>
        </w:rPr>
        <w:t>. L’adozione di un calendario della stagionalità comporta che la rilevazione territoriale dei prezzi al consumo sia effettuata solo nei mesi in cui il prodotto in questione è definito “</w:t>
      </w:r>
      <w:r w:rsidRPr="00747050">
        <w:rPr>
          <w:rFonts w:ascii="Arial" w:hAnsi="Arial" w:cs="Arial"/>
          <w:i/>
          <w:sz w:val="20"/>
          <w:szCs w:val="20"/>
        </w:rPr>
        <w:t>in stagione</w:t>
      </w:r>
      <w:r w:rsidRPr="00747050">
        <w:rPr>
          <w:rFonts w:ascii="Arial" w:hAnsi="Arial" w:cs="Arial"/>
          <w:sz w:val="20"/>
          <w:szCs w:val="20"/>
        </w:rPr>
        <w:t>”, mentre i prezzi dei prodotti “</w:t>
      </w:r>
      <w:r w:rsidRPr="00747050">
        <w:rPr>
          <w:rFonts w:ascii="Arial" w:hAnsi="Arial" w:cs="Arial"/>
          <w:i/>
          <w:sz w:val="20"/>
          <w:szCs w:val="20"/>
        </w:rPr>
        <w:t>fuori stagione</w:t>
      </w:r>
      <w:r w:rsidRPr="00747050">
        <w:rPr>
          <w:rFonts w:ascii="Arial" w:hAnsi="Arial" w:cs="Arial"/>
          <w:sz w:val="20"/>
          <w:szCs w:val="20"/>
        </w:rPr>
        <w:t>” sono stimati sulla base di una metodologia coerente con le indicazioni contenute nel Regolamento europeo.</w:t>
      </w:r>
    </w:p>
    <w:p w14:paraId="176A22AD" w14:textId="77777777" w:rsidR="00AB34E1" w:rsidRPr="003D05D4" w:rsidRDefault="00AB34E1" w:rsidP="00AB34E1">
      <w:pPr>
        <w:pStyle w:val="Default"/>
        <w:spacing w:after="120"/>
        <w:jc w:val="both"/>
        <w:rPr>
          <w:rFonts w:ascii="Arial" w:hAnsi="Arial" w:cs="Arial"/>
          <w:sz w:val="20"/>
          <w:szCs w:val="20"/>
        </w:rPr>
      </w:pPr>
    </w:p>
    <w:p w14:paraId="5DC10782" w14:textId="77777777" w:rsidR="00AB34E1" w:rsidRPr="001D642A" w:rsidRDefault="00AB34E1" w:rsidP="00AB34E1">
      <w:pPr>
        <w:spacing w:before="0" w:after="120"/>
        <w:jc w:val="both"/>
        <w:rPr>
          <w:rFonts w:ascii="Arial" w:hAnsi="Arial" w:cs="Arial"/>
          <w:b/>
          <w:szCs w:val="22"/>
        </w:rPr>
      </w:pPr>
      <w:r w:rsidRPr="001D642A">
        <w:rPr>
          <w:rFonts w:ascii="Arial" w:hAnsi="Arial" w:cs="Arial"/>
          <w:b/>
          <w:szCs w:val="22"/>
        </w:rPr>
        <w:t>Stim</w:t>
      </w:r>
      <w:r>
        <w:rPr>
          <w:rFonts w:ascii="Arial" w:hAnsi="Arial" w:cs="Arial"/>
          <w:b/>
          <w:szCs w:val="22"/>
        </w:rPr>
        <w:t>a</w:t>
      </w:r>
      <w:r w:rsidRPr="001D642A">
        <w:rPr>
          <w:rFonts w:ascii="Arial" w:hAnsi="Arial" w:cs="Arial"/>
          <w:b/>
          <w:szCs w:val="22"/>
        </w:rPr>
        <w:t xml:space="preserve"> delle </w:t>
      </w:r>
      <w:r>
        <w:rPr>
          <w:rFonts w:ascii="Arial" w:hAnsi="Arial" w:cs="Arial"/>
          <w:b/>
          <w:szCs w:val="22"/>
        </w:rPr>
        <w:t>osservazioni</w:t>
      </w:r>
      <w:r w:rsidRPr="001D642A">
        <w:rPr>
          <w:rFonts w:ascii="Arial" w:hAnsi="Arial" w:cs="Arial"/>
          <w:b/>
          <w:szCs w:val="22"/>
        </w:rPr>
        <w:t xml:space="preserve"> </w:t>
      </w:r>
      <w:r>
        <w:rPr>
          <w:rFonts w:ascii="Arial" w:hAnsi="Arial" w:cs="Arial"/>
          <w:b/>
          <w:szCs w:val="22"/>
        </w:rPr>
        <w:t xml:space="preserve">mancanti </w:t>
      </w:r>
      <w:r w:rsidRPr="001D642A">
        <w:rPr>
          <w:rFonts w:ascii="Arial" w:hAnsi="Arial" w:cs="Arial"/>
          <w:b/>
          <w:szCs w:val="22"/>
        </w:rPr>
        <w:t>negli indici dei prezzi al consumo</w:t>
      </w:r>
    </w:p>
    <w:p w14:paraId="5149FD10" w14:textId="77777777" w:rsidR="00AB34E1" w:rsidRPr="002875F7" w:rsidRDefault="00AB34E1" w:rsidP="00AB34E1">
      <w:pPr>
        <w:pStyle w:val="Default"/>
        <w:spacing w:after="120"/>
        <w:jc w:val="both"/>
        <w:rPr>
          <w:rFonts w:ascii="Arial" w:hAnsi="Arial" w:cs="Arial"/>
          <w:sz w:val="20"/>
          <w:szCs w:val="20"/>
        </w:rPr>
      </w:pPr>
      <w:r w:rsidRPr="002875F7">
        <w:rPr>
          <w:rFonts w:ascii="Arial" w:hAnsi="Arial" w:cs="Arial"/>
          <w:sz w:val="20"/>
          <w:szCs w:val="20"/>
        </w:rPr>
        <w:t>Le procedure di imputazione delle osservazioni mancanti adottate dall’Istat per la stima dell’inflazione sono coerenti con l’impianto metodologico indicato da Eurostat e condiviso con gli Stati membri dell’Unione europea</w:t>
      </w:r>
      <w:r w:rsidRPr="002875F7">
        <w:rPr>
          <w:rStyle w:val="Rimandonotaapidipagina"/>
          <w:rFonts w:ascii="Arial" w:hAnsi="Arial"/>
          <w:sz w:val="20"/>
          <w:szCs w:val="20"/>
        </w:rPr>
        <w:footnoteReference w:id="8"/>
      </w:r>
      <w:r w:rsidRPr="002875F7">
        <w:rPr>
          <w:rFonts w:ascii="Arial" w:hAnsi="Arial" w:cs="Arial"/>
          <w:sz w:val="20"/>
          <w:szCs w:val="20"/>
        </w:rPr>
        <w:t xml:space="preserve">. </w:t>
      </w:r>
    </w:p>
    <w:p w14:paraId="1E7E2BCD" w14:textId="77777777" w:rsidR="00AB34E1" w:rsidRPr="002875F7" w:rsidRDefault="00AB34E1" w:rsidP="00AB34E1">
      <w:pPr>
        <w:pStyle w:val="Default"/>
        <w:spacing w:after="120"/>
        <w:jc w:val="both"/>
        <w:rPr>
          <w:rFonts w:ascii="Arial" w:hAnsi="Arial" w:cs="Arial"/>
          <w:sz w:val="20"/>
          <w:szCs w:val="20"/>
        </w:rPr>
      </w:pPr>
      <w:r w:rsidRPr="002875F7">
        <w:rPr>
          <w:rFonts w:ascii="Arial" w:hAnsi="Arial" w:cs="Arial"/>
          <w:sz w:val="20"/>
          <w:szCs w:val="20"/>
        </w:rPr>
        <w:t xml:space="preserve">Questo impianto, che riguarda tutti e tre gli indici (NIC, FOI e IPCA), si basa su tre principi: </w:t>
      </w:r>
    </w:p>
    <w:p w14:paraId="69631AE8" w14:textId="77777777" w:rsidR="00AB34E1" w:rsidRPr="002875F7" w:rsidRDefault="00AB34E1" w:rsidP="00AB34E1">
      <w:pPr>
        <w:pStyle w:val="Default"/>
        <w:spacing w:after="120"/>
        <w:ind w:left="284"/>
        <w:jc w:val="both"/>
        <w:rPr>
          <w:rFonts w:ascii="Arial" w:hAnsi="Arial" w:cs="Arial"/>
          <w:sz w:val="20"/>
          <w:szCs w:val="20"/>
        </w:rPr>
      </w:pPr>
      <w:r w:rsidRPr="002875F7">
        <w:rPr>
          <w:rFonts w:ascii="Arial" w:hAnsi="Arial" w:cs="Arial"/>
          <w:sz w:val="20"/>
          <w:szCs w:val="20"/>
        </w:rPr>
        <w:t>1.</w:t>
      </w:r>
      <w:r w:rsidRPr="002875F7">
        <w:rPr>
          <w:rFonts w:ascii="Arial" w:hAnsi="Arial" w:cs="Arial"/>
          <w:sz w:val="20"/>
          <w:szCs w:val="20"/>
        </w:rPr>
        <w:tab/>
        <w:t>stabilità dei pesi degli aggregati di prodotto che compongono il paniere,</w:t>
      </w:r>
    </w:p>
    <w:p w14:paraId="1A0C2268" w14:textId="77777777" w:rsidR="00AB34E1" w:rsidRPr="002875F7" w:rsidRDefault="00AB34E1" w:rsidP="00AB34E1">
      <w:pPr>
        <w:pStyle w:val="Default"/>
        <w:spacing w:after="120"/>
        <w:ind w:left="284"/>
        <w:jc w:val="both"/>
        <w:rPr>
          <w:rFonts w:ascii="Arial" w:hAnsi="Arial" w:cs="Arial"/>
          <w:sz w:val="20"/>
          <w:szCs w:val="20"/>
        </w:rPr>
      </w:pPr>
      <w:r w:rsidRPr="002875F7">
        <w:rPr>
          <w:rFonts w:ascii="Arial" w:hAnsi="Arial" w:cs="Arial"/>
          <w:sz w:val="20"/>
          <w:szCs w:val="20"/>
        </w:rPr>
        <w:t>2.</w:t>
      </w:r>
      <w:r w:rsidRPr="002875F7">
        <w:rPr>
          <w:rFonts w:ascii="Arial" w:hAnsi="Arial" w:cs="Arial"/>
          <w:sz w:val="20"/>
          <w:szCs w:val="20"/>
        </w:rPr>
        <w:tab/>
        <w:t>calcolo degli indici per tutti gli aggregati di prodotto e i diversi livelli di disaggregazione previsti dalla ECOICOP,</w:t>
      </w:r>
    </w:p>
    <w:p w14:paraId="5E90A760" w14:textId="77777777" w:rsidR="00AB34E1" w:rsidRPr="002875F7" w:rsidRDefault="00AB34E1" w:rsidP="00AB34E1">
      <w:pPr>
        <w:pStyle w:val="Default"/>
        <w:spacing w:after="120"/>
        <w:ind w:left="284"/>
        <w:jc w:val="both"/>
        <w:rPr>
          <w:rFonts w:ascii="Arial" w:hAnsi="Arial" w:cs="Arial"/>
          <w:sz w:val="20"/>
          <w:szCs w:val="20"/>
        </w:rPr>
      </w:pPr>
      <w:r w:rsidRPr="002875F7">
        <w:rPr>
          <w:rFonts w:ascii="Arial" w:hAnsi="Arial" w:cs="Arial"/>
          <w:sz w:val="20"/>
          <w:szCs w:val="20"/>
        </w:rPr>
        <w:t>3.</w:t>
      </w:r>
      <w:r w:rsidRPr="002875F7">
        <w:rPr>
          <w:rFonts w:ascii="Arial" w:hAnsi="Arial" w:cs="Arial"/>
          <w:sz w:val="20"/>
          <w:szCs w:val="20"/>
        </w:rPr>
        <w:tab/>
        <w:t>minimizzazione del numero di prezzi imputati</w:t>
      </w:r>
      <w:r w:rsidRPr="002875F7">
        <w:rPr>
          <w:rStyle w:val="Rimandonotaapidipagina"/>
          <w:rFonts w:ascii="Arial" w:hAnsi="Arial"/>
          <w:sz w:val="20"/>
          <w:szCs w:val="20"/>
        </w:rPr>
        <w:footnoteReference w:id="9"/>
      </w:r>
      <w:r w:rsidRPr="002875F7">
        <w:rPr>
          <w:rFonts w:ascii="Arial" w:hAnsi="Arial" w:cs="Arial"/>
          <w:sz w:val="20"/>
          <w:szCs w:val="20"/>
        </w:rPr>
        <w:t>.</w:t>
      </w:r>
    </w:p>
    <w:p w14:paraId="6E720588" w14:textId="77777777" w:rsidR="00AB34E1" w:rsidRPr="002875F7" w:rsidRDefault="00AB34E1" w:rsidP="00AB34E1">
      <w:pPr>
        <w:pStyle w:val="Default"/>
        <w:spacing w:after="120"/>
        <w:jc w:val="both"/>
        <w:rPr>
          <w:rFonts w:ascii="Arial" w:hAnsi="Arial" w:cs="Arial"/>
          <w:sz w:val="20"/>
          <w:szCs w:val="20"/>
        </w:rPr>
      </w:pPr>
      <w:r w:rsidRPr="002875F7">
        <w:rPr>
          <w:rFonts w:ascii="Arial" w:hAnsi="Arial" w:cs="Arial"/>
          <w:sz w:val="20"/>
          <w:szCs w:val="20"/>
        </w:rPr>
        <w:t xml:space="preserve">Le regole di imputazione si applicano sia ai casi in cui non è possibile rilevare il prezzo di un prodotto, sia ai casi nei quali l’assenza del prezzo deriva dalla sua indisponibilità nel mercato, e comportano l’applicazione di procedure di ricostruzione del prezzo mancante della referenza, basate prevalentemente sulla variazione del prezzo rispetto al mese precedente. </w:t>
      </w:r>
    </w:p>
    <w:p w14:paraId="274B35AF" w14:textId="77777777" w:rsidR="00AB34E1" w:rsidRPr="002875F7" w:rsidRDefault="00AB34E1" w:rsidP="00AB34E1">
      <w:pPr>
        <w:pStyle w:val="Default"/>
        <w:spacing w:after="120"/>
        <w:jc w:val="both"/>
        <w:rPr>
          <w:rFonts w:ascii="Arial" w:hAnsi="Arial" w:cs="Arial"/>
          <w:sz w:val="20"/>
          <w:szCs w:val="20"/>
        </w:rPr>
      </w:pPr>
      <w:r w:rsidRPr="002875F7">
        <w:rPr>
          <w:rFonts w:ascii="Arial" w:hAnsi="Arial" w:cs="Arial"/>
          <w:sz w:val="20"/>
          <w:szCs w:val="20"/>
        </w:rPr>
        <w:t xml:space="preserve">L’individuazione della variazione congiunturale più idonea per la procedura di imputazione non è univocamente determinata, ma dipende da diversi fattori (tra i quali la quota di mancate rilevazioni per prodotto, la sua posizione nella struttura gerarchica, il suo grado di volatilità mensile e il carattere stagionale della dinamica dei prezzi). </w:t>
      </w:r>
    </w:p>
    <w:p w14:paraId="6EC15A63" w14:textId="77777777" w:rsidR="004468ED" w:rsidRDefault="004468ED" w:rsidP="00AB34E1">
      <w:pPr>
        <w:pStyle w:val="Default"/>
        <w:spacing w:after="120"/>
        <w:jc w:val="both"/>
        <w:rPr>
          <w:rFonts w:ascii="Arial" w:hAnsi="Arial" w:cs="Arial"/>
          <w:sz w:val="20"/>
          <w:szCs w:val="20"/>
        </w:rPr>
      </w:pPr>
    </w:p>
    <w:p w14:paraId="0B57370B" w14:textId="05718328" w:rsidR="00AB34E1" w:rsidRPr="002875F7" w:rsidRDefault="00AB34E1" w:rsidP="00AB34E1">
      <w:pPr>
        <w:pStyle w:val="Default"/>
        <w:spacing w:after="120"/>
        <w:jc w:val="both"/>
        <w:rPr>
          <w:rFonts w:ascii="Arial" w:hAnsi="Arial" w:cs="Arial"/>
          <w:sz w:val="20"/>
          <w:szCs w:val="20"/>
        </w:rPr>
      </w:pPr>
      <w:r w:rsidRPr="002875F7">
        <w:rPr>
          <w:rFonts w:ascii="Arial" w:hAnsi="Arial" w:cs="Arial"/>
          <w:sz w:val="20"/>
          <w:szCs w:val="20"/>
        </w:rPr>
        <w:lastRenderedPageBreak/>
        <w:t>Le regole di imputazione delle mancate rilevazioni dei prezzi applicate ai prodotti delle diverse categorie merceologiche, sono di seguito elencate:</w:t>
      </w:r>
    </w:p>
    <w:p w14:paraId="2BE76AE0" w14:textId="77777777" w:rsidR="00AB34E1" w:rsidRPr="002875F7" w:rsidRDefault="00AB34E1" w:rsidP="00322EA8">
      <w:pPr>
        <w:pStyle w:val="Default"/>
        <w:numPr>
          <w:ilvl w:val="0"/>
          <w:numId w:val="5"/>
        </w:numPr>
        <w:ind w:left="567" w:hanging="357"/>
        <w:jc w:val="both"/>
        <w:rPr>
          <w:rFonts w:ascii="Arial" w:hAnsi="Arial" w:cs="Arial"/>
          <w:sz w:val="20"/>
          <w:szCs w:val="20"/>
        </w:rPr>
      </w:pPr>
      <w:r w:rsidRPr="002875F7">
        <w:rPr>
          <w:rFonts w:ascii="Arial" w:hAnsi="Arial" w:cs="Arial"/>
          <w:sz w:val="20"/>
          <w:szCs w:val="20"/>
        </w:rPr>
        <w:t>Per i prodotti grocery rilevati tramite scanner data, nell’ambito dell’approccio dinamico utilizzato per il calcolo degli indici e in accordo con le linee guida dell’Eurostat, i prezzi delle referenze (GTIN) temporaneamente assenti (per cause stagionali o accidentali) vengono imputati per un massimo di 14 mesi consecutivi.</w:t>
      </w:r>
    </w:p>
    <w:p w14:paraId="4757E230" w14:textId="77777777" w:rsidR="00AB34E1" w:rsidRPr="002875F7" w:rsidRDefault="00AB34E1" w:rsidP="00322EA8">
      <w:pPr>
        <w:pStyle w:val="Default"/>
        <w:spacing w:before="120"/>
        <w:ind w:left="567" w:hanging="357"/>
        <w:jc w:val="both"/>
        <w:rPr>
          <w:rFonts w:ascii="Arial" w:hAnsi="Arial" w:cs="Arial"/>
          <w:sz w:val="20"/>
          <w:szCs w:val="20"/>
        </w:rPr>
      </w:pPr>
      <w:r w:rsidRPr="002875F7">
        <w:rPr>
          <w:rFonts w:ascii="Arial" w:hAnsi="Arial" w:cs="Arial"/>
          <w:sz w:val="20"/>
          <w:szCs w:val="20"/>
        </w:rPr>
        <w:t>In particolare, qualora i prezzi mensili di alcune referenze di un determinato aggregato di prodotto risultino mancanti (come nel caso di assenza di vendite di un prodotto), essi vengono imputati per variazione, utilizzando il tasso di crescita su base mensile delle altre referenze, tenendo conto delle regole di aggregazione, per step successivi, adottate per la sintesi degli indici</w:t>
      </w:r>
      <w:r w:rsidRPr="002875F7">
        <w:rPr>
          <w:rStyle w:val="Rimandonotaapidipagina"/>
          <w:rFonts w:ascii="Arial" w:hAnsi="Arial"/>
          <w:sz w:val="20"/>
          <w:szCs w:val="20"/>
        </w:rPr>
        <w:footnoteReference w:id="10"/>
      </w:r>
      <w:r w:rsidRPr="002875F7">
        <w:rPr>
          <w:rFonts w:ascii="Arial" w:hAnsi="Arial" w:cs="Arial"/>
          <w:sz w:val="20"/>
          <w:szCs w:val="20"/>
        </w:rPr>
        <w:t xml:space="preserve">. </w:t>
      </w:r>
    </w:p>
    <w:p w14:paraId="118D1698" w14:textId="77777777" w:rsidR="00AB34E1" w:rsidRPr="002875F7" w:rsidRDefault="00AB34E1" w:rsidP="00322EA8">
      <w:pPr>
        <w:pStyle w:val="Default"/>
        <w:spacing w:before="120"/>
        <w:ind w:left="567" w:hanging="357"/>
        <w:jc w:val="both"/>
        <w:rPr>
          <w:rFonts w:ascii="Arial" w:hAnsi="Arial" w:cs="Arial"/>
          <w:sz w:val="20"/>
          <w:szCs w:val="20"/>
        </w:rPr>
      </w:pPr>
      <w:r w:rsidRPr="002875F7">
        <w:rPr>
          <w:rFonts w:ascii="Arial" w:hAnsi="Arial" w:cs="Arial"/>
          <w:sz w:val="20"/>
          <w:szCs w:val="20"/>
        </w:rPr>
        <w:t>Più in dettaglio, i prezzi mancanti vengono imputati all’interno di ciascun punto vendita stimando l’evoluzione dei prezzi dei GTIN effettivamente venduti nel mercato ECR cui il GTIN mancante appartiene. Per i GTIN che non trovano donatori all’interno del mercato ECR si considera lo strato cui appartiene il punto vendita e i prezzi mancanti vengono stimati seguendo l’evoluzione dei prezzi dello stesso mercato nello strato. Qualora non esistano donatori la procedura di stima sale di livello (provincia/aggregato di prodotto) fino ad imputare tutti i prezzi delle referenze mancanti. La metodologia implementata garantisce che la variazione degli aggregati di prodotto tenga conto delle sole informazioni effettivamente disponibili (l’imputazione è neutrale rispetto all’aggregazione).</w:t>
      </w:r>
    </w:p>
    <w:p w14:paraId="6CA87FCF" w14:textId="77777777" w:rsidR="00AB34E1" w:rsidRPr="002875F7" w:rsidRDefault="00AB34E1" w:rsidP="00322EA8">
      <w:pPr>
        <w:pStyle w:val="Default"/>
        <w:spacing w:before="120"/>
        <w:ind w:left="567" w:hanging="357"/>
        <w:jc w:val="both"/>
        <w:rPr>
          <w:rFonts w:ascii="Arial" w:hAnsi="Arial" w:cs="Arial"/>
          <w:sz w:val="20"/>
          <w:szCs w:val="20"/>
        </w:rPr>
      </w:pPr>
      <w:r w:rsidRPr="002875F7">
        <w:rPr>
          <w:rFonts w:ascii="Arial" w:hAnsi="Arial" w:cs="Arial"/>
          <w:sz w:val="20"/>
          <w:szCs w:val="20"/>
        </w:rPr>
        <w:t>Le stesse regole di imputazione valgono nel caso in cui l’indisponibilità delle informazioni è dovuta alla chiusura del punto vendita. In tal caso vengono imputati i prezzi di tutte le corrispondenti referenze.</w:t>
      </w:r>
    </w:p>
    <w:p w14:paraId="173C2A0E" w14:textId="77777777" w:rsidR="00AB34E1" w:rsidRPr="002875F7" w:rsidRDefault="00AB34E1" w:rsidP="00322EA8">
      <w:pPr>
        <w:pStyle w:val="Default"/>
        <w:numPr>
          <w:ilvl w:val="0"/>
          <w:numId w:val="5"/>
        </w:numPr>
        <w:spacing w:before="120" w:after="120"/>
        <w:ind w:left="567" w:hanging="357"/>
        <w:jc w:val="both"/>
        <w:rPr>
          <w:rFonts w:ascii="Arial" w:hAnsi="Arial" w:cs="Arial"/>
          <w:sz w:val="20"/>
          <w:szCs w:val="20"/>
        </w:rPr>
      </w:pPr>
      <w:r w:rsidRPr="002875F7">
        <w:rPr>
          <w:rFonts w:ascii="Arial" w:hAnsi="Arial" w:cs="Arial"/>
          <w:sz w:val="20"/>
          <w:szCs w:val="20"/>
        </w:rPr>
        <w:t>Nel settore dell’abbigliamento e calzature e per i prodotti alimentari freschi, quali frutta e vegetali freschi, per i quali è prevista la rilevazione bimensile, nel caso in cui non siano disponibili i prezzi per entrambe le date di rilevazione, le mancate risposte sono imputate per variazione dei prezzi delle referenze che sono state rilevate per lo stesso prodotto nel capoluogo di provincia, oppure nella regione o a livello nazionale, applicando le consuete procedure per la stima dei prezzi dei prodotti stagionali.</w:t>
      </w:r>
    </w:p>
    <w:p w14:paraId="7A260651" w14:textId="77777777" w:rsidR="00AB34E1" w:rsidRPr="002875F7" w:rsidRDefault="00AB34E1" w:rsidP="00322EA8">
      <w:pPr>
        <w:pStyle w:val="Default"/>
        <w:numPr>
          <w:ilvl w:val="0"/>
          <w:numId w:val="5"/>
        </w:numPr>
        <w:spacing w:after="120"/>
        <w:ind w:left="567" w:hanging="357"/>
        <w:jc w:val="both"/>
        <w:rPr>
          <w:rFonts w:ascii="Arial" w:hAnsi="Arial" w:cs="Arial"/>
          <w:sz w:val="20"/>
          <w:szCs w:val="20"/>
        </w:rPr>
      </w:pPr>
      <w:r w:rsidRPr="002875F7">
        <w:rPr>
          <w:rFonts w:ascii="Arial" w:hAnsi="Arial" w:cs="Arial"/>
          <w:sz w:val="20"/>
          <w:szCs w:val="20"/>
        </w:rPr>
        <w:t>Per la stima dei prezzi dei prodotti alimentari freschi (per i quali è prevista la rilevazione mensile), dei prodotti ittici freschi (per i quali è prevista la rilevazione bimensile, nel caso in cui non siano disponibili i prezzi per entrambe le date di rilevazione), le mancate risposte sono imputate per variazione dei prezzi delle referenze rilevate per lo stesso prodotto nel capoluogo di provincia, oppure nella regione o a livello nazionale.</w:t>
      </w:r>
    </w:p>
    <w:p w14:paraId="1FCD4A36" w14:textId="77777777" w:rsidR="00AB34E1" w:rsidRPr="002875F7" w:rsidRDefault="00AB34E1" w:rsidP="00322EA8">
      <w:pPr>
        <w:pStyle w:val="Default"/>
        <w:numPr>
          <w:ilvl w:val="0"/>
          <w:numId w:val="5"/>
        </w:numPr>
        <w:spacing w:after="120"/>
        <w:ind w:left="567" w:hanging="357"/>
        <w:jc w:val="both"/>
        <w:rPr>
          <w:rFonts w:ascii="Arial" w:hAnsi="Arial" w:cs="Arial"/>
          <w:sz w:val="20"/>
          <w:szCs w:val="20"/>
        </w:rPr>
      </w:pPr>
      <w:r w:rsidRPr="000753A7">
        <w:rPr>
          <w:rFonts w:ascii="Arial" w:hAnsi="Arial" w:cs="Arial"/>
          <w:sz w:val="20"/>
          <w:szCs w:val="20"/>
        </w:rPr>
        <w:t>Per i prodotti dei servizi ricettivi, quali camera d’albergo e bed and breakfast le mancate risposte sono imputate utilizzando la variazione congiunturale dei prezzi rilevati nelle strutture ricettive della provincia per la stessa categoria per gli alberghi, oppure nello stesso aggregato; se invece il numero di osservazioni disponibili nel mese di riferimento dei dati non lo consente, il dato mancante viene imputato utilizzando la variazione congiunturale osservata nella provincia nello stesso mese dell’anno precedente, al fine di preservare la dinamica stagionale dell’aggregato</w:t>
      </w:r>
      <w:r w:rsidRPr="002875F7">
        <w:rPr>
          <w:rFonts w:ascii="Arial" w:hAnsi="Arial" w:cs="Arial"/>
          <w:sz w:val="20"/>
          <w:szCs w:val="20"/>
        </w:rPr>
        <w:t>.</w:t>
      </w:r>
    </w:p>
    <w:p w14:paraId="21A4CBF7" w14:textId="77777777" w:rsidR="00AB34E1" w:rsidRPr="002875F7" w:rsidRDefault="00AB34E1" w:rsidP="00322EA8">
      <w:pPr>
        <w:pStyle w:val="Default"/>
        <w:numPr>
          <w:ilvl w:val="0"/>
          <w:numId w:val="5"/>
        </w:numPr>
        <w:spacing w:after="120"/>
        <w:ind w:left="567" w:hanging="357"/>
        <w:jc w:val="both"/>
        <w:rPr>
          <w:rFonts w:ascii="Arial" w:hAnsi="Arial" w:cs="Arial"/>
          <w:sz w:val="20"/>
          <w:szCs w:val="20"/>
        </w:rPr>
      </w:pPr>
      <w:r w:rsidRPr="002875F7">
        <w:rPr>
          <w:rFonts w:ascii="Arial" w:hAnsi="Arial" w:cs="Arial"/>
          <w:sz w:val="20"/>
          <w:szCs w:val="20"/>
        </w:rPr>
        <w:t xml:space="preserve">Per i prezzi dei prodotti di arredamento e dei prodotti per la casa si applica il metodo del </w:t>
      </w:r>
      <w:r w:rsidRPr="002875F7">
        <w:rPr>
          <w:rFonts w:ascii="Arial" w:hAnsi="Arial" w:cs="Arial"/>
          <w:i/>
          <w:sz w:val="20"/>
          <w:szCs w:val="20"/>
        </w:rPr>
        <w:t>carry forward</w:t>
      </w:r>
      <w:r w:rsidRPr="002875F7">
        <w:rPr>
          <w:rFonts w:ascii="Arial" w:hAnsi="Arial" w:cs="Arial"/>
          <w:sz w:val="20"/>
          <w:szCs w:val="20"/>
        </w:rPr>
        <w:t xml:space="preserve"> (ripetizione del prezzo del mese precedente), data la limitata variabilità temporale dei prezzi di questa categoria di prodotti.</w:t>
      </w:r>
    </w:p>
    <w:p w14:paraId="4A318E1C" w14:textId="77777777" w:rsidR="00AB34E1" w:rsidRPr="002875F7" w:rsidRDefault="00AB34E1" w:rsidP="00322EA8">
      <w:pPr>
        <w:pStyle w:val="Default"/>
        <w:numPr>
          <w:ilvl w:val="0"/>
          <w:numId w:val="5"/>
        </w:numPr>
        <w:spacing w:after="120"/>
        <w:ind w:left="567" w:hanging="357"/>
        <w:jc w:val="both"/>
        <w:rPr>
          <w:rFonts w:ascii="Arial" w:hAnsi="Arial" w:cs="Arial"/>
          <w:sz w:val="20"/>
          <w:szCs w:val="20"/>
        </w:rPr>
      </w:pPr>
      <w:r w:rsidRPr="002875F7">
        <w:rPr>
          <w:rFonts w:ascii="Arial" w:hAnsi="Arial" w:cs="Arial"/>
          <w:sz w:val="20"/>
          <w:szCs w:val="20"/>
        </w:rPr>
        <w:t xml:space="preserve">Analogamente il metodo del </w:t>
      </w:r>
      <w:r w:rsidRPr="002875F7">
        <w:rPr>
          <w:rFonts w:ascii="Arial" w:hAnsi="Arial" w:cs="Arial"/>
          <w:i/>
          <w:sz w:val="20"/>
          <w:szCs w:val="20"/>
        </w:rPr>
        <w:t>carry forward</w:t>
      </w:r>
      <w:r w:rsidRPr="002875F7">
        <w:rPr>
          <w:rFonts w:ascii="Arial" w:hAnsi="Arial" w:cs="Arial"/>
          <w:sz w:val="20"/>
          <w:szCs w:val="20"/>
        </w:rPr>
        <w:t xml:space="preserve"> viene adottato per i prezzi dei servizi di ristorazione e dei servizi culturali e di intrattenimento.</w:t>
      </w:r>
    </w:p>
    <w:p w14:paraId="6A2597AB" w14:textId="77777777" w:rsidR="00AB34E1" w:rsidRDefault="00AB34E1" w:rsidP="00322EA8">
      <w:pPr>
        <w:pStyle w:val="Default"/>
        <w:numPr>
          <w:ilvl w:val="0"/>
          <w:numId w:val="5"/>
        </w:numPr>
        <w:spacing w:after="120"/>
        <w:ind w:left="567" w:hanging="357"/>
        <w:jc w:val="both"/>
        <w:rPr>
          <w:rFonts w:ascii="Arial" w:hAnsi="Arial" w:cs="Arial"/>
          <w:sz w:val="20"/>
          <w:szCs w:val="20"/>
        </w:rPr>
      </w:pPr>
      <w:r w:rsidRPr="002875F7">
        <w:rPr>
          <w:rFonts w:ascii="Arial" w:hAnsi="Arial" w:cs="Arial"/>
          <w:sz w:val="20"/>
          <w:szCs w:val="20"/>
        </w:rPr>
        <w:t>Per i prodotti rilevati centralmente dall’Istat ogni quotazione mancante viene stimata utilizzando la variazione congiunturale degli indici che appartengono allo stesso strato; qualora i prezzi di uno strato risultino completamente assenti, la procedura di stima è basata sulla variazione degli indici di strato superiori.</w:t>
      </w:r>
    </w:p>
    <w:p w14:paraId="3F38709C" w14:textId="77777777" w:rsidR="00AB34E1" w:rsidRPr="00BC2BB0" w:rsidRDefault="00AB34E1" w:rsidP="00322EA8">
      <w:pPr>
        <w:pStyle w:val="Default"/>
        <w:numPr>
          <w:ilvl w:val="0"/>
          <w:numId w:val="5"/>
        </w:numPr>
        <w:spacing w:after="120"/>
        <w:ind w:left="567" w:hanging="357"/>
        <w:jc w:val="both"/>
        <w:rPr>
          <w:rFonts w:ascii="Arial" w:hAnsi="Arial" w:cs="Arial"/>
          <w:sz w:val="20"/>
          <w:szCs w:val="20"/>
        </w:rPr>
      </w:pPr>
      <w:r w:rsidRPr="00BC2BB0">
        <w:rPr>
          <w:rFonts w:ascii="Arial" w:hAnsi="Arial" w:cs="Arial"/>
          <w:sz w:val="20"/>
          <w:szCs w:val="20"/>
        </w:rPr>
        <w:t>Per i prodotti indisponibili alla fruizione da parte delle famiglie (come accaduto nei periodi di lockdown durante la pandemia causata dal Covid-19) e che presentano un chiaro profilo stagionale, viene utilizzata la variazione dell’indice generale calcolata al netto di questi stessi prodotti.</w:t>
      </w:r>
    </w:p>
    <w:p w14:paraId="5F975FD9" w14:textId="77777777" w:rsidR="00DD3CBF" w:rsidRDefault="00AB34E1" w:rsidP="00AB34E1">
      <w:pPr>
        <w:pStyle w:val="Default"/>
        <w:spacing w:after="120"/>
        <w:jc w:val="both"/>
        <w:rPr>
          <w:rFonts w:ascii="Arial" w:hAnsi="Arial" w:cs="Arial"/>
          <w:sz w:val="20"/>
          <w:szCs w:val="20"/>
        </w:rPr>
      </w:pPr>
      <w:r w:rsidRPr="002875F7">
        <w:rPr>
          <w:rFonts w:ascii="Arial" w:hAnsi="Arial" w:cs="Arial"/>
          <w:sz w:val="20"/>
          <w:szCs w:val="20"/>
        </w:rPr>
        <w:t>Gli indici ai diversi livelli di aggregazione qualora abbiano una quota di imputazioni superiore al 50% (in termini di prezzi mancanti e/o di peso) sono segnalate, sulla base delle indicazioni di Eurostat, mediante l’utilizzo del flag “i” (dato imputato) sia nelle tabelle del Comunicato stampa, sia su I</w:t>
      </w:r>
      <w:r>
        <w:rPr>
          <w:rFonts w:ascii="Arial" w:hAnsi="Arial" w:cs="Arial"/>
          <w:sz w:val="20"/>
          <w:szCs w:val="20"/>
        </w:rPr>
        <w:t>stat.Data</w:t>
      </w:r>
      <w:r w:rsidRPr="002875F7">
        <w:rPr>
          <w:rFonts w:ascii="Arial" w:hAnsi="Arial" w:cs="Arial"/>
          <w:sz w:val="20"/>
          <w:szCs w:val="20"/>
        </w:rPr>
        <w:t xml:space="preserve"> e nelle altre pubblicazioni. </w:t>
      </w:r>
    </w:p>
    <w:p w14:paraId="7344E351" w14:textId="2425F792" w:rsidR="00AB34E1" w:rsidRPr="002875F7" w:rsidRDefault="00AB34E1" w:rsidP="00AB34E1">
      <w:pPr>
        <w:pStyle w:val="Default"/>
        <w:spacing w:after="120"/>
        <w:jc w:val="both"/>
        <w:rPr>
          <w:rFonts w:ascii="Arial" w:hAnsi="Arial" w:cs="Arial"/>
          <w:sz w:val="20"/>
          <w:szCs w:val="20"/>
        </w:rPr>
      </w:pPr>
      <w:r w:rsidRPr="002875F7">
        <w:rPr>
          <w:rFonts w:ascii="Arial" w:hAnsi="Arial" w:cs="Arial"/>
          <w:sz w:val="20"/>
          <w:szCs w:val="20"/>
        </w:rPr>
        <w:t>Per quanto riguarda gli indici diffusi su Rivaluta, in occasione del rilascio dei dati definitivi, quelli che presentano una quota di imputazioni superiore al 50% (in termini di prezzi mancanti e/o di peso) non sono resi disponibili.</w:t>
      </w:r>
    </w:p>
    <w:p w14:paraId="6908E0A6" w14:textId="77777777" w:rsidR="003D05D4" w:rsidRDefault="003D05D4" w:rsidP="00AB34E1">
      <w:pPr>
        <w:spacing w:before="0" w:after="120"/>
        <w:jc w:val="both"/>
        <w:rPr>
          <w:rFonts w:ascii="Arial" w:hAnsi="Arial" w:cs="Arial"/>
          <w:b/>
          <w:sz w:val="22"/>
          <w:szCs w:val="22"/>
        </w:rPr>
      </w:pPr>
    </w:p>
    <w:p w14:paraId="6468AF60" w14:textId="7F1523BC" w:rsidR="00AB34E1" w:rsidRPr="001D642A" w:rsidRDefault="00AB34E1" w:rsidP="00AB34E1">
      <w:pPr>
        <w:spacing w:before="0" w:after="120"/>
        <w:jc w:val="both"/>
        <w:rPr>
          <w:rFonts w:ascii="Arial" w:hAnsi="Arial" w:cs="Arial"/>
          <w:b/>
          <w:sz w:val="22"/>
          <w:szCs w:val="22"/>
        </w:rPr>
      </w:pPr>
      <w:r w:rsidRPr="001D642A">
        <w:rPr>
          <w:rFonts w:ascii="Arial" w:hAnsi="Arial" w:cs="Arial"/>
          <w:b/>
          <w:sz w:val="22"/>
          <w:szCs w:val="22"/>
        </w:rPr>
        <w:t>Stima preliminare degli indici dei prezzi al consumo IPCA: accuratezza e metodologia di calcolo</w:t>
      </w:r>
    </w:p>
    <w:p w14:paraId="1F1CD470" w14:textId="77777777" w:rsidR="00AB34E1" w:rsidRPr="002875F7" w:rsidRDefault="00AB34E1" w:rsidP="00AB34E1">
      <w:pPr>
        <w:widowControl/>
        <w:overflowPunct/>
        <w:spacing w:before="0" w:after="60"/>
        <w:jc w:val="both"/>
        <w:rPr>
          <w:rFonts w:ascii="Arial" w:hAnsi="Arial" w:cs="Arial"/>
          <w:kern w:val="0"/>
        </w:rPr>
      </w:pPr>
      <w:r w:rsidRPr="002875F7">
        <w:rPr>
          <w:rFonts w:ascii="Arial" w:hAnsi="Arial" w:cs="Arial"/>
          <w:kern w:val="0"/>
        </w:rPr>
        <w:t xml:space="preserve">La diffusione degli indici dei prezzi al consumo avviene in due successivi istanti temporali secondo una diversa modalità di rilascio dei dati: prima come stima provvisoria, poi come stima definitiva. La diffusione della stima provvisoria degli indici IPCA (e degli indici NIC) avviene alla fine del mese di riferimento nel rispetto del calendario Eurostat di diffusione della stima anticipata dell’inflazione nell’area euro. Il rilascio dei dati definitivi avviene intorno alla metà del mese successivo a quello di riferimento. </w:t>
      </w:r>
    </w:p>
    <w:p w14:paraId="300E8902" w14:textId="77777777" w:rsidR="00AB34E1" w:rsidRPr="002875F7" w:rsidRDefault="00AB34E1" w:rsidP="00AB34E1">
      <w:pPr>
        <w:spacing w:before="0" w:after="60"/>
        <w:jc w:val="both"/>
        <w:rPr>
          <w:rFonts w:ascii="Arial" w:hAnsi="Arial" w:cs="Arial"/>
        </w:rPr>
      </w:pPr>
      <w:r w:rsidRPr="002875F7">
        <w:rPr>
          <w:rFonts w:ascii="Arial" w:hAnsi="Arial" w:cs="Arial"/>
        </w:rPr>
        <w:t>La finalità della diffusione dei dati provvisori, sia dell’indice IPCA sia dall’indice NIC, è quella di fornire informazioni più tempestive sull’andamento dei prezzi al consumo, stimando nel modo più accurato possibile il dato definitivo dell’inflazione rilasciato circa due settimane dopo. In questo contesto, l’analisi delle revisioni delle stime provvisorie dei tassi tendenziali rappresenta un importante strumento per valutare il corretto bilanciamento tra le due dimensioni della qualità dei dati, tempestività e accuratezza.</w:t>
      </w:r>
    </w:p>
    <w:p w14:paraId="38AACDAC" w14:textId="77777777" w:rsidR="00AB34E1" w:rsidRPr="002875F7" w:rsidRDefault="00AB34E1" w:rsidP="00AB34E1">
      <w:pPr>
        <w:spacing w:before="0" w:after="60"/>
        <w:jc w:val="both"/>
        <w:rPr>
          <w:rFonts w:ascii="Arial" w:hAnsi="Arial" w:cs="Arial"/>
          <w:szCs w:val="21"/>
        </w:rPr>
      </w:pPr>
      <w:r w:rsidRPr="002875F7">
        <w:rPr>
          <w:rFonts w:ascii="Arial" w:hAnsi="Arial" w:cs="Arial"/>
        </w:rPr>
        <w:t>In linea con la politica di diffusione di Eurostat, che pubblica mensilmente una nota sull’accuratezza della stima anticipata dell’inflazione per l’area euro, questa sezione è dedicata all’</w:t>
      </w:r>
      <w:r w:rsidRPr="002875F7">
        <w:rPr>
          <w:rFonts w:ascii="Arial" w:hAnsi="Arial" w:cs="Arial"/>
          <w:szCs w:val="21"/>
        </w:rPr>
        <w:t>analisi dell’accuratezza e alla metodologia utilizzata per il calcolo della stima preliminare dell’indice IPCA.</w:t>
      </w:r>
    </w:p>
    <w:p w14:paraId="4E6EDEFC" w14:textId="77777777" w:rsidR="0001150C" w:rsidRPr="004139E7" w:rsidRDefault="0001150C" w:rsidP="0001150C">
      <w:pPr>
        <w:spacing w:before="0" w:after="120"/>
        <w:jc w:val="both"/>
        <w:rPr>
          <w:rFonts w:ascii="Arial" w:hAnsi="Arial" w:cs="Arial"/>
          <w:sz w:val="16"/>
          <w:szCs w:val="16"/>
        </w:rPr>
      </w:pPr>
    </w:p>
    <w:p w14:paraId="0E6D48DC" w14:textId="77777777" w:rsidR="0001150C" w:rsidRPr="001D642A" w:rsidRDefault="0001150C" w:rsidP="0001150C">
      <w:pPr>
        <w:pStyle w:val="Rientrocorpodeltesto"/>
        <w:spacing w:before="0"/>
        <w:ind w:left="0" w:hanging="1"/>
        <w:rPr>
          <w:rFonts w:ascii="Arial" w:hAnsi="Arial" w:cs="Arial"/>
          <w:b/>
          <w:bCs/>
          <w:szCs w:val="22"/>
        </w:rPr>
      </w:pPr>
      <w:r w:rsidRPr="001D642A">
        <w:rPr>
          <w:rFonts w:ascii="Arial" w:hAnsi="Arial" w:cs="Arial"/>
          <w:b/>
          <w:bCs/>
          <w:szCs w:val="22"/>
        </w:rPr>
        <w:t>Accuratezza delle stime preliminari</w:t>
      </w:r>
    </w:p>
    <w:p w14:paraId="1190D533" w14:textId="77777777" w:rsidR="0001150C" w:rsidRDefault="0001150C" w:rsidP="0001150C">
      <w:pPr>
        <w:widowControl/>
        <w:overflowPunct/>
        <w:spacing w:before="0" w:after="120"/>
        <w:jc w:val="both"/>
        <w:rPr>
          <w:rFonts w:ascii="Arial" w:hAnsi="Arial" w:cs="Arial"/>
        </w:rPr>
      </w:pPr>
      <w:r w:rsidRPr="001D642A">
        <w:rPr>
          <w:rFonts w:ascii="Arial" w:hAnsi="Arial" w:cs="Arial"/>
        </w:rPr>
        <w:t>Nel Prospetto 2 sono confrontati i tassi di variazione tendenziale definitivi e provvisori dell’indice generale IPCA e dei principali aggregati speciali per gli ultimi tredici mesi. In questo arco temporale, la differenza maggiore tra la stima definitiva e quella provvisoria del tasso tendenziale dell’</w:t>
      </w:r>
      <w:r>
        <w:rPr>
          <w:rFonts w:ascii="Arial" w:hAnsi="Arial" w:cs="Arial"/>
        </w:rPr>
        <w:t>indice generale è stata pari a -0,2 punti percentuali, osservata a maggio 2025, +0,1 a giugno 2025 e -0,1</w:t>
      </w:r>
      <w:r w:rsidRPr="001D642A">
        <w:rPr>
          <w:rFonts w:ascii="Arial" w:hAnsi="Arial" w:cs="Arial"/>
        </w:rPr>
        <w:t xml:space="preserve"> punti perce</w:t>
      </w:r>
      <w:r>
        <w:rPr>
          <w:rFonts w:ascii="Arial" w:hAnsi="Arial" w:cs="Arial"/>
        </w:rPr>
        <w:t>ntuali osservati ad aprile e agosto 2025</w:t>
      </w:r>
      <w:r w:rsidRPr="001D642A">
        <w:rPr>
          <w:rFonts w:ascii="Arial" w:hAnsi="Arial" w:cs="Arial"/>
        </w:rPr>
        <w:t xml:space="preserve">. Con riferimento ai principali aggregati speciali, le differenze maggiori tra la stima definitiva e quella provvisoria in termini di tassi tendenziali hanno interessato l’aggregato </w:t>
      </w:r>
      <w:r>
        <w:rPr>
          <w:rFonts w:ascii="Arial" w:hAnsi="Arial" w:cs="Arial"/>
        </w:rPr>
        <w:t xml:space="preserve">dell’Energia (-0,6 a marzo 2025; -0,5 ad aprile 2025; +0,5 a luglio 2025; +0,4% a giugno e -0,4% ad agosto 2025), quello </w:t>
      </w:r>
      <w:r w:rsidRPr="001D642A">
        <w:rPr>
          <w:rFonts w:ascii="Arial" w:hAnsi="Arial" w:cs="Arial"/>
        </w:rPr>
        <w:t>degli Alimentari lavorati</w:t>
      </w:r>
      <w:r>
        <w:rPr>
          <w:rFonts w:ascii="Arial" w:hAnsi="Arial" w:cs="Arial"/>
        </w:rPr>
        <w:t xml:space="preserve"> (-0,5 a novembre 2025; -0,4 a maggio e a dicembre 2025; -0,3 a dicembre 2024, febbraio, giugno e luglio 2025), quello degli Alimentari non lavorati (-0,4 a maggio 2025; -0,3 a dicembre 2024). </w:t>
      </w:r>
    </w:p>
    <w:p w14:paraId="7C4FBE9F" w14:textId="77777777" w:rsidR="0001150C" w:rsidRPr="009D2505" w:rsidRDefault="0001150C" w:rsidP="0001150C">
      <w:pPr>
        <w:widowControl/>
        <w:overflowPunct/>
        <w:spacing w:before="0" w:after="120"/>
        <w:jc w:val="both"/>
        <w:rPr>
          <w:rFonts w:ascii="Arial" w:hAnsi="Arial" w:cs="Arial"/>
          <w:sz w:val="16"/>
          <w:szCs w:val="16"/>
        </w:rPr>
      </w:pPr>
    </w:p>
    <w:p w14:paraId="1A50C357" w14:textId="77777777" w:rsidR="0001150C" w:rsidRPr="001D642A" w:rsidRDefault="0001150C" w:rsidP="0001150C">
      <w:pPr>
        <w:pStyle w:val="001TitoGra"/>
        <w:spacing w:after="120" w:line="240" w:lineRule="auto"/>
        <w:jc w:val="both"/>
        <w:rPr>
          <w:vertAlign w:val="superscript"/>
        </w:rPr>
      </w:pPr>
      <w:r w:rsidRPr="001D642A">
        <w:rPr>
          <w:rStyle w:val="001TitoGraRed"/>
        </w:rPr>
        <w:t>PROSPETTO 2.</w:t>
      </w:r>
      <w:r w:rsidRPr="001D642A">
        <w:t xml:space="preserve"> STIME PRELIMINARI E DEFINITIVE DEGLI INDICI DEI PREZZI AL CONSUMO IPCA E DEI PRINCIPALI AGGREGATI SPECIALI</w:t>
      </w:r>
      <w:r w:rsidRPr="001D642A">
        <w:rPr>
          <w:b w:val="0"/>
          <w:sz w:val="20"/>
          <w:szCs w:val="20"/>
        </w:rPr>
        <w:t xml:space="preserve">. </w:t>
      </w:r>
      <w:r w:rsidRPr="00C8504B">
        <w:rPr>
          <w:b w:val="0"/>
        </w:rPr>
        <w:br/>
      </w:r>
      <w:r>
        <w:rPr>
          <w:b w:val="0"/>
          <w:sz w:val="20"/>
          <w:szCs w:val="20"/>
        </w:rPr>
        <w:t>Dicembre 2024</w:t>
      </w:r>
      <w:r w:rsidRPr="001D642A">
        <w:rPr>
          <w:b w:val="0"/>
          <w:sz w:val="20"/>
          <w:szCs w:val="20"/>
        </w:rPr>
        <w:t xml:space="preserve"> – </w:t>
      </w:r>
      <w:r>
        <w:rPr>
          <w:b w:val="0"/>
          <w:sz w:val="20"/>
          <w:szCs w:val="20"/>
        </w:rPr>
        <w:t>dicembre 2025</w:t>
      </w:r>
      <w:r w:rsidRPr="001D642A">
        <w:rPr>
          <w:b w:val="0"/>
          <w:sz w:val="20"/>
          <w:szCs w:val="20"/>
        </w:rPr>
        <w:t>, valori percentuali tendenziali (base 2015=100)</w:t>
      </w:r>
    </w:p>
    <w:tbl>
      <w:tblPr>
        <w:tblW w:w="10318" w:type="dxa"/>
        <w:jc w:val="center"/>
        <w:tblCellMar>
          <w:left w:w="70" w:type="dxa"/>
          <w:right w:w="70" w:type="dxa"/>
        </w:tblCellMar>
        <w:tblLook w:val="04A0" w:firstRow="1" w:lastRow="0" w:firstColumn="1" w:lastColumn="0" w:noHBand="0" w:noVBand="1"/>
      </w:tblPr>
      <w:tblGrid>
        <w:gridCol w:w="3402"/>
        <w:gridCol w:w="286"/>
        <w:gridCol w:w="510"/>
        <w:gridCol w:w="510"/>
        <w:gridCol w:w="510"/>
        <w:gridCol w:w="510"/>
        <w:gridCol w:w="510"/>
        <w:gridCol w:w="510"/>
        <w:gridCol w:w="510"/>
        <w:gridCol w:w="510"/>
        <w:gridCol w:w="510"/>
        <w:gridCol w:w="510"/>
        <w:gridCol w:w="510"/>
        <w:gridCol w:w="510"/>
        <w:gridCol w:w="510"/>
      </w:tblGrid>
      <w:tr w:rsidR="0001150C" w:rsidRPr="00313984" w14:paraId="4AF2C2D7" w14:textId="77777777" w:rsidTr="007E1298">
        <w:trPr>
          <w:trHeight w:val="316"/>
          <w:jc w:val="center"/>
        </w:trPr>
        <w:tc>
          <w:tcPr>
            <w:tcW w:w="3402" w:type="dxa"/>
            <w:tcBorders>
              <w:top w:val="single" w:sz="4" w:space="0" w:color="auto"/>
              <w:left w:val="nil"/>
              <w:bottom w:val="single" w:sz="4" w:space="0" w:color="auto"/>
              <w:right w:val="nil"/>
            </w:tcBorders>
            <w:shd w:val="clear" w:color="000000" w:fill="FFFFFF"/>
            <w:noWrap/>
            <w:vAlign w:val="center"/>
            <w:hideMark/>
          </w:tcPr>
          <w:p w14:paraId="27629189" w14:textId="77777777" w:rsidR="0001150C" w:rsidRPr="00363206" w:rsidRDefault="0001150C" w:rsidP="007E1298">
            <w:pPr>
              <w:ind w:right="-13"/>
              <w:rPr>
                <w:rFonts w:ascii="Arial Narrow" w:hAnsi="Arial Narrow"/>
                <w:b/>
                <w:bCs/>
                <w:color w:val="000000"/>
                <w:kern w:val="0"/>
                <w:sz w:val="16"/>
                <w:szCs w:val="18"/>
              </w:rPr>
            </w:pPr>
            <w:r w:rsidRPr="00363206">
              <w:rPr>
                <w:rFonts w:ascii="Arial Narrow" w:hAnsi="Arial Narrow"/>
                <w:b/>
                <w:bCs/>
                <w:color w:val="000000"/>
                <w:kern w:val="0"/>
                <w:sz w:val="16"/>
                <w:szCs w:val="18"/>
              </w:rPr>
              <w:t>Aggregati speciali</w:t>
            </w:r>
          </w:p>
        </w:tc>
        <w:tc>
          <w:tcPr>
            <w:tcW w:w="286" w:type="dxa"/>
            <w:tcBorders>
              <w:top w:val="single" w:sz="4" w:space="0" w:color="auto"/>
              <w:left w:val="nil"/>
              <w:bottom w:val="single" w:sz="4" w:space="0" w:color="auto"/>
              <w:right w:val="nil"/>
            </w:tcBorders>
            <w:shd w:val="clear" w:color="000000" w:fill="FFFFFF"/>
            <w:noWrap/>
            <w:vAlign w:val="center"/>
            <w:hideMark/>
          </w:tcPr>
          <w:p w14:paraId="0B75FFB4" w14:textId="77777777" w:rsidR="0001150C" w:rsidRPr="00363206" w:rsidRDefault="0001150C" w:rsidP="007E1298">
            <w:pPr>
              <w:ind w:left="-153" w:right="-13"/>
              <w:jc w:val="right"/>
              <w:rPr>
                <w:rFonts w:ascii="Arial Narrow" w:hAnsi="Arial Narrow"/>
                <w:b/>
                <w:bCs/>
                <w:color w:val="000000"/>
                <w:kern w:val="0"/>
                <w:sz w:val="16"/>
                <w:szCs w:val="18"/>
              </w:rPr>
            </w:pPr>
            <w:r w:rsidRPr="00363206">
              <w:rPr>
                <w:rFonts w:ascii="Arial Narrow" w:hAnsi="Arial Narrow"/>
                <w:b/>
                <w:bCs/>
                <w:color w:val="000000"/>
                <w:kern w:val="0"/>
                <w:sz w:val="16"/>
                <w:szCs w:val="18"/>
              </w:rPr>
              <w:t> </w:t>
            </w:r>
          </w:p>
        </w:tc>
        <w:tc>
          <w:tcPr>
            <w:tcW w:w="510" w:type="dxa"/>
            <w:tcBorders>
              <w:top w:val="single" w:sz="4" w:space="0" w:color="auto"/>
              <w:left w:val="nil"/>
              <w:bottom w:val="single" w:sz="4" w:space="0" w:color="auto"/>
              <w:right w:val="nil"/>
            </w:tcBorders>
            <w:shd w:val="clear" w:color="000000" w:fill="FFFFFF"/>
          </w:tcPr>
          <w:p w14:paraId="48DF4214" w14:textId="77777777" w:rsidR="0001150C" w:rsidRDefault="0001150C" w:rsidP="007E1298">
            <w:pPr>
              <w:ind w:left="-153" w:right="-13"/>
              <w:jc w:val="right"/>
              <w:rPr>
                <w:rFonts w:ascii="Arial Narrow" w:hAnsi="Arial Narrow"/>
                <w:b/>
                <w:bCs/>
                <w:color w:val="000000"/>
                <w:kern w:val="0"/>
                <w:sz w:val="16"/>
                <w:szCs w:val="18"/>
              </w:rPr>
            </w:pPr>
            <w:r w:rsidRPr="005A5085">
              <w:rPr>
                <w:rFonts w:ascii="Arial Narrow" w:hAnsi="Arial Narrow"/>
                <w:b/>
                <w:bCs/>
                <w:color w:val="000000"/>
                <w:kern w:val="0"/>
                <w:sz w:val="16"/>
                <w:szCs w:val="18"/>
              </w:rPr>
              <w:t>dic-24</w:t>
            </w:r>
          </w:p>
        </w:tc>
        <w:tc>
          <w:tcPr>
            <w:tcW w:w="510" w:type="dxa"/>
            <w:tcBorders>
              <w:top w:val="single" w:sz="4" w:space="0" w:color="auto"/>
              <w:left w:val="nil"/>
              <w:bottom w:val="single" w:sz="4" w:space="0" w:color="auto"/>
              <w:right w:val="nil"/>
            </w:tcBorders>
            <w:shd w:val="clear" w:color="000000" w:fill="FFFFFF"/>
          </w:tcPr>
          <w:p w14:paraId="37F6E11E" w14:textId="77777777" w:rsidR="0001150C" w:rsidRDefault="0001150C" w:rsidP="007E1298">
            <w:pPr>
              <w:ind w:left="-153" w:right="-13"/>
              <w:jc w:val="right"/>
              <w:rPr>
                <w:rFonts w:ascii="Arial Narrow" w:hAnsi="Arial Narrow"/>
                <w:b/>
                <w:bCs/>
                <w:color w:val="000000"/>
                <w:kern w:val="0"/>
                <w:sz w:val="16"/>
                <w:szCs w:val="18"/>
              </w:rPr>
            </w:pPr>
            <w:r>
              <w:rPr>
                <w:rFonts w:ascii="Arial Narrow" w:hAnsi="Arial Narrow"/>
                <w:b/>
                <w:bCs/>
                <w:color w:val="000000"/>
                <w:kern w:val="0"/>
                <w:sz w:val="16"/>
                <w:szCs w:val="18"/>
              </w:rPr>
              <w:t>gen-25</w:t>
            </w:r>
          </w:p>
        </w:tc>
        <w:tc>
          <w:tcPr>
            <w:tcW w:w="510" w:type="dxa"/>
            <w:tcBorders>
              <w:top w:val="single" w:sz="4" w:space="0" w:color="auto"/>
              <w:left w:val="nil"/>
              <w:bottom w:val="single" w:sz="4" w:space="0" w:color="auto"/>
              <w:right w:val="nil"/>
            </w:tcBorders>
            <w:shd w:val="clear" w:color="000000" w:fill="FFFFFF"/>
          </w:tcPr>
          <w:p w14:paraId="15270C4D" w14:textId="77777777" w:rsidR="0001150C" w:rsidRDefault="0001150C" w:rsidP="007E1298">
            <w:pPr>
              <w:ind w:left="-153" w:right="-13"/>
              <w:jc w:val="right"/>
              <w:rPr>
                <w:rFonts w:ascii="Arial Narrow" w:hAnsi="Arial Narrow"/>
                <w:b/>
                <w:bCs/>
                <w:color w:val="000000"/>
                <w:kern w:val="0"/>
                <w:sz w:val="16"/>
                <w:szCs w:val="18"/>
              </w:rPr>
            </w:pPr>
            <w:r>
              <w:rPr>
                <w:rFonts w:ascii="Arial Narrow" w:hAnsi="Arial Narrow"/>
                <w:b/>
                <w:bCs/>
                <w:color w:val="000000"/>
                <w:kern w:val="0"/>
                <w:sz w:val="16"/>
                <w:szCs w:val="18"/>
              </w:rPr>
              <w:t>feb-25</w:t>
            </w:r>
          </w:p>
        </w:tc>
        <w:tc>
          <w:tcPr>
            <w:tcW w:w="510" w:type="dxa"/>
            <w:tcBorders>
              <w:top w:val="single" w:sz="4" w:space="0" w:color="auto"/>
              <w:left w:val="nil"/>
              <w:bottom w:val="single" w:sz="4" w:space="0" w:color="auto"/>
              <w:right w:val="nil"/>
            </w:tcBorders>
            <w:shd w:val="clear" w:color="000000" w:fill="FFFFFF"/>
          </w:tcPr>
          <w:p w14:paraId="160F95A1" w14:textId="77777777" w:rsidR="0001150C" w:rsidRDefault="0001150C" w:rsidP="007E1298">
            <w:pPr>
              <w:ind w:left="-153" w:right="-13"/>
              <w:jc w:val="right"/>
              <w:rPr>
                <w:rFonts w:ascii="Arial Narrow" w:hAnsi="Arial Narrow"/>
                <w:b/>
                <w:bCs/>
                <w:color w:val="000000"/>
                <w:kern w:val="0"/>
                <w:sz w:val="16"/>
                <w:szCs w:val="18"/>
              </w:rPr>
            </w:pPr>
            <w:r>
              <w:rPr>
                <w:rFonts w:ascii="Arial Narrow" w:hAnsi="Arial Narrow"/>
                <w:b/>
                <w:bCs/>
                <w:color w:val="000000"/>
                <w:kern w:val="0"/>
                <w:sz w:val="16"/>
                <w:szCs w:val="18"/>
              </w:rPr>
              <w:t>mar-25</w:t>
            </w:r>
          </w:p>
        </w:tc>
        <w:tc>
          <w:tcPr>
            <w:tcW w:w="510" w:type="dxa"/>
            <w:tcBorders>
              <w:top w:val="single" w:sz="4" w:space="0" w:color="auto"/>
              <w:left w:val="nil"/>
              <w:bottom w:val="single" w:sz="4" w:space="0" w:color="auto"/>
              <w:right w:val="nil"/>
            </w:tcBorders>
            <w:shd w:val="clear" w:color="000000" w:fill="FFFFFF"/>
          </w:tcPr>
          <w:p w14:paraId="6EEC090B" w14:textId="77777777" w:rsidR="0001150C" w:rsidRDefault="0001150C" w:rsidP="007E1298">
            <w:pPr>
              <w:ind w:left="-153" w:right="-13"/>
              <w:jc w:val="right"/>
              <w:rPr>
                <w:rFonts w:ascii="Arial Narrow" w:hAnsi="Arial Narrow"/>
                <w:b/>
                <w:bCs/>
                <w:color w:val="000000"/>
                <w:kern w:val="0"/>
                <w:sz w:val="16"/>
                <w:szCs w:val="18"/>
              </w:rPr>
            </w:pPr>
            <w:r>
              <w:rPr>
                <w:rFonts w:ascii="Arial Narrow" w:hAnsi="Arial Narrow"/>
                <w:b/>
                <w:bCs/>
                <w:color w:val="000000"/>
                <w:kern w:val="0"/>
                <w:sz w:val="16"/>
                <w:szCs w:val="18"/>
              </w:rPr>
              <w:t>apr-25</w:t>
            </w:r>
          </w:p>
        </w:tc>
        <w:tc>
          <w:tcPr>
            <w:tcW w:w="510" w:type="dxa"/>
            <w:tcBorders>
              <w:top w:val="single" w:sz="4" w:space="0" w:color="auto"/>
              <w:left w:val="nil"/>
              <w:bottom w:val="single" w:sz="4" w:space="0" w:color="auto"/>
              <w:right w:val="nil"/>
            </w:tcBorders>
            <w:shd w:val="clear" w:color="000000" w:fill="FFFFFF"/>
          </w:tcPr>
          <w:p w14:paraId="7023D6BE" w14:textId="77777777" w:rsidR="0001150C" w:rsidRDefault="0001150C" w:rsidP="007E1298">
            <w:pPr>
              <w:ind w:left="-153" w:right="-13"/>
              <w:jc w:val="right"/>
              <w:rPr>
                <w:rFonts w:ascii="Arial Narrow" w:hAnsi="Arial Narrow"/>
                <w:b/>
                <w:bCs/>
                <w:color w:val="000000"/>
                <w:kern w:val="0"/>
                <w:sz w:val="16"/>
                <w:szCs w:val="18"/>
              </w:rPr>
            </w:pPr>
            <w:r>
              <w:rPr>
                <w:rFonts w:ascii="Arial Narrow" w:hAnsi="Arial Narrow"/>
                <w:b/>
                <w:bCs/>
                <w:color w:val="000000"/>
                <w:kern w:val="0"/>
                <w:sz w:val="16"/>
                <w:szCs w:val="18"/>
              </w:rPr>
              <w:t>mag-25</w:t>
            </w:r>
          </w:p>
        </w:tc>
        <w:tc>
          <w:tcPr>
            <w:tcW w:w="510" w:type="dxa"/>
            <w:tcBorders>
              <w:top w:val="single" w:sz="4" w:space="0" w:color="auto"/>
              <w:left w:val="nil"/>
              <w:bottom w:val="single" w:sz="4" w:space="0" w:color="auto"/>
              <w:right w:val="nil"/>
            </w:tcBorders>
            <w:shd w:val="clear" w:color="000000" w:fill="FFFFFF"/>
          </w:tcPr>
          <w:p w14:paraId="29F218A8" w14:textId="77777777" w:rsidR="0001150C" w:rsidRDefault="0001150C" w:rsidP="007E1298">
            <w:pPr>
              <w:ind w:left="-153" w:right="-13"/>
              <w:jc w:val="right"/>
              <w:rPr>
                <w:rFonts w:ascii="Arial Narrow" w:hAnsi="Arial Narrow"/>
                <w:b/>
                <w:bCs/>
                <w:color w:val="000000"/>
                <w:kern w:val="0"/>
                <w:sz w:val="16"/>
                <w:szCs w:val="18"/>
              </w:rPr>
            </w:pPr>
            <w:r>
              <w:rPr>
                <w:rFonts w:ascii="Arial Narrow" w:hAnsi="Arial Narrow"/>
                <w:b/>
                <w:bCs/>
                <w:color w:val="000000"/>
                <w:kern w:val="0"/>
                <w:sz w:val="16"/>
                <w:szCs w:val="18"/>
              </w:rPr>
              <w:t>giu-25</w:t>
            </w:r>
          </w:p>
        </w:tc>
        <w:tc>
          <w:tcPr>
            <w:tcW w:w="510" w:type="dxa"/>
            <w:tcBorders>
              <w:top w:val="single" w:sz="4" w:space="0" w:color="auto"/>
              <w:left w:val="nil"/>
              <w:bottom w:val="single" w:sz="4" w:space="0" w:color="auto"/>
              <w:right w:val="nil"/>
            </w:tcBorders>
            <w:shd w:val="clear" w:color="000000" w:fill="FFFFFF"/>
          </w:tcPr>
          <w:p w14:paraId="47A8B295" w14:textId="77777777" w:rsidR="0001150C" w:rsidRDefault="0001150C" w:rsidP="007E1298">
            <w:pPr>
              <w:ind w:left="-153" w:right="-13"/>
              <w:jc w:val="right"/>
              <w:rPr>
                <w:rFonts w:ascii="Arial Narrow" w:hAnsi="Arial Narrow"/>
                <w:b/>
                <w:bCs/>
                <w:color w:val="000000"/>
                <w:kern w:val="0"/>
                <w:sz w:val="16"/>
                <w:szCs w:val="18"/>
              </w:rPr>
            </w:pPr>
            <w:r>
              <w:rPr>
                <w:rFonts w:ascii="Arial Narrow" w:hAnsi="Arial Narrow"/>
                <w:b/>
                <w:bCs/>
                <w:color w:val="000000"/>
                <w:kern w:val="0"/>
                <w:sz w:val="16"/>
                <w:szCs w:val="18"/>
              </w:rPr>
              <w:t>lug-25</w:t>
            </w:r>
          </w:p>
        </w:tc>
        <w:tc>
          <w:tcPr>
            <w:tcW w:w="510" w:type="dxa"/>
            <w:tcBorders>
              <w:top w:val="single" w:sz="4" w:space="0" w:color="auto"/>
              <w:left w:val="nil"/>
              <w:bottom w:val="single" w:sz="4" w:space="0" w:color="auto"/>
              <w:right w:val="nil"/>
            </w:tcBorders>
            <w:shd w:val="clear" w:color="000000" w:fill="FFFFFF"/>
          </w:tcPr>
          <w:p w14:paraId="2DD7D7E5" w14:textId="77777777" w:rsidR="0001150C" w:rsidRPr="00CE5FCA" w:rsidRDefault="0001150C" w:rsidP="007E1298">
            <w:pPr>
              <w:ind w:left="-153" w:right="-13"/>
              <w:jc w:val="right"/>
              <w:rPr>
                <w:rFonts w:ascii="Arial Narrow" w:hAnsi="Arial Narrow"/>
                <w:b/>
                <w:bCs/>
                <w:color w:val="000000"/>
                <w:kern w:val="0"/>
                <w:sz w:val="16"/>
                <w:szCs w:val="18"/>
              </w:rPr>
            </w:pPr>
            <w:r>
              <w:rPr>
                <w:rFonts w:ascii="Arial Narrow" w:hAnsi="Arial Narrow"/>
                <w:b/>
                <w:bCs/>
                <w:color w:val="000000"/>
                <w:kern w:val="0"/>
                <w:sz w:val="16"/>
                <w:szCs w:val="18"/>
              </w:rPr>
              <w:t>ago-25</w:t>
            </w:r>
          </w:p>
        </w:tc>
        <w:tc>
          <w:tcPr>
            <w:tcW w:w="510" w:type="dxa"/>
            <w:tcBorders>
              <w:top w:val="single" w:sz="4" w:space="0" w:color="auto"/>
              <w:left w:val="nil"/>
              <w:bottom w:val="single" w:sz="4" w:space="0" w:color="auto"/>
              <w:right w:val="nil"/>
            </w:tcBorders>
            <w:shd w:val="clear" w:color="000000" w:fill="FFFFFF"/>
          </w:tcPr>
          <w:p w14:paraId="4C8236E5" w14:textId="77777777" w:rsidR="0001150C" w:rsidRPr="00CE5FCA" w:rsidRDefault="0001150C" w:rsidP="007E1298">
            <w:pPr>
              <w:ind w:left="-153" w:right="-13"/>
              <w:jc w:val="right"/>
              <w:rPr>
                <w:rFonts w:ascii="Arial Narrow" w:hAnsi="Arial Narrow"/>
                <w:b/>
                <w:bCs/>
                <w:color w:val="000000"/>
                <w:kern w:val="0"/>
                <w:sz w:val="16"/>
                <w:szCs w:val="18"/>
              </w:rPr>
            </w:pPr>
            <w:r>
              <w:rPr>
                <w:rFonts w:ascii="Arial Narrow" w:hAnsi="Arial Narrow"/>
                <w:b/>
                <w:bCs/>
                <w:color w:val="000000"/>
                <w:kern w:val="0"/>
                <w:sz w:val="16"/>
                <w:szCs w:val="18"/>
              </w:rPr>
              <w:t>set-25</w:t>
            </w:r>
          </w:p>
        </w:tc>
        <w:tc>
          <w:tcPr>
            <w:tcW w:w="510" w:type="dxa"/>
            <w:tcBorders>
              <w:top w:val="single" w:sz="4" w:space="0" w:color="auto"/>
              <w:left w:val="nil"/>
              <w:bottom w:val="single" w:sz="4" w:space="0" w:color="auto"/>
              <w:right w:val="nil"/>
            </w:tcBorders>
            <w:shd w:val="clear" w:color="000000" w:fill="FFFFFF"/>
          </w:tcPr>
          <w:p w14:paraId="3A80CCB4" w14:textId="77777777" w:rsidR="0001150C" w:rsidRPr="005A5085" w:rsidRDefault="0001150C" w:rsidP="007E1298">
            <w:pPr>
              <w:ind w:left="-153" w:right="-13"/>
              <w:jc w:val="right"/>
              <w:rPr>
                <w:rFonts w:ascii="Arial Narrow" w:hAnsi="Arial Narrow"/>
                <w:b/>
                <w:bCs/>
                <w:color w:val="000000"/>
                <w:kern w:val="0"/>
                <w:sz w:val="16"/>
                <w:szCs w:val="18"/>
              </w:rPr>
            </w:pPr>
            <w:r>
              <w:rPr>
                <w:rFonts w:ascii="Arial Narrow" w:hAnsi="Arial Narrow"/>
                <w:b/>
                <w:bCs/>
                <w:color w:val="000000"/>
                <w:kern w:val="0"/>
                <w:sz w:val="16"/>
                <w:szCs w:val="18"/>
              </w:rPr>
              <w:t>ott-25</w:t>
            </w:r>
          </w:p>
        </w:tc>
        <w:tc>
          <w:tcPr>
            <w:tcW w:w="510" w:type="dxa"/>
            <w:tcBorders>
              <w:top w:val="single" w:sz="4" w:space="0" w:color="auto"/>
              <w:left w:val="nil"/>
              <w:bottom w:val="single" w:sz="4" w:space="0" w:color="auto"/>
              <w:right w:val="nil"/>
            </w:tcBorders>
            <w:shd w:val="clear" w:color="000000" w:fill="FFFFFF"/>
          </w:tcPr>
          <w:p w14:paraId="7A39E33D" w14:textId="77777777" w:rsidR="0001150C" w:rsidRPr="005A5085" w:rsidRDefault="0001150C" w:rsidP="007E1298">
            <w:pPr>
              <w:ind w:left="-153" w:right="-13"/>
              <w:jc w:val="right"/>
              <w:rPr>
                <w:rFonts w:ascii="Arial Narrow" w:hAnsi="Arial Narrow"/>
                <w:b/>
                <w:bCs/>
                <w:color w:val="000000"/>
                <w:kern w:val="0"/>
                <w:sz w:val="16"/>
                <w:szCs w:val="18"/>
              </w:rPr>
            </w:pPr>
            <w:r>
              <w:rPr>
                <w:rFonts w:ascii="Arial Narrow" w:hAnsi="Arial Narrow"/>
                <w:b/>
                <w:bCs/>
                <w:color w:val="000000"/>
                <w:kern w:val="0"/>
                <w:sz w:val="16"/>
                <w:szCs w:val="18"/>
              </w:rPr>
              <w:t>nov-25</w:t>
            </w:r>
          </w:p>
        </w:tc>
        <w:tc>
          <w:tcPr>
            <w:tcW w:w="510" w:type="dxa"/>
            <w:tcBorders>
              <w:top w:val="single" w:sz="4" w:space="0" w:color="auto"/>
              <w:left w:val="nil"/>
              <w:bottom w:val="single" w:sz="4" w:space="0" w:color="auto"/>
              <w:right w:val="nil"/>
            </w:tcBorders>
            <w:shd w:val="clear" w:color="000000" w:fill="FFFFFF"/>
          </w:tcPr>
          <w:p w14:paraId="19CF90CD" w14:textId="77777777" w:rsidR="0001150C" w:rsidRPr="005A5085" w:rsidRDefault="0001150C" w:rsidP="007E1298">
            <w:pPr>
              <w:ind w:left="-153" w:right="-13"/>
              <w:jc w:val="right"/>
              <w:rPr>
                <w:rFonts w:ascii="Arial Narrow" w:hAnsi="Arial Narrow"/>
                <w:b/>
                <w:bCs/>
                <w:color w:val="000000"/>
                <w:kern w:val="0"/>
                <w:sz w:val="16"/>
                <w:szCs w:val="18"/>
              </w:rPr>
            </w:pPr>
            <w:r>
              <w:rPr>
                <w:rFonts w:ascii="Arial Narrow" w:hAnsi="Arial Narrow"/>
                <w:b/>
                <w:bCs/>
                <w:color w:val="000000"/>
                <w:kern w:val="0"/>
                <w:sz w:val="16"/>
                <w:szCs w:val="18"/>
              </w:rPr>
              <w:t>dic-25</w:t>
            </w:r>
          </w:p>
        </w:tc>
      </w:tr>
      <w:tr w:rsidR="0001150C" w:rsidRPr="001D642A" w14:paraId="6B4D14B5" w14:textId="77777777" w:rsidTr="007E1298">
        <w:trPr>
          <w:trHeight w:val="255"/>
          <w:jc w:val="center"/>
        </w:trPr>
        <w:tc>
          <w:tcPr>
            <w:tcW w:w="3402" w:type="dxa"/>
            <w:vMerge w:val="restart"/>
            <w:tcBorders>
              <w:top w:val="nil"/>
              <w:left w:val="nil"/>
              <w:bottom w:val="single" w:sz="4" w:space="0" w:color="000000"/>
              <w:right w:val="nil"/>
            </w:tcBorders>
            <w:shd w:val="clear" w:color="000000" w:fill="FFFFFF"/>
            <w:vAlign w:val="center"/>
            <w:hideMark/>
          </w:tcPr>
          <w:p w14:paraId="5E299F0D"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r w:rsidRPr="001D642A">
              <w:rPr>
                <w:rFonts w:ascii="Arial Narrow" w:hAnsi="Arial Narrow"/>
                <w:color w:val="000000"/>
                <w:kern w:val="0"/>
                <w:sz w:val="18"/>
                <w:szCs w:val="18"/>
              </w:rPr>
              <w:t>Beni alimentari (incluse bevande alcoliche) e tabacchi, di cui:</w:t>
            </w:r>
          </w:p>
        </w:tc>
        <w:tc>
          <w:tcPr>
            <w:tcW w:w="286" w:type="dxa"/>
            <w:tcBorders>
              <w:top w:val="nil"/>
              <w:left w:val="nil"/>
              <w:bottom w:val="single" w:sz="4" w:space="0" w:color="auto"/>
              <w:right w:val="nil"/>
            </w:tcBorders>
            <w:shd w:val="clear" w:color="000000" w:fill="FFFFFF"/>
            <w:noWrap/>
            <w:vAlign w:val="center"/>
            <w:hideMark/>
          </w:tcPr>
          <w:p w14:paraId="7DC7939B"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P</w:t>
            </w:r>
          </w:p>
        </w:tc>
        <w:tc>
          <w:tcPr>
            <w:tcW w:w="510" w:type="dxa"/>
            <w:tcBorders>
              <w:top w:val="nil"/>
              <w:left w:val="nil"/>
              <w:bottom w:val="single" w:sz="4" w:space="0" w:color="auto"/>
              <w:right w:val="nil"/>
            </w:tcBorders>
            <w:shd w:val="clear" w:color="auto" w:fill="D9D9D9" w:themeFill="background1" w:themeFillShade="D9"/>
            <w:vAlign w:val="center"/>
          </w:tcPr>
          <w:p w14:paraId="6C769200"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2,4</w:t>
            </w:r>
          </w:p>
        </w:tc>
        <w:tc>
          <w:tcPr>
            <w:tcW w:w="510" w:type="dxa"/>
            <w:tcBorders>
              <w:top w:val="nil"/>
              <w:left w:val="nil"/>
              <w:bottom w:val="single" w:sz="4" w:space="0" w:color="auto"/>
              <w:right w:val="nil"/>
            </w:tcBorders>
            <w:shd w:val="clear" w:color="000000" w:fill="FFFFFF"/>
            <w:vAlign w:val="center"/>
          </w:tcPr>
          <w:p w14:paraId="1BCBEB09"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2,4</w:t>
            </w:r>
          </w:p>
        </w:tc>
        <w:tc>
          <w:tcPr>
            <w:tcW w:w="510" w:type="dxa"/>
            <w:tcBorders>
              <w:top w:val="nil"/>
              <w:left w:val="nil"/>
              <w:bottom w:val="single" w:sz="4" w:space="0" w:color="auto"/>
              <w:right w:val="nil"/>
            </w:tcBorders>
            <w:shd w:val="clear" w:color="auto" w:fill="D9D9D9" w:themeFill="background1" w:themeFillShade="D9"/>
            <w:vAlign w:val="center"/>
          </w:tcPr>
          <w:p w14:paraId="7904746F"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2,6</w:t>
            </w:r>
          </w:p>
        </w:tc>
        <w:tc>
          <w:tcPr>
            <w:tcW w:w="510" w:type="dxa"/>
            <w:tcBorders>
              <w:top w:val="nil"/>
              <w:left w:val="nil"/>
              <w:bottom w:val="single" w:sz="4" w:space="0" w:color="auto"/>
              <w:right w:val="nil"/>
            </w:tcBorders>
            <w:shd w:val="clear" w:color="000000" w:fill="FFFFFF"/>
            <w:vAlign w:val="center"/>
          </w:tcPr>
          <w:p w14:paraId="3AF3C10F"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2,7</w:t>
            </w:r>
          </w:p>
        </w:tc>
        <w:tc>
          <w:tcPr>
            <w:tcW w:w="510" w:type="dxa"/>
            <w:tcBorders>
              <w:top w:val="nil"/>
              <w:left w:val="nil"/>
              <w:bottom w:val="single" w:sz="4" w:space="0" w:color="auto"/>
              <w:right w:val="nil"/>
            </w:tcBorders>
            <w:shd w:val="clear" w:color="auto" w:fill="D9D9D9" w:themeFill="background1" w:themeFillShade="D9"/>
            <w:vAlign w:val="center"/>
          </w:tcPr>
          <w:p w14:paraId="3442244E"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3,1</w:t>
            </w:r>
          </w:p>
        </w:tc>
        <w:tc>
          <w:tcPr>
            <w:tcW w:w="510" w:type="dxa"/>
            <w:tcBorders>
              <w:top w:val="nil"/>
              <w:left w:val="nil"/>
              <w:bottom w:val="single" w:sz="4" w:space="0" w:color="auto"/>
              <w:right w:val="nil"/>
            </w:tcBorders>
            <w:shd w:val="clear" w:color="000000" w:fill="FFFFFF"/>
            <w:vAlign w:val="center"/>
          </w:tcPr>
          <w:p w14:paraId="6877A597"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3,5</w:t>
            </w:r>
          </w:p>
        </w:tc>
        <w:tc>
          <w:tcPr>
            <w:tcW w:w="510" w:type="dxa"/>
            <w:tcBorders>
              <w:top w:val="nil"/>
              <w:left w:val="nil"/>
              <w:bottom w:val="single" w:sz="4" w:space="0" w:color="auto"/>
              <w:right w:val="nil"/>
            </w:tcBorders>
            <w:shd w:val="clear" w:color="auto" w:fill="D9D9D9" w:themeFill="background1" w:themeFillShade="D9"/>
            <w:vAlign w:val="center"/>
          </w:tcPr>
          <w:p w14:paraId="51188937"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3,5</w:t>
            </w:r>
          </w:p>
        </w:tc>
        <w:tc>
          <w:tcPr>
            <w:tcW w:w="510" w:type="dxa"/>
            <w:tcBorders>
              <w:top w:val="nil"/>
              <w:left w:val="nil"/>
              <w:bottom w:val="single" w:sz="4" w:space="0" w:color="auto"/>
              <w:right w:val="nil"/>
            </w:tcBorders>
            <w:shd w:val="clear" w:color="000000" w:fill="FFFFFF"/>
            <w:vAlign w:val="center"/>
          </w:tcPr>
          <w:p w14:paraId="3554EA62"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4,0</w:t>
            </w:r>
          </w:p>
        </w:tc>
        <w:tc>
          <w:tcPr>
            <w:tcW w:w="510" w:type="dxa"/>
            <w:tcBorders>
              <w:top w:val="nil"/>
              <w:left w:val="nil"/>
              <w:bottom w:val="single" w:sz="4" w:space="0" w:color="auto"/>
              <w:right w:val="nil"/>
            </w:tcBorders>
            <w:shd w:val="clear" w:color="auto" w:fill="D9D9D9" w:themeFill="background1" w:themeFillShade="D9"/>
            <w:vAlign w:val="center"/>
          </w:tcPr>
          <w:p w14:paraId="15B07E8E"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3,9</w:t>
            </w:r>
          </w:p>
        </w:tc>
        <w:tc>
          <w:tcPr>
            <w:tcW w:w="510" w:type="dxa"/>
            <w:tcBorders>
              <w:top w:val="nil"/>
              <w:left w:val="nil"/>
              <w:bottom w:val="single" w:sz="4" w:space="0" w:color="auto"/>
              <w:right w:val="nil"/>
            </w:tcBorders>
            <w:shd w:val="clear" w:color="000000" w:fill="FFFFFF"/>
            <w:vAlign w:val="center"/>
          </w:tcPr>
          <w:p w14:paraId="2EF3D5F8"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3,7</w:t>
            </w:r>
          </w:p>
        </w:tc>
        <w:tc>
          <w:tcPr>
            <w:tcW w:w="510" w:type="dxa"/>
            <w:tcBorders>
              <w:top w:val="nil"/>
              <w:left w:val="nil"/>
              <w:bottom w:val="single" w:sz="4" w:space="0" w:color="auto"/>
              <w:right w:val="nil"/>
            </w:tcBorders>
            <w:shd w:val="clear" w:color="auto" w:fill="D9D9D9" w:themeFill="background1" w:themeFillShade="D9"/>
            <w:vAlign w:val="center"/>
          </w:tcPr>
          <w:p w14:paraId="5B645067"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2,6</w:t>
            </w:r>
          </w:p>
        </w:tc>
        <w:tc>
          <w:tcPr>
            <w:tcW w:w="510" w:type="dxa"/>
            <w:tcBorders>
              <w:top w:val="nil"/>
              <w:left w:val="nil"/>
              <w:bottom w:val="single" w:sz="4" w:space="0" w:color="auto"/>
              <w:right w:val="nil"/>
            </w:tcBorders>
            <w:shd w:val="clear" w:color="000000" w:fill="FFFFFF"/>
            <w:vAlign w:val="center"/>
          </w:tcPr>
          <w:p w14:paraId="326D59EF"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2,3</w:t>
            </w:r>
          </w:p>
        </w:tc>
        <w:tc>
          <w:tcPr>
            <w:tcW w:w="510" w:type="dxa"/>
            <w:tcBorders>
              <w:top w:val="nil"/>
              <w:left w:val="nil"/>
              <w:bottom w:val="single" w:sz="4" w:space="0" w:color="auto"/>
              <w:right w:val="nil"/>
            </w:tcBorders>
            <w:shd w:val="clear" w:color="auto" w:fill="D9D9D9" w:themeFill="background1" w:themeFillShade="D9"/>
            <w:vAlign w:val="center"/>
          </w:tcPr>
          <w:p w14:paraId="281FE97C"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2,6</w:t>
            </w:r>
          </w:p>
        </w:tc>
      </w:tr>
      <w:tr w:rsidR="0001150C" w:rsidRPr="001D642A" w14:paraId="59AD820B" w14:textId="77777777" w:rsidTr="007E1298">
        <w:trPr>
          <w:trHeight w:val="255"/>
          <w:jc w:val="center"/>
        </w:trPr>
        <w:tc>
          <w:tcPr>
            <w:tcW w:w="3402" w:type="dxa"/>
            <w:vMerge/>
            <w:tcBorders>
              <w:top w:val="nil"/>
              <w:left w:val="nil"/>
              <w:bottom w:val="single" w:sz="4" w:space="0" w:color="000000"/>
              <w:right w:val="nil"/>
            </w:tcBorders>
            <w:vAlign w:val="center"/>
            <w:hideMark/>
          </w:tcPr>
          <w:p w14:paraId="07205BB8"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p>
        </w:tc>
        <w:tc>
          <w:tcPr>
            <w:tcW w:w="286" w:type="dxa"/>
            <w:tcBorders>
              <w:top w:val="nil"/>
              <w:left w:val="nil"/>
              <w:bottom w:val="single" w:sz="4" w:space="0" w:color="auto"/>
              <w:right w:val="nil"/>
            </w:tcBorders>
            <w:shd w:val="clear" w:color="000000" w:fill="FFFFFF"/>
            <w:noWrap/>
            <w:vAlign w:val="center"/>
            <w:hideMark/>
          </w:tcPr>
          <w:p w14:paraId="7F6B4DF9"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D</w:t>
            </w:r>
          </w:p>
        </w:tc>
        <w:tc>
          <w:tcPr>
            <w:tcW w:w="510" w:type="dxa"/>
            <w:tcBorders>
              <w:top w:val="nil"/>
              <w:left w:val="nil"/>
              <w:bottom w:val="single" w:sz="4" w:space="0" w:color="auto"/>
              <w:right w:val="nil"/>
            </w:tcBorders>
            <w:shd w:val="clear" w:color="auto" w:fill="D9D9D9" w:themeFill="background1" w:themeFillShade="D9"/>
            <w:vAlign w:val="center"/>
          </w:tcPr>
          <w:p w14:paraId="529B4922"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000000" w:fill="FFFFFF"/>
            <w:vAlign w:val="center"/>
          </w:tcPr>
          <w:p w14:paraId="2A518AF9"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2,3</w:t>
            </w:r>
          </w:p>
        </w:tc>
        <w:tc>
          <w:tcPr>
            <w:tcW w:w="510" w:type="dxa"/>
            <w:tcBorders>
              <w:top w:val="nil"/>
              <w:left w:val="nil"/>
              <w:bottom w:val="single" w:sz="4" w:space="0" w:color="auto"/>
              <w:right w:val="nil"/>
            </w:tcBorders>
            <w:shd w:val="clear" w:color="auto" w:fill="D9D9D9" w:themeFill="background1" w:themeFillShade="D9"/>
            <w:vAlign w:val="center"/>
          </w:tcPr>
          <w:p w14:paraId="154D425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2,4</w:t>
            </w:r>
          </w:p>
        </w:tc>
        <w:tc>
          <w:tcPr>
            <w:tcW w:w="510" w:type="dxa"/>
            <w:tcBorders>
              <w:top w:val="nil"/>
              <w:left w:val="nil"/>
              <w:bottom w:val="single" w:sz="4" w:space="0" w:color="auto"/>
              <w:right w:val="nil"/>
            </w:tcBorders>
            <w:shd w:val="clear" w:color="000000" w:fill="FFFFFF"/>
            <w:vAlign w:val="center"/>
          </w:tcPr>
          <w:p w14:paraId="4FF6827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2,7</w:t>
            </w:r>
          </w:p>
        </w:tc>
        <w:tc>
          <w:tcPr>
            <w:tcW w:w="510" w:type="dxa"/>
            <w:tcBorders>
              <w:top w:val="nil"/>
              <w:left w:val="nil"/>
              <w:bottom w:val="single" w:sz="4" w:space="0" w:color="auto"/>
              <w:right w:val="nil"/>
            </w:tcBorders>
            <w:shd w:val="clear" w:color="auto" w:fill="D9D9D9" w:themeFill="background1" w:themeFillShade="D9"/>
            <w:vAlign w:val="center"/>
          </w:tcPr>
          <w:p w14:paraId="3EF88D17"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3,0</w:t>
            </w:r>
          </w:p>
        </w:tc>
        <w:tc>
          <w:tcPr>
            <w:tcW w:w="510" w:type="dxa"/>
            <w:tcBorders>
              <w:top w:val="nil"/>
              <w:left w:val="nil"/>
              <w:bottom w:val="single" w:sz="4" w:space="0" w:color="auto"/>
              <w:right w:val="nil"/>
            </w:tcBorders>
            <w:shd w:val="clear" w:color="000000" w:fill="FFFFFF"/>
            <w:vAlign w:val="center"/>
          </w:tcPr>
          <w:p w14:paraId="60496E1D"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3,1</w:t>
            </w:r>
          </w:p>
        </w:tc>
        <w:tc>
          <w:tcPr>
            <w:tcW w:w="510" w:type="dxa"/>
            <w:tcBorders>
              <w:top w:val="nil"/>
              <w:left w:val="nil"/>
              <w:bottom w:val="single" w:sz="4" w:space="0" w:color="auto"/>
              <w:right w:val="nil"/>
            </w:tcBorders>
            <w:shd w:val="clear" w:color="auto" w:fill="D9D9D9" w:themeFill="background1" w:themeFillShade="D9"/>
            <w:vAlign w:val="center"/>
          </w:tcPr>
          <w:p w14:paraId="7C1248AA"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3,3</w:t>
            </w:r>
          </w:p>
        </w:tc>
        <w:tc>
          <w:tcPr>
            <w:tcW w:w="510" w:type="dxa"/>
            <w:tcBorders>
              <w:top w:val="nil"/>
              <w:left w:val="nil"/>
              <w:bottom w:val="single" w:sz="4" w:space="0" w:color="auto"/>
              <w:right w:val="nil"/>
            </w:tcBorders>
            <w:shd w:val="clear" w:color="000000" w:fill="FFFFFF"/>
            <w:vAlign w:val="center"/>
          </w:tcPr>
          <w:p w14:paraId="647AA4CE"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3,8</w:t>
            </w:r>
          </w:p>
        </w:tc>
        <w:tc>
          <w:tcPr>
            <w:tcW w:w="510" w:type="dxa"/>
            <w:tcBorders>
              <w:top w:val="nil"/>
              <w:left w:val="nil"/>
              <w:bottom w:val="single" w:sz="4" w:space="0" w:color="auto"/>
              <w:right w:val="nil"/>
            </w:tcBorders>
            <w:shd w:val="clear" w:color="auto" w:fill="D9D9D9" w:themeFill="background1" w:themeFillShade="D9"/>
            <w:vAlign w:val="center"/>
          </w:tcPr>
          <w:p w14:paraId="5011673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3,8</w:t>
            </w:r>
          </w:p>
        </w:tc>
        <w:tc>
          <w:tcPr>
            <w:tcW w:w="510" w:type="dxa"/>
            <w:tcBorders>
              <w:top w:val="nil"/>
              <w:left w:val="nil"/>
              <w:bottom w:val="single" w:sz="4" w:space="0" w:color="auto"/>
              <w:right w:val="nil"/>
            </w:tcBorders>
            <w:shd w:val="clear" w:color="000000" w:fill="FFFFFF"/>
            <w:vAlign w:val="center"/>
          </w:tcPr>
          <w:p w14:paraId="46B0ECBD"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3,6</w:t>
            </w:r>
          </w:p>
        </w:tc>
        <w:tc>
          <w:tcPr>
            <w:tcW w:w="510" w:type="dxa"/>
            <w:tcBorders>
              <w:top w:val="nil"/>
              <w:left w:val="nil"/>
              <w:bottom w:val="single" w:sz="4" w:space="0" w:color="auto"/>
              <w:right w:val="nil"/>
            </w:tcBorders>
            <w:shd w:val="clear" w:color="auto" w:fill="D9D9D9" w:themeFill="background1" w:themeFillShade="D9"/>
            <w:vAlign w:val="center"/>
          </w:tcPr>
          <w:p w14:paraId="0C76E701"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2,5</w:t>
            </w:r>
          </w:p>
        </w:tc>
        <w:tc>
          <w:tcPr>
            <w:tcW w:w="510" w:type="dxa"/>
            <w:tcBorders>
              <w:top w:val="nil"/>
              <w:left w:val="nil"/>
              <w:bottom w:val="single" w:sz="4" w:space="0" w:color="auto"/>
              <w:right w:val="nil"/>
            </w:tcBorders>
            <w:shd w:val="clear" w:color="000000" w:fill="FFFFFF"/>
            <w:vAlign w:val="center"/>
          </w:tcPr>
          <w:p w14:paraId="4888CAC2"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auto" w:fill="D9D9D9" w:themeFill="background1" w:themeFillShade="D9"/>
            <w:vAlign w:val="center"/>
          </w:tcPr>
          <w:p w14:paraId="42D75390"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2,4</w:t>
            </w:r>
          </w:p>
        </w:tc>
      </w:tr>
      <w:tr w:rsidR="0001150C" w:rsidRPr="001D642A" w14:paraId="07551200" w14:textId="77777777" w:rsidTr="007E1298">
        <w:trPr>
          <w:trHeight w:val="255"/>
          <w:jc w:val="center"/>
        </w:trPr>
        <w:tc>
          <w:tcPr>
            <w:tcW w:w="3402" w:type="dxa"/>
            <w:vMerge w:val="restart"/>
            <w:tcBorders>
              <w:top w:val="nil"/>
              <w:left w:val="nil"/>
              <w:bottom w:val="nil"/>
              <w:right w:val="nil"/>
            </w:tcBorders>
            <w:shd w:val="clear" w:color="000000" w:fill="FFFFFF"/>
            <w:vAlign w:val="center"/>
            <w:hideMark/>
          </w:tcPr>
          <w:p w14:paraId="7062CBD1"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r w:rsidRPr="001D642A">
              <w:rPr>
                <w:rFonts w:ascii="Arial Narrow" w:hAnsi="Arial Narrow"/>
                <w:color w:val="000000"/>
                <w:kern w:val="0"/>
                <w:sz w:val="18"/>
                <w:szCs w:val="18"/>
              </w:rPr>
              <w:t xml:space="preserve">    Alimentari lavorati</w:t>
            </w:r>
          </w:p>
        </w:tc>
        <w:tc>
          <w:tcPr>
            <w:tcW w:w="286" w:type="dxa"/>
            <w:tcBorders>
              <w:top w:val="nil"/>
              <w:left w:val="nil"/>
              <w:bottom w:val="single" w:sz="4" w:space="0" w:color="auto"/>
              <w:right w:val="nil"/>
            </w:tcBorders>
            <w:shd w:val="clear" w:color="000000" w:fill="FFFFFF"/>
            <w:noWrap/>
            <w:vAlign w:val="center"/>
            <w:hideMark/>
          </w:tcPr>
          <w:p w14:paraId="1931F961"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P</w:t>
            </w:r>
          </w:p>
        </w:tc>
        <w:tc>
          <w:tcPr>
            <w:tcW w:w="510" w:type="dxa"/>
            <w:tcBorders>
              <w:top w:val="nil"/>
              <w:left w:val="nil"/>
              <w:bottom w:val="single" w:sz="4" w:space="0" w:color="auto"/>
              <w:right w:val="nil"/>
            </w:tcBorders>
            <w:shd w:val="clear" w:color="auto" w:fill="D9D9D9" w:themeFill="background1" w:themeFillShade="D9"/>
            <w:vAlign w:val="center"/>
          </w:tcPr>
          <w:p w14:paraId="2D38B9CF"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2,3</w:t>
            </w:r>
          </w:p>
        </w:tc>
        <w:tc>
          <w:tcPr>
            <w:tcW w:w="510" w:type="dxa"/>
            <w:tcBorders>
              <w:top w:val="nil"/>
              <w:left w:val="nil"/>
              <w:bottom w:val="single" w:sz="4" w:space="0" w:color="auto"/>
              <w:right w:val="nil"/>
            </w:tcBorders>
            <w:shd w:val="clear" w:color="000000" w:fill="FFFFFF"/>
            <w:vAlign w:val="center"/>
          </w:tcPr>
          <w:p w14:paraId="743CFD2F"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2,3</w:t>
            </w:r>
          </w:p>
        </w:tc>
        <w:tc>
          <w:tcPr>
            <w:tcW w:w="510" w:type="dxa"/>
            <w:tcBorders>
              <w:top w:val="nil"/>
              <w:left w:val="nil"/>
              <w:bottom w:val="single" w:sz="4" w:space="0" w:color="auto"/>
              <w:right w:val="nil"/>
            </w:tcBorders>
            <w:shd w:val="clear" w:color="auto" w:fill="D9D9D9" w:themeFill="background1" w:themeFillShade="D9"/>
            <w:vAlign w:val="center"/>
          </w:tcPr>
          <w:p w14:paraId="62C9DCBF"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2,5</w:t>
            </w:r>
          </w:p>
        </w:tc>
        <w:tc>
          <w:tcPr>
            <w:tcW w:w="510" w:type="dxa"/>
            <w:tcBorders>
              <w:top w:val="nil"/>
              <w:left w:val="nil"/>
              <w:bottom w:val="single" w:sz="4" w:space="0" w:color="auto"/>
              <w:right w:val="nil"/>
            </w:tcBorders>
            <w:shd w:val="clear" w:color="000000" w:fill="FFFFFF"/>
            <w:vAlign w:val="center"/>
          </w:tcPr>
          <w:p w14:paraId="7526822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2,3</w:t>
            </w:r>
          </w:p>
        </w:tc>
        <w:tc>
          <w:tcPr>
            <w:tcW w:w="510" w:type="dxa"/>
            <w:tcBorders>
              <w:top w:val="nil"/>
              <w:left w:val="nil"/>
              <w:bottom w:val="single" w:sz="4" w:space="0" w:color="auto"/>
              <w:right w:val="nil"/>
            </w:tcBorders>
            <w:shd w:val="clear" w:color="auto" w:fill="D9D9D9" w:themeFill="background1" w:themeFillShade="D9"/>
            <w:vAlign w:val="center"/>
          </w:tcPr>
          <w:p w14:paraId="615BC1D2"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2,4</w:t>
            </w:r>
          </w:p>
        </w:tc>
        <w:tc>
          <w:tcPr>
            <w:tcW w:w="510" w:type="dxa"/>
            <w:tcBorders>
              <w:top w:val="nil"/>
              <w:left w:val="nil"/>
              <w:bottom w:val="single" w:sz="4" w:space="0" w:color="auto"/>
              <w:right w:val="nil"/>
            </w:tcBorders>
            <w:shd w:val="clear" w:color="000000" w:fill="FFFFFF"/>
            <w:vAlign w:val="center"/>
          </w:tcPr>
          <w:p w14:paraId="18278336"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3,2</w:t>
            </w:r>
          </w:p>
        </w:tc>
        <w:tc>
          <w:tcPr>
            <w:tcW w:w="510" w:type="dxa"/>
            <w:tcBorders>
              <w:top w:val="nil"/>
              <w:left w:val="nil"/>
              <w:bottom w:val="single" w:sz="4" w:space="0" w:color="auto"/>
              <w:right w:val="nil"/>
            </w:tcBorders>
            <w:shd w:val="clear" w:color="auto" w:fill="D9D9D9" w:themeFill="background1" w:themeFillShade="D9"/>
            <w:vAlign w:val="center"/>
          </w:tcPr>
          <w:p w14:paraId="3EE17400"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3,1</w:t>
            </w:r>
          </w:p>
        </w:tc>
        <w:tc>
          <w:tcPr>
            <w:tcW w:w="510" w:type="dxa"/>
            <w:tcBorders>
              <w:top w:val="nil"/>
              <w:left w:val="nil"/>
              <w:bottom w:val="single" w:sz="4" w:space="0" w:color="auto"/>
              <w:right w:val="nil"/>
            </w:tcBorders>
            <w:shd w:val="clear" w:color="000000" w:fill="FFFFFF"/>
            <w:vAlign w:val="center"/>
          </w:tcPr>
          <w:p w14:paraId="6A2C057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3,1</w:t>
            </w:r>
          </w:p>
        </w:tc>
        <w:tc>
          <w:tcPr>
            <w:tcW w:w="510" w:type="dxa"/>
            <w:tcBorders>
              <w:top w:val="nil"/>
              <w:left w:val="nil"/>
              <w:bottom w:val="single" w:sz="4" w:space="0" w:color="auto"/>
              <w:right w:val="nil"/>
            </w:tcBorders>
            <w:shd w:val="clear" w:color="auto" w:fill="D9D9D9" w:themeFill="background1" w:themeFillShade="D9"/>
            <w:vAlign w:val="center"/>
          </w:tcPr>
          <w:p w14:paraId="35DB2596"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3,0</w:t>
            </w:r>
          </w:p>
        </w:tc>
        <w:tc>
          <w:tcPr>
            <w:tcW w:w="510" w:type="dxa"/>
            <w:tcBorders>
              <w:top w:val="nil"/>
              <w:left w:val="nil"/>
              <w:bottom w:val="single" w:sz="4" w:space="0" w:color="auto"/>
              <w:right w:val="nil"/>
            </w:tcBorders>
            <w:shd w:val="clear" w:color="000000" w:fill="FFFFFF"/>
            <w:vAlign w:val="center"/>
          </w:tcPr>
          <w:p w14:paraId="333DC688"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2,9</w:t>
            </w:r>
          </w:p>
        </w:tc>
        <w:tc>
          <w:tcPr>
            <w:tcW w:w="510" w:type="dxa"/>
            <w:tcBorders>
              <w:top w:val="nil"/>
              <w:left w:val="nil"/>
              <w:bottom w:val="single" w:sz="4" w:space="0" w:color="auto"/>
              <w:right w:val="nil"/>
            </w:tcBorders>
            <w:shd w:val="clear" w:color="auto" w:fill="D9D9D9" w:themeFill="background1" w:themeFillShade="D9"/>
            <w:vAlign w:val="center"/>
          </w:tcPr>
          <w:p w14:paraId="63F61D7B"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2,8</w:t>
            </w:r>
          </w:p>
        </w:tc>
        <w:tc>
          <w:tcPr>
            <w:tcW w:w="510" w:type="dxa"/>
            <w:tcBorders>
              <w:top w:val="nil"/>
              <w:left w:val="nil"/>
              <w:bottom w:val="single" w:sz="4" w:space="0" w:color="auto"/>
              <w:right w:val="nil"/>
            </w:tcBorders>
            <w:shd w:val="clear" w:color="000000" w:fill="FFFFFF"/>
            <w:vAlign w:val="center"/>
          </w:tcPr>
          <w:p w14:paraId="73D5DBDC"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2,7</w:t>
            </w:r>
          </w:p>
        </w:tc>
        <w:tc>
          <w:tcPr>
            <w:tcW w:w="510" w:type="dxa"/>
            <w:tcBorders>
              <w:top w:val="nil"/>
              <w:left w:val="nil"/>
              <w:bottom w:val="single" w:sz="4" w:space="0" w:color="auto"/>
              <w:right w:val="nil"/>
            </w:tcBorders>
            <w:shd w:val="clear" w:color="auto" w:fill="D9D9D9" w:themeFill="background1" w:themeFillShade="D9"/>
            <w:vAlign w:val="center"/>
          </w:tcPr>
          <w:p w14:paraId="6E608181"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2,6</w:t>
            </w:r>
          </w:p>
        </w:tc>
      </w:tr>
      <w:tr w:rsidR="0001150C" w:rsidRPr="001D642A" w14:paraId="52FFFE12" w14:textId="77777777" w:rsidTr="007E1298">
        <w:trPr>
          <w:trHeight w:val="255"/>
          <w:jc w:val="center"/>
        </w:trPr>
        <w:tc>
          <w:tcPr>
            <w:tcW w:w="3402" w:type="dxa"/>
            <w:vMerge/>
            <w:tcBorders>
              <w:top w:val="nil"/>
              <w:left w:val="nil"/>
              <w:bottom w:val="nil"/>
              <w:right w:val="nil"/>
            </w:tcBorders>
            <w:vAlign w:val="center"/>
            <w:hideMark/>
          </w:tcPr>
          <w:p w14:paraId="65A03F46"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p>
        </w:tc>
        <w:tc>
          <w:tcPr>
            <w:tcW w:w="286" w:type="dxa"/>
            <w:tcBorders>
              <w:top w:val="nil"/>
              <w:left w:val="nil"/>
              <w:bottom w:val="single" w:sz="4" w:space="0" w:color="auto"/>
              <w:right w:val="nil"/>
            </w:tcBorders>
            <w:shd w:val="clear" w:color="000000" w:fill="FFFFFF"/>
            <w:noWrap/>
            <w:vAlign w:val="center"/>
            <w:hideMark/>
          </w:tcPr>
          <w:p w14:paraId="4FA83FE3"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D</w:t>
            </w:r>
          </w:p>
        </w:tc>
        <w:tc>
          <w:tcPr>
            <w:tcW w:w="510" w:type="dxa"/>
            <w:tcBorders>
              <w:top w:val="nil"/>
              <w:left w:val="nil"/>
              <w:bottom w:val="single" w:sz="4" w:space="0" w:color="auto"/>
              <w:right w:val="nil"/>
            </w:tcBorders>
            <w:shd w:val="clear" w:color="auto" w:fill="D9D9D9" w:themeFill="background1" w:themeFillShade="D9"/>
            <w:vAlign w:val="center"/>
          </w:tcPr>
          <w:p w14:paraId="04A7D10B"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2,0</w:t>
            </w:r>
          </w:p>
        </w:tc>
        <w:tc>
          <w:tcPr>
            <w:tcW w:w="510" w:type="dxa"/>
            <w:tcBorders>
              <w:top w:val="nil"/>
              <w:left w:val="nil"/>
              <w:bottom w:val="single" w:sz="4" w:space="0" w:color="auto"/>
              <w:right w:val="nil"/>
            </w:tcBorders>
            <w:shd w:val="clear" w:color="000000" w:fill="FFFFFF"/>
            <w:vAlign w:val="center"/>
          </w:tcPr>
          <w:p w14:paraId="350B43DA"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auto" w:fill="D9D9D9" w:themeFill="background1" w:themeFillShade="D9"/>
            <w:vAlign w:val="center"/>
          </w:tcPr>
          <w:p w14:paraId="0C36C629"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2,2</w:t>
            </w:r>
          </w:p>
        </w:tc>
        <w:tc>
          <w:tcPr>
            <w:tcW w:w="510" w:type="dxa"/>
            <w:tcBorders>
              <w:top w:val="nil"/>
              <w:left w:val="nil"/>
              <w:bottom w:val="single" w:sz="4" w:space="0" w:color="auto"/>
              <w:right w:val="nil"/>
            </w:tcBorders>
            <w:shd w:val="clear" w:color="000000" w:fill="FFFFFF"/>
            <w:vAlign w:val="center"/>
          </w:tcPr>
          <w:p w14:paraId="2C5CBCB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2,2</w:t>
            </w:r>
          </w:p>
        </w:tc>
        <w:tc>
          <w:tcPr>
            <w:tcW w:w="510" w:type="dxa"/>
            <w:tcBorders>
              <w:top w:val="nil"/>
              <w:left w:val="nil"/>
              <w:bottom w:val="single" w:sz="4" w:space="0" w:color="auto"/>
              <w:right w:val="nil"/>
            </w:tcBorders>
            <w:shd w:val="clear" w:color="auto" w:fill="D9D9D9" w:themeFill="background1" w:themeFillShade="D9"/>
            <w:vAlign w:val="center"/>
          </w:tcPr>
          <w:p w14:paraId="7CC02CDD"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2,4</w:t>
            </w:r>
          </w:p>
        </w:tc>
        <w:tc>
          <w:tcPr>
            <w:tcW w:w="510" w:type="dxa"/>
            <w:tcBorders>
              <w:top w:val="nil"/>
              <w:left w:val="nil"/>
              <w:bottom w:val="single" w:sz="4" w:space="0" w:color="auto"/>
              <w:right w:val="nil"/>
            </w:tcBorders>
            <w:shd w:val="clear" w:color="000000" w:fill="FFFFFF"/>
            <w:vAlign w:val="center"/>
          </w:tcPr>
          <w:p w14:paraId="73861491"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2,8</w:t>
            </w:r>
          </w:p>
        </w:tc>
        <w:tc>
          <w:tcPr>
            <w:tcW w:w="510" w:type="dxa"/>
            <w:tcBorders>
              <w:top w:val="nil"/>
              <w:left w:val="nil"/>
              <w:bottom w:val="single" w:sz="4" w:space="0" w:color="auto"/>
              <w:right w:val="nil"/>
            </w:tcBorders>
            <w:shd w:val="clear" w:color="auto" w:fill="D9D9D9" w:themeFill="background1" w:themeFillShade="D9"/>
            <w:vAlign w:val="center"/>
          </w:tcPr>
          <w:p w14:paraId="79CFE94C"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2,8</w:t>
            </w:r>
          </w:p>
        </w:tc>
        <w:tc>
          <w:tcPr>
            <w:tcW w:w="510" w:type="dxa"/>
            <w:tcBorders>
              <w:top w:val="nil"/>
              <w:left w:val="nil"/>
              <w:bottom w:val="single" w:sz="4" w:space="0" w:color="auto"/>
              <w:right w:val="nil"/>
            </w:tcBorders>
            <w:shd w:val="clear" w:color="000000" w:fill="FFFFFF"/>
            <w:vAlign w:val="center"/>
          </w:tcPr>
          <w:p w14:paraId="3835F4B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2,8</w:t>
            </w:r>
          </w:p>
        </w:tc>
        <w:tc>
          <w:tcPr>
            <w:tcW w:w="510" w:type="dxa"/>
            <w:tcBorders>
              <w:top w:val="nil"/>
              <w:left w:val="nil"/>
              <w:bottom w:val="single" w:sz="4" w:space="0" w:color="auto"/>
              <w:right w:val="nil"/>
            </w:tcBorders>
            <w:shd w:val="clear" w:color="auto" w:fill="D9D9D9" w:themeFill="background1" w:themeFillShade="D9"/>
            <w:vAlign w:val="center"/>
          </w:tcPr>
          <w:p w14:paraId="08FA87F9"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2,8</w:t>
            </w:r>
          </w:p>
        </w:tc>
        <w:tc>
          <w:tcPr>
            <w:tcW w:w="510" w:type="dxa"/>
            <w:tcBorders>
              <w:top w:val="nil"/>
              <w:left w:val="nil"/>
              <w:bottom w:val="single" w:sz="4" w:space="0" w:color="auto"/>
              <w:right w:val="nil"/>
            </w:tcBorders>
            <w:shd w:val="clear" w:color="000000" w:fill="FFFFFF"/>
            <w:vAlign w:val="center"/>
          </w:tcPr>
          <w:p w14:paraId="0E3F0D5D"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2,7</w:t>
            </w:r>
          </w:p>
        </w:tc>
        <w:tc>
          <w:tcPr>
            <w:tcW w:w="510" w:type="dxa"/>
            <w:tcBorders>
              <w:top w:val="nil"/>
              <w:left w:val="nil"/>
              <w:bottom w:val="single" w:sz="4" w:space="0" w:color="auto"/>
              <w:right w:val="nil"/>
            </w:tcBorders>
            <w:shd w:val="clear" w:color="auto" w:fill="D9D9D9" w:themeFill="background1" w:themeFillShade="D9"/>
            <w:vAlign w:val="center"/>
          </w:tcPr>
          <w:p w14:paraId="23F05B37"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2,6</w:t>
            </w:r>
          </w:p>
        </w:tc>
        <w:tc>
          <w:tcPr>
            <w:tcW w:w="510" w:type="dxa"/>
            <w:tcBorders>
              <w:top w:val="nil"/>
              <w:left w:val="nil"/>
              <w:bottom w:val="single" w:sz="4" w:space="0" w:color="auto"/>
              <w:right w:val="nil"/>
            </w:tcBorders>
            <w:shd w:val="clear" w:color="000000" w:fill="FFFFFF"/>
            <w:vAlign w:val="center"/>
          </w:tcPr>
          <w:p w14:paraId="56E809D2"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2,2</w:t>
            </w:r>
          </w:p>
        </w:tc>
        <w:tc>
          <w:tcPr>
            <w:tcW w:w="510" w:type="dxa"/>
            <w:tcBorders>
              <w:top w:val="nil"/>
              <w:left w:val="nil"/>
              <w:bottom w:val="single" w:sz="4" w:space="0" w:color="auto"/>
              <w:right w:val="nil"/>
            </w:tcBorders>
            <w:shd w:val="clear" w:color="auto" w:fill="D9D9D9" w:themeFill="background1" w:themeFillShade="D9"/>
            <w:vAlign w:val="center"/>
          </w:tcPr>
          <w:p w14:paraId="1ECDAA03"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2,2</w:t>
            </w:r>
          </w:p>
        </w:tc>
      </w:tr>
      <w:tr w:rsidR="0001150C" w:rsidRPr="001D642A" w14:paraId="40DF8BED" w14:textId="77777777" w:rsidTr="007E1298">
        <w:trPr>
          <w:trHeight w:val="127"/>
          <w:jc w:val="center"/>
        </w:trPr>
        <w:tc>
          <w:tcPr>
            <w:tcW w:w="3402" w:type="dxa"/>
            <w:vMerge w:val="restart"/>
            <w:tcBorders>
              <w:top w:val="single" w:sz="4" w:space="0" w:color="auto"/>
              <w:left w:val="nil"/>
              <w:bottom w:val="single" w:sz="4" w:space="0" w:color="000000"/>
              <w:right w:val="nil"/>
            </w:tcBorders>
            <w:shd w:val="clear" w:color="000000" w:fill="FFFFFF"/>
            <w:vAlign w:val="center"/>
            <w:hideMark/>
          </w:tcPr>
          <w:p w14:paraId="41C2CF3B"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r w:rsidRPr="001D642A">
              <w:rPr>
                <w:rFonts w:ascii="Arial Narrow" w:hAnsi="Arial Narrow"/>
                <w:color w:val="000000"/>
                <w:kern w:val="0"/>
                <w:sz w:val="18"/>
                <w:szCs w:val="18"/>
              </w:rPr>
              <w:t xml:space="preserve">    Alimentari non lavorati</w:t>
            </w:r>
          </w:p>
        </w:tc>
        <w:tc>
          <w:tcPr>
            <w:tcW w:w="286" w:type="dxa"/>
            <w:tcBorders>
              <w:top w:val="nil"/>
              <w:left w:val="nil"/>
              <w:bottom w:val="single" w:sz="4" w:space="0" w:color="auto"/>
              <w:right w:val="nil"/>
            </w:tcBorders>
            <w:shd w:val="clear" w:color="000000" w:fill="FFFFFF"/>
            <w:noWrap/>
            <w:vAlign w:val="center"/>
            <w:hideMark/>
          </w:tcPr>
          <w:p w14:paraId="6994EA57"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P</w:t>
            </w:r>
          </w:p>
        </w:tc>
        <w:tc>
          <w:tcPr>
            <w:tcW w:w="510" w:type="dxa"/>
            <w:tcBorders>
              <w:top w:val="nil"/>
              <w:left w:val="nil"/>
              <w:bottom w:val="single" w:sz="4" w:space="0" w:color="auto"/>
              <w:right w:val="nil"/>
            </w:tcBorders>
            <w:shd w:val="clear" w:color="auto" w:fill="D9D9D9" w:themeFill="background1" w:themeFillShade="D9"/>
            <w:vAlign w:val="center"/>
          </w:tcPr>
          <w:p w14:paraId="10EEF8A1"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2,9</w:t>
            </w:r>
          </w:p>
        </w:tc>
        <w:tc>
          <w:tcPr>
            <w:tcW w:w="510" w:type="dxa"/>
            <w:tcBorders>
              <w:top w:val="nil"/>
              <w:left w:val="nil"/>
              <w:bottom w:val="single" w:sz="4" w:space="0" w:color="auto"/>
              <w:right w:val="nil"/>
            </w:tcBorders>
            <w:shd w:val="clear" w:color="000000" w:fill="FFFFFF"/>
            <w:vAlign w:val="center"/>
          </w:tcPr>
          <w:p w14:paraId="3AC4F6F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2,7</w:t>
            </w:r>
          </w:p>
        </w:tc>
        <w:tc>
          <w:tcPr>
            <w:tcW w:w="510" w:type="dxa"/>
            <w:tcBorders>
              <w:top w:val="nil"/>
              <w:left w:val="nil"/>
              <w:bottom w:val="single" w:sz="4" w:space="0" w:color="auto"/>
              <w:right w:val="nil"/>
            </w:tcBorders>
            <w:shd w:val="clear" w:color="auto" w:fill="D9D9D9" w:themeFill="background1" w:themeFillShade="D9"/>
            <w:vAlign w:val="center"/>
          </w:tcPr>
          <w:p w14:paraId="3143C16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3,3</w:t>
            </w:r>
          </w:p>
        </w:tc>
        <w:tc>
          <w:tcPr>
            <w:tcW w:w="510" w:type="dxa"/>
            <w:tcBorders>
              <w:top w:val="nil"/>
              <w:left w:val="nil"/>
              <w:bottom w:val="single" w:sz="4" w:space="0" w:color="auto"/>
              <w:right w:val="nil"/>
            </w:tcBorders>
            <w:shd w:val="clear" w:color="000000" w:fill="FFFFFF"/>
            <w:vAlign w:val="center"/>
          </w:tcPr>
          <w:p w14:paraId="0F5EFABD"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3,6</w:t>
            </w:r>
          </w:p>
        </w:tc>
        <w:tc>
          <w:tcPr>
            <w:tcW w:w="510" w:type="dxa"/>
            <w:tcBorders>
              <w:top w:val="nil"/>
              <w:left w:val="nil"/>
              <w:bottom w:val="single" w:sz="4" w:space="0" w:color="auto"/>
              <w:right w:val="nil"/>
            </w:tcBorders>
            <w:shd w:val="clear" w:color="auto" w:fill="D9D9D9" w:themeFill="background1" w:themeFillShade="D9"/>
            <w:vAlign w:val="center"/>
          </w:tcPr>
          <w:p w14:paraId="49C5DD3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4,8</w:t>
            </w:r>
          </w:p>
        </w:tc>
        <w:tc>
          <w:tcPr>
            <w:tcW w:w="510" w:type="dxa"/>
            <w:tcBorders>
              <w:top w:val="nil"/>
              <w:left w:val="nil"/>
              <w:bottom w:val="single" w:sz="4" w:space="0" w:color="auto"/>
              <w:right w:val="nil"/>
            </w:tcBorders>
            <w:shd w:val="clear" w:color="000000" w:fill="FFFFFF"/>
            <w:vAlign w:val="center"/>
          </w:tcPr>
          <w:p w14:paraId="46C4FF98"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4,3</w:t>
            </w:r>
          </w:p>
        </w:tc>
        <w:tc>
          <w:tcPr>
            <w:tcW w:w="510" w:type="dxa"/>
            <w:tcBorders>
              <w:top w:val="nil"/>
              <w:left w:val="nil"/>
              <w:bottom w:val="single" w:sz="4" w:space="0" w:color="auto"/>
              <w:right w:val="nil"/>
            </w:tcBorders>
            <w:shd w:val="clear" w:color="auto" w:fill="D9D9D9" w:themeFill="background1" w:themeFillShade="D9"/>
            <w:vAlign w:val="center"/>
          </w:tcPr>
          <w:p w14:paraId="0E8E37EC"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4,5</w:t>
            </w:r>
          </w:p>
        </w:tc>
        <w:tc>
          <w:tcPr>
            <w:tcW w:w="510" w:type="dxa"/>
            <w:tcBorders>
              <w:top w:val="nil"/>
              <w:left w:val="nil"/>
              <w:bottom w:val="single" w:sz="4" w:space="0" w:color="auto"/>
              <w:right w:val="nil"/>
            </w:tcBorders>
            <w:shd w:val="clear" w:color="000000" w:fill="FFFFFF"/>
            <w:vAlign w:val="center"/>
          </w:tcPr>
          <w:p w14:paraId="01041A1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5,9</w:t>
            </w:r>
          </w:p>
        </w:tc>
        <w:tc>
          <w:tcPr>
            <w:tcW w:w="510" w:type="dxa"/>
            <w:tcBorders>
              <w:top w:val="nil"/>
              <w:left w:val="nil"/>
              <w:bottom w:val="single" w:sz="4" w:space="0" w:color="auto"/>
              <w:right w:val="nil"/>
            </w:tcBorders>
            <w:shd w:val="clear" w:color="auto" w:fill="D9D9D9" w:themeFill="background1" w:themeFillShade="D9"/>
            <w:vAlign w:val="center"/>
          </w:tcPr>
          <w:p w14:paraId="15690D5E"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6,4</w:t>
            </w:r>
          </w:p>
        </w:tc>
        <w:tc>
          <w:tcPr>
            <w:tcW w:w="510" w:type="dxa"/>
            <w:tcBorders>
              <w:top w:val="nil"/>
              <w:left w:val="nil"/>
              <w:bottom w:val="single" w:sz="4" w:space="0" w:color="auto"/>
              <w:right w:val="nil"/>
            </w:tcBorders>
            <w:shd w:val="clear" w:color="000000" w:fill="FFFFFF"/>
            <w:vAlign w:val="center"/>
          </w:tcPr>
          <w:p w14:paraId="7A32870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5,5</w:t>
            </w:r>
          </w:p>
        </w:tc>
        <w:tc>
          <w:tcPr>
            <w:tcW w:w="510" w:type="dxa"/>
            <w:tcBorders>
              <w:top w:val="nil"/>
              <w:left w:val="nil"/>
              <w:bottom w:val="single" w:sz="4" w:space="0" w:color="auto"/>
              <w:right w:val="nil"/>
            </w:tcBorders>
            <w:shd w:val="clear" w:color="auto" w:fill="D9D9D9" w:themeFill="background1" w:themeFillShade="D9"/>
            <w:vAlign w:val="center"/>
          </w:tcPr>
          <w:p w14:paraId="7F73A9AA"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2,0</w:t>
            </w:r>
          </w:p>
        </w:tc>
        <w:tc>
          <w:tcPr>
            <w:tcW w:w="510" w:type="dxa"/>
            <w:tcBorders>
              <w:top w:val="nil"/>
              <w:left w:val="nil"/>
              <w:bottom w:val="single" w:sz="4" w:space="0" w:color="auto"/>
              <w:right w:val="nil"/>
            </w:tcBorders>
            <w:shd w:val="clear" w:color="000000" w:fill="FFFFFF"/>
            <w:vAlign w:val="center"/>
          </w:tcPr>
          <w:p w14:paraId="1340E050"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1,4</w:t>
            </w:r>
          </w:p>
        </w:tc>
        <w:tc>
          <w:tcPr>
            <w:tcW w:w="510" w:type="dxa"/>
            <w:tcBorders>
              <w:top w:val="nil"/>
              <w:left w:val="nil"/>
              <w:bottom w:val="single" w:sz="4" w:space="0" w:color="auto"/>
              <w:right w:val="nil"/>
            </w:tcBorders>
            <w:shd w:val="clear" w:color="auto" w:fill="D9D9D9" w:themeFill="background1" w:themeFillShade="D9"/>
            <w:vAlign w:val="center"/>
          </w:tcPr>
          <w:p w14:paraId="3AEA12C9"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2,6</w:t>
            </w:r>
          </w:p>
        </w:tc>
      </w:tr>
      <w:tr w:rsidR="0001150C" w:rsidRPr="001D642A" w14:paraId="4827807C" w14:textId="77777777" w:rsidTr="007E1298">
        <w:trPr>
          <w:trHeight w:val="255"/>
          <w:jc w:val="center"/>
        </w:trPr>
        <w:tc>
          <w:tcPr>
            <w:tcW w:w="3402" w:type="dxa"/>
            <w:vMerge/>
            <w:tcBorders>
              <w:top w:val="single" w:sz="4" w:space="0" w:color="auto"/>
              <w:left w:val="nil"/>
              <w:bottom w:val="single" w:sz="4" w:space="0" w:color="000000"/>
              <w:right w:val="nil"/>
            </w:tcBorders>
            <w:vAlign w:val="center"/>
            <w:hideMark/>
          </w:tcPr>
          <w:p w14:paraId="5B07D3F2"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p>
        </w:tc>
        <w:tc>
          <w:tcPr>
            <w:tcW w:w="286" w:type="dxa"/>
            <w:tcBorders>
              <w:top w:val="nil"/>
              <w:left w:val="nil"/>
              <w:bottom w:val="single" w:sz="4" w:space="0" w:color="auto"/>
              <w:right w:val="nil"/>
            </w:tcBorders>
            <w:shd w:val="clear" w:color="000000" w:fill="FFFFFF"/>
            <w:noWrap/>
            <w:vAlign w:val="center"/>
            <w:hideMark/>
          </w:tcPr>
          <w:p w14:paraId="565AC461"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D</w:t>
            </w:r>
          </w:p>
        </w:tc>
        <w:tc>
          <w:tcPr>
            <w:tcW w:w="510" w:type="dxa"/>
            <w:tcBorders>
              <w:top w:val="nil"/>
              <w:left w:val="nil"/>
              <w:bottom w:val="single" w:sz="4" w:space="0" w:color="auto"/>
              <w:right w:val="nil"/>
            </w:tcBorders>
            <w:shd w:val="clear" w:color="auto" w:fill="D9D9D9" w:themeFill="background1" w:themeFillShade="D9"/>
            <w:vAlign w:val="center"/>
          </w:tcPr>
          <w:p w14:paraId="732C926E"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2,6</w:t>
            </w:r>
          </w:p>
        </w:tc>
        <w:tc>
          <w:tcPr>
            <w:tcW w:w="510" w:type="dxa"/>
            <w:tcBorders>
              <w:top w:val="nil"/>
              <w:left w:val="nil"/>
              <w:bottom w:val="single" w:sz="4" w:space="0" w:color="auto"/>
              <w:right w:val="nil"/>
            </w:tcBorders>
            <w:shd w:val="clear" w:color="000000" w:fill="FFFFFF"/>
            <w:vAlign w:val="center"/>
          </w:tcPr>
          <w:p w14:paraId="0FFA73F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2,6</w:t>
            </w:r>
          </w:p>
        </w:tc>
        <w:tc>
          <w:tcPr>
            <w:tcW w:w="510" w:type="dxa"/>
            <w:tcBorders>
              <w:top w:val="nil"/>
              <w:left w:val="nil"/>
              <w:bottom w:val="single" w:sz="4" w:space="0" w:color="auto"/>
              <w:right w:val="nil"/>
            </w:tcBorders>
            <w:shd w:val="clear" w:color="auto" w:fill="D9D9D9" w:themeFill="background1" w:themeFillShade="D9"/>
            <w:vAlign w:val="center"/>
          </w:tcPr>
          <w:p w14:paraId="163F4A5C"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3,1</w:t>
            </w:r>
          </w:p>
        </w:tc>
        <w:tc>
          <w:tcPr>
            <w:tcW w:w="510" w:type="dxa"/>
            <w:tcBorders>
              <w:top w:val="nil"/>
              <w:left w:val="nil"/>
              <w:bottom w:val="single" w:sz="4" w:space="0" w:color="auto"/>
              <w:right w:val="nil"/>
            </w:tcBorders>
            <w:shd w:val="clear" w:color="000000" w:fill="FFFFFF"/>
            <w:vAlign w:val="center"/>
          </w:tcPr>
          <w:p w14:paraId="1514626C"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3,6</w:t>
            </w:r>
          </w:p>
        </w:tc>
        <w:tc>
          <w:tcPr>
            <w:tcW w:w="510" w:type="dxa"/>
            <w:tcBorders>
              <w:top w:val="nil"/>
              <w:left w:val="nil"/>
              <w:bottom w:val="single" w:sz="4" w:space="0" w:color="auto"/>
              <w:right w:val="nil"/>
            </w:tcBorders>
            <w:shd w:val="clear" w:color="auto" w:fill="D9D9D9" w:themeFill="background1" w:themeFillShade="D9"/>
            <w:vAlign w:val="center"/>
          </w:tcPr>
          <w:p w14:paraId="4A108926"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4,7</w:t>
            </w:r>
          </w:p>
        </w:tc>
        <w:tc>
          <w:tcPr>
            <w:tcW w:w="510" w:type="dxa"/>
            <w:tcBorders>
              <w:top w:val="nil"/>
              <w:left w:val="nil"/>
              <w:bottom w:val="single" w:sz="4" w:space="0" w:color="auto"/>
              <w:right w:val="nil"/>
            </w:tcBorders>
            <w:shd w:val="clear" w:color="000000" w:fill="FFFFFF"/>
            <w:vAlign w:val="center"/>
          </w:tcPr>
          <w:p w14:paraId="776A4E51"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3,9</w:t>
            </w:r>
          </w:p>
        </w:tc>
        <w:tc>
          <w:tcPr>
            <w:tcW w:w="510" w:type="dxa"/>
            <w:tcBorders>
              <w:top w:val="nil"/>
              <w:left w:val="nil"/>
              <w:bottom w:val="single" w:sz="4" w:space="0" w:color="auto"/>
              <w:right w:val="nil"/>
            </w:tcBorders>
            <w:shd w:val="clear" w:color="auto" w:fill="D9D9D9" w:themeFill="background1" w:themeFillShade="D9"/>
            <w:vAlign w:val="center"/>
          </w:tcPr>
          <w:p w14:paraId="444B7F9F"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4,5</w:t>
            </w:r>
          </w:p>
        </w:tc>
        <w:tc>
          <w:tcPr>
            <w:tcW w:w="510" w:type="dxa"/>
            <w:tcBorders>
              <w:top w:val="nil"/>
              <w:left w:val="nil"/>
              <w:bottom w:val="single" w:sz="4" w:space="0" w:color="auto"/>
              <w:right w:val="nil"/>
            </w:tcBorders>
            <w:shd w:val="clear" w:color="000000" w:fill="FFFFFF"/>
            <w:vAlign w:val="center"/>
          </w:tcPr>
          <w:p w14:paraId="1F6BDCE4"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5,9</w:t>
            </w:r>
          </w:p>
        </w:tc>
        <w:tc>
          <w:tcPr>
            <w:tcW w:w="510" w:type="dxa"/>
            <w:tcBorders>
              <w:top w:val="nil"/>
              <w:left w:val="nil"/>
              <w:bottom w:val="single" w:sz="4" w:space="0" w:color="auto"/>
              <w:right w:val="nil"/>
            </w:tcBorders>
            <w:shd w:val="clear" w:color="auto" w:fill="D9D9D9" w:themeFill="background1" w:themeFillShade="D9"/>
            <w:vAlign w:val="center"/>
          </w:tcPr>
          <w:p w14:paraId="0805E069"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6,4</w:t>
            </w:r>
          </w:p>
        </w:tc>
        <w:tc>
          <w:tcPr>
            <w:tcW w:w="510" w:type="dxa"/>
            <w:tcBorders>
              <w:top w:val="nil"/>
              <w:left w:val="nil"/>
              <w:bottom w:val="single" w:sz="4" w:space="0" w:color="auto"/>
              <w:right w:val="nil"/>
            </w:tcBorders>
            <w:shd w:val="clear" w:color="000000" w:fill="FFFFFF"/>
            <w:vAlign w:val="center"/>
          </w:tcPr>
          <w:p w14:paraId="647EDDD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5,5</w:t>
            </w:r>
          </w:p>
        </w:tc>
        <w:tc>
          <w:tcPr>
            <w:tcW w:w="510" w:type="dxa"/>
            <w:tcBorders>
              <w:top w:val="nil"/>
              <w:left w:val="nil"/>
              <w:bottom w:val="single" w:sz="4" w:space="0" w:color="auto"/>
              <w:right w:val="nil"/>
            </w:tcBorders>
            <w:shd w:val="clear" w:color="auto" w:fill="D9D9D9" w:themeFill="background1" w:themeFillShade="D9"/>
            <w:vAlign w:val="center"/>
          </w:tcPr>
          <w:p w14:paraId="7211FFDC"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000000" w:fill="FFFFFF"/>
            <w:vAlign w:val="center"/>
          </w:tcPr>
          <w:p w14:paraId="37918AF1"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1,2</w:t>
            </w:r>
          </w:p>
        </w:tc>
        <w:tc>
          <w:tcPr>
            <w:tcW w:w="510" w:type="dxa"/>
            <w:tcBorders>
              <w:top w:val="nil"/>
              <w:left w:val="nil"/>
              <w:bottom w:val="single" w:sz="4" w:space="0" w:color="auto"/>
              <w:right w:val="nil"/>
            </w:tcBorders>
            <w:shd w:val="clear" w:color="auto" w:fill="D9D9D9" w:themeFill="background1" w:themeFillShade="D9"/>
            <w:vAlign w:val="center"/>
          </w:tcPr>
          <w:p w14:paraId="658C084E"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2,6</w:t>
            </w:r>
          </w:p>
        </w:tc>
      </w:tr>
      <w:tr w:rsidR="0001150C" w:rsidRPr="001D642A" w14:paraId="345828AB" w14:textId="77777777" w:rsidTr="007E1298">
        <w:trPr>
          <w:trHeight w:val="255"/>
          <w:jc w:val="center"/>
        </w:trPr>
        <w:tc>
          <w:tcPr>
            <w:tcW w:w="3402" w:type="dxa"/>
            <w:vMerge w:val="restart"/>
            <w:tcBorders>
              <w:top w:val="nil"/>
              <w:left w:val="nil"/>
              <w:bottom w:val="single" w:sz="4" w:space="0" w:color="000000"/>
              <w:right w:val="nil"/>
            </w:tcBorders>
            <w:shd w:val="clear" w:color="000000" w:fill="FFFFFF"/>
            <w:vAlign w:val="center"/>
            <w:hideMark/>
          </w:tcPr>
          <w:p w14:paraId="2E790152"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r w:rsidRPr="001D642A">
              <w:rPr>
                <w:rFonts w:ascii="Arial Narrow" w:hAnsi="Arial Narrow"/>
                <w:color w:val="000000"/>
                <w:kern w:val="0"/>
                <w:sz w:val="18"/>
                <w:szCs w:val="18"/>
              </w:rPr>
              <w:t>Energia</w:t>
            </w:r>
          </w:p>
        </w:tc>
        <w:tc>
          <w:tcPr>
            <w:tcW w:w="286" w:type="dxa"/>
            <w:tcBorders>
              <w:top w:val="nil"/>
              <w:left w:val="nil"/>
              <w:bottom w:val="single" w:sz="4" w:space="0" w:color="auto"/>
              <w:right w:val="nil"/>
            </w:tcBorders>
            <w:shd w:val="clear" w:color="000000" w:fill="FFFFFF"/>
            <w:noWrap/>
            <w:vAlign w:val="center"/>
            <w:hideMark/>
          </w:tcPr>
          <w:p w14:paraId="73346C52"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P</w:t>
            </w:r>
          </w:p>
        </w:tc>
        <w:tc>
          <w:tcPr>
            <w:tcW w:w="510" w:type="dxa"/>
            <w:tcBorders>
              <w:top w:val="nil"/>
              <w:left w:val="nil"/>
              <w:bottom w:val="single" w:sz="4" w:space="0" w:color="auto"/>
              <w:right w:val="nil"/>
            </w:tcBorders>
            <w:shd w:val="clear" w:color="auto" w:fill="D9D9D9" w:themeFill="background1" w:themeFillShade="D9"/>
            <w:vAlign w:val="center"/>
          </w:tcPr>
          <w:p w14:paraId="3D2C7535"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-2,9</w:t>
            </w:r>
          </w:p>
        </w:tc>
        <w:tc>
          <w:tcPr>
            <w:tcW w:w="510" w:type="dxa"/>
            <w:tcBorders>
              <w:top w:val="nil"/>
              <w:left w:val="nil"/>
              <w:bottom w:val="single" w:sz="4" w:space="0" w:color="auto"/>
              <w:right w:val="nil"/>
            </w:tcBorders>
            <w:shd w:val="clear" w:color="000000" w:fill="FFFFFF"/>
            <w:vAlign w:val="center"/>
          </w:tcPr>
          <w:p w14:paraId="6D994FFD"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-0,7</w:t>
            </w:r>
          </w:p>
        </w:tc>
        <w:tc>
          <w:tcPr>
            <w:tcW w:w="510" w:type="dxa"/>
            <w:tcBorders>
              <w:top w:val="nil"/>
              <w:left w:val="nil"/>
              <w:bottom w:val="single" w:sz="4" w:space="0" w:color="auto"/>
              <w:right w:val="nil"/>
            </w:tcBorders>
            <w:shd w:val="clear" w:color="auto" w:fill="D9D9D9" w:themeFill="background1" w:themeFillShade="D9"/>
            <w:vAlign w:val="center"/>
          </w:tcPr>
          <w:p w14:paraId="2D9E7FA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0,6</w:t>
            </w:r>
          </w:p>
        </w:tc>
        <w:tc>
          <w:tcPr>
            <w:tcW w:w="510" w:type="dxa"/>
            <w:tcBorders>
              <w:top w:val="nil"/>
              <w:left w:val="nil"/>
              <w:bottom w:val="single" w:sz="4" w:space="0" w:color="auto"/>
              <w:right w:val="nil"/>
            </w:tcBorders>
            <w:shd w:val="clear" w:color="000000" w:fill="FFFFFF"/>
            <w:vAlign w:val="center"/>
          </w:tcPr>
          <w:p w14:paraId="3494862F"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3,3</w:t>
            </w:r>
          </w:p>
        </w:tc>
        <w:tc>
          <w:tcPr>
            <w:tcW w:w="510" w:type="dxa"/>
            <w:tcBorders>
              <w:top w:val="nil"/>
              <w:left w:val="nil"/>
              <w:bottom w:val="single" w:sz="4" w:space="0" w:color="auto"/>
              <w:right w:val="nil"/>
            </w:tcBorders>
            <w:shd w:val="clear" w:color="auto" w:fill="D9D9D9" w:themeFill="background1" w:themeFillShade="D9"/>
            <w:vAlign w:val="center"/>
          </w:tcPr>
          <w:p w14:paraId="40EC825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-0,2</w:t>
            </w:r>
          </w:p>
        </w:tc>
        <w:tc>
          <w:tcPr>
            <w:tcW w:w="510" w:type="dxa"/>
            <w:tcBorders>
              <w:top w:val="nil"/>
              <w:left w:val="nil"/>
              <w:bottom w:val="single" w:sz="4" w:space="0" w:color="auto"/>
              <w:right w:val="nil"/>
            </w:tcBorders>
            <w:shd w:val="clear" w:color="000000" w:fill="FFFFFF"/>
            <w:vAlign w:val="center"/>
          </w:tcPr>
          <w:p w14:paraId="4C51A94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auto" w:fill="D9D9D9" w:themeFill="background1" w:themeFillShade="D9"/>
            <w:vAlign w:val="center"/>
          </w:tcPr>
          <w:p w14:paraId="73D73EC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-2,5</w:t>
            </w:r>
          </w:p>
        </w:tc>
        <w:tc>
          <w:tcPr>
            <w:tcW w:w="510" w:type="dxa"/>
            <w:tcBorders>
              <w:top w:val="nil"/>
              <w:left w:val="nil"/>
              <w:bottom w:val="single" w:sz="4" w:space="0" w:color="auto"/>
              <w:right w:val="nil"/>
            </w:tcBorders>
            <w:shd w:val="clear" w:color="000000" w:fill="FFFFFF"/>
            <w:vAlign w:val="center"/>
          </w:tcPr>
          <w:p w14:paraId="238FAD5C"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-4,0</w:t>
            </w:r>
          </w:p>
        </w:tc>
        <w:tc>
          <w:tcPr>
            <w:tcW w:w="510" w:type="dxa"/>
            <w:tcBorders>
              <w:top w:val="nil"/>
              <w:left w:val="nil"/>
              <w:bottom w:val="single" w:sz="4" w:space="0" w:color="auto"/>
              <w:right w:val="nil"/>
            </w:tcBorders>
            <w:shd w:val="clear" w:color="auto" w:fill="D9D9D9" w:themeFill="background1" w:themeFillShade="D9"/>
            <w:vAlign w:val="center"/>
          </w:tcPr>
          <w:p w14:paraId="59FA794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-4,4</w:t>
            </w:r>
          </w:p>
        </w:tc>
        <w:tc>
          <w:tcPr>
            <w:tcW w:w="510" w:type="dxa"/>
            <w:tcBorders>
              <w:top w:val="nil"/>
              <w:left w:val="nil"/>
              <w:bottom w:val="single" w:sz="4" w:space="0" w:color="auto"/>
              <w:right w:val="nil"/>
            </w:tcBorders>
            <w:shd w:val="clear" w:color="000000" w:fill="FFFFFF"/>
            <w:vAlign w:val="center"/>
          </w:tcPr>
          <w:p w14:paraId="790AED2E"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-3,8</w:t>
            </w:r>
          </w:p>
        </w:tc>
        <w:tc>
          <w:tcPr>
            <w:tcW w:w="510" w:type="dxa"/>
            <w:tcBorders>
              <w:top w:val="nil"/>
              <w:left w:val="nil"/>
              <w:bottom w:val="single" w:sz="4" w:space="0" w:color="auto"/>
              <w:right w:val="nil"/>
            </w:tcBorders>
            <w:shd w:val="clear" w:color="auto" w:fill="D9D9D9" w:themeFill="background1" w:themeFillShade="D9"/>
            <w:vAlign w:val="center"/>
          </w:tcPr>
          <w:p w14:paraId="333A08DB"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-4,6</w:t>
            </w:r>
          </w:p>
        </w:tc>
        <w:tc>
          <w:tcPr>
            <w:tcW w:w="510" w:type="dxa"/>
            <w:tcBorders>
              <w:top w:val="nil"/>
              <w:left w:val="nil"/>
              <w:bottom w:val="single" w:sz="4" w:space="0" w:color="auto"/>
              <w:right w:val="nil"/>
            </w:tcBorders>
            <w:shd w:val="clear" w:color="000000" w:fill="FFFFFF"/>
            <w:vAlign w:val="center"/>
          </w:tcPr>
          <w:p w14:paraId="547278DF"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-4,2</w:t>
            </w:r>
          </w:p>
        </w:tc>
        <w:tc>
          <w:tcPr>
            <w:tcW w:w="510" w:type="dxa"/>
            <w:tcBorders>
              <w:top w:val="nil"/>
              <w:left w:val="nil"/>
              <w:bottom w:val="single" w:sz="4" w:space="0" w:color="auto"/>
              <w:right w:val="nil"/>
            </w:tcBorders>
            <w:shd w:val="clear" w:color="auto" w:fill="D9D9D9" w:themeFill="background1" w:themeFillShade="D9"/>
            <w:vAlign w:val="center"/>
          </w:tcPr>
          <w:p w14:paraId="4693EF82"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-4,5</w:t>
            </w:r>
          </w:p>
        </w:tc>
      </w:tr>
      <w:tr w:rsidR="0001150C" w:rsidRPr="001D642A" w14:paraId="4460779D" w14:textId="77777777" w:rsidTr="007E1298">
        <w:trPr>
          <w:trHeight w:val="255"/>
          <w:jc w:val="center"/>
        </w:trPr>
        <w:tc>
          <w:tcPr>
            <w:tcW w:w="3402" w:type="dxa"/>
            <w:vMerge/>
            <w:tcBorders>
              <w:top w:val="nil"/>
              <w:left w:val="nil"/>
              <w:bottom w:val="single" w:sz="4" w:space="0" w:color="000000"/>
              <w:right w:val="nil"/>
            </w:tcBorders>
            <w:vAlign w:val="center"/>
            <w:hideMark/>
          </w:tcPr>
          <w:p w14:paraId="351CE4D0"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p>
        </w:tc>
        <w:tc>
          <w:tcPr>
            <w:tcW w:w="286" w:type="dxa"/>
            <w:tcBorders>
              <w:top w:val="nil"/>
              <w:left w:val="nil"/>
              <w:bottom w:val="single" w:sz="4" w:space="0" w:color="auto"/>
              <w:right w:val="nil"/>
            </w:tcBorders>
            <w:shd w:val="clear" w:color="000000" w:fill="FFFFFF"/>
            <w:noWrap/>
            <w:vAlign w:val="center"/>
            <w:hideMark/>
          </w:tcPr>
          <w:p w14:paraId="3082DE59"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D</w:t>
            </w:r>
          </w:p>
        </w:tc>
        <w:tc>
          <w:tcPr>
            <w:tcW w:w="510" w:type="dxa"/>
            <w:tcBorders>
              <w:top w:val="nil"/>
              <w:left w:val="nil"/>
              <w:bottom w:val="single" w:sz="4" w:space="0" w:color="auto"/>
              <w:right w:val="nil"/>
            </w:tcBorders>
            <w:shd w:val="clear" w:color="auto" w:fill="D9D9D9" w:themeFill="background1" w:themeFillShade="D9"/>
            <w:vAlign w:val="center"/>
          </w:tcPr>
          <w:p w14:paraId="2798CD8E"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-2,7</w:t>
            </w:r>
          </w:p>
        </w:tc>
        <w:tc>
          <w:tcPr>
            <w:tcW w:w="510" w:type="dxa"/>
            <w:tcBorders>
              <w:top w:val="nil"/>
              <w:left w:val="nil"/>
              <w:bottom w:val="single" w:sz="4" w:space="0" w:color="auto"/>
              <w:right w:val="nil"/>
            </w:tcBorders>
            <w:shd w:val="clear" w:color="000000" w:fill="FFFFFF"/>
            <w:vAlign w:val="center"/>
          </w:tcPr>
          <w:p w14:paraId="2C129688"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-0,7</w:t>
            </w:r>
          </w:p>
        </w:tc>
        <w:tc>
          <w:tcPr>
            <w:tcW w:w="510" w:type="dxa"/>
            <w:tcBorders>
              <w:top w:val="nil"/>
              <w:left w:val="nil"/>
              <w:bottom w:val="single" w:sz="4" w:space="0" w:color="auto"/>
              <w:right w:val="nil"/>
            </w:tcBorders>
            <w:shd w:val="clear" w:color="auto" w:fill="D9D9D9" w:themeFill="background1" w:themeFillShade="D9"/>
            <w:vAlign w:val="center"/>
          </w:tcPr>
          <w:p w14:paraId="60259FFE"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0,6</w:t>
            </w:r>
          </w:p>
        </w:tc>
        <w:tc>
          <w:tcPr>
            <w:tcW w:w="510" w:type="dxa"/>
            <w:tcBorders>
              <w:top w:val="nil"/>
              <w:left w:val="nil"/>
              <w:bottom w:val="single" w:sz="4" w:space="0" w:color="auto"/>
              <w:right w:val="nil"/>
            </w:tcBorders>
            <w:shd w:val="clear" w:color="000000" w:fill="FFFFFF"/>
            <w:vAlign w:val="center"/>
          </w:tcPr>
          <w:p w14:paraId="1E77C32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2,7</w:t>
            </w:r>
          </w:p>
        </w:tc>
        <w:tc>
          <w:tcPr>
            <w:tcW w:w="510" w:type="dxa"/>
            <w:tcBorders>
              <w:top w:val="nil"/>
              <w:left w:val="nil"/>
              <w:bottom w:val="single" w:sz="4" w:space="0" w:color="auto"/>
              <w:right w:val="nil"/>
            </w:tcBorders>
            <w:shd w:val="clear" w:color="auto" w:fill="D9D9D9" w:themeFill="background1" w:themeFillShade="D9"/>
            <w:vAlign w:val="center"/>
          </w:tcPr>
          <w:p w14:paraId="73861D2F"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-0,7</w:t>
            </w:r>
          </w:p>
        </w:tc>
        <w:tc>
          <w:tcPr>
            <w:tcW w:w="510" w:type="dxa"/>
            <w:tcBorders>
              <w:top w:val="nil"/>
              <w:left w:val="nil"/>
              <w:bottom w:val="single" w:sz="4" w:space="0" w:color="auto"/>
              <w:right w:val="nil"/>
            </w:tcBorders>
            <w:shd w:val="clear" w:color="000000" w:fill="FFFFFF"/>
            <w:vAlign w:val="center"/>
          </w:tcPr>
          <w:p w14:paraId="7B1A7D7F"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auto" w:fill="D9D9D9" w:themeFill="background1" w:themeFillShade="D9"/>
            <w:vAlign w:val="center"/>
          </w:tcPr>
          <w:p w14:paraId="424D60D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000000" w:fill="FFFFFF"/>
            <w:vAlign w:val="center"/>
          </w:tcPr>
          <w:p w14:paraId="2D8984CE"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-3,5</w:t>
            </w:r>
          </w:p>
        </w:tc>
        <w:tc>
          <w:tcPr>
            <w:tcW w:w="510" w:type="dxa"/>
            <w:tcBorders>
              <w:top w:val="nil"/>
              <w:left w:val="nil"/>
              <w:bottom w:val="single" w:sz="4" w:space="0" w:color="auto"/>
              <w:right w:val="nil"/>
            </w:tcBorders>
            <w:shd w:val="clear" w:color="auto" w:fill="D9D9D9" w:themeFill="background1" w:themeFillShade="D9"/>
            <w:vAlign w:val="center"/>
          </w:tcPr>
          <w:p w14:paraId="0FB8A51C"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-4,8</w:t>
            </w:r>
          </w:p>
        </w:tc>
        <w:tc>
          <w:tcPr>
            <w:tcW w:w="510" w:type="dxa"/>
            <w:tcBorders>
              <w:top w:val="nil"/>
              <w:left w:val="nil"/>
              <w:bottom w:val="single" w:sz="4" w:space="0" w:color="auto"/>
              <w:right w:val="nil"/>
            </w:tcBorders>
            <w:shd w:val="clear" w:color="000000" w:fill="FFFFFF"/>
            <w:vAlign w:val="center"/>
          </w:tcPr>
          <w:p w14:paraId="39A2E79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-3,8</w:t>
            </w:r>
          </w:p>
        </w:tc>
        <w:tc>
          <w:tcPr>
            <w:tcW w:w="510" w:type="dxa"/>
            <w:tcBorders>
              <w:top w:val="nil"/>
              <w:left w:val="nil"/>
              <w:bottom w:val="single" w:sz="4" w:space="0" w:color="auto"/>
              <w:right w:val="nil"/>
            </w:tcBorders>
            <w:shd w:val="clear" w:color="auto" w:fill="D9D9D9" w:themeFill="background1" w:themeFillShade="D9"/>
            <w:vAlign w:val="center"/>
          </w:tcPr>
          <w:p w14:paraId="399B12C0"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-4,4</w:t>
            </w:r>
          </w:p>
        </w:tc>
        <w:tc>
          <w:tcPr>
            <w:tcW w:w="510" w:type="dxa"/>
            <w:tcBorders>
              <w:top w:val="nil"/>
              <w:left w:val="nil"/>
              <w:bottom w:val="single" w:sz="4" w:space="0" w:color="auto"/>
              <w:right w:val="nil"/>
            </w:tcBorders>
            <w:shd w:val="clear" w:color="000000" w:fill="FFFFFF"/>
            <w:vAlign w:val="center"/>
          </w:tcPr>
          <w:p w14:paraId="0D2B1E81"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-4,2</w:t>
            </w:r>
          </w:p>
        </w:tc>
        <w:tc>
          <w:tcPr>
            <w:tcW w:w="510" w:type="dxa"/>
            <w:tcBorders>
              <w:top w:val="nil"/>
              <w:left w:val="nil"/>
              <w:bottom w:val="single" w:sz="4" w:space="0" w:color="auto"/>
              <w:right w:val="nil"/>
            </w:tcBorders>
            <w:shd w:val="clear" w:color="auto" w:fill="D9D9D9" w:themeFill="background1" w:themeFillShade="D9"/>
            <w:vAlign w:val="center"/>
          </w:tcPr>
          <w:p w14:paraId="4A3DEAAB"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-4,5</w:t>
            </w:r>
          </w:p>
        </w:tc>
      </w:tr>
      <w:tr w:rsidR="0001150C" w:rsidRPr="001D642A" w14:paraId="3EC09DD5" w14:textId="77777777" w:rsidTr="007E1298">
        <w:trPr>
          <w:trHeight w:val="255"/>
          <w:jc w:val="center"/>
        </w:trPr>
        <w:tc>
          <w:tcPr>
            <w:tcW w:w="3402" w:type="dxa"/>
            <w:vMerge w:val="restart"/>
            <w:tcBorders>
              <w:top w:val="nil"/>
              <w:left w:val="nil"/>
              <w:bottom w:val="single" w:sz="4" w:space="0" w:color="000000"/>
              <w:right w:val="nil"/>
            </w:tcBorders>
            <w:shd w:val="clear" w:color="000000" w:fill="FFFFFF"/>
            <w:vAlign w:val="center"/>
            <w:hideMark/>
          </w:tcPr>
          <w:p w14:paraId="43D9A58A"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r w:rsidRPr="001D642A">
              <w:rPr>
                <w:rFonts w:ascii="Arial Narrow" w:hAnsi="Arial Narrow"/>
                <w:color w:val="000000"/>
                <w:kern w:val="0"/>
                <w:sz w:val="18"/>
                <w:szCs w:val="18"/>
              </w:rPr>
              <w:t>Beni industriali non energetici</w:t>
            </w:r>
          </w:p>
        </w:tc>
        <w:tc>
          <w:tcPr>
            <w:tcW w:w="286" w:type="dxa"/>
            <w:tcBorders>
              <w:top w:val="nil"/>
              <w:left w:val="nil"/>
              <w:bottom w:val="single" w:sz="4" w:space="0" w:color="auto"/>
              <w:right w:val="nil"/>
            </w:tcBorders>
            <w:shd w:val="clear" w:color="000000" w:fill="FFFFFF"/>
            <w:noWrap/>
            <w:vAlign w:val="center"/>
            <w:hideMark/>
          </w:tcPr>
          <w:p w14:paraId="0FB0815E"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P</w:t>
            </w:r>
          </w:p>
        </w:tc>
        <w:tc>
          <w:tcPr>
            <w:tcW w:w="510" w:type="dxa"/>
            <w:tcBorders>
              <w:top w:val="nil"/>
              <w:left w:val="nil"/>
              <w:bottom w:val="single" w:sz="4" w:space="0" w:color="auto"/>
              <w:right w:val="nil"/>
            </w:tcBorders>
            <w:shd w:val="clear" w:color="auto" w:fill="D9D9D9" w:themeFill="background1" w:themeFillShade="D9"/>
            <w:vAlign w:val="center"/>
          </w:tcPr>
          <w:p w14:paraId="015FABA6"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0,0</w:t>
            </w:r>
          </w:p>
        </w:tc>
        <w:tc>
          <w:tcPr>
            <w:tcW w:w="510" w:type="dxa"/>
            <w:tcBorders>
              <w:top w:val="nil"/>
              <w:left w:val="nil"/>
              <w:bottom w:val="single" w:sz="4" w:space="0" w:color="auto"/>
              <w:right w:val="nil"/>
            </w:tcBorders>
            <w:shd w:val="clear" w:color="000000" w:fill="FFFFFF"/>
            <w:vAlign w:val="center"/>
          </w:tcPr>
          <w:p w14:paraId="4E48B122"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0,1</w:t>
            </w:r>
          </w:p>
        </w:tc>
        <w:tc>
          <w:tcPr>
            <w:tcW w:w="510" w:type="dxa"/>
            <w:tcBorders>
              <w:top w:val="nil"/>
              <w:left w:val="nil"/>
              <w:bottom w:val="single" w:sz="4" w:space="0" w:color="auto"/>
              <w:right w:val="nil"/>
            </w:tcBorders>
            <w:shd w:val="clear" w:color="auto" w:fill="D9D9D9" w:themeFill="background1" w:themeFillShade="D9"/>
            <w:vAlign w:val="center"/>
          </w:tcPr>
          <w:p w14:paraId="55C0372C"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-0,1</w:t>
            </w:r>
          </w:p>
        </w:tc>
        <w:tc>
          <w:tcPr>
            <w:tcW w:w="510" w:type="dxa"/>
            <w:tcBorders>
              <w:top w:val="nil"/>
              <w:left w:val="nil"/>
              <w:bottom w:val="single" w:sz="4" w:space="0" w:color="auto"/>
              <w:right w:val="nil"/>
            </w:tcBorders>
            <w:shd w:val="clear" w:color="000000" w:fill="FFFFFF"/>
            <w:vAlign w:val="center"/>
          </w:tcPr>
          <w:p w14:paraId="4A1185C6"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0,5</w:t>
            </w:r>
          </w:p>
        </w:tc>
        <w:tc>
          <w:tcPr>
            <w:tcW w:w="510" w:type="dxa"/>
            <w:tcBorders>
              <w:top w:val="nil"/>
              <w:left w:val="nil"/>
              <w:bottom w:val="single" w:sz="4" w:space="0" w:color="auto"/>
              <w:right w:val="nil"/>
            </w:tcBorders>
            <w:shd w:val="clear" w:color="auto" w:fill="D9D9D9" w:themeFill="background1" w:themeFillShade="D9"/>
            <w:vAlign w:val="center"/>
          </w:tcPr>
          <w:p w14:paraId="1D45E14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0,4</w:t>
            </w:r>
          </w:p>
        </w:tc>
        <w:tc>
          <w:tcPr>
            <w:tcW w:w="510" w:type="dxa"/>
            <w:tcBorders>
              <w:top w:val="nil"/>
              <w:left w:val="nil"/>
              <w:bottom w:val="single" w:sz="4" w:space="0" w:color="auto"/>
              <w:right w:val="nil"/>
            </w:tcBorders>
            <w:shd w:val="clear" w:color="000000" w:fill="FFFFFF"/>
            <w:vAlign w:val="center"/>
          </w:tcPr>
          <w:p w14:paraId="1CDF832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0,5</w:t>
            </w:r>
          </w:p>
        </w:tc>
        <w:tc>
          <w:tcPr>
            <w:tcW w:w="510" w:type="dxa"/>
            <w:tcBorders>
              <w:top w:val="nil"/>
              <w:left w:val="nil"/>
              <w:bottom w:val="single" w:sz="4" w:space="0" w:color="auto"/>
              <w:right w:val="nil"/>
            </w:tcBorders>
            <w:shd w:val="clear" w:color="auto" w:fill="D9D9D9" w:themeFill="background1" w:themeFillShade="D9"/>
            <w:vAlign w:val="center"/>
          </w:tcPr>
          <w:p w14:paraId="45B6873E"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0,5</w:t>
            </w:r>
          </w:p>
        </w:tc>
        <w:tc>
          <w:tcPr>
            <w:tcW w:w="510" w:type="dxa"/>
            <w:tcBorders>
              <w:top w:val="nil"/>
              <w:left w:val="nil"/>
              <w:bottom w:val="single" w:sz="4" w:space="0" w:color="auto"/>
              <w:right w:val="nil"/>
            </w:tcBorders>
            <w:shd w:val="clear" w:color="000000" w:fill="FFFFFF"/>
            <w:vAlign w:val="center"/>
          </w:tcPr>
          <w:p w14:paraId="066F31D7"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0,5</w:t>
            </w:r>
          </w:p>
        </w:tc>
        <w:tc>
          <w:tcPr>
            <w:tcW w:w="510" w:type="dxa"/>
            <w:tcBorders>
              <w:top w:val="nil"/>
              <w:left w:val="nil"/>
              <w:bottom w:val="single" w:sz="4" w:space="0" w:color="auto"/>
              <w:right w:val="nil"/>
            </w:tcBorders>
            <w:shd w:val="clear" w:color="auto" w:fill="D9D9D9" w:themeFill="background1" w:themeFillShade="D9"/>
            <w:vAlign w:val="center"/>
          </w:tcPr>
          <w:p w14:paraId="72D7B030"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0,2</w:t>
            </w:r>
          </w:p>
        </w:tc>
        <w:tc>
          <w:tcPr>
            <w:tcW w:w="510" w:type="dxa"/>
            <w:tcBorders>
              <w:top w:val="nil"/>
              <w:left w:val="nil"/>
              <w:bottom w:val="single" w:sz="4" w:space="0" w:color="auto"/>
              <w:right w:val="nil"/>
            </w:tcBorders>
            <w:shd w:val="clear" w:color="000000" w:fill="FFFFFF"/>
            <w:vAlign w:val="center"/>
          </w:tcPr>
          <w:p w14:paraId="578F0C49"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0,7</w:t>
            </w:r>
          </w:p>
        </w:tc>
        <w:tc>
          <w:tcPr>
            <w:tcW w:w="510" w:type="dxa"/>
            <w:tcBorders>
              <w:top w:val="nil"/>
              <w:left w:val="nil"/>
              <w:bottom w:val="single" w:sz="4" w:space="0" w:color="auto"/>
              <w:right w:val="nil"/>
            </w:tcBorders>
            <w:shd w:val="clear" w:color="auto" w:fill="D9D9D9" w:themeFill="background1" w:themeFillShade="D9"/>
            <w:vAlign w:val="center"/>
          </w:tcPr>
          <w:p w14:paraId="25D72742"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0,4</w:t>
            </w:r>
          </w:p>
        </w:tc>
        <w:tc>
          <w:tcPr>
            <w:tcW w:w="510" w:type="dxa"/>
            <w:tcBorders>
              <w:top w:val="nil"/>
              <w:left w:val="nil"/>
              <w:bottom w:val="single" w:sz="4" w:space="0" w:color="auto"/>
              <w:right w:val="nil"/>
            </w:tcBorders>
            <w:shd w:val="clear" w:color="000000" w:fill="FFFFFF"/>
            <w:vAlign w:val="center"/>
          </w:tcPr>
          <w:p w14:paraId="4A09E78B"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0,6</w:t>
            </w:r>
          </w:p>
        </w:tc>
        <w:tc>
          <w:tcPr>
            <w:tcW w:w="510" w:type="dxa"/>
            <w:tcBorders>
              <w:top w:val="nil"/>
              <w:left w:val="nil"/>
              <w:bottom w:val="single" w:sz="4" w:space="0" w:color="auto"/>
              <w:right w:val="nil"/>
            </w:tcBorders>
            <w:shd w:val="clear" w:color="auto" w:fill="D9D9D9" w:themeFill="background1" w:themeFillShade="D9"/>
            <w:vAlign w:val="center"/>
          </w:tcPr>
          <w:p w14:paraId="79048DCB"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0,4</w:t>
            </w:r>
          </w:p>
        </w:tc>
      </w:tr>
      <w:tr w:rsidR="0001150C" w:rsidRPr="001D642A" w14:paraId="53AEE6F1" w14:textId="77777777" w:rsidTr="007E1298">
        <w:trPr>
          <w:trHeight w:val="255"/>
          <w:jc w:val="center"/>
        </w:trPr>
        <w:tc>
          <w:tcPr>
            <w:tcW w:w="3402" w:type="dxa"/>
            <w:vMerge/>
            <w:tcBorders>
              <w:top w:val="nil"/>
              <w:left w:val="nil"/>
              <w:bottom w:val="single" w:sz="4" w:space="0" w:color="000000"/>
              <w:right w:val="nil"/>
            </w:tcBorders>
            <w:vAlign w:val="center"/>
            <w:hideMark/>
          </w:tcPr>
          <w:p w14:paraId="7E73BC3B"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p>
        </w:tc>
        <w:tc>
          <w:tcPr>
            <w:tcW w:w="286" w:type="dxa"/>
            <w:tcBorders>
              <w:top w:val="nil"/>
              <w:left w:val="nil"/>
              <w:bottom w:val="single" w:sz="4" w:space="0" w:color="auto"/>
              <w:right w:val="nil"/>
            </w:tcBorders>
            <w:shd w:val="clear" w:color="000000" w:fill="FFFFFF"/>
            <w:noWrap/>
            <w:vAlign w:val="center"/>
            <w:hideMark/>
          </w:tcPr>
          <w:p w14:paraId="39092B0E"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D</w:t>
            </w:r>
          </w:p>
        </w:tc>
        <w:tc>
          <w:tcPr>
            <w:tcW w:w="510" w:type="dxa"/>
            <w:tcBorders>
              <w:top w:val="nil"/>
              <w:left w:val="nil"/>
              <w:bottom w:val="single" w:sz="4" w:space="0" w:color="auto"/>
              <w:right w:val="nil"/>
            </w:tcBorders>
            <w:shd w:val="clear" w:color="auto" w:fill="D9D9D9" w:themeFill="background1" w:themeFillShade="D9"/>
            <w:vAlign w:val="center"/>
          </w:tcPr>
          <w:p w14:paraId="2FC5893C"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0,1</w:t>
            </w:r>
          </w:p>
        </w:tc>
        <w:tc>
          <w:tcPr>
            <w:tcW w:w="510" w:type="dxa"/>
            <w:tcBorders>
              <w:top w:val="nil"/>
              <w:left w:val="nil"/>
              <w:bottom w:val="single" w:sz="4" w:space="0" w:color="auto"/>
              <w:right w:val="nil"/>
            </w:tcBorders>
            <w:shd w:val="clear" w:color="000000" w:fill="FFFFFF"/>
            <w:vAlign w:val="center"/>
          </w:tcPr>
          <w:p w14:paraId="482E91C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0,1</w:t>
            </w:r>
          </w:p>
        </w:tc>
        <w:tc>
          <w:tcPr>
            <w:tcW w:w="510" w:type="dxa"/>
            <w:tcBorders>
              <w:top w:val="nil"/>
              <w:left w:val="nil"/>
              <w:bottom w:val="single" w:sz="4" w:space="0" w:color="auto"/>
              <w:right w:val="nil"/>
            </w:tcBorders>
            <w:shd w:val="clear" w:color="auto" w:fill="D9D9D9" w:themeFill="background1" w:themeFillShade="D9"/>
            <w:vAlign w:val="center"/>
          </w:tcPr>
          <w:p w14:paraId="3D9B1DA4"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-0,1</w:t>
            </w:r>
          </w:p>
        </w:tc>
        <w:tc>
          <w:tcPr>
            <w:tcW w:w="510" w:type="dxa"/>
            <w:tcBorders>
              <w:top w:val="nil"/>
              <w:left w:val="nil"/>
              <w:bottom w:val="single" w:sz="4" w:space="0" w:color="auto"/>
              <w:right w:val="nil"/>
            </w:tcBorders>
            <w:shd w:val="clear" w:color="000000" w:fill="FFFFFF"/>
            <w:vAlign w:val="center"/>
          </w:tcPr>
          <w:p w14:paraId="02CCE5B6"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0,5</w:t>
            </w:r>
          </w:p>
        </w:tc>
        <w:tc>
          <w:tcPr>
            <w:tcW w:w="510" w:type="dxa"/>
            <w:tcBorders>
              <w:top w:val="nil"/>
              <w:left w:val="nil"/>
              <w:bottom w:val="single" w:sz="4" w:space="0" w:color="auto"/>
              <w:right w:val="nil"/>
            </w:tcBorders>
            <w:shd w:val="clear" w:color="auto" w:fill="D9D9D9" w:themeFill="background1" w:themeFillShade="D9"/>
            <w:vAlign w:val="center"/>
          </w:tcPr>
          <w:p w14:paraId="0995356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0,3</w:t>
            </w:r>
          </w:p>
        </w:tc>
        <w:tc>
          <w:tcPr>
            <w:tcW w:w="510" w:type="dxa"/>
            <w:tcBorders>
              <w:top w:val="nil"/>
              <w:left w:val="nil"/>
              <w:bottom w:val="single" w:sz="4" w:space="0" w:color="auto"/>
              <w:right w:val="nil"/>
            </w:tcBorders>
            <w:shd w:val="clear" w:color="000000" w:fill="FFFFFF"/>
            <w:vAlign w:val="center"/>
          </w:tcPr>
          <w:p w14:paraId="3C2DC84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0,4</w:t>
            </w:r>
          </w:p>
        </w:tc>
        <w:tc>
          <w:tcPr>
            <w:tcW w:w="510" w:type="dxa"/>
            <w:tcBorders>
              <w:top w:val="nil"/>
              <w:left w:val="nil"/>
              <w:bottom w:val="single" w:sz="4" w:space="0" w:color="auto"/>
              <w:right w:val="nil"/>
            </w:tcBorders>
            <w:shd w:val="clear" w:color="auto" w:fill="D9D9D9" w:themeFill="background1" w:themeFillShade="D9"/>
            <w:vAlign w:val="center"/>
          </w:tcPr>
          <w:p w14:paraId="4368DD78"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0,5</w:t>
            </w:r>
          </w:p>
        </w:tc>
        <w:tc>
          <w:tcPr>
            <w:tcW w:w="510" w:type="dxa"/>
            <w:tcBorders>
              <w:top w:val="nil"/>
              <w:left w:val="nil"/>
              <w:bottom w:val="single" w:sz="4" w:space="0" w:color="auto"/>
              <w:right w:val="nil"/>
            </w:tcBorders>
            <w:shd w:val="clear" w:color="000000" w:fill="FFFFFF"/>
            <w:vAlign w:val="center"/>
          </w:tcPr>
          <w:p w14:paraId="29050A0E"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0,4</w:t>
            </w:r>
          </w:p>
        </w:tc>
        <w:tc>
          <w:tcPr>
            <w:tcW w:w="510" w:type="dxa"/>
            <w:tcBorders>
              <w:top w:val="nil"/>
              <w:left w:val="nil"/>
              <w:bottom w:val="single" w:sz="4" w:space="0" w:color="auto"/>
              <w:right w:val="nil"/>
            </w:tcBorders>
            <w:shd w:val="clear" w:color="auto" w:fill="D9D9D9" w:themeFill="background1" w:themeFillShade="D9"/>
            <w:vAlign w:val="center"/>
          </w:tcPr>
          <w:p w14:paraId="415F7D2C"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0,1</w:t>
            </w:r>
          </w:p>
        </w:tc>
        <w:tc>
          <w:tcPr>
            <w:tcW w:w="510" w:type="dxa"/>
            <w:tcBorders>
              <w:top w:val="nil"/>
              <w:left w:val="nil"/>
              <w:bottom w:val="single" w:sz="4" w:space="0" w:color="auto"/>
              <w:right w:val="nil"/>
            </w:tcBorders>
            <w:shd w:val="clear" w:color="000000" w:fill="FFFFFF"/>
            <w:vAlign w:val="center"/>
          </w:tcPr>
          <w:p w14:paraId="0751E2C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0,7</w:t>
            </w:r>
          </w:p>
        </w:tc>
        <w:tc>
          <w:tcPr>
            <w:tcW w:w="510" w:type="dxa"/>
            <w:tcBorders>
              <w:top w:val="nil"/>
              <w:left w:val="nil"/>
              <w:bottom w:val="single" w:sz="4" w:space="0" w:color="auto"/>
              <w:right w:val="nil"/>
            </w:tcBorders>
            <w:shd w:val="clear" w:color="auto" w:fill="D9D9D9" w:themeFill="background1" w:themeFillShade="D9"/>
            <w:vAlign w:val="center"/>
          </w:tcPr>
          <w:p w14:paraId="6B75549D"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0,4</w:t>
            </w:r>
          </w:p>
        </w:tc>
        <w:tc>
          <w:tcPr>
            <w:tcW w:w="510" w:type="dxa"/>
            <w:tcBorders>
              <w:top w:val="nil"/>
              <w:left w:val="nil"/>
              <w:bottom w:val="single" w:sz="4" w:space="0" w:color="auto"/>
              <w:right w:val="nil"/>
            </w:tcBorders>
            <w:shd w:val="clear" w:color="000000" w:fill="FFFFFF"/>
            <w:vAlign w:val="center"/>
          </w:tcPr>
          <w:p w14:paraId="0F3BFBF5"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0,5</w:t>
            </w:r>
          </w:p>
        </w:tc>
        <w:tc>
          <w:tcPr>
            <w:tcW w:w="510" w:type="dxa"/>
            <w:tcBorders>
              <w:top w:val="nil"/>
              <w:left w:val="nil"/>
              <w:bottom w:val="single" w:sz="4" w:space="0" w:color="auto"/>
              <w:right w:val="nil"/>
            </w:tcBorders>
            <w:shd w:val="clear" w:color="auto" w:fill="D9D9D9" w:themeFill="background1" w:themeFillShade="D9"/>
            <w:vAlign w:val="center"/>
          </w:tcPr>
          <w:p w14:paraId="0B3D8F4B"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0,4</w:t>
            </w:r>
          </w:p>
        </w:tc>
      </w:tr>
      <w:tr w:rsidR="0001150C" w:rsidRPr="001D642A" w14:paraId="6F254C28" w14:textId="77777777" w:rsidTr="007E1298">
        <w:trPr>
          <w:trHeight w:val="255"/>
          <w:jc w:val="center"/>
        </w:trPr>
        <w:tc>
          <w:tcPr>
            <w:tcW w:w="3402" w:type="dxa"/>
            <w:vMerge w:val="restart"/>
            <w:tcBorders>
              <w:top w:val="nil"/>
              <w:left w:val="nil"/>
              <w:bottom w:val="single" w:sz="4" w:space="0" w:color="000000"/>
              <w:right w:val="nil"/>
            </w:tcBorders>
            <w:shd w:val="clear" w:color="000000" w:fill="FFFFFF"/>
            <w:vAlign w:val="center"/>
            <w:hideMark/>
          </w:tcPr>
          <w:p w14:paraId="77DE9C51"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r w:rsidRPr="001D642A">
              <w:rPr>
                <w:rFonts w:ascii="Arial Narrow" w:hAnsi="Arial Narrow"/>
                <w:color w:val="000000"/>
                <w:kern w:val="0"/>
                <w:sz w:val="18"/>
                <w:szCs w:val="18"/>
              </w:rPr>
              <w:t>Servizi</w:t>
            </w:r>
          </w:p>
        </w:tc>
        <w:tc>
          <w:tcPr>
            <w:tcW w:w="286" w:type="dxa"/>
            <w:tcBorders>
              <w:top w:val="nil"/>
              <w:left w:val="nil"/>
              <w:bottom w:val="single" w:sz="4" w:space="0" w:color="auto"/>
              <w:right w:val="nil"/>
            </w:tcBorders>
            <w:shd w:val="clear" w:color="000000" w:fill="FFFFFF"/>
            <w:noWrap/>
            <w:vAlign w:val="center"/>
            <w:hideMark/>
          </w:tcPr>
          <w:p w14:paraId="321FB76D"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P</w:t>
            </w:r>
          </w:p>
        </w:tc>
        <w:tc>
          <w:tcPr>
            <w:tcW w:w="510" w:type="dxa"/>
            <w:tcBorders>
              <w:top w:val="nil"/>
              <w:left w:val="nil"/>
              <w:bottom w:val="single" w:sz="4" w:space="0" w:color="auto"/>
              <w:right w:val="nil"/>
            </w:tcBorders>
            <w:shd w:val="clear" w:color="auto" w:fill="D9D9D9" w:themeFill="background1" w:themeFillShade="D9"/>
            <w:vAlign w:val="center"/>
          </w:tcPr>
          <w:p w14:paraId="05CCAEF0"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2,9</w:t>
            </w:r>
          </w:p>
        </w:tc>
        <w:tc>
          <w:tcPr>
            <w:tcW w:w="510" w:type="dxa"/>
            <w:tcBorders>
              <w:top w:val="nil"/>
              <w:left w:val="nil"/>
              <w:bottom w:val="single" w:sz="4" w:space="0" w:color="auto"/>
              <w:right w:val="nil"/>
            </w:tcBorders>
            <w:shd w:val="clear" w:color="000000" w:fill="FFFFFF"/>
            <w:vAlign w:val="center"/>
          </w:tcPr>
          <w:p w14:paraId="185FD49A"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2,8</w:t>
            </w:r>
          </w:p>
        </w:tc>
        <w:tc>
          <w:tcPr>
            <w:tcW w:w="510" w:type="dxa"/>
            <w:tcBorders>
              <w:top w:val="nil"/>
              <w:left w:val="nil"/>
              <w:bottom w:val="single" w:sz="4" w:space="0" w:color="auto"/>
              <w:right w:val="nil"/>
            </w:tcBorders>
            <w:shd w:val="clear" w:color="auto" w:fill="D9D9D9" w:themeFill="background1" w:themeFillShade="D9"/>
            <w:vAlign w:val="center"/>
          </w:tcPr>
          <w:p w14:paraId="2F6BE041"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2,6</w:t>
            </w:r>
          </w:p>
        </w:tc>
        <w:tc>
          <w:tcPr>
            <w:tcW w:w="510" w:type="dxa"/>
            <w:tcBorders>
              <w:top w:val="nil"/>
              <w:left w:val="nil"/>
              <w:bottom w:val="single" w:sz="4" w:space="0" w:color="auto"/>
              <w:right w:val="nil"/>
            </w:tcBorders>
            <w:shd w:val="clear" w:color="000000" w:fill="FFFFFF"/>
            <w:vAlign w:val="center"/>
          </w:tcPr>
          <w:p w14:paraId="5886DBF4"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2,7</w:t>
            </w:r>
          </w:p>
        </w:tc>
        <w:tc>
          <w:tcPr>
            <w:tcW w:w="510" w:type="dxa"/>
            <w:tcBorders>
              <w:top w:val="nil"/>
              <w:left w:val="nil"/>
              <w:bottom w:val="single" w:sz="4" w:space="0" w:color="auto"/>
              <w:right w:val="nil"/>
            </w:tcBorders>
            <w:shd w:val="clear" w:color="auto" w:fill="D9D9D9" w:themeFill="background1" w:themeFillShade="D9"/>
            <w:vAlign w:val="center"/>
          </w:tcPr>
          <w:p w14:paraId="48B0FE46"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3,4</w:t>
            </w:r>
          </w:p>
        </w:tc>
        <w:tc>
          <w:tcPr>
            <w:tcW w:w="510" w:type="dxa"/>
            <w:tcBorders>
              <w:top w:val="nil"/>
              <w:left w:val="nil"/>
              <w:bottom w:val="single" w:sz="4" w:space="0" w:color="auto"/>
              <w:right w:val="nil"/>
            </w:tcBorders>
            <w:shd w:val="clear" w:color="000000" w:fill="FFFFFF"/>
            <w:vAlign w:val="center"/>
          </w:tcPr>
          <w:p w14:paraId="4917AD14"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2,9</w:t>
            </w:r>
          </w:p>
        </w:tc>
        <w:tc>
          <w:tcPr>
            <w:tcW w:w="510" w:type="dxa"/>
            <w:tcBorders>
              <w:top w:val="nil"/>
              <w:left w:val="nil"/>
              <w:bottom w:val="single" w:sz="4" w:space="0" w:color="auto"/>
              <w:right w:val="nil"/>
            </w:tcBorders>
            <w:shd w:val="clear" w:color="auto" w:fill="D9D9D9" w:themeFill="background1" w:themeFillShade="D9"/>
            <w:vAlign w:val="center"/>
          </w:tcPr>
          <w:p w14:paraId="2C57B674"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2,9</w:t>
            </w:r>
          </w:p>
        </w:tc>
        <w:tc>
          <w:tcPr>
            <w:tcW w:w="510" w:type="dxa"/>
            <w:tcBorders>
              <w:top w:val="nil"/>
              <w:left w:val="nil"/>
              <w:bottom w:val="single" w:sz="4" w:space="0" w:color="auto"/>
              <w:right w:val="nil"/>
            </w:tcBorders>
            <w:shd w:val="clear" w:color="000000" w:fill="FFFFFF"/>
            <w:vAlign w:val="center"/>
          </w:tcPr>
          <w:p w14:paraId="3BFF3FF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2,9</w:t>
            </w:r>
          </w:p>
        </w:tc>
        <w:tc>
          <w:tcPr>
            <w:tcW w:w="510" w:type="dxa"/>
            <w:tcBorders>
              <w:top w:val="nil"/>
              <w:left w:val="nil"/>
              <w:bottom w:val="single" w:sz="4" w:space="0" w:color="auto"/>
              <w:right w:val="nil"/>
            </w:tcBorders>
            <w:shd w:val="clear" w:color="auto" w:fill="D9D9D9" w:themeFill="background1" w:themeFillShade="D9"/>
            <w:vAlign w:val="center"/>
          </w:tcPr>
          <w:p w14:paraId="4A4650B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3,0</w:t>
            </w:r>
          </w:p>
        </w:tc>
        <w:tc>
          <w:tcPr>
            <w:tcW w:w="510" w:type="dxa"/>
            <w:tcBorders>
              <w:top w:val="nil"/>
              <w:left w:val="nil"/>
              <w:bottom w:val="single" w:sz="4" w:space="0" w:color="auto"/>
              <w:right w:val="nil"/>
            </w:tcBorders>
            <w:shd w:val="clear" w:color="000000" w:fill="FFFFFF"/>
            <w:vAlign w:val="center"/>
          </w:tcPr>
          <w:p w14:paraId="0693F9E4"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3,0</w:t>
            </w:r>
          </w:p>
        </w:tc>
        <w:tc>
          <w:tcPr>
            <w:tcW w:w="510" w:type="dxa"/>
            <w:tcBorders>
              <w:top w:val="nil"/>
              <w:left w:val="nil"/>
              <w:bottom w:val="single" w:sz="4" w:space="0" w:color="auto"/>
              <w:right w:val="nil"/>
            </w:tcBorders>
            <w:shd w:val="clear" w:color="auto" w:fill="D9D9D9" w:themeFill="background1" w:themeFillShade="D9"/>
            <w:vAlign w:val="center"/>
          </w:tcPr>
          <w:p w14:paraId="75E65F24"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2,9</w:t>
            </w:r>
          </w:p>
        </w:tc>
        <w:tc>
          <w:tcPr>
            <w:tcW w:w="510" w:type="dxa"/>
            <w:tcBorders>
              <w:top w:val="nil"/>
              <w:left w:val="nil"/>
              <w:bottom w:val="single" w:sz="4" w:space="0" w:color="auto"/>
              <w:right w:val="nil"/>
            </w:tcBorders>
            <w:shd w:val="clear" w:color="000000" w:fill="FFFFFF"/>
            <w:vAlign w:val="center"/>
          </w:tcPr>
          <w:p w14:paraId="21DCD494"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2,5</w:t>
            </w:r>
          </w:p>
        </w:tc>
        <w:tc>
          <w:tcPr>
            <w:tcW w:w="510" w:type="dxa"/>
            <w:tcBorders>
              <w:top w:val="nil"/>
              <w:left w:val="nil"/>
              <w:bottom w:val="single" w:sz="4" w:space="0" w:color="auto"/>
              <w:right w:val="nil"/>
            </w:tcBorders>
            <w:shd w:val="clear" w:color="auto" w:fill="D9D9D9" w:themeFill="background1" w:themeFillShade="D9"/>
            <w:vAlign w:val="center"/>
          </w:tcPr>
          <w:p w14:paraId="2FD3E5D8"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2,7</w:t>
            </w:r>
          </w:p>
        </w:tc>
      </w:tr>
      <w:tr w:rsidR="0001150C" w:rsidRPr="001D642A" w14:paraId="2D790B91" w14:textId="77777777" w:rsidTr="007E1298">
        <w:trPr>
          <w:trHeight w:val="255"/>
          <w:jc w:val="center"/>
        </w:trPr>
        <w:tc>
          <w:tcPr>
            <w:tcW w:w="3402" w:type="dxa"/>
            <w:vMerge/>
            <w:tcBorders>
              <w:top w:val="nil"/>
              <w:left w:val="nil"/>
              <w:bottom w:val="single" w:sz="4" w:space="0" w:color="000000"/>
              <w:right w:val="nil"/>
            </w:tcBorders>
            <w:vAlign w:val="center"/>
            <w:hideMark/>
          </w:tcPr>
          <w:p w14:paraId="04E79FAF"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p>
        </w:tc>
        <w:tc>
          <w:tcPr>
            <w:tcW w:w="286" w:type="dxa"/>
            <w:tcBorders>
              <w:top w:val="nil"/>
              <w:left w:val="nil"/>
              <w:bottom w:val="single" w:sz="4" w:space="0" w:color="auto"/>
              <w:right w:val="nil"/>
            </w:tcBorders>
            <w:shd w:val="clear" w:color="000000" w:fill="FFFFFF"/>
            <w:noWrap/>
            <w:vAlign w:val="center"/>
            <w:hideMark/>
          </w:tcPr>
          <w:p w14:paraId="44E5A782"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D</w:t>
            </w:r>
          </w:p>
        </w:tc>
        <w:tc>
          <w:tcPr>
            <w:tcW w:w="510" w:type="dxa"/>
            <w:tcBorders>
              <w:top w:val="nil"/>
              <w:left w:val="nil"/>
              <w:bottom w:val="single" w:sz="4" w:space="0" w:color="auto"/>
              <w:right w:val="nil"/>
            </w:tcBorders>
            <w:shd w:val="clear" w:color="auto" w:fill="D9D9D9" w:themeFill="background1" w:themeFillShade="D9"/>
            <w:vAlign w:val="center"/>
          </w:tcPr>
          <w:p w14:paraId="39580323"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2,9</w:t>
            </w:r>
          </w:p>
        </w:tc>
        <w:tc>
          <w:tcPr>
            <w:tcW w:w="510" w:type="dxa"/>
            <w:tcBorders>
              <w:top w:val="nil"/>
              <w:left w:val="nil"/>
              <w:bottom w:val="single" w:sz="4" w:space="0" w:color="auto"/>
              <w:right w:val="nil"/>
            </w:tcBorders>
            <w:shd w:val="clear" w:color="000000" w:fill="FFFFFF"/>
            <w:vAlign w:val="center"/>
          </w:tcPr>
          <w:p w14:paraId="007D388D"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2,9</w:t>
            </w:r>
          </w:p>
        </w:tc>
        <w:tc>
          <w:tcPr>
            <w:tcW w:w="510" w:type="dxa"/>
            <w:tcBorders>
              <w:top w:val="nil"/>
              <w:left w:val="nil"/>
              <w:bottom w:val="single" w:sz="4" w:space="0" w:color="auto"/>
              <w:right w:val="nil"/>
            </w:tcBorders>
            <w:shd w:val="clear" w:color="auto" w:fill="D9D9D9" w:themeFill="background1" w:themeFillShade="D9"/>
            <w:vAlign w:val="center"/>
          </w:tcPr>
          <w:p w14:paraId="5EEF1CBD"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2,6</w:t>
            </w:r>
          </w:p>
        </w:tc>
        <w:tc>
          <w:tcPr>
            <w:tcW w:w="510" w:type="dxa"/>
            <w:tcBorders>
              <w:top w:val="nil"/>
              <w:left w:val="nil"/>
              <w:bottom w:val="single" w:sz="4" w:space="0" w:color="auto"/>
              <w:right w:val="nil"/>
            </w:tcBorders>
            <w:shd w:val="clear" w:color="000000" w:fill="FFFFFF"/>
            <w:vAlign w:val="center"/>
          </w:tcPr>
          <w:p w14:paraId="162E5C40"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2,8</w:t>
            </w:r>
          </w:p>
        </w:tc>
        <w:tc>
          <w:tcPr>
            <w:tcW w:w="510" w:type="dxa"/>
            <w:tcBorders>
              <w:top w:val="nil"/>
              <w:left w:val="nil"/>
              <w:bottom w:val="single" w:sz="4" w:space="0" w:color="auto"/>
              <w:right w:val="nil"/>
            </w:tcBorders>
            <w:shd w:val="clear" w:color="auto" w:fill="D9D9D9" w:themeFill="background1" w:themeFillShade="D9"/>
            <w:vAlign w:val="center"/>
          </w:tcPr>
          <w:p w14:paraId="0B95BD2C"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3,4</w:t>
            </w:r>
          </w:p>
        </w:tc>
        <w:tc>
          <w:tcPr>
            <w:tcW w:w="510" w:type="dxa"/>
            <w:tcBorders>
              <w:top w:val="nil"/>
              <w:left w:val="nil"/>
              <w:bottom w:val="single" w:sz="4" w:space="0" w:color="auto"/>
              <w:right w:val="nil"/>
            </w:tcBorders>
            <w:shd w:val="clear" w:color="000000" w:fill="FFFFFF"/>
            <w:vAlign w:val="center"/>
          </w:tcPr>
          <w:p w14:paraId="0A870420"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2,9</w:t>
            </w:r>
          </w:p>
        </w:tc>
        <w:tc>
          <w:tcPr>
            <w:tcW w:w="510" w:type="dxa"/>
            <w:tcBorders>
              <w:top w:val="nil"/>
              <w:left w:val="nil"/>
              <w:bottom w:val="single" w:sz="4" w:space="0" w:color="auto"/>
              <w:right w:val="nil"/>
            </w:tcBorders>
            <w:shd w:val="clear" w:color="auto" w:fill="D9D9D9" w:themeFill="background1" w:themeFillShade="D9"/>
            <w:vAlign w:val="center"/>
          </w:tcPr>
          <w:p w14:paraId="78B5E982"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3,0</w:t>
            </w:r>
          </w:p>
        </w:tc>
        <w:tc>
          <w:tcPr>
            <w:tcW w:w="510" w:type="dxa"/>
            <w:tcBorders>
              <w:top w:val="nil"/>
              <w:left w:val="nil"/>
              <w:bottom w:val="single" w:sz="4" w:space="0" w:color="auto"/>
              <w:right w:val="nil"/>
            </w:tcBorders>
            <w:shd w:val="clear" w:color="000000" w:fill="FFFFFF"/>
            <w:vAlign w:val="center"/>
          </w:tcPr>
          <w:p w14:paraId="75CC0EA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3,0</w:t>
            </w:r>
          </w:p>
        </w:tc>
        <w:tc>
          <w:tcPr>
            <w:tcW w:w="510" w:type="dxa"/>
            <w:tcBorders>
              <w:top w:val="nil"/>
              <w:left w:val="nil"/>
              <w:bottom w:val="single" w:sz="4" w:space="0" w:color="auto"/>
              <w:right w:val="nil"/>
            </w:tcBorders>
            <w:shd w:val="clear" w:color="auto" w:fill="D9D9D9" w:themeFill="background1" w:themeFillShade="D9"/>
            <w:vAlign w:val="center"/>
          </w:tcPr>
          <w:p w14:paraId="305BAC6F"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3,0</w:t>
            </w:r>
          </w:p>
        </w:tc>
        <w:tc>
          <w:tcPr>
            <w:tcW w:w="510" w:type="dxa"/>
            <w:tcBorders>
              <w:top w:val="nil"/>
              <w:left w:val="nil"/>
              <w:bottom w:val="single" w:sz="4" w:space="0" w:color="auto"/>
              <w:right w:val="nil"/>
            </w:tcBorders>
            <w:shd w:val="clear" w:color="000000" w:fill="FFFFFF"/>
            <w:vAlign w:val="center"/>
          </w:tcPr>
          <w:p w14:paraId="47F2F0F8"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3,0</w:t>
            </w:r>
          </w:p>
        </w:tc>
        <w:tc>
          <w:tcPr>
            <w:tcW w:w="510" w:type="dxa"/>
            <w:tcBorders>
              <w:top w:val="nil"/>
              <w:left w:val="nil"/>
              <w:bottom w:val="single" w:sz="4" w:space="0" w:color="auto"/>
              <w:right w:val="nil"/>
            </w:tcBorders>
            <w:shd w:val="clear" w:color="auto" w:fill="D9D9D9" w:themeFill="background1" w:themeFillShade="D9"/>
            <w:vAlign w:val="center"/>
          </w:tcPr>
          <w:p w14:paraId="4E134158"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2,9</w:t>
            </w:r>
          </w:p>
        </w:tc>
        <w:tc>
          <w:tcPr>
            <w:tcW w:w="510" w:type="dxa"/>
            <w:tcBorders>
              <w:top w:val="nil"/>
              <w:left w:val="nil"/>
              <w:bottom w:val="single" w:sz="4" w:space="0" w:color="auto"/>
              <w:right w:val="nil"/>
            </w:tcBorders>
            <w:shd w:val="clear" w:color="000000" w:fill="FFFFFF"/>
            <w:vAlign w:val="center"/>
          </w:tcPr>
          <w:p w14:paraId="53BEB259"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2,6</w:t>
            </w:r>
          </w:p>
        </w:tc>
        <w:tc>
          <w:tcPr>
            <w:tcW w:w="510" w:type="dxa"/>
            <w:tcBorders>
              <w:top w:val="nil"/>
              <w:left w:val="nil"/>
              <w:bottom w:val="single" w:sz="4" w:space="0" w:color="auto"/>
              <w:right w:val="nil"/>
            </w:tcBorders>
            <w:shd w:val="clear" w:color="auto" w:fill="D9D9D9" w:themeFill="background1" w:themeFillShade="D9"/>
            <w:vAlign w:val="center"/>
          </w:tcPr>
          <w:p w14:paraId="55CCD0F4"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2,7</w:t>
            </w:r>
          </w:p>
        </w:tc>
      </w:tr>
      <w:tr w:rsidR="0001150C" w:rsidRPr="00313984" w14:paraId="7AB6C3E2" w14:textId="77777777" w:rsidTr="007E1298">
        <w:trPr>
          <w:trHeight w:val="255"/>
          <w:jc w:val="center"/>
        </w:trPr>
        <w:tc>
          <w:tcPr>
            <w:tcW w:w="3402" w:type="dxa"/>
            <w:vMerge w:val="restart"/>
            <w:tcBorders>
              <w:top w:val="nil"/>
              <w:left w:val="nil"/>
              <w:bottom w:val="single" w:sz="4" w:space="0" w:color="000000"/>
              <w:right w:val="nil"/>
            </w:tcBorders>
            <w:shd w:val="clear" w:color="000000" w:fill="FF0000"/>
            <w:vAlign w:val="center"/>
            <w:hideMark/>
          </w:tcPr>
          <w:p w14:paraId="17BD74DF" w14:textId="77777777" w:rsidR="0001150C" w:rsidRPr="001D642A" w:rsidRDefault="0001150C" w:rsidP="007E1298">
            <w:pPr>
              <w:widowControl/>
              <w:overflowPunct/>
              <w:autoSpaceDE/>
              <w:autoSpaceDN/>
              <w:adjustRightInd/>
              <w:spacing w:before="0" w:after="0"/>
              <w:rPr>
                <w:rFonts w:ascii="Arial Narrow" w:hAnsi="Arial Narrow"/>
                <w:b/>
                <w:bCs/>
                <w:color w:val="FFFFFF"/>
                <w:kern w:val="0"/>
                <w:sz w:val="18"/>
                <w:szCs w:val="18"/>
              </w:rPr>
            </w:pPr>
            <w:r w:rsidRPr="001D642A">
              <w:rPr>
                <w:rFonts w:ascii="Arial Narrow" w:hAnsi="Arial Narrow"/>
                <w:b/>
                <w:bCs/>
                <w:color w:val="FFFFFF"/>
                <w:kern w:val="0"/>
                <w:sz w:val="18"/>
                <w:szCs w:val="18"/>
              </w:rPr>
              <w:t>Indice generale</w:t>
            </w:r>
          </w:p>
        </w:tc>
        <w:tc>
          <w:tcPr>
            <w:tcW w:w="286" w:type="dxa"/>
            <w:tcBorders>
              <w:top w:val="nil"/>
              <w:left w:val="nil"/>
              <w:bottom w:val="single" w:sz="4" w:space="0" w:color="auto"/>
              <w:right w:val="nil"/>
            </w:tcBorders>
            <w:shd w:val="clear" w:color="auto" w:fill="FF0000"/>
            <w:noWrap/>
            <w:vAlign w:val="center"/>
            <w:hideMark/>
          </w:tcPr>
          <w:p w14:paraId="5A395585" w14:textId="77777777" w:rsidR="0001150C" w:rsidRPr="00E96568" w:rsidRDefault="0001150C" w:rsidP="007E1298">
            <w:pPr>
              <w:widowControl/>
              <w:overflowPunct/>
              <w:autoSpaceDE/>
              <w:autoSpaceDN/>
              <w:adjustRightInd/>
              <w:spacing w:before="0" w:after="0"/>
              <w:jc w:val="center"/>
              <w:rPr>
                <w:rFonts w:ascii="Arial Narrow" w:hAnsi="Arial Narrow"/>
                <w:b/>
                <w:bCs/>
                <w:color w:val="FFFFFF" w:themeColor="background1"/>
                <w:kern w:val="0"/>
                <w:sz w:val="17"/>
                <w:szCs w:val="17"/>
              </w:rPr>
            </w:pPr>
            <w:r w:rsidRPr="00E96568">
              <w:rPr>
                <w:rFonts w:ascii="Arial Narrow" w:hAnsi="Arial Narrow"/>
                <w:b/>
                <w:bCs/>
                <w:color w:val="FFFFFF" w:themeColor="background1"/>
                <w:kern w:val="0"/>
                <w:sz w:val="17"/>
                <w:szCs w:val="17"/>
              </w:rPr>
              <w:t>P</w:t>
            </w:r>
          </w:p>
        </w:tc>
        <w:tc>
          <w:tcPr>
            <w:tcW w:w="510" w:type="dxa"/>
            <w:tcBorders>
              <w:top w:val="nil"/>
              <w:left w:val="nil"/>
              <w:bottom w:val="single" w:sz="4" w:space="0" w:color="auto"/>
              <w:right w:val="nil"/>
            </w:tcBorders>
            <w:shd w:val="clear" w:color="auto" w:fill="FF0000"/>
            <w:vAlign w:val="center"/>
          </w:tcPr>
          <w:p w14:paraId="6492A63B" w14:textId="77777777" w:rsidR="0001150C" w:rsidRPr="00E96568" w:rsidRDefault="0001150C" w:rsidP="007E1298">
            <w:pPr>
              <w:spacing w:before="0" w:after="0"/>
              <w:jc w:val="right"/>
              <w:rPr>
                <w:rFonts w:ascii="Arial Narrow" w:hAnsi="Arial Narrow" w:cs="Calibri"/>
                <w:b/>
                <w:color w:val="FFFFFF" w:themeColor="background1"/>
                <w:sz w:val="18"/>
                <w:szCs w:val="18"/>
              </w:rPr>
            </w:pPr>
            <w:r w:rsidRPr="00E96568">
              <w:rPr>
                <w:rFonts w:ascii="Arial Narrow" w:hAnsi="Arial Narrow" w:cs="Calibri"/>
                <w:b/>
                <w:color w:val="FFFFFF" w:themeColor="background1"/>
                <w:sz w:val="18"/>
                <w:szCs w:val="18"/>
              </w:rPr>
              <w:t>1,4</w:t>
            </w:r>
          </w:p>
        </w:tc>
        <w:tc>
          <w:tcPr>
            <w:tcW w:w="510" w:type="dxa"/>
            <w:tcBorders>
              <w:top w:val="nil"/>
              <w:left w:val="nil"/>
              <w:bottom w:val="single" w:sz="4" w:space="0" w:color="auto"/>
              <w:right w:val="nil"/>
            </w:tcBorders>
            <w:shd w:val="clear" w:color="auto" w:fill="FF0000"/>
            <w:vAlign w:val="center"/>
          </w:tcPr>
          <w:p w14:paraId="69001A3F" w14:textId="77777777" w:rsidR="0001150C" w:rsidRPr="00E96568" w:rsidRDefault="0001150C" w:rsidP="007E1298">
            <w:pPr>
              <w:spacing w:before="0" w:after="0"/>
              <w:jc w:val="right"/>
              <w:rPr>
                <w:rFonts w:ascii="Arial Narrow" w:hAnsi="Arial Narrow" w:cs="Calibri"/>
                <w:b/>
                <w:color w:val="FFFFFF" w:themeColor="background1"/>
                <w:sz w:val="18"/>
                <w:szCs w:val="18"/>
              </w:rPr>
            </w:pPr>
            <w:r w:rsidRPr="00E96568">
              <w:rPr>
                <w:rFonts w:ascii="Arial Narrow" w:hAnsi="Arial Narrow" w:cs="Calibri"/>
                <w:b/>
                <w:color w:val="FFFFFF" w:themeColor="background1"/>
                <w:sz w:val="18"/>
                <w:szCs w:val="18"/>
              </w:rPr>
              <w:t>1,7</w:t>
            </w:r>
          </w:p>
        </w:tc>
        <w:tc>
          <w:tcPr>
            <w:tcW w:w="510" w:type="dxa"/>
            <w:tcBorders>
              <w:top w:val="nil"/>
              <w:left w:val="nil"/>
              <w:bottom w:val="single" w:sz="4" w:space="0" w:color="auto"/>
              <w:right w:val="nil"/>
            </w:tcBorders>
            <w:shd w:val="clear" w:color="auto" w:fill="FF0000"/>
            <w:vAlign w:val="center"/>
          </w:tcPr>
          <w:p w14:paraId="43FBC38B"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1,7</w:t>
            </w:r>
          </w:p>
        </w:tc>
        <w:tc>
          <w:tcPr>
            <w:tcW w:w="510" w:type="dxa"/>
            <w:tcBorders>
              <w:top w:val="nil"/>
              <w:left w:val="nil"/>
              <w:bottom w:val="single" w:sz="4" w:space="0" w:color="auto"/>
              <w:right w:val="nil"/>
            </w:tcBorders>
            <w:shd w:val="clear" w:color="auto" w:fill="FF0000"/>
            <w:vAlign w:val="center"/>
          </w:tcPr>
          <w:p w14:paraId="2C89917A"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2,1</w:t>
            </w:r>
          </w:p>
        </w:tc>
        <w:tc>
          <w:tcPr>
            <w:tcW w:w="510" w:type="dxa"/>
            <w:tcBorders>
              <w:top w:val="nil"/>
              <w:left w:val="nil"/>
              <w:bottom w:val="single" w:sz="4" w:space="0" w:color="auto"/>
              <w:right w:val="nil"/>
            </w:tcBorders>
            <w:shd w:val="clear" w:color="auto" w:fill="FF0000"/>
            <w:vAlign w:val="center"/>
          </w:tcPr>
          <w:p w14:paraId="349EB0F7"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2,1</w:t>
            </w:r>
          </w:p>
        </w:tc>
        <w:tc>
          <w:tcPr>
            <w:tcW w:w="510" w:type="dxa"/>
            <w:tcBorders>
              <w:top w:val="nil"/>
              <w:left w:val="nil"/>
              <w:bottom w:val="single" w:sz="4" w:space="0" w:color="auto"/>
              <w:right w:val="nil"/>
            </w:tcBorders>
            <w:shd w:val="clear" w:color="auto" w:fill="FF0000"/>
            <w:vAlign w:val="center"/>
          </w:tcPr>
          <w:p w14:paraId="46F7BDAF"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1,9</w:t>
            </w:r>
          </w:p>
        </w:tc>
        <w:tc>
          <w:tcPr>
            <w:tcW w:w="510" w:type="dxa"/>
            <w:tcBorders>
              <w:top w:val="nil"/>
              <w:left w:val="nil"/>
              <w:bottom w:val="single" w:sz="4" w:space="0" w:color="auto"/>
              <w:right w:val="nil"/>
            </w:tcBorders>
            <w:shd w:val="clear" w:color="auto" w:fill="FF0000"/>
            <w:vAlign w:val="center"/>
          </w:tcPr>
          <w:p w14:paraId="2934C721"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1,7</w:t>
            </w:r>
          </w:p>
        </w:tc>
        <w:tc>
          <w:tcPr>
            <w:tcW w:w="510" w:type="dxa"/>
            <w:tcBorders>
              <w:top w:val="nil"/>
              <w:left w:val="nil"/>
              <w:bottom w:val="single" w:sz="4" w:space="0" w:color="auto"/>
              <w:right w:val="nil"/>
            </w:tcBorders>
            <w:shd w:val="clear" w:color="auto" w:fill="FF0000"/>
            <w:vAlign w:val="center"/>
          </w:tcPr>
          <w:p w14:paraId="68C80DAF"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1,7</w:t>
            </w:r>
          </w:p>
        </w:tc>
        <w:tc>
          <w:tcPr>
            <w:tcW w:w="510" w:type="dxa"/>
            <w:tcBorders>
              <w:top w:val="nil"/>
              <w:left w:val="nil"/>
              <w:bottom w:val="single" w:sz="4" w:space="0" w:color="auto"/>
              <w:right w:val="nil"/>
            </w:tcBorders>
            <w:shd w:val="clear" w:color="auto" w:fill="FF0000"/>
            <w:vAlign w:val="center"/>
          </w:tcPr>
          <w:p w14:paraId="5DC1E477"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1,7</w:t>
            </w:r>
          </w:p>
        </w:tc>
        <w:tc>
          <w:tcPr>
            <w:tcW w:w="510" w:type="dxa"/>
            <w:tcBorders>
              <w:top w:val="nil"/>
              <w:left w:val="nil"/>
              <w:bottom w:val="single" w:sz="4" w:space="0" w:color="auto"/>
              <w:right w:val="nil"/>
            </w:tcBorders>
            <w:shd w:val="clear" w:color="auto" w:fill="FF0000"/>
            <w:vAlign w:val="center"/>
          </w:tcPr>
          <w:p w14:paraId="726686AA"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1,8</w:t>
            </w:r>
          </w:p>
        </w:tc>
        <w:tc>
          <w:tcPr>
            <w:tcW w:w="510" w:type="dxa"/>
            <w:tcBorders>
              <w:top w:val="nil"/>
              <w:left w:val="nil"/>
              <w:bottom w:val="single" w:sz="4" w:space="0" w:color="auto"/>
              <w:right w:val="nil"/>
            </w:tcBorders>
            <w:shd w:val="clear" w:color="auto" w:fill="FF0000"/>
            <w:vAlign w:val="center"/>
          </w:tcPr>
          <w:p w14:paraId="62491500"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1,3</w:t>
            </w:r>
          </w:p>
        </w:tc>
        <w:tc>
          <w:tcPr>
            <w:tcW w:w="510" w:type="dxa"/>
            <w:tcBorders>
              <w:top w:val="nil"/>
              <w:left w:val="nil"/>
              <w:bottom w:val="single" w:sz="4" w:space="0" w:color="auto"/>
              <w:right w:val="nil"/>
            </w:tcBorders>
            <w:shd w:val="clear" w:color="auto" w:fill="FF0000"/>
            <w:vAlign w:val="center"/>
          </w:tcPr>
          <w:p w14:paraId="28B79AE9" w14:textId="77777777" w:rsidR="0001150C" w:rsidRPr="00E96568" w:rsidRDefault="0001150C" w:rsidP="007E1298">
            <w:pPr>
              <w:spacing w:before="0" w:after="0"/>
              <w:jc w:val="right"/>
              <w:rPr>
                <w:rFonts w:ascii="Arial Narrow" w:hAnsi="Arial Narrow" w:cs="Calibri"/>
                <w:b/>
                <w:color w:val="FFFFFF" w:themeColor="background1"/>
                <w:sz w:val="18"/>
                <w:szCs w:val="18"/>
              </w:rPr>
            </w:pPr>
            <w:r w:rsidRPr="00DB7B60">
              <w:rPr>
                <w:rFonts w:ascii="Arial Narrow" w:hAnsi="Arial Narrow" w:cs="Calibri"/>
                <w:b/>
                <w:bCs/>
                <w:color w:val="FFFFFF" w:themeColor="background1"/>
                <w:sz w:val="18"/>
                <w:szCs w:val="18"/>
              </w:rPr>
              <w:t>1,1</w:t>
            </w:r>
          </w:p>
        </w:tc>
        <w:tc>
          <w:tcPr>
            <w:tcW w:w="510" w:type="dxa"/>
            <w:tcBorders>
              <w:top w:val="nil"/>
              <w:left w:val="nil"/>
              <w:bottom w:val="single" w:sz="4" w:space="0" w:color="auto"/>
              <w:right w:val="nil"/>
            </w:tcBorders>
            <w:shd w:val="clear" w:color="auto" w:fill="FF0000"/>
            <w:vAlign w:val="center"/>
          </w:tcPr>
          <w:p w14:paraId="26BEA46D" w14:textId="77777777" w:rsidR="0001150C" w:rsidRPr="00DB7B60" w:rsidRDefault="0001150C" w:rsidP="007E1298">
            <w:pPr>
              <w:spacing w:before="0" w:after="0"/>
              <w:jc w:val="right"/>
              <w:rPr>
                <w:rFonts w:ascii="Arial Narrow" w:hAnsi="Arial Narrow" w:cs="Calibri"/>
                <w:b/>
                <w:bCs/>
                <w:color w:val="FFFFFF" w:themeColor="background1"/>
                <w:sz w:val="18"/>
                <w:szCs w:val="18"/>
              </w:rPr>
            </w:pPr>
            <w:r>
              <w:rPr>
                <w:rFonts w:ascii="Arial Narrow" w:hAnsi="Arial Narrow" w:cs="Calibri"/>
                <w:b/>
                <w:bCs/>
                <w:color w:val="FFFFFF" w:themeColor="background1"/>
                <w:sz w:val="18"/>
                <w:szCs w:val="18"/>
              </w:rPr>
              <w:t>1,2</w:t>
            </w:r>
          </w:p>
        </w:tc>
      </w:tr>
      <w:tr w:rsidR="0001150C" w:rsidRPr="00313984" w14:paraId="363487FA" w14:textId="77777777" w:rsidTr="007E1298">
        <w:trPr>
          <w:trHeight w:val="255"/>
          <w:jc w:val="center"/>
        </w:trPr>
        <w:tc>
          <w:tcPr>
            <w:tcW w:w="3402" w:type="dxa"/>
            <w:vMerge/>
            <w:tcBorders>
              <w:top w:val="nil"/>
              <w:left w:val="nil"/>
              <w:bottom w:val="single" w:sz="4" w:space="0" w:color="000000"/>
              <w:right w:val="nil"/>
            </w:tcBorders>
            <w:vAlign w:val="center"/>
            <w:hideMark/>
          </w:tcPr>
          <w:p w14:paraId="5085B095" w14:textId="77777777" w:rsidR="0001150C" w:rsidRPr="001D642A" w:rsidRDefault="0001150C" w:rsidP="007E1298">
            <w:pPr>
              <w:widowControl/>
              <w:overflowPunct/>
              <w:autoSpaceDE/>
              <w:autoSpaceDN/>
              <w:adjustRightInd/>
              <w:spacing w:before="0" w:after="0"/>
              <w:rPr>
                <w:rFonts w:ascii="Arial Narrow" w:hAnsi="Arial Narrow"/>
                <w:b/>
                <w:bCs/>
                <w:color w:val="FFFFFF"/>
                <w:kern w:val="0"/>
                <w:sz w:val="18"/>
                <w:szCs w:val="18"/>
              </w:rPr>
            </w:pPr>
          </w:p>
        </w:tc>
        <w:tc>
          <w:tcPr>
            <w:tcW w:w="286" w:type="dxa"/>
            <w:tcBorders>
              <w:top w:val="nil"/>
              <w:left w:val="nil"/>
              <w:bottom w:val="single" w:sz="4" w:space="0" w:color="auto"/>
              <w:right w:val="nil"/>
            </w:tcBorders>
            <w:shd w:val="clear" w:color="auto" w:fill="FF0000"/>
            <w:noWrap/>
            <w:vAlign w:val="center"/>
            <w:hideMark/>
          </w:tcPr>
          <w:p w14:paraId="33D42B28" w14:textId="77777777" w:rsidR="0001150C" w:rsidRPr="00E96568" w:rsidRDefault="0001150C" w:rsidP="007E1298">
            <w:pPr>
              <w:widowControl/>
              <w:overflowPunct/>
              <w:autoSpaceDE/>
              <w:autoSpaceDN/>
              <w:adjustRightInd/>
              <w:spacing w:before="0" w:after="0"/>
              <w:jc w:val="center"/>
              <w:rPr>
                <w:rFonts w:ascii="Arial Narrow" w:hAnsi="Arial Narrow"/>
                <w:b/>
                <w:bCs/>
                <w:color w:val="FFFFFF" w:themeColor="background1"/>
                <w:kern w:val="0"/>
                <w:sz w:val="17"/>
                <w:szCs w:val="17"/>
              </w:rPr>
            </w:pPr>
            <w:r w:rsidRPr="00E96568">
              <w:rPr>
                <w:rFonts w:ascii="Arial Narrow" w:hAnsi="Arial Narrow"/>
                <w:b/>
                <w:bCs/>
                <w:color w:val="FFFFFF" w:themeColor="background1"/>
                <w:kern w:val="0"/>
                <w:sz w:val="17"/>
                <w:szCs w:val="17"/>
              </w:rPr>
              <w:t>D</w:t>
            </w:r>
          </w:p>
        </w:tc>
        <w:tc>
          <w:tcPr>
            <w:tcW w:w="510" w:type="dxa"/>
            <w:tcBorders>
              <w:top w:val="nil"/>
              <w:left w:val="nil"/>
              <w:bottom w:val="single" w:sz="4" w:space="0" w:color="auto"/>
              <w:right w:val="nil"/>
            </w:tcBorders>
            <w:shd w:val="clear" w:color="auto" w:fill="FF0000"/>
            <w:vAlign w:val="center"/>
          </w:tcPr>
          <w:p w14:paraId="6D886E00" w14:textId="77777777" w:rsidR="0001150C" w:rsidRPr="00E96568" w:rsidRDefault="0001150C" w:rsidP="007E1298">
            <w:pPr>
              <w:spacing w:before="0" w:after="0"/>
              <w:jc w:val="right"/>
              <w:rPr>
                <w:rFonts w:ascii="Arial Narrow" w:hAnsi="Arial Narrow" w:cs="Calibri"/>
                <w:b/>
                <w:color w:val="FFFFFF" w:themeColor="background1"/>
                <w:sz w:val="18"/>
                <w:szCs w:val="18"/>
              </w:rPr>
            </w:pPr>
            <w:r w:rsidRPr="00E96568">
              <w:rPr>
                <w:rFonts w:ascii="Arial Narrow" w:hAnsi="Arial Narrow" w:cs="Calibri"/>
                <w:b/>
                <w:color w:val="FFFFFF" w:themeColor="background1"/>
                <w:sz w:val="18"/>
                <w:szCs w:val="18"/>
              </w:rPr>
              <w:t>1,4</w:t>
            </w:r>
          </w:p>
        </w:tc>
        <w:tc>
          <w:tcPr>
            <w:tcW w:w="510" w:type="dxa"/>
            <w:tcBorders>
              <w:top w:val="nil"/>
              <w:left w:val="nil"/>
              <w:bottom w:val="single" w:sz="4" w:space="0" w:color="auto"/>
              <w:right w:val="nil"/>
            </w:tcBorders>
            <w:shd w:val="clear" w:color="auto" w:fill="FF0000"/>
            <w:vAlign w:val="center"/>
          </w:tcPr>
          <w:p w14:paraId="25F0F95A" w14:textId="77777777" w:rsidR="0001150C" w:rsidRPr="00E96568" w:rsidRDefault="0001150C" w:rsidP="007E1298">
            <w:pPr>
              <w:spacing w:before="0" w:after="0"/>
              <w:jc w:val="right"/>
              <w:rPr>
                <w:rFonts w:ascii="Arial Narrow" w:hAnsi="Arial Narrow" w:cs="Calibri"/>
                <w:b/>
                <w:color w:val="FFFFFF" w:themeColor="background1"/>
                <w:sz w:val="18"/>
                <w:szCs w:val="18"/>
              </w:rPr>
            </w:pPr>
            <w:r w:rsidRPr="00E96568">
              <w:rPr>
                <w:rFonts w:ascii="Arial Narrow" w:hAnsi="Arial Narrow" w:cs="Calibri"/>
                <w:b/>
                <w:color w:val="FFFFFF" w:themeColor="background1"/>
                <w:sz w:val="18"/>
                <w:szCs w:val="18"/>
              </w:rPr>
              <w:t>1,7</w:t>
            </w:r>
          </w:p>
        </w:tc>
        <w:tc>
          <w:tcPr>
            <w:tcW w:w="510" w:type="dxa"/>
            <w:tcBorders>
              <w:top w:val="nil"/>
              <w:left w:val="nil"/>
              <w:bottom w:val="single" w:sz="4" w:space="0" w:color="auto"/>
              <w:right w:val="nil"/>
            </w:tcBorders>
            <w:shd w:val="clear" w:color="auto" w:fill="FF0000"/>
            <w:vAlign w:val="center"/>
          </w:tcPr>
          <w:p w14:paraId="289AB535"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1,7</w:t>
            </w:r>
          </w:p>
        </w:tc>
        <w:tc>
          <w:tcPr>
            <w:tcW w:w="510" w:type="dxa"/>
            <w:tcBorders>
              <w:top w:val="nil"/>
              <w:left w:val="nil"/>
              <w:bottom w:val="single" w:sz="4" w:space="0" w:color="auto"/>
              <w:right w:val="nil"/>
            </w:tcBorders>
            <w:shd w:val="clear" w:color="auto" w:fill="FF0000"/>
            <w:vAlign w:val="center"/>
          </w:tcPr>
          <w:p w14:paraId="52267EFB"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2,1</w:t>
            </w:r>
          </w:p>
        </w:tc>
        <w:tc>
          <w:tcPr>
            <w:tcW w:w="510" w:type="dxa"/>
            <w:tcBorders>
              <w:top w:val="nil"/>
              <w:left w:val="nil"/>
              <w:bottom w:val="single" w:sz="4" w:space="0" w:color="auto"/>
              <w:right w:val="nil"/>
            </w:tcBorders>
            <w:shd w:val="clear" w:color="auto" w:fill="FF0000"/>
            <w:vAlign w:val="center"/>
          </w:tcPr>
          <w:p w14:paraId="29E23D06"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2,0</w:t>
            </w:r>
          </w:p>
        </w:tc>
        <w:tc>
          <w:tcPr>
            <w:tcW w:w="510" w:type="dxa"/>
            <w:tcBorders>
              <w:top w:val="nil"/>
              <w:left w:val="nil"/>
              <w:bottom w:val="single" w:sz="4" w:space="0" w:color="auto"/>
              <w:right w:val="nil"/>
            </w:tcBorders>
            <w:shd w:val="clear" w:color="auto" w:fill="FF0000"/>
            <w:vAlign w:val="center"/>
          </w:tcPr>
          <w:p w14:paraId="674BE0D9"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1,7</w:t>
            </w:r>
          </w:p>
        </w:tc>
        <w:tc>
          <w:tcPr>
            <w:tcW w:w="510" w:type="dxa"/>
            <w:tcBorders>
              <w:top w:val="nil"/>
              <w:left w:val="nil"/>
              <w:bottom w:val="single" w:sz="4" w:space="0" w:color="auto"/>
              <w:right w:val="nil"/>
            </w:tcBorders>
            <w:shd w:val="clear" w:color="auto" w:fill="FF0000"/>
            <w:vAlign w:val="center"/>
          </w:tcPr>
          <w:p w14:paraId="64FDE495"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1,8</w:t>
            </w:r>
          </w:p>
        </w:tc>
        <w:tc>
          <w:tcPr>
            <w:tcW w:w="510" w:type="dxa"/>
            <w:tcBorders>
              <w:top w:val="nil"/>
              <w:left w:val="nil"/>
              <w:bottom w:val="single" w:sz="4" w:space="0" w:color="auto"/>
              <w:right w:val="nil"/>
            </w:tcBorders>
            <w:shd w:val="clear" w:color="auto" w:fill="FF0000"/>
            <w:vAlign w:val="center"/>
          </w:tcPr>
          <w:p w14:paraId="7B371CB7"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1,7</w:t>
            </w:r>
          </w:p>
        </w:tc>
        <w:tc>
          <w:tcPr>
            <w:tcW w:w="510" w:type="dxa"/>
            <w:tcBorders>
              <w:top w:val="nil"/>
              <w:left w:val="nil"/>
              <w:bottom w:val="single" w:sz="4" w:space="0" w:color="auto"/>
              <w:right w:val="nil"/>
            </w:tcBorders>
            <w:shd w:val="clear" w:color="auto" w:fill="FF0000"/>
            <w:vAlign w:val="center"/>
          </w:tcPr>
          <w:p w14:paraId="0C558A9A"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1,6</w:t>
            </w:r>
          </w:p>
        </w:tc>
        <w:tc>
          <w:tcPr>
            <w:tcW w:w="510" w:type="dxa"/>
            <w:tcBorders>
              <w:top w:val="nil"/>
              <w:left w:val="nil"/>
              <w:bottom w:val="single" w:sz="4" w:space="0" w:color="auto"/>
              <w:right w:val="nil"/>
            </w:tcBorders>
            <w:shd w:val="clear" w:color="auto" w:fill="FF0000"/>
            <w:vAlign w:val="center"/>
          </w:tcPr>
          <w:p w14:paraId="48B2DBA2"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1,8</w:t>
            </w:r>
          </w:p>
        </w:tc>
        <w:tc>
          <w:tcPr>
            <w:tcW w:w="510" w:type="dxa"/>
            <w:tcBorders>
              <w:top w:val="nil"/>
              <w:left w:val="nil"/>
              <w:bottom w:val="single" w:sz="4" w:space="0" w:color="auto"/>
              <w:right w:val="nil"/>
            </w:tcBorders>
            <w:shd w:val="clear" w:color="auto" w:fill="FF0000"/>
            <w:vAlign w:val="center"/>
          </w:tcPr>
          <w:p w14:paraId="10A0BDB5" w14:textId="77777777" w:rsidR="0001150C" w:rsidRPr="00E96568" w:rsidRDefault="0001150C" w:rsidP="007E1298">
            <w:pPr>
              <w:spacing w:before="0" w:after="0"/>
              <w:jc w:val="right"/>
              <w:rPr>
                <w:rFonts w:ascii="Arial Narrow" w:hAnsi="Arial Narrow" w:cs="Calibri"/>
                <w:b/>
                <w:color w:val="FFFFFF" w:themeColor="background1"/>
                <w:sz w:val="18"/>
                <w:szCs w:val="18"/>
              </w:rPr>
            </w:pPr>
            <w:r>
              <w:rPr>
                <w:rFonts w:ascii="Arial Narrow" w:hAnsi="Arial Narrow" w:cs="Calibri"/>
                <w:b/>
                <w:color w:val="FFFFFF" w:themeColor="background1"/>
                <w:sz w:val="18"/>
                <w:szCs w:val="18"/>
              </w:rPr>
              <w:t>1,3</w:t>
            </w:r>
          </w:p>
        </w:tc>
        <w:tc>
          <w:tcPr>
            <w:tcW w:w="510" w:type="dxa"/>
            <w:tcBorders>
              <w:top w:val="nil"/>
              <w:left w:val="nil"/>
              <w:bottom w:val="single" w:sz="4" w:space="0" w:color="auto"/>
              <w:right w:val="nil"/>
            </w:tcBorders>
            <w:shd w:val="clear" w:color="auto" w:fill="FF0000"/>
            <w:vAlign w:val="center"/>
          </w:tcPr>
          <w:p w14:paraId="019A72CB" w14:textId="77777777" w:rsidR="0001150C" w:rsidRPr="00E96568" w:rsidRDefault="0001150C" w:rsidP="007E1298">
            <w:pPr>
              <w:spacing w:before="0" w:after="0"/>
              <w:jc w:val="right"/>
              <w:rPr>
                <w:rFonts w:ascii="Arial Narrow" w:hAnsi="Arial Narrow" w:cs="Calibri"/>
                <w:b/>
                <w:color w:val="FFFFFF" w:themeColor="background1"/>
                <w:sz w:val="18"/>
                <w:szCs w:val="18"/>
              </w:rPr>
            </w:pPr>
            <w:r w:rsidRPr="00DB7B60">
              <w:rPr>
                <w:rFonts w:ascii="Arial Narrow" w:hAnsi="Arial Narrow" w:cs="Calibri"/>
                <w:b/>
                <w:bCs/>
                <w:color w:val="FFFFFF" w:themeColor="background1"/>
                <w:sz w:val="18"/>
                <w:szCs w:val="18"/>
              </w:rPr>
              <w:t>1,1</w:t>
            </w:r>
          </w:p>
        </w:tc>
        <w:tc>
          <w:tcPr>
            <w:tcW w:w="510" w:type="dxa"/>
            <w:tcBorders>
              <w:top w:val="nil"/>
              <w:left w:val="nil"/>
              <w:bottom w:val="single" w:sz="4" w:space="0" w:color="auto"/>
              <w:right w:val="nil"/>
            </w:tcBorders>
            <w:shd w:val="clear" w:color="auto" w:fill="FF0000"/>
            <w:vAlign w:val="center"/>
          </w:tcPr>
          <w:p w14:paraId="1D328567" w14:textId="77777777" w:rsidR="0001150C" w:rsidRPr="00DB7B60" w:rsidRDefault="0001150C" w:rsidP="007E1298">
            <w:pPr>
              <w:spacing w:before="0" w:after="0"/>
              <w:jc w:val="right"/>
              <w:rPr>
                <w:rFonts w:ascii="Arial Narrow" w:hAnsi="Arial Narrow" w:cs="Calibri"/>
                <w:b/>
                <w:bCs/>
                <w:color w:val="FFFFFF" w:themeColor="background1"/>
                <w:sz w:val="18"/>
                <w:szCs w:val="18"/>
              </w:rPr>
            </w:pPr>
            <w:r>
              <w:rPr>
                <w:rFonts w:ascii="Arial Narrow" w:hAnsi="Arial Narrow" w:cs="Calibri"/>
                <w:b/>
                <w:bCs/>
                <w:color w:val="FFFFFF" w:themeColor="background1"/>
                <w:sz w:val="18"/>
                <w:szCs w:val="18"/>
              </w:rPr>
              <w:t>1,2</w:t>
            </w:r>
          </w:p>
        </w:tc>
      </w:tr>
      <w:tr w:rsidR="0001150C" w:rsidRPr="001D642A" w14:paraId="7B58BB69" w14:textId="77777777" w:rsidTr="007E1298">
        <w:trPr>
          <w:trHeight w:val="255"/>
          <w:jc w:val="center"/>
        </w:trPr>
        <w:tc>
          <w:tcPr>
            <w:tcW w:w="3402" w:type="dxa"/>
            <w:vMerge w:val="restart"/>
            <w:tcBorders>
              <w:top w:val="nil"/>
              <w:left w:val="nil"/>
              <w:bottom w:val="single" w:sz="4" w:space="0" w:color="000000"/>
              <w:right w:val="nil"/>
            </w:tcBorders>
            <w:shd w:val="clear" w:color="000000" w:fill="FFFFFF"/>
            <w:vAlign w:val="center"/>
            <w:hideMark/>
          </w:tcPr>
          <w:p w14:paraId="185152B5"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r w:rsidRPr="001D642A">
              <w:rPr>
                <w:rFonts w:ascii="Arial Narrow" w:hAnsi="Arial Narrow"/>
                <w:color w:val="000000"/>
                <w:kern w:val="0"/>
                <w:sz w:val="18"/>
                <w:szCs w:val="18"/>
              </w:rPr>
              <w:t>Indice generale al netto dell’energia e degli alimentari freschi (Componente di fondo)</w:t>
            </w:r>
          </w:p>
        </w:tc>
        <w:tc>
          <w:tcPr>
            <w:tcW w:w="286" w:type="dxa"/>
            <w:tcBorders>
              <w:top w:val="nil"/>
              <w:left w:val="nil"/>
              <w:bottom w:val="single" w:sz="4" w:space="0" w:color="auto"/>
              <w:right w:val="nil"/>
            </w:tcBorders>
            <w:shd w:val="clear" w:color="000000" w:fill="FFFFFF"/>
            <w:noWrap/>
            <w:vAlign w:val="center"/>
            <w:hideMark/>
          </w:tcPr>
          <w:p w14:paraId="02DEB37D"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P</w:t>
            </w:r>
          </w:p>
        </w:tc>
        <w:tc>
          <w:tcPr>
            <w:tcW w:w="510" w:type="dxa"/>
            <w:tcBorders>
              <w:top w:val="nil"/>
              <w:left w:val="nil"/>
              <w:bottom w:val="single" w:sz="4" w:space="0" w:color="auto"/>
              <w:right w:val="nil"/>
            </w:tcBorders>
            <w:shd w:val="clear" w:color="auto" w:fill="D9D9D9" w:themeFill="background1" w:themeFillShade="D9"/>
            <w:vAlign w:val="center"/>
          </w:tcPr>
          <w:p w14:paraId="34986BB2"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000000" w:fill="FFFFFF"/>
            <w:vAlign w:val="center"/>
          </w:tcPr>
          <w:p w14:paraId="566868BA"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auto" w:fill="D9D9D9" w:themeFill="background1" w:themeFillShade="D9"/>
            <w:vAlign w:val="center"/>
          </w:tcPr>
          <w:p w14:paraId="7E8688F9"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000000" w:fill="FFFFFF"/>
            <w:vAlign w:val="center"/>
          </w:tcPr>
          <w:p w14:paraId="0A41BDC2"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auto" w:fill="D9D9D9" w:themeFill="background1" w:themeFillShade="D9"/>
            <w:vAlign w:val="center"/>
          </w:tcPr>
          <w:p w14:paraId="1719745A"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2.2</w:t>
            </w:r>
          </w:p>
        </w:tc>
        <w:tc>
          <w:tcPr>
            <w:tcW w:w="510" w:type="dxa"/>
            <w:tcBorders>
              <w:top w:val="nil"/>
              <w:left w:val="nil"/>
              <w:bottom w:val="single" w:sz="4" w:space="0" w:color="auto"/>
              <w:right w:val="nil"/>
            </w:tcBorders>
            <w:shd w:val="clear" w:color="000000" w:fill="FFFFFF"/>
            <w:vAlign w:val="center"/>
          </w:tcPr>
          <w:p w14:paraId="46914F00"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auto" w:fill="D9D9D9" w:themeFill="background1" w:themeFillShade="D9"/>
            <w:vAlign w:val="center"/>
          </w:tcPr>
          <w:p w14:paraId="4F909694"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000000" w:fill="FFFFFF"/>
            <w:vAlign w:val="center"/>
          </w:tcPr>
          <w:p w14:paraId="78ED94F6"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auto" w:fill="D9D9D9" w:themeFill="background1" w:themeFillShade="D9"/>
            <w:vAlign w:val="center"/>
          </w:tcPr>
          <w:p w14:paraId="4D78A278"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2,2</w:t>
            </w:r>
          </w:p>
        </w:tc>
        <w:tc>
          <w:tcPr>
            <w:tcW w:w="510" w:type="dxa"/>
            <w:tcBorders>
              <w:top w:val="nil"/>
              <w:left w:val="nil"/>
              <w:bottom w:val="single" w:sz="4" w:space="0" w:color="auto"/>
              <w:right w:val="nil"/>
            </w:tcBorders>
            <w:shd w:val="clear" w:color="000000" w:fill="FFFFFF"/>
            <w:vAlign w:val="center"/>
          </w:tcPr>
          <w:p w14:paraId="27FDAE3C"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2,2</w:t>
            </w:r>
          </w:p>
        </w:tc>
        <w:tc>
          <w:tcPr>
            <w:tcW w:w="510" w:type="dxa"/>
            <w:tcBorders>
              <w:top w:val="nil"/>
              <w:left w:val="nil"/>
              <w:bottom w:val="single" w:sz="4" w:space="0" w:color="auto"/>
              <w:right w:val="nil"/>
            </w:tcBorders>
            <w:shd w:val="clear" w:color="auto" w:fill="D9D9D9" w:themeFill="background1" w:themeFillShade="D9"/>
            <w:vAlign w:val="center"/>
          </w:tcPr>
          <w:p w14:paraId="4A120911"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000000" w:fill="FFFFFF"/>
            <w:vAlign w:val="center"/>
          </w:tcPr>
          <w:p w14:paraId="30F29FC7"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auto" w:fill="D9D9D9" w:themeFill="background1" w:themeFillShade="D9"/>
            <w:vAlign w:val="center"/>
          </w:tcPr>
          <w:p w14:paraId="66E85D86"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2,0</w:t>
            </w:r>
          </w:p>
        </w:tc>
      </w:tr>
      <w:tr w:rsidR="0001150C" w:rsidRPr="001D642A" w14:paraId="45820E0D" w14:textId="77777777" w:rsidTr="007E1298">
        <w:trPr>
          <w:trHeight w:val="255"/>
          <w:jc w:val="center"/>
        </w:trPr>
        <w:tc>
          <w:tcPr>
            <w:tcW w:w="3402" w:type="dxa"/>
            <w:vMerge/>
            <w:tcBorders>
              <w:top w:val="nil"/>
              <w:left w:val="nil"/>
              <w:bottom w:val="single" w:sz="4" w:space="0" w:color="000000"/>
              <w:right w:val="nil"/>
            </w:tcBorders>
            <w:vAlign w:val="center"/>
            <w:hideMark/>
          </w:tcPr>
          <w:p w14:paraId="161AB444"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p>
        </w:tc>
        <w:tc>
          <w:tcPr>
            <w:tcW w:w="286" w:type="dxa"/>
            <w:tcBorders>
              <w:top w:val="nil"/>
              <w:left w:val="nil"/>
              <w:bottom w:val="single" w:sz="4" w:space="0" w:color="auto"/>
              <w:right w:val="nil"/>
            </w:tcBorders>
            <w:shd w:val="clear" w:color="000000" w:fill="FFFFFF"/>
            <w:noWrap/>
            <w:vAlign w:val="center"/>
            <w:hideMark/>
          </w:tcPr>
          <w:p w14:paraId="198257C4"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D</w:t>
            </w:r>
          </w:p>
        </w:tc>
        <w:tc>
          <w:tcPr>
            <w:tcW w:w="510" w:type="dxa"/>
            <w:tcBorders>
              <w:top w:val="nil"/>
              <w:left w:val="nil"/>
              <w:bottom w:val="single" w:sz="4" w:space="0" w:color="auto"/>
              <w:right w:val="nil"/>
            </w:tcBorders>
            <w:shd w:val="clear" w:color="auto" w:fill="D9D9D9" w:themeFill="background1" w:themeFillShade="D9"/>
            <w:vAlign w:val="center"/>
          </w:tcPr>
          <w:p w14:paraId="386DC37C"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000000" w:fill="FFFFFF"/>
            <w:vAlign w:val="center"/>
          </w:tcPr>
          <w:p w14:paraId="65F1383F"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auto" w:fill="D9D9D9" w:themeFill="background1" w:themeFillShade="D9"/>
            <w:vAlign w:val="center"/>
          </w:tcPr>
          <w:p w14:paraId="7207BEAC"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000000" w:fill="FFFFFF"/>
            <w:vAlign w:val="center"/>
          </w:tcPr>
          <w:p w14:paraId="2E2ABB01"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auto" w:fill="D9D9D9" w:themeFill="background1" w:themeFillShade="D9"/>
            <w:vAlign w:val="center"/>
          </w:tcPr>
          <w:p w14:paraId="3854EC3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000000" w:fill="FFFFFF"/>
            <w:vAlign w:val="center"/>
          </w:tcPr>
          <w:p w14:paraId="2CF674BD"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2,0</w:t>
            </w:r>
          </w:p>
        </w:tc>
        <w:tc>
          <w:tcPr>
            <w:tcW w:w="510" w:type="dxa"/>
            <w:tcBorders>
              <w:top w:val="nil"/>
              <w:left w:val="nil"/>
              <w:bottom w:val="single" w:sz="4" w:space="0" w:color="auto"/>
              <w:right w:val="nil"/>
            </w:tcBorders>
            <w:shd w:val="clear" w:color="auto" w:fill="D9D9D9" w:themeFill="background1" w:themeFillShade="D9"/>
            <w:vAlign w:val="center"/>
          </w:tcPr>
          <w:p w14:paraId="05E93514"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000000" w:fill="FFFFFF"/>
            <w:vAlign w:val="center"/>
          </w:tcPr>
          <w:p w14:paraId="5EA5FF81"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auto" w:fill="D9D9D9" w:themeFill="background1" w:themeFillShade="D9"/>
            <w:vAlign w:val="center"/>
          </w:tcPr>
          <w:p w14:paraId="2147DD6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2,2</w:t>
            </w:r>
          </w:p>
        </w:tc>
        <w:tc>
          <w:tcPr>
            <w:tcW w:w="510" w:type="dxa"/>
            <w:tcBorders>
              <w:top w:val="nil"/>
              <w:left w:val="nil"/>
              <w:bottom w:val="single" w:sz="4" w:space="0" w:color="auto"/>
              <w:right w:val="nil"/>
            </w:tcBorders>
            <w:shd w:val="clear" w:color="000000" w:fill="FFFFFF"/>
            <w:vAlign w:val="center"/>
          </w:tcPr>
          <w:p w14:paraId="5D0523E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2,2</w:t>
            </w:r>
          </w:p>
        </w:tc>
        <w:tc>
          <w:tcPr>
            <w:tcW w:w="510" w:type="dxa"/>
            <w:tcBorders>
              <w:top w:val="nil"/>
              <w:left w:val="nil"/>
              <w:bottom w:val="single" w:sz="4" w:space="0" w:color="auto"/>
              <w:right w:val="nil"/>
            </w:tcBorders>
            <w:shd w:val="clear" w:color="auto" w:fill="D9D9D9" w:themeFill="background1" w:themeFillShade="D9"/>
            <w:vAlign w:val="center"/>
          </w:tcPr>
          <w:p w14:paraId="293E9E26"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000000" w:fill="FFFFFF"/>
            <w:vAlign w:val="center"/>
          </w:tcPr>
          <w:p w14:paraId="6245D3BF"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auto" w:fill="D9D9D9" w:themeFill="background1" w:themeFillShade="D9"/>
            <w:vAlign w:val="center"/>
          </w:tcPr>
          <w:p w14:paraId="2BD92C37"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1,9</w:t>
            </w:r>
          </w:p>
        </w:tc>
      </w:tr>
      <w:tr w:rsidR="0001150C" w:rsidRPr="001D642A" w14:paraId="6EEF0F45" w14:textId="77777777" w:rsidTr="007E1298">
        <w:trPr>
          <w:trHeight w:val="255"/>
          <w:jc w:val="center"/>
        </w:trPr>
        <w:tc>
          <w:tcPr>
            <w:tcW w:w="3402" w:type="dxa"/>
            <w:vMerge w:val="restart"/>
            <w:tcBorders>
              <w:top w:val="nil"/>
              <w:left w:val="nil"/>
              <w:bottom w:val="single" w:sz="4" w:space="0" w:color="000000"/>
              <w:right w:val="nil"/>
            </w:tcBorders>
            <w:shd w:val="clear" w:color="000000" w:fill="FFFFFF"/>
            <w:vAlign w:val="center"/>
            <w:hideMark/>
          </w:tcPr>
          <w:p w14:paraId="2961DAEC" w14:textId="77777777" w:rsidR="0001150C" w:rsidRPr="001D642A" w:rsidRDefault="0001150C" w:rsidP="007E1298">
            <w:pPr>
              <w:widowControl/>
              <w:overflowPunct/>
              <w:autoSpaceDE/>
              <w:autoSpaceDN/>
              <w:adjustRightInd/>
              <w:spacing w:before="0" w:after="0"/>
              <w:ind w:right="-70"/>
              <w:rPr>
                <w:rFonts w:ascii="Arial Narrow" w:hAnsi="Arial Narrow"/>
                <w:color w:val="000000"/>
                <w:kern w:val="0"/>
                <w:sz w:val="18"/>
                <w:szCs w:val="18"/>
              </w:rPr>
            </w:pPr>
            <w:r w:rsidRPr="001D642A">
              <w:rPr>
                <w:rFonts w:ascii="Arial Narrow" w:hAnsi="Arial Narrow"/>
                <w:color w:val="000000"/>
                <w:kern w:val="0"/>
                <w:sz w:val="18"/>
                <w:szCs w:val="18"/>
              </w:rPr>
              <w:t>Indice generale al netto di energia, alimentari (incluse bevande alcoliche) e tabacchi</w:t>
            </w:r>
          </w:p>
        </w:tc>
        <w:tc>
          <w:tcPr>
            <w:tcW w:w="286" w:type="dxa"/>
            <w:tcBorders>
              <w:top w:val="nil"/>
              <w:left w:val="nil"/>
              <w:bottom w:val="single" w:sz="4" w:space="0" w:color="auto"/>
              <w:right w:val="nil"/>
            </w:tcBorders>
            <w:shd w:val="clear" w:color="000000" w:fill="FFFFFF"/>
            <w:noWrap/>
            <w:vAlign w:val="center"/>
            <w:hideMark/>
          </w:tcPr>
          <w:p w14:paraId="2A184D2D"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P</w:t>
            </w:r>
          </w:p>
        </w:tc>
        <w:tc>
          <w:tcPr>
            <w:tcW w:w="510" w:type="dxa"/>
            <w:tcBorders>
              <w:top w:val="nil"/>
              <w:left w:val="nil"/>
              <w:bottom w:val="single" w:sz="4" w:space="0" w:color="auto"/>
              <w:right w:val="nil"/>
            </w:tcBorders>
            <w:shd w:val="clear" w:color="auto" w:fill="D9D9D9" w:themeFill="background1" w:themeFillShade="D9"/>
            <w:vAlign w:val="center"/>
          </w:tcPr>
          <w:p w14:paraId="01558F18"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000000" w:fill="FFFFFF"/>
            <w:vAlign w:val="center"/>
          </w:tcPr>
          <w:p w14:paraId="4A5F33B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auto" w:fill="D9D9D9" w:themeFill="background1" w:themeFillShade="D9"/>
            <w:vAlign w:val="center"/>
          </w:tcPr>
          <w:p w14:paraId="415066A0"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1,5</w:t>
            </w:r>
          </w:p>
        </w:tc>
        <w:tc>
          <w:tcPr>
            <w:tcW w:w="510" w:type="dxa"/>
            <w:tcBorders>
              <w:top w:val="nil"/>
              <w:left w:val="nil"/>
              <w:bottom w:val="single" w:sz="4" w:space="0" w:color="auto"/>
              <w:right w:val="nil"/>
            </w:tcBorders>
            <w:shd w:val="clear" w:color="000000" w:fill="FFFFFF"/>
            <w:vAlign w:val="center"/>
          </w:tcPr>
          <w:p w14:paraId="447DD75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auto" w:fill="D9D9D9" w:themeFill="background1" w:themeFillShade="D9"/>
            <w:vAlign w:val="center"/>
          </w:tcPr>
          <w:p w14:paraId="2ABA64C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2,2</w:t>
            </w:r>
          </w:p>
        </w:tc>
        <w:tc>
          <w:tcPr>
            <w:tcW w:w="510" w:type="dxa"/>
            <w:tcBorders>
              <w:top w:val="nil"/>
              <w:left w:val="nil"/>
              <w:bottom w:val="single" w:sz="4" w:space="0" w:color="auto"/>
              <w:right w:val="nil"/>
            </w:tcBorders>
            <w:shd w:val="clear" w:color="000000" w:fill="FFFFFF"/>
            <w:vAlign w:val="center"/>
          </w:tcPr>
          <w:p w14:paraId="4BB8965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auto" w:fill="D9D9D9" w:themeFill="background1" w:themeFillShade="D9"/>
            <w:vAlign w:val="center"/>
          </w:tcPr>
          <w:p w14:paraId="036C20A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000000" w:fill="FFFFFF"/>
            <w:vAlign w:val="center"/>
          </w:tcPr>
          <w:p w14:paraId="662CB3F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2,0</w:t>
            </w:r>
          </w:p>
        </w:tc>
        <w:tc>
          <w:tcPr>
            <w:tcW w:w="510" w:type="dxa"/>
            <w:tcBorders>
              <w:top w:val="nil"/>
              <w:left w:val="nil"/>
              <w:bottom w:val="single" w:sz="4" w:space="0" w:color="auto"/>
              <w:right w:val="nil"/>
            </w:tcBorders>
            <w:shd w:val="clear" w:color="auto" w:fill="D9D9D9" w:themeFill="background1" w:themeFillShade="D9"/>
            <w:vAlign w:val="center"/>
          </w:tcPr>
          <w:p w14:paraId="5C006DF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2,0</w:t>
            </w:r>
          </w:p>
        </w:tc>
        <w:tc>
          <w:tcPr>
            <w:tcW w:w="510" w:type="dxa"/>
            <w:tcBorders>
              <w:top w:val="nil"/>
              <w:left w:val="nil"/>
              <w:bottom w:val="single" w:sz="4" w:space="0" w:color="auto"/>
              <w:right w:val="nil"/>
            </w:tcBorders>
            <w:shd w:val="clear" w:color="000000" w:fill="FFFFFF"/>
            <w:vAlign w:val="center"/>
          </w:tcPr>
          <w:p w14:paraId="17873370"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auto" w:fill="D9D9D9" w:themeFill="background1" w:themeFillShade="D9"/>
            <w:vAlign w:val="center"/>
          </w:tcPr>
          <w:p w14:paraId="38CD0496"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000000" w:fill="FFFFFF"/>
            <w:vAlign w:val="center"/>
          </w:tcPr>
          <w:p w14:paraId="2C35D179"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1,7</w:t>
            </w:r>
          </w:p>
        </w:tc>
        <w:tc>
          <w:tcPr>
            <w:tcW w:w="510" w:type="dxa"/>
            <w:tcBorders>
              <w:top w:val="nil"/>
              <w:left w:val="nil"/>
              <w:bottom w:val="single" w:sz="4" w:space="0" w:color="auto"/>
              <w:right w:val="nil"/>
            </w:tcBorders>
            <w:shd w:val="clear" w:color="auto" w:fill="D9D9D9" w:themeFill="background1" w:themeFillShade="D9"/>
            <w:vAlign w:val="center"/>
          </w:tcPr>
          <w:p w14:paraId="27B1E6C6"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1,8</w:t>
            </w:r>
          </w:p>
        </w:tc>
      </w:tr>
      <w:tr w:rsidR="0001150C" w:rsidRPr="001D642A" w14:paraId="151BE148" w14:textId="77777777" w:rsidTr="007E1298">
        <w:trPr>
          <w:trHeight w:val="255"/>
          <w:jc w:val="center"/>
        </w:trPr>
        <w:tc>
          <w:tcPr>
            <w:tcW w:w="3402" w:type="dxa"/>
            <w:vMerge/>
            <w:tcBorders>
              <w:top w:val="nil"/>
              <w:left w:val="nil"/>
              <w:bottom w:val="single" w:sz="4" w:space="0" w:color="000000"/>
              <w:right w:val="nil"/>
            </w:tcBorders>
            <w:vAlign w:val="center"/>
            <w:hideMark/>
          </w:tcPr>
          <w:p w14:paraId="6429C5FF"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p>
        </w:tc>
        <w:tc>
          <w:tcPr>
            <w:tcW w:w="286" w:type="dxa"/>
            <w:tcBorders>
              <w:top w:val="nil"/>
              <w:left w:val="nil"/>
              <w:bottom w:val="single" w:sz="4" w:space="0" w:color="auto"/>
              <w:right w:val="nil"/>
            </w:tcBorders>
            <w:shd w:val="clear" w:color="000000" w:fill="FFFFFF"/>
            <w:noWrap/>
            <w:vAlign w:val="center"/>
            <w:hideMark/>
          </w:tcPr>
          <w:p w14:paraId="319DB243"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D</w:t>
            </w:r>
          </w:p>
        </w:tc>
        <w:tc>
          <w:tcPr>
            <w:tcW w:w="510" w:type="dxa"/>
            <w:tcBorders>
              <w:top w:val="nil"/>
              <w:left w:val="nil"/>
              <w:bottom w:val="single" w:sz="4" w:space="0" w:color="auto"/>
              <w:right w:val="nil"/>
            </w:tcBorders>
            <w:shd w:val="clear" w:color="auto" w:fill="D9D9D9" w:themeFill="background1" w:themeFillShade="D9"/>
            <w:vAlign w:val="center"/>
          </w:tcPr>
          <w:p w14:paraId="09CC7A07"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000000" w:fill="FFFFFF"/>
            <w:vAlign w:val="center"/>
          </w:tcPr>
          <w:p w14:paraId="04720F2D"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auto" w:fill="D9D9D9" w:themeFill="background1" w:themeFillShade="D9"/>
            <w:vAlign w:val="center"/>
          </w:tcPr>
          <w:p w14:paraId="26BCE068"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1,5</w:t>
            </w:r>
          </w:p>
        </w:tc>
        <w:tc>
          <w:tcPr>
            <w:tcW w:w="510" w:type="dxa"/>
            <w:tcBorders>
              <w:top w:val="nil"/>
              <w:left w:val="nil"/>
              <w:bottom w:val="single" w:sz="4" w:space="0" w:color="auto"/>
              <w:right w:val="nil"/>
            </w:tcBorders>
            <w:shd w:val="clear" w:color="000000" w:fill="FFFFFF"/>
            <w:vAlign w:val="center"/>
          </w:tcPr>
          <w:p w14:paraId="36F9ABF5"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auto" w:fill="D9D9D9" w:themeFill="background1" w:themeFillShade="D9"/>
            <w:vAlign w:val="center"/>
          </w:tcPr>
          <w:p w14:paraId="234695FF"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2,2</w:t>
            </w:r>
          </w:p>
        </w:tc>
        <w:tc>
          <w:tcPr>
            <w:tcW w:w="510" w:type="dxa"/>
            <w:tcBorders>
              <w:top w:val="nil"/>
              <w:left w:val="nil"/>
              <w:bottom w:val="single" w:sz="4" w:space="0" w:color="auto"/>
              <w:right w:val="nil"/>
            </w:tcBorders>
            <w:shd w:val="clear" w:color="000000" w:fill="FFFFFF"/>
            <w:vAlign w:val="center"/>
          </w:tcPr>
          <w:p w14:paraId="65F50FC2"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auto" w:fill="D9D9D9" w:themeFill="background1" w:themeFillShade="D9"/>
            <w:vAlign w:val="center"/>
          </w:tcPr>
          <w:p w14:paraId="056A6131"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2,0</w:t>
            </w:r>
          </w:p>
        </w:tc>
        <w:tc>
          <w:tcPr>
            <w:tcW w:w="510" w:type="dxa"/>
            <w:tcBorders>
              <w:top w:val="nil"/>
              <w:left w:val="nil"/>
              <w:bottom w:val="single" w:sz="4" w:space="0" w:color="auto"/>
              <w:right w:val="nil"/>
            </w:tcBorders>
            <w:shd w:val="clear" w:color="000000" w:fill="FFFFFF"/>
            <w:vAlign w:val="center"/>
          </w:tcPr>
          <w:p w14:paraId="5D1F54DD"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2,0</w:t>
            </w:r>
          </w:p>
        </w:tc>
        <w:tc>
          <w:tcPr>
            <w:tcW w:w="510" w:type="dxa"/>
            <w:tcBorders>
              <w:top w:val="nil"/>
              <w:left w:val="nil"/>
              <w:bottom w:val="single" w:sz="4" w:space="0" w:color="auto"/>
              <w:right w:val="nil"/>
            </w:tcBorders>
            <w:shd w:val="clear" w:color="auto" w:fill="D9D9D9" w:themeFill="background1" w:themeFillShade="D9"/>
            <w:vAlign w:val="center"/>
          </w:tcPr>
          <w:p w14:paraId="160787BE"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2,0</w:t>
            </w:r>
          </w:p>
        </w:tc>
        <w:tc>
          <w:tcPr>
            <w:tcW w:w="510" w:type="dxa"/>
            <w:tcBorders>
              <w:top w:val="nil"/>
              <w:left w:val="nil"/>
              <w:bottom w:val="single" w:sz="4" w:space="0" w:color="auto"/>
              <w:right w:val="nil"/>
            </w:tcBorders>
            <w:shd w:val="clear" w:color="000000" w:fill="FFFFFF"/>
            <w:vAlign w:val="center"/>
          </w:tcPr>
          <w:p w14:paraId="39EF3541"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auto" w:fill="D9D9D9" w:themeFill="background1" w:themeFillShade="D9"/>
            <w:vAlign w:val="center"/>
          </w:tcPr>
          <w:p w14:paraId="28DABF0E"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000000" w:fill="FFFFFF"/>
            <w:vAlign w:val="center"/>
          </w:tcPr>
          <w:p w14:paraId="6AE037A7"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1,7</w:t>
            </w:r>
          </w:p>
        </w:tc>
        <w:tc>
          <w:tcPr>
            <w:tcW w:w="510" w:type="dxa"/>
            <w:tcBorders>
              <w:top w:val="nil"/>
              <w:left w:val="nil"/>
              <w:bottom w:val="single" w:sz="4" w:space="0" w:color="auto"/>
              <w:right w:val="nil"/>
            </w:tcBorders>
            <w:shd w:val="clear" w:color="auto" w:fill="D9D9D9" w:themeFill="background1" w:themeFillShade="D9"/>
            <w:vAlign w:val="center"/>
          </w:tcPr>
          <w:p w14:paraId="36C3EB05"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1,8</w:t>
            </w:r>
          </w:p>
        </w:tc>
      </w:tr>
      <w:tr w:rsidR="0001150C" w:rsidRPr="001D642A" w14:paraId="4F595BE2" w14:textId="77777777" w:rsidTr="007E1298">
        <w:trPr>
          <w:trHeight w:val="255"/>
          <w:jc w:val="center"/>
        </w:trPr>
        <w:tc>
          <w:tcPr>
            <w:tcW w:w="3402" w:type="dxa"/>
            <w:vMerge w:val="restart"/>
            <w:tcBorders>
              <w:top w:val="nil"/>
              <w:left w:val="nil"/>
              <w:bottom w:val="single" w:sz="4" w:space="0" w:color="000000"/>
              <w:right w:val="nil"/>
            </w:tcBorders>
            <w:shd w:val="clear" w:color="000000" w:fill="FFFFFF"/>
            <w:vAlign w:val="center"/>
            <w:hideMark/>
          </w:tcPr>
          <w:p w14:paraId="699E3F0D"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r w:rsidRPr="001D642A">
              <w:rPr>
                <w:rFonts w:ascii="Arial Narrow" w:hAnsi="Arial Narrow"/>
                <w:color w:val="000000"/>
                <w:kern w:val="0"/>
                <w:sz w:val="18"/>
                <w:szCs w:val="18"/>
              </w:rPr>
              <w:t>Indice generale esclusi energetici</w:t>
            </w:r>
          </w:p>
        </w:tc>
        <w:tc>
          <w:tcPr>
            <w:tcW w:w="286" w:type="dxa"/>
            <w:tcBorders>
              <w:top w:val="nil"/>
              <w:left w:val="nil"/>
              <w:bottom w:val="single" w:sz="4" w:space="0" w:color="auto"/>
              <w:right w:val="nil"/>
            </w:tcBorders>
            <w:shd w:val="clear" w:color="000000" w:fill="FFFFFF"/>
            <w:noWrap/>
            <w:vAlign w:val="center"/>
            <w:hideMark/>
          </w:tcPr>
          <w:p w14:paraId="76E5C2E4"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P</w:t>
            </w:r>
          </w:p>
        </w:tc>
        <w:tc>
          <w:tcPr>
            <w:tcW w:w="510" w:type="dxa"/>
            <w:tcBorders>
              <w:top w:val="nil"/>
              <w:left w:val="nil"/>
              <w:bottom w:val="single" w:sz="4" w:space="0" w:color="auto"/>
              <w:right w:val="nil"/>
            </w:tcBorders>
            <w:shd w:val="clear" w:color="auto" w:fill="D9D9D9" w:themeFill="background1" w:themeFillShade="D9"/>
            <w:vAlign w:val="center"/>
          </w:tcPr>
          <w:p w14:paraId="6772979E"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000000" w:fill="FFFFFF"/>
            <w:vAlign w:val="center"/>
          </w:tcPr>
          <w:p w14:paraId="322F6CB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2,0</w:t>
            </w:r>
          </w:p>
        </w:tc>
        <w:tc>
          <w:tcPr>
            <w:tcW w:w="510" w:type="dxa"/>
            <w:tcBorders>
              <w:top w:val="nil"/>
              <w:left w:val="nil"/>
              <w:bottom w:val="single" w:sz="4" w:space="0" w:color="auto"/>
              <w:right w:val="nil"/>
            </w:tcBorders>
            <w:shd w:val="clear" w:color="auto" w:fill="D9D9D9" w:themeFill="background1" w:themeFillShade="D9"/>
            <w:vAlign w:val="center"/>
          </w:tcPr>
          <w:p w14:paraId="606AFDBA"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000000" w:fill="FFFFFF"/>
            <w:vAlign w:val="center"/>
          </w:tcPr>
          <w:p w14:paraId="0394A077"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2,0</w:t>
            </w:r>
          </w:p>
        </w:tc>
        <w:tc>
          <w:tcPr>
            <w:tcW w:w="510" w:type="dxa"/>
            <w:tcBorders>
              <w:top w:val="nil"/>
              <w:left w:val="nil"/>
              <w:bottom w:val="single" w:sz="4" w:space="0" w:color="auto"/>
              <w:right w:val="nil"/>
            </w:tcBorders>
            <w:shd w:val="clear" w:color="auto" w:fill="D9D9D9" w:themeFill="background1" w:themeFillShade="D9"/>
            <w:vAlign w:val="center"/>
          </w:tcPr>
          <w:p w14:paraId="77DCAB2D"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2,4</w:t>
            </w:r>
          </w:p>
        </w:tc>
        <w:tc>
          <w:tcPr>
            <w:tcW w:w="510" w:type="dxa"/>
            <w:tcBorders>
              <w:top w:val="nil"/>
              <w:left w:val="nil"/>
              <w:bottom w:val="single" w:sz="4" w:space="0" w:color="auto"/>
              <w:right w:val="nil"/>
            </w:tcBorders>
            <w:shd w:val="clear" w:color="000000" w:fill="FFFFFF"/>
            <w:vAlign w:val="center"/>
          </w:tcPr>
          <w:p w14:paraId="679FD528"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2,3</w:t>
            </w:r>
          </w:p>
        </w:tc>
        <w:tc>
          <w:tcPr>
            <w:tcW w:w="510" w:type="dxa"/>
            <w:tcBorders>
              <w:top w:val="nil"/>
              <w:left w:val="nil"/>
              <w:bottom w:val="single" w:sz="4" w:space="0" w:color="auto"/>
              <w:right w:val="nil"/>
            </w:tcBorders>
            <w:shd w:val="clear" w:color="auto" w:fill="D9D9D9" w:themeFill="background1" w:themeFillShade="D9"/>
            <w:vAlign w:val="center"/>
          </w:tcPr>
          <w:p w14:paraId="79C14A7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2,3</w:t>
            </w:r>
          </w:p>
        </w:tc>
        <w:tc>
          <w:tcPr>
            <w:tcW w:w="510" w:type="dxa"/>
            <w:tcBorders>
              <w:top w:val="nil"/>
              <w:left w:val="nil"/>
              <w:bottom w:val="single" w:sz="4" w:space="0" w:color="auto"/>
              <w:right w:val="nil"/>
            </w:tcBorders>
            <w:shd w:val="clear" w:color="000000" w:fill="FFFFFF"/>
            <w:vAlign w:val="center"/>
          </w:tcPr>
          <w:p w14:paraId="075225B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2,5</w:t>
            </w:r>
          </w:p>
        </w:tc>
        <w:tc>
          <w:tcPr>
            <w:tcW w:w="510" w:type="dxa"/>
            <w:tcBorders>
              <w:top w:val="nil"/>
              <w:left w:val="nil"/>
              <w:bottom w:val="single" w:sz="4" w:space="0" w:color="auto"/>
              <w:right w:val="nil"/>
            </w:tcBorders>
            <w:shd w:val="clear" w:color="auto" w:fill="D9D9D9" w:themeFill="background1" w:themeFillShade="D9"/>
            <w:vAlign w:val="center"/>
          </w:tcPr>
          <w:p w14:paraId="757D0AAF"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2,5</w:t>
            </w:r>
          </w:p>
        </w:tc>
        <w:tc>
          <w:tcPr>
            <w:tcW w:w="510" w:type="dxa"/>
            <w:tcBorders>
              <w:top w:val="nil"/>
              <w:left w:val="nil"/>
              <w:bottom w:val="single" w:sz="4" w:space="0" w:color="auto"/>
              <w:right w:val="nil"/>
            </w:tcBorders>
            <w:shd w:val="clear" w:color="000000" w:fill="FFFFFF"/>
            <w:vAlign w:val="center"/>
          </w:tcPr>
          <w:p w14:paraId="590FC06D"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2,4</w:t>
            </w:r>
          </w:p>
        </w:tc>
        <w:tc>
          <w:tcPr>
            <w:tcW w:w="510" w:type="dxa"/>
            <w:tcBorders>
              <w:top w:val="nil"/>
              <w:left w:val="nil"/>
              <w:bottom w:val="single" w:sz="4" w:space="0" w:color="auto"/>
              <w:right w:val="nil"/>
            </w:tcBorders>
            <w:shd w:val="clear" w:color="auto" w:fill="D9D9D9" w:themeFill="background1" w:themeFillShade="D9"/>
            <w:vAlign w:val="center"/>
          </w:tcPr>
          <w:p w14:paraId="4C560251"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000000" w:fill="FFFFFF"/>
            <w:vAlign w:val="center"/>
          </w:tcPr>
          <w:p w14:paraId="1AA3CCC6"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auto" w:fill="D9D9D9" w:themeFill="background1" w:themeFillShade="D9"/>
            <w:vAlign w:val="center"/>
          </w:tcPr>
          <w:p w14:paraId="18F37843"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1,9</w:t>
            </w:r>
          </w:p>
        </w:tc>
      </w:tr>
      <w:tr w:rsidR="0001150C" w:rsidRPr="001D642A" w14:paraId="477425A5" w14:textId="77777777" w:rsidTr="007E1298">
        <w:trPr>
          <w:trHeight w:val="255"/>
          <w:jc w:val="center"/>
        </w:trPr>
        <w:tc>
          <w:tcPr>
            <w:tcW w:w="3402" w:type="dxa"/>
            <w:vMerge/>
            <w:tcBorders>
              <w:top w:val="nil"/>
              <w:left w:val="nil"/>
              <w:bottom w:val="single" w:sz="4" w:space="0" w:color="000000"/>
              <w:right w:val="nil"/>
            </w:tcBorders>
            <w:vAlign w:val="center"/>
            <w:hideMark/>
          </w:tcPr>
          <w:p w14:paraId="3226DA20" w14:textId="77777777" w:rsidR="0001150C" w:rsidRPr="001D642A" w:rsidRDefault="0001150C" w:rsidP="007E1298">
            <w:pPr>
              <w:widowControl/>
              <w:overflowPunct/>
              <w:autoSpaceDE/>
              <w:autoSpaceDN/>
              <w:adjustRightInd/>
              <w:spacing w:before="0" w:after="0"/>
              <w:rPr>
                <w:rFonts w:ascii="Arial Narrow" w:hAnsi="Arial Narrow"/>
                <w:color w:val="000000"/>
                <w:kern w:val="0"/>
                <w:sz w:val="18"/>
                <w:szCs w:val="18"/>
              </w:rPr>
            </w:pPr>
          </w:p>
        </w:tc>
        <w:tc>
          <w:tcPr>
            <w:tcW w:w="286" w:type="dxa"/>
            <w:tcBorders>
              <w:top w:val="nil"/>
              <w:left w:val="nil"/>
              <w:bottom w:val="single" w:sz="4" w:space="0" w:color="auto"/>
              <w:right w:val="nil"/>
            </w:tcBorders>
            <w:shd w:val="clear" w:color="000000" w:fill="FFFFFF"/>
            <w:noWrap/>
            <w:vAlign w:val="center"/>
            <w:hideMark/>
          </w:tcPr>
          <w:p w14:paraId="178ABC1E" w14:textId="77777777" w:rsidR="0001150C" w:rsidRPr="001D642A" w:rsidRDefault="0001150C" w:rsidP="007E1298">
            <w:pPr>
              <w:widowControl/>
              <w:overflowPunct/>
              <w:autoSpaceDE/>
              <w:autoSpaceDN/>
              <w:adjustRightInd/>
              <w:spacing w:before="0" w:after="0"/>
              <w:jc w:val="center"/>
              <w:rPr>
                <w:rFonts w:ascii="Arial Narrow" w:hAnsi="Arial Narrow"/>
                <w:b/>
                <w:bCs/>
                <w:color w:val="000000"/>
                <w:kern w:val="0"/>
                <w:sz w:val="17"/>
                <w:szCs w:val="17"/>
              </w:rPr>
            </w:pPr>
            <w:r w:rsidRPr="001D642A">
              <w:rPr>
                <w:rFonts w:ascii="Arial Narrow" w:hAnsi="Arial Narrow"/>
                <w:b/>
                <w:bCs/>
                <w:color w:val="000000"/>
                <w:kern w:val="0"/>
                <w:sz w:val="17"/>
                <w:szCs w:val="17"/>
              </w:rPr>
              <w:t>D</w:t>
            </w:r>
          </w:p>
        </w:tc>
        <w:tc>
          <w:tcPr>
            <w:tcW w:w="510" w:type="dxa"/>
            <w:tcBorders>
              <w:top w:val="nil"/>
              <w:left w:val="nil"/>
              <w:bottom w:val="single" w:sz="4" w:space="0" w:color="auto"/>
              <w:right w:val="nil"/>
            </w:tcBorders>
            <w:shd w:val="clear" w:color="auto" w:fill="D9D9D9" w:themeFill="background1" w:themeFillShade="D9"/>
            <w:vAlign w:val="center"/>
          </w:tcPr>
          <w:p w14:paraId="405F911B" w14:textId="77777777" w:rsidR="0001150C" w:rsidRDefault="0001150C" w:rsidP="007E1298">
            <w:pPr>
              <w:spacing w:before="0" w:after="0"/>
              <w:jc w:val="right"/>
              <w:rPr>
                <w:rFonts w:ascii="Arial Narrow" w:hAnsi="Arial Narrow" w:cs="Calibri"/>
                <w:color w:val="000000"/>
                <w:sz w:val="18"/>
                <w:szCs w:val="18"/>
              </w:rPr>
            </w:pPr>
            <w:r w:rsidRPr="005A5085">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000000" w:fill="FFFFFF"/>
            <w:vAlign w:val="center"/>
          </w:tcPr>
          <w:p w14:paraId="2D4E9A38"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1,9</w:t>
            </w:r>
          </w:p>
        </w:tc>
        <w:tc>
          <w:tcPr>
            <w:tcW w:w="510" w:type="dxa"/>
            <w:tcBorders>
              <w:top w:val="nil"/>
              <w:left w:val="nil"/>
              <w:bottom w:val="single" w:sz="4" w:space="0" w:color="auto"/>
              <w:right w:val="nil"/>
            </w:tcBorders>
            <w:shd w:val="clear" w:color="auto" w:fill="D9D9D9" w:themeFill="background1" w:themeFillShade="D9"/>
            <w:vAlign w:val="center"/>
          </w:tcPr>
          <w:p w14:paraId="3B7F0EEA"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1,7</w:t>
            </w:r>
          </w:p>
        </w:tc>
        <w:tc>
          <w:tcPr>
            <w:tcW w:w="510" w:type="dxa"/>
            <w:tcBorders>
              <w:top w:val="nil"/>
              <w:left w:val="nil"/>
              <w:bottom w:val="single" w:sz="4" w:space="0" w:color="auto"/>
              <w:right w:val="nil"/>
            </w:tcBorders>
            <w:shd w:val="clear" w:color="000000" w:fill="FFFFFF"/>
            <w:vAlign w:val="center"/>
          </w:tcPr>
          <w:p w14:paraId="146C062B"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2,0</w:t>
            </w:r>
          </w:p>
        </w:tc>
        <w:tc>
          <w:tcPr>
            <w:tcW w:w="510" w:type="dxa"/>
            <w:tcBorders>
              <w:top w:val="nil"/>
              <w:left w:val="nil"/>
              <w:bottom w:val="single" w:sz="4" w:space="0" w:color="auto"/>
              <w:right w:val="nil"/>
            </w:tcBorders>
            <w:shd w:val="clear" w:color="auto" w:fill="D9D9D9" w:themeFill="background1" w:themeFillShade="D9"/>
            <w:vAlign w:val="center"/>
          </w:tcPr>
          <w:p w14:paraId="0F356D53"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2,4</w:t>
            </w:r>
          </w:p>
        </w:tc>
        <w:tc>
          <w:tcPr>
            <w:tcW w:w="510" w:type="dxa"/>
            <w:tcBorders>
              <w:top w:val="nil"/>
              <w:left w:val="nil"/>
              <w:bottom w:val="single" w:sz="4" w:space="0" w:color="auto"/>
              <w:right w:val="nil"/>
            </w:tcBorders>
            <w:shd w:val="clear" w:color="000000" w:fill="FFFFFF"/>
            <w:vAlign w:val="center"/>
          </w:tcPr>
          <w:p w14:paraId="0FAFCA7E"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2,2</w:t>
            </w:r>
          </w:p>
        </w:tc>
        <w:tc>
          <w:tcPr>
            <w:tcW w:w="510" w:type="dxa"/>
            <w:tcBorders>
              <w:top w:val="nil"/>
              <w:left w:val="nil"/>
              <w:bottom w:val="single" w:sz="4" w:space="0" w:color="auto"/>
              <w:right w:val="nil"/>
            </w:tcBorders>
            <w:shd w:val="clear" w:color="auto" w:fill="D9D9D9" w:themeFill="background1" w:themeFillShade="D9"/>
            <w:vAlign w:val="center"/>
          </w:tcPr>
          <w:p w14:paraId="65F8063C"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2,3</w:t>
            </w:r>
          </w:p>
        </w:tc>
        <w:tc>
          <w:tcPr>
            <w:tcW w:w="510" w:type="dxa"/>
            <w:tcBorders>
              <w:top w:val="nil"/>
              <w:left w:val="nil"/>
              <w:bottom w:val="single" w:sz="4" w:space="0" w:color="auto"/>
              <w:right w:val="nil"/>
            </w:tcBorders>
            <w:shd w:val="clear" w:color="000000" w:fill="FFFFFF"/>
            <w:vAlign w:val="center"/>
          </w:tcPr>
          <w:p w14:paraId="77140A0E"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2,4</w:t>
            </w:r>
          </w:p>
        </w:tc>
        <w:tc>
          <w:tcPr>
            <w:tcW w:w="510" w:type="dxa"/>
            <w:tcBorders>
              <w:top w:val="nil"/>
              <w:left w:val="nil"/>
              <w:bottom w:val="single" w:sz="4" w:space="0" w:color="auto"/>
              <w:right w:val="nil"/>
            </w:tcBorders>
            <w:shd w:val="clear" w:color="auto" w:fill="D9D9D9" w:themeFill="background1" w:themeFillShade="D9"/>
            <w:vAlign w:val="center"/>
          </w:tcPr>
          <w:p w14:paraId="56D2A841"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2,5</w:t>
            </w:r>
          </w:p>
        </w:tc>
        <w:tc>
          <w:tcPr>
            <w:tcW w:w="510" w:type="dxa"/>
            <w:tcBorders>
              <w:top w:val="nil"/>
              <w:left w:val="nil"/>
              <w:bottom w:val="single" w:sz="4" w:space="0" w:color="auto"/>
              <w:right w:val="nil"/>
            </w:tcBorders>
            <w:shd w:val="clear" w:color="000000" w:fill="FFFFFF"/>
            <w:vAlign w:val="center"/>
          </w:tcPr>
          <w:p w14:paraId="6A8DB87A" w14:textId="77777777" w:rsidR="0001150C"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2,4</w:t>
            </w:r>
          </w:p>
        </w:tc>
        <w:tc>
          <w:tcPr>
            <w:tcW w:w="510" w:type="dxa"/>
            <w:tcBorders>
              <w:top w:val="nil"/>
              <w:left w:val="nil"/>
              <w:bottom w:val="single" w:sz="4" w:space="0" w:color="auto"/>
              <w:right w:val="nil"/>
            </w:tcBorders>
            <w:shd w:val="clear" w:color="auto" w:fill="D9D9D9" w:themeFill="background1" w:themeFillShade="D9"/>
            <w:vAlign w:val="center"/>
          </w:tcPr>
          <w:p w14:paraId="59EB0B9E"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2,1</w:t>
            </w:r>
          </w:p>
        </w:tc>
        <w:tc>
          <w:tcPr>
            <w:tcW w:w="510" w:type="dxa"/>
            <w:tcBorders>
              <w:top w:val="nil"/>
              <w:left w:val="nil"/>
              <w:bottom w:val="single" w:sz="4" w:space="0" w:color="auto"/>
              <w:right w:val="nil"/>
            </w:tcBorders>
            <w:shd w:val="clear" w:color="000000" w:fill="FFFFFF"/>
            <w:vAlign w:val="center"/>
          </w:tcPr>
          <w:p w14:paraId="29298A6F" w14:textId="77777777" w:rsidR="0001150C" w:rsidRPr="005A5085" w:rsidRDefault="0001150C" w:rsidP="007E1298">
            <w:pPr>
              <w:spacing w:before="0" w:after="0"/>
              <w:jc w:val="right"/>
              <w:rPr>
                <w:rFonts w:ascii="Arial Narrow" w:hAnsi="Arial Narrow" w:cs="Calibri"/>
                <w:color w:val="000000"/>
                <w:sz w:val="18"/>
                <w:szCs w:val="18"/>
              </w:rPr>
            </w:pPr>
            <w:r w:rsidRPr="00DB7B60">
              <w:rPr>
                <w:rFonts w:ascii="Arial Narrow" w:hAnsi="Arial Narrow" w:cs="Calibri"/>
                <w:color w:val="000000"/>
                <w:sz w:val="18"/>
                <w:szCs w:val="18"/>
              </w:rPr>
              <w:t>1,8</w:t>
            </w:r>
          </w:p>
        </w:tc>
        <w:tc>
          <w:tcPr>
            <w:tcW w:w="510" w:type="dxa"/>
            <w:tcBorders>
              <w:top w:val="nil"/>
              <w:left w:val="nil"/>
              <w:bottom w:val="single" w:sz="4" w:space="0" w:color="auto"/>
              <w:right w:val="nil"/>
            </w:tcBorders>
            <w:shd w:val="clear" w:color="auto" w:fill="D9D9D9" w:themeFill="background1" w:themeFillShade="D9"/>
            <w:vAlign w:val="center"/>
          </w:tcPr>
          <w:p w14:paraId="39B09C97" w14:textId="77777777" w:rsidR="0001150C" w:rsidRPr="005A5085" w:rsidRDefault="0001150C" w:rsidP="007E1298">
            <w:pPr>
              <w:spacing w:before="0" w:after="0"/>
              <w:jc w:val="right"/>
              <w:rPr>
                <w:rFonts w:ascii="Arial Narrow" w:hAnsi="Arial Narrow" w:cs="Calibri"/>
                <w:color w:val="000000"/>
                <w:sz w:val="18"/>
                <w:szCs w:val="18"/>
              </w:rPr>
            </w:pPr>
            <w:r>
              <w:rPr>
                <w:rFonts w:ascii="Arial Narrow" w:hAnsi="Arial Narrow" w:cs="Calibri"/>
                <w:color w:val="000000"/>
                <w:sz w:val="18"/>
                <w:szCs w:val="18"/>
              </w:rPr>
              <w:t>1,9</w:t>
            </w:r>
          </w:p>
        </w:tc>
      </w:tr>
    </w:tbl>
    <w:p w14:paraId="4DD50E25" w14:textId="77777777" w:rsidR="0001150C" w:rsidRDefault="0001150C" w:rsidP="0001150C">
      <w:pPr>
        <w:widowControl/>
        <w:overflowPunct/>
        <w:spacing w:before="0" w:after="120"/>
        <w:jc w:val="both"/>
        <w:rPr>
          <w:rFonts w:ascii="Arial" w:hAnsi="Arial" w:cs="Arial"/>
        </w:rPr>
      </w:pPr>
    </w:p>
    <w:p w14:paraId="018C8E2B" w14:textId="77777777" w:rsidR="0001150C" w:rsidRDefault="0001150C" w:rsidP="0001150C">
      <w:pPr>
        <w:widowControl/>
        <w:overflowPunct/>
        <w:spacing w:before="0" w:after="120"/>
        <w:jc w:val="both"/>
        <w:rPr>
          <w:rFonts w:ascii="Arial" w:hAnsi="Arial" w:cs="Arial"/>
        </w:rPr>
      </w:pPr>
      <w:r w:rsidRPr="001D642A">
        <w:rPr>
          <w:rFonts w:ascii="Arial" w:hAnsi="Arial" w:cs="Arial"/>
        </w:rPr>
        <w:lastRenderedPageBreak/>
        <w:t xml:space="preserve">La più elevata frequenza delle revisioni è osservata negli aggregati dei </w:t>
      </w:r>
      <w:r w:rsidRPr="00887D66">
        <w:rPr>
          <w:rFonts w:ascii="Arial" w:hAnsi="Arial" w:cs="Arial"/>
        </w:rPr>
        <w:t>Beni alimentari (incluse bevande alcoliche) e tabacchi</w:t>
      </w:r>
      <w:r>
        <w:rPr>
          <w:rFonts w:ascii="Arial" w:hAnsi="Arial" w:cs="Arial"/>
        </w:rPr>
        <w:t xml:space="preserve"> </w:t>
      </w:r>
      <w:r w:rsidRPr="001D642A">
        <w:rPr>
          <w:rFonts w:ascii="Arial" w:hAnsi="Arial" w:cs="Arial"/>
        </w:rPr>
        <w:t>(</w:t>
      </w:r>
      <w:r>
        <w:rPr>
          <w:rFonts w:ascii="Arial" w:hAnsi="Arial" w:cs="Arial"/>
        </w:rPr>
        <w:t>12</w:t>
      </w:r>
      <w:r w:rsidRPr="001D642A">
        <w:rPr>
          <w:rFonts w:ascii="Arial" w:hAnsi="Arial" w:cs="Arial"/>
        </w:rPr>
        <w:t xml:space="preserve"> mesi sui 13 in esame, imputabile in larga parte all’utilizzo, per la stima preliminare, degli scanner data, riferiti ai prezzi dei prodotti grocery provenienti dalla GDO, di una/due settimane rispetto alle tre incluse nell’indice definitivo)</w:t>
      </w:r>
      <w:r>
        <w:rPr>
          <w:rFonts w:ascii="Arial" w:hAnsi="Arial" w:cs="Arial"/>
        </w:rPr>
        <w:t xml:space="preserve">, </w:t>
      </w:r>
      <w:r w:rsidRPr="001D642A">
        <w:rPr>
          <w:rFonts w:ascii="Arial" w:hAnsi="Arial" w:cs="Arial"/>
        </w:rPr>
        <w:t xml:space="preserve">dei Beni industriali </w:t>
      </w:r>
      <w:r>
        <w:rPr>
          <w:rFonts w:ascii="Arial" w:hAnsi="Arial" w:cs="Arial"/>
        </w:rPr>
        <w:t>non energetici (6</w:t>
      </w:r>
      <w:r w:rsidRPr="001D642A">
        <w:rPr>
          <w:rFonts w:ascii="Arial" w:hAnsi="Arial" w:cs="Arial"/>
        </w:rPr>
        <w:t xml:space="preserve"> mesi su 13, da ascrivere principalmente alla dinamica dei saldi dell’Abbigliamento e calzature e alla disponibilità per la stima preliminare, con riferimento ad alcune categorie di Beni durevoli,</w:t>
      </w:r>
      <w:r w:rsidRPr="001D642A">
        <w:t xml:space="preserve"> </w:t>
      </w:r>
      <w:r w:rsidRPr="001D642A">
        <w:rPr>
          <w:rFonts w:ascii="Arial" w:hAnsi="Arial" w:cs="Arial"/>
        </w:rPr>
        <w:t>dei dati riferiti a una/due settimane rispetto alle tre incluse nell’indice definitivo)</w:t>
      </w:r>
      <w:r>
        <w:rPr>
          <w:rFonts w:ascii="Arial" w:hAnsi="Arial" w:cs="Arial"/>
        </w:rPr>
        <w:t xml:space="preserve"> e di Energia (8 mesi su 13)</w:t>
      </w:r>
      <w:r w:rsidRPr="001D642A">
        <w:rPr>
          <w:rFonts w:ascii="Arial" w:hAnsi="Arial" w:cs="Arial"/>
        </w:rPr>
        <w:t>; l’incompletezza delle informazioni utilizzate per il calcolo ha un impatto maggiore sulle stime provvisorie di questi aggregati speciali che, di conseguenza, risultano essere meno accurate</w:t>
      </w:r>
      <w:r>
        <w:rPr>
          <w:rFonts w:ascii="Arial" w:hAnsi="Arial" w:cs="Arial"/>
        </w:rPr>
        <w:t>.</w:t>
      </w:r>
    </w:p>
    <w:p w14:paraId="0836AA3E" w14:textId="77777777" w:rsidR="0001150C" w:rsidRDefault="0001150C" w:rsidP="0001150C">
      <w:pPr>
        <w:widowControl/>
        <w:overflowPunct/>
        <w:spacing w:before="0" w:after="120"/>
        <w:jc w:val="both"/>
        <w:rPr>
          <w:rFonts w:ascii="Arial" w:hAnsi="Arial" w:cs="Arial"/>
        </w:rPr>
      </w:pPr>
      <w:r w:rsidRPr="001D642A">
        <w:rPr>
          <w:rFonts w:ascii="Arial" w:hAnsi="Arial" w:cs="Arial"/>
        </w:rPr>
        <w:t xml:space="preserve">La revisione media assoluta (RMA) fornisce una misura dell’ampiezza delle revisioni effettuate nell’arco di un determinato periodo. Nello specifico, la RMA è calcolata come media aritmetica semplice delle differenze, considerate in valore assoluto, tra le variazioni tendenziali delle stime provvisorie e quelle delle stime definitive, con riferimento agli ultimi tredici mesi. Nella Figura 1 sono riportati i valori della RMA per l’indice generale e i principali aggregati speciali IPCA nel periodo </w:t>
      </w:r>
      <w:r>
        <w:rPr>
          <w:rFonts w:ascii="Arial" w:hAnsi="Arial" w:cs="Arial"/>
        </w:rPr>
        <w:t>dicembre</w:t>
      </w:r>
      <w:r w:rsidRPr="00BF2D38">
        <w:rPr>
          <w:rFonts w:ascii="Arial" w:hAnsi="Arial" w:cs="Arial"/>
        </w:rPr>
        <w:t xml:space="preserve"> </w:t>
      </w:r>
      <w:r w:rsidRPr="001D642A">
        <w:rPr>
          <w:rFonts w:ascii="Arial" w:hAnsi="Arial" w:cs="Arial"/>
        </w:rPr>
        <w:t>202</w:t>
      </w:r>
      <w:r>
        <w:rPr>
          <w:rFonts w:ascii="Arial" w:hAnsi="Arial" w:cs="Arial"/>
        </w:rPr>
        <w:t>4</w:t>
      </w:r>
      <w:r w:rsidRPr="001D642A">
        <w:rPr>
          <w:rFonts w:ascii="Arial" w:hAnsi="Arial" w:cs="Arial"/>
        </w:rPr>
        <w:t xml:space="preserve"> – </w:t>
      </w:r>
      <w:r>
        <w:rPr>
          <w:rFonts w:ascii="Arial" w:hAnsi="Arial" w:cs="Arial"/>
        </w:rPr>
        <w:t>dicembre</w:t>
      </w:r>
      <w:r w:rsidRPr="00BF2D38">
        <w:rPr>
          <w:rFonts w:ascii="Arial" w:hAnsi="Arial" w:cs="Arial"/>
        </w:rPr>
        <w:t xml:space="preserve"> </w:t>
      </w:r>
      <w:r>
        <w:rPr>
          <w:rFonts w:ascii="Arial" w:hAnsi="Arial" w:cs="Arial"/>
        </w:rPr>
        <w:t>2025.</w:t>
      </w:r>
    </w:p>
    <w:p w14:paraId="342DBCDB" w14:textId="77777777" w:rsidR="0001150C" w:rsidRPr="001D642A" w:rsidRDefault="0001150C" w:rsidP="0001150C">
      <w:pPr>
        <w:widowControl/>
        <w:overflowPunct/>
        <w:spacing w:before="0" w:after="120"/>
        <w:jc w:val="both"/>
        <w:rPr>
          <w:rFonts w:ascii="Arial" w:hAnsi="Arial" w:cs="Arial"/>
        </w:rPr>
      </w:pPr>
      <w:r w:rsidRPr="001D642A">
        <w:rPr>
          <w:rFonts w:ascii="Arial" w:hAnsi="Arial" w:cs="Arial"/>
        </w:rPr>
        <w:t xml:space="preserve">Le RMA più ampie nell’arco di tempo considerato hanno riguardato i tassi di variazione tendenziale dei prezzi degli Alimentari lavorati </w:t>
      </w:r>
      <w:r>
        <w:rPr>
          <w:rFonts w:ascii="Arial" w:hAnsi="Arial" w:cs="Arial"/>
        </w:rPr>
        <w:t>(0,262 punti percentuali), dell’Energia</w:t>
      </w:r>
      <w:r w:rsidRPr="001D642A">
        <w:rPr>
          <w:rFonts w:ascii="Arial" w:hAnsi="Arial" w:cs="Arial"/>
        </w:rPr>
        <w:t xml:space="preserve"> (0,</w:t>
      </w:r>
      <w:r>
        <w:rPr>
          <w:rFonts w:ascii="Arial" w:hAnsi="Arial" w:cs="Arial"/>
        </w:rPr>
        <w:t>223</w:t>
      </w:r>
      <w:r w:rsidRPr="001D642A">
        <w:rPr>
          <w:rFonts w:ascii="Arial" w:hAnsi="Arial" w:cs="Arial"/>
        </w:rPr>
        <w:t>)</w:t>
      </w:r>
      <w:r>
        <w:rPr>
          <w:rFonts w:ascii="Arial" w:hAnsi="Arial" w:cs="Arial"/>
        </w:rPr>
        <w:t xml:space="preserve"> e degli Alimentari non lavorati (0,108); a seguire, le RMA dei </w:t>
      </w:r>
      <w:r w:rsidRPr="001D642A">
        <w:rPr>
          <w:rFonts w:ascii="Arial" w:hAnsi="Arial" w:cs="Arial"/>
        </w:rPr>
        <w:t>Beni industriali non energetici</w:t>
      </w:r>
      <w:r>
        <w:rPr>
          <w:rFonts w:ascii="Arial" w:hAnsi="Arial" w:cs="Arial"/>
        </w:rPr>
        <w:t xml:space="preserve"> (0,046) e </w:t>
      </w:r>
      <w:r w:rsidRPr="001D642A">
        <w:rPr>
          <w:rFonts w:ascii="Arial" w:hAnsi="Arial" w:cs="Arial"/>
        </w:rPr>
        <w:t xml:space="preserve">dei </w:t>
      </w:r>
      <w:r>
        <w:rPr>
          <w:rFonts w:ascii="Arial" w:hAnsi="Arial" w:cs="Arial"/>
        </w:rPr>
        <w:t>Servizi (0,038)</w:t>
      </w:r>
      <w:r w:rsidRPr="001D642A">
        <w:rPr>
          <w:rFonts w:ascii="Arial" w:hAnsi="Arial" w:cs="Arial"/>
        </w:rPr>
        <w:t>.</w:t>
      </w:r>
    </w:p>
    <w:p w14:paraId="59B2E29B" w14:textId="77777777" w:rsidR="0001150C" w:rsidRPr="001D642A" w:rsidRDefault="0001150C" w:rsidP="0001150C">
      <w:pPr>
        <w:widowControl/>
        <w:overflowPunct/>
        <w:spacing w:before="0" w:after="120"/>
        <w:jc w:val="both"/>
        <w:rPr>
          <w:rFonts w:ascii="Arial" w:hAnsi="Arial" w:cs="Arial"/>
          <w:kern w:val="0"/>
        </w:rPr>
      </w:pPr>
      <w:r w:rsidRPr="001D642A">
        <w:rPr>
          <w:rFonts w:ascii="Arial" w:hAnsi="Arial" w:cs="Arial"/>
          <w:kern w:val="0"/>
        </w:rPr>
        <w:t xml:space="preserve">Per ulteriori informazioni relative alle revisioni degli indicatori congiunturali, consultare la </w:t>
      </w:r>
      <w:hyperlink r:id="rId35" w:history="1">
        <w:r w:rsidRPr="001D642A">
          <w:rPr>
            <w:rStyle w:val="Collegamentoipertestuale"/>
            <w:rFonts w:ascii="Arial" w:hAnsi="Arial" w:cs="Arial"/>
            <w:kern w:val="0"/>
          </w:rPr>
          <w:t>sezione dedicata</w:t>
        </w:r>
      </w:hyperlink>
      <w:r w:rsidRPr="001D642A">
        <w:rPr>
          <w:rFonts w:ascii="Arial" w:hAnsi="Arial" w:cs="Arial"/>
          <w:kern w:val="0"/>
        </w:rPr>
        <w:t>.</w:t>
      </w:r>
    </w:p>
    <w:p w14:paraId="3EAC299D" w14:textId="77777777" w:rsidR="0001150C" w:rsidRPr="001D642A" w:rsidRDefault="0001150C" w:rsidP="0001150C">
      <w:pPr>
        <w:spacing w:before="0" w:after="120"/>
        <w:jc w:val="both"/>
        <w:rPr>
          <w:rFonts w:ascii="Arial" w:hAnsi="Arial" w:cs="Arial"/>
        </w:rPr>
      </w:pPr>
    </w:p>
    <w:p w14:paraId="6DC55156" w14:textId="77777777" w:rsidR="0001150C" w:rsidRPr="00E95D57" w:rsidRDefault="0001150C" w:rsidP="0001150C">
      <w:pPr>
        <w:pStyle w:val="001TitoGra"/>
        <w:rPr>
          <w:b w:val="0"/>
          <w:sz w:val="20"/>
          <w:szCs w:val="20"/>
        </w:rPr>
      </w:pPr>
      <w:r w:rsidRPr="001D642A">
        <w:rPr>
          <w:rStyle w:val="001TitoGraRed"/>
        </w:rPr>
        <w:t>FIGURA 1.</w:t>
      </w:r>
      <w:r w:rsidRPr="001D642A">
        <w:t xml:space="preserve"> REVISIONE MEDIA ASSOLUTA DELLE STIME PRELIMINARI DEI TASSI TENDENZIALI DEGLI INDICI IPCA</w:t>
      </w:r>
      <w:r w:rsidRPr="00C8504B">
        <w:rPr>
          <w:b w:val="0"/>
        </w:rPr>
        <w:br/>
      </w:r>
      <w:r>
        <w:rPr>
          <w:b w:val="0"/>
          <w:sz w:val="20"/>
          <w:szCs w:val="20"/>
        </w:rPr>
        <w:t>Dicembre 2024</w:t>
      </w:r>
      <w:r w:rsidRPr="001D642A">
        <w:rPr>
          <w:b w:val="0"/>
          <w:sz w:val="20"/>
          <w:szCs w:val="20"/>
        </w:rPr>
        <w:t xml:space="preserve"> – </w:t>
      </w:r>
      <w:r>
        <w:rPr>
          <w:b w:val="0"/>
          <w:sz w:val="20"/>
          <w:szCs w:val="20"/>
        </w:rPr>
        <w:t>dicembre 2025</w:t>
      </w:r>
      <w:r w:rsidRPr="00E95D57">
        <w:rPr>
          <w:b w:val="0"/>
          <w:sz w:val="20"/>
          <w:szCs w:val="20"/>
        </w:rPr>
        <w:t>, punti percentuali</w:t>
      </w:r>
    </w:p>
    <w:p w14:paraId="45CE4043" w14:textId="77777777" w:rsidR="0001150C" w:rsidRDefault="0001150C" w:rsidP="0001150C">
      <w:pPr>
        <w:spacing w:before="0" w:after="120"/>
        <w:jc w:val="both"/>
        <w:rPr>
          <w:rFonts w:ascii="Arial" w:hAnsi="Arial" w:cs="Arial"/>
          <w:b/>
          <w:sz w:val="22"/>
          <w:szCs w:val="22"/>
        </w:rPr>
      </w:pPr>
      <w:r>
        <w:rPr>
          <w:rFonts w:ascii="Arial" w:hAnsi="Arial" w:cs="Arial"/>
          <w:b/>
          <w:noProof/>
          <w:sz w:val="22"/>
          <w:szCs w:val="22"/>
        </w:rPr>
        <w:drawing>
          <wp:inline distT="0" distB="0" distL="0" distR="0" wp14:anchorId="29DD67DF" wp14:editId="1AFE5CA3">
            <wp:extent cx="6663690" cy="2158365"/>
            <wp:effectExtent l="0" t="0" r="3810" b="0"/>
            <wp:docPr id="1833148894" name="Immagine 2" descr="Immagine che contiene testo, schermata, numer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48894" name="Immagine 2" descr="Immagine che contiene testo, schermata, numero, Carattere&#10;&#10;Il contenuto generato dall'IA potrebbe non essere corrett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63690" cy="2158365"/>
                    </a:xfrm>
                    <a:prstGeom prst="rect">
                      <a:avLst/>
                    </a:prstGeom>
                    <a:noFill/>
                  </pic:spPr>
                </pic:pic>
              </a:graphicData>
            </a:graphic>
          </wp:inline>
        </w:drawing>
      </w:r>
    </w:p>
    <w:p w14:paraId="14841319" w14:textId="77777777" w:rsidR="0001150C" w:rsidRDefault="0001150C" w:rsidP="0001150C">
      <w:pPr>
        <w:spacing w:before="0" w:after="120"/>
        <w:jc w:val="both"/>
        <w:rPr>
          <w:rFonts w:ascii="Arial" w:hAnsi="Arial" w:cs="Arial"/>
          <w:b/>
          <w:sz w:val="22"/>
          <w:szCs w:val="22"/>
        </w:rPr>
      </w:pPr>
    </w:p>
    <w:p w14:paraId="5D51E945" w14:textId="77777777" w:rsidR="00AB34E1" w:rsidRPr="00495C7D" w:rsidRDefault="00AB34E1" w:rsidP="00AB34E1">
      <w:pPr>
        <w:spacing w:before="0" w:after="120"/>
        <w:jc w:val="both"/>
        <w:rPr>
          <w:rFonts w:ascii="Arial" w:hAnsi="Arial" w:cs="Arial"/>
          <w:b/>
          <w:sz w:val="22"/>
          <w:szCs w:val="22"/>
        </w:rPr>
      </w:pPr>
      <w:r w:rsidRPr="00495C7D">
        <w:rPr>
          <w:rFonts w:ascii="Arial" w:hAnsi="Arial" w:cs="Arial"/>
          <w:b/>
          <w:sz w:val="22"/>
          <w:szCs w:val="22"/>
        </w:rPr>
        <w:t xml:space="preserve">Calcolo delle variazioni degli indici </w:t>
      </w:r>
    </w:p>
    <w:p w14:paraId="2A6EE352" w14:textId="77777777" w:rsidR="00AB34E1" w:rsidRPr="00495C7D" w:rsidRDefault="00AB34E1" w:rsidP="00AB34E1">
      <w:pPr>
        <w:pStyle w:val="Default"/>
        <w:spacing w:after="120"/>
        <w:jc w:val="both"/>
        <w:rPr>
          <w:rFonts w:ascii="Arial" w:hAnsi="Arial" w:cs="Arial"/>
          <w:sz w:val="20"/>
          <w:szCs w:val="20"/>
        </w:rPr>
      </w:pPr>
      <w:r w:rsidRPr="00495C7D">
        <w:rPr>
          <w:rFonts w:ascii="Arial" w:hAnsi="Arial" w:cs="Arial"/>
          <w:sz w:val="20"/>
          <w:szCs w:val="20"/>
        </w:rPr>
        <w:t>Il calcolo delle variazioni congiunturali e tendenziali degli indici dei prezzi al consumo si effettua, sulle serie pubblicate, secondo le regole seguenti:</w:t>
      </w:r>
    </w:p>
    <w:p w14:paraId="7B137FCD" w14:textId="77777777" w:rsidR="00AB34E1" w:rsidRPr="00495C7D" w:rsidRDefault="00AB34E1" w:rsidP="002F535A">
      <w:pPr>
        <w:pStyle w:val="Default"/>
        <w:numPr>
          <w:ilvl w:val="0"/>
          <w:numId w:val="6"/>
        </w:numPr>
        <w:spacing w:after="120"/>
        <w:jc w:val="both"/>
        <w:rPr>
          <w:rFonts w:ascii="Arial" w:hAnsi="Arial" w:cs="Arial"/>
          <w:sz w:val="20"/>
          <w:szCs w:val="20"/>
        </w:rPr>
      </w:pPr>
      <w:r w:rsidRPr="00495C7D">
        <w:rPr>
          <w:rFonts w:ascii="Arial" w:hAnsi="Arial" w:cs="Arial"/>
          <w:sz w:val="20"/>
          <w:szCs w:val="20"/>
        </w:rPr>
        <w:t xml:space="preserve">la variazione percentuale tra indici mensili, espressi nella stessa base di riferimento, è pari al rapporto degli indici messi a confronto, per 100, meno 100. Il risultato finale è arrotondato a 1 decimale (per esempio per calcolare la variazione percentuale dell’indice generale NIC tra febbraio e marzo 2022, l’indice di marzo 2022 (base 2015=100) è pari a 110,4, quello di febbraio è 109,3, quindi il calcolo è 110,4/109,3*100-100=+1,0%); </w:t>
      </w:r>
    </w:p>
    <w:p w14:paraId="361AD276" w14:textId="77777777" w:rsidR="00AB34E1" w:rsidRDefault="00AB34E1" w:rsidP="002F535A">
      <w:pPr>
        <w:pStyle w:val="Default"/>
        <w:numPr>
          <w:ilvl w:val="0"/>
          <w:numId w:val="6"/>
        </w:numPr>
        <w:ind w:left="714" w:hanging="357"/>
        <w:jc w:val="both"/>
        <w:rPr>
          <w:rFonts w:ascii="Arial" w:hAnsi="Arial" w:cs="Arial"/>
          <w:sz w:val="20"/>
          <w:szCs w:val="20"/>
        </w:rPr>
      </w:pPr>
      <w:r w:rsidRPr="00495C7D">
        <w:rPr>
          <w:rFonts w:ascii="Arial" w:hAnsi="Arial" w:cs="Arial"/>
          <w:sz w:val="20"/>
          <w:szCs w:val="20"/>
        </w:rPr>
        <w:t>la variazione percentuale tra indici medi annui, espressi nella medesima base di riferimento è pari al rapporto degli indici degli anni posti a confronto, per 100, meno 100; il risultato finale è arrotondato a 1 decimale (per esempio per calcolare la variazione percentuale dell’indice generale NIC tra gli anni 2022 e 2020, l’indice medio annuo del 2022, con base 2015=100, è 113,2, quello del 2020, con base 2015=100, è 102,7, quindi il calcolo è 113,2/102,7*100-100=+10,2%). Fa eccezione l’indice armonizzato (IPCA), per il quale la variazione percentuale media annua viene calcolata a partire dagli indici mensili; per esempio, per calcolare la variazione percentuale dell’indice generale IPCA tra gli anni 2022 e 2020, il calcolo è</w:t>
      </w:r>
    </w:p>
    <w:p w14:paraId="3E08BD6D" w14:textId="6F537BC9" w:rsidR="00AB34E1" w:rsidRDefault="00AB34E1" w:rsidP="00AB34E1">
      <w:pPr>
        <w:pStyle w:val="Default"/>
        <w:spacing w:after="120"/>
        <w:ind w:left="720"/>
        <w:jc w:val="both"/>
        <w:rPr>
          <w:rFonts w:ascii="Arial" w:hAnsi="Arial" w:cs="Arial"/>
          <w:sz w:val="20"/>
          <w:szCs w:val="20"/>
        </w:rPr>
      </w:pPr>
      <w:r w:rsidRPr="00495C7D">
        <w:rPr>
          <w:rFonts w:ascii="Arial" w:hAnsi="Arial" w:cs="Arial"/>
          <w:sz w:val="20"/>
          <w:szCs w:val="20"/>
        </w:rPr>
        <w:t>(107,8+108,7+111,3+111,7+112,7+114,1+112,8+113,8+115,6+120,0+120,8+121,1)/(101,9+ 101,4+103,6+104,1+103,8+103,8+103,1+101,8+102,7+103,3+103,3+103,5)*100-100=+10,8%</w:t>
      </w:r>
    </w:p>
    <w:p w14:paraId="70C0CC1F" w14:textId="4E69DB1D" w:rsidR="00347FDF" w:rsidRDefault="00347FDF" w:rsidP="00AB34E1">
      <w:pPr>
        <w:pStyle w:val="Default"/>
        <w:spacing w:after="120"/>
        <w:ind w:left="720"/>
        <w:jc w:val="both"/>
        <w:rPr>
          <w:rFonts w:ascii="Arial" w:hAnsi="Arial" w:cs="Arial"/>
          <w:sz w:val="20"/>
          <w:szCs w:val="20"/>
        </w:rPr>
      </w:pPr>
    </w:p>
    <w:p w14:paraId="4E07D874" w14:textId="77777777" w:rsidR="00347FDF" w:rsidRPr="00495C7D" w:rsidRDefault="00347FDF" w:rsidP="00AB34E1">
      <w:pPr>
        <w:pStyle w:val="Default"/>
        <w:spacing w:after="120"/>
        <w:ind w:left="720"/>
        <w:jc w:val="both"/>
        <w:rPr>
          <w:rFonts w:ascii="Arial" w:hAnsi="Arial" w:cs="Arial"/>
          <w:sz w:val="20"/>
          <w:szCs w:val="20"/>
        </w:rPr>
      </w:pPr>
    </w:p>
    <w:p w14:paraId="7057E027" w14:textId="2C994D75" w:rsidR="00AB34E1" w:rsidRPr="00495C7D" w:rsidRDefault="00AB34E1" w:rsidP="002F535A">
      <w:pPr>
        <w:pStyle w:val="Default"/>
        <w:numPr>
          <w:ilvl w:val="0"/>
          <w:numId w:val="6"/>
        </w:numPr>
        <w:spacing w:after="120"/>
        <w:jc w:val="both"/>
        <w:rPr>
          <w:rFonts w:ascii="Arial" w:hAnsi="Arial" w:cs="Arial"/>
          <w:sz w:val="20"/>
          <w:szCs w:val="20"/>
        </w:rPr>
      </w:pPr>
      <w:r w:rsidRPr="00495C7D">
        <w:rPr>
          <w:rFonts w:ascii="Arial" w:hAnsi="Arial" w:cs="Arial"/>
          <w:sz w:val="20"/>
          <w:szCs w:val="20"/>
        </w:rPr>
        <w:lastRenderedPageBreak/>
        <w:t xml:space="preserve">la variazione percentuale tra indici mensili o medi annui NIC (o alternativamente FOI), con diversa base di riferimento (per intervalli di tempo all’interno dei quali si registra uno o più cambiamenti di base) è pari al rapporto degli indici messi a confronto, moltiplicato per i coefficienti di raccordo tra basi contigue (tanti quanti sono i cambiamenti di base nell’intervallo considerato), per 100, meno 100. Il risultato finale è arrotondato a 1 decimale; per esempio, per calcolare variazione percentuale dell’indice generale NIC tra gli anni 2022 e 2008, l’indice medio annuo del 2022, con base 2015=100, è 113,2, quello del 2008, in base 1995=100, è 136,0; il coefficiente di raccordo da base 1995 a base 2010 è pari a </w:t>
      </w:r>
      <w:r w:rsidRPr="005C0EF3">
        <w:rPr>
          <w:rFonts w:ascii="Arial" w:hAnsi="Arial" w:cs="Arial"/>
          <w:sz w:val="20"/>
          <w:szCs w:val="20"/>
        </w:rPr>
        <w:t>1,398;</w:t>
      </w:r>
      <w:r w:rsidRPr="00495C7D">
        <w:rPr>
          <w:rFonts w:ascii="Arial" w:hAnsi="Arial" w:cs="Arial"/>
          <w:sz w:val="20"/>
          <w:szCs w:val="20"/>
        </w:rPr>
        <w:t xml:space="preserve"> quello da base 2010 a base 2015 è pari a </w:t>
      </w:r>
      <w:r w:rsidRPr="005C0EF3">
        <w:rPr>
          <w:rFonts w:ascii="Arial" w:hAnsi="Arial" w:cs="Arial"/>
          <w:color w:val="auto"/>
          <w:sz w:val="20"/>
          <w:szCs w:val="20"/>
        </w:rPr>
        <w:t>1,075</w:t>
      </w:r>
      <w:r w:rsidRPr="00495C7D">
        <w:rPr>
          <w:rFonts w:ascii="Arial" w:hAnsi="Arial" w:cs="Arial"/>
          <w:sz w:val="20"/>
          <w:szCs w:val="20"/>
        </w:rPr>
        <w:t xml:space="preserve">; il </w:t>
      </w:r>
      <w:r w:rsidR="008D6D48" w:rsidRPr="00495C7D">
        <w:rPr>
          <w:rFonts w:ascii="Arial" w:hAnsi="Arial" w:cs="Arial"/>
          <w:sz w:val="20"/>
          <w:szCs w:val="20"/>
        </w:rPr>
        <w:t>calcolo, quindi,</w:t>
      </w:r>
      <w:r w:rsidRPr="00495C7D">
        <w:rPr>
          <w:rFonts w:ascii="Arial" w:hAnsi="Arial" w:cs="Arial"/>
          <w:sz w:val="20"/>
          <w:szCs w:val="20"/>
        </w:rPr>
        <w:t xml:space="preserve"> è 113,2/136,0*</w:t>
      </w:r>
      <w:r w:rsidRPr="005C0EF3">
        <w:rPr>
          <w:rFonts w:ascii="Arial" w:hAnsi="Arial" w:cs="Arial"/>
          <w:color w:val="auto"/>
          <w:sz w:val="20"/>
          <w:szCs w:val="20"/>
        </w:rPr>
        <w:t>1,398*1,075</w:t>
      </w:r>
      <w:r w:rsidRPr="00495C7D">
        <w:rPr>
          <w:rFonts w:ascii="Arial" w:hAnsi="Arial" w:cs="Arial"/>
          <w:sz w:val="20"/>
          <w:szCs w:val="20"/>
        </w:rPr>
        <w:t xml:space="preserve">*100-100= +22,4%. </w:t>
      </w:r>
    </w:p>
    <w:p w14:paraId="21031A9F" w14:textId="77777777" w:rsidR="00AB34E1" w:rsidRDefault="00AB34E1" w:rsidP="00AB34E1">
      <w:pPr>
        <w:spacing w:before="0" w:after="120"/>
        <w:jc w:val="both"/>
        <w:rPr>
          <w:rFonts w:ascii="Arial" w:hAnsi="Arial" w:cs="Arial"/>
          <w:b/>
          <w:sz w:val="22"/>
          <w:szCs w:val="22"/>
        </w:rPr>
      </w:pPr>
    </w:p>
    <w:p w14:paraId="0F2102FB" w14:textId="77777777" w:rsidR="00AB34E1" w:rsidRPr="00833545" w:rsidRDefault="00AB34E1" w:rsidP="00AB34E1">
      <w:pPr>
        <w:spacing w:before="0" w:after="120"/>
        <w:jc w:val="both"/>
        <w:rPr>
          <w:rFonts w:ascii="Arial" w:hAnsi="Arial" w:cs="Arial"/>
          <w:b/>
          <w:sz w:val="22"/>
          <w:szCs w:val="22"/>
        </w:rPr>
      </w:pPr>
      <w:r w:rsidRPr="00833545">
        <w:rPr>
          <w:rFonts w:ascii="Arial" w:hAnsi="Arial" w:cs="Arial"/>
          <w:b/>
          <w:sz w:val="22"/>
          <w:szCs w:val="22"/>
        </w:rPr>
        <w:t>La diffusione: tempestività e banche dati</w:t>
      </w:r>
    </w:p>
    <w:p w14:paraId="007C1A06" w14:textId="77777777" w:rsidR="00AB34E1" w:rsidRPr="002875F7" w:rsidRDefault="00AB34E1" w:rsidP="00AB34E1">
      <w:pPr>
        <w:spacing w:before="0" w:after="120"/>
        <w:jc w:val="both"/>
        <w:rPr>
          <w:rFonts w:ascii="Arial" w:hAnsi="Arial" w:cs="Arial"/>
          <w:color w:val="000000"/>
          <w:kern w:val="0"/>
        </w:rPr>
      </w:pPr>
      <w:r w:rsidRPr="002875F7">
        <w:rPr>
          <w:rFonts w:ascii="Arial" w:hAnsi="Arial" w:cs="Arial"/>
          <w:color w:val="000000"/>
          <w:kern w:val="0"/>
        </w:rPr>
        <w:t>La diffusione degli indici dei prezzi al consumo da parte dell’Istat avviene in due momenti temporali successivi secondo una diversa modalità di rilascio dei dati: stima provvisoria e stima definitiva.</w:t>
      </w:r>
    </w:p>
    <w:p w14:paraId="33FF0C8E" w14:textId="77777777" w:rsidR="00AB34E1" w:rsidRDefault="00AB34E1" w:rsidP="00AB34E1">
      <w:pPr>
        <w:spacing w:before="0" w:after="120"/>
        <w:jc w:val="both"/>
        <w:rPr>
          <w:rFonts w:ascii="Arial" w:hAnsi="Arial" w:cs="Arial"/>
          <w:color w:val="000000"/>
          <w:kern w:val="0"/>
        </w:rPr>
      </w:pPr>
      <w:r w:rsidRPr="002875F7">
        <w:rPr>
          <w:rFonts w:ascii="Arial" w:hAnsi="Arial" w:cs="Arial"/>
          <w:color w:val="000000"/>
          <w:kern w:val="0"/>
        </w:rPr>
        <w:t xml:space="preserve">La diffusione della stima provvisoria degli indici NIC (generale, per divisione di spesa, per tipologia di prodotto e per frequenza d’acquisto) e dell’indice IPCA (generale, per divisione di spesa e per aggregati speciali) avviene alla fine del mese di riferimento, mentre la diffusione dei dati definitivi dei tre indici NIC, IPCA e FOI avviene non oltre la metà del mese successivo a quello di riferimento. I tempi di pubblicazione sono stabiliti da un calendario </w:t>
      </w:r>
      <w:hyperlink r:id="rId37" w:history="1">
        <w:r w:rsidRPr="002875F7">
          <w:rPr>
            <w:rStyle w:val="Collegamentoipertestuale"/>
            <w:rFonts w:ascii="Arial" w:hAnsi="Arial" w:cs="Arial"/>
            <w:kern w:val="0"/>
          </w:rPr>
          <w:t>https://www.istat.it/it/informazioni-e-servizi/per-i-giornalisti/appuntamenti/calendario-diffusioni-ed-eventi</w:t>
        </w:r>
      </w:hyperlink>
      <w:r w:rsidRPr="002875F7">
        <w:rPr>
          <w:rFonts w:ascii="Arial" w:hAnsi="Arial" w:cs="Arial"/>
          <w:color w:val="000000"/>
          <w:kern w:val="0"/>
        </w:rPr>
        <w:t xml:space="preserve"> concordato con Eurostat, nel mese di dicembre di ogni anno, per l’anno successivo e secondo gli standard di diffusione (SDDS – Special Data Dissemination Standard) definiti dal Fondo Monetario Internazionale.</w:t>
      </w:r>
    </w:p>
    <w:p w14:paraId="5A917C27" w14:textId="77777777" w:rsidR="00AB34E1" w:rsidRPr="002875F7" w:rsidRDefault="00AB34E1" w:rsidP="00AB34E1">
      <w:pPr>
        <w:spacing w:before="0" w:after="120"/>
        <w:jc w:val="both"/>
        <w:rPr>
          <w:rFonts w:ascii="Arial" w:hAnsi="Arial" w:cs="Arial"/>
          <w:color w:val="000000"/>
          <w:kern w:val="0"/>
        </w:rPr>
      </w:pPr>
      <w:r w:rsidRPr="002875F7">
        <w:rPr>
          <w:rFonts w:ascii="Arial" w:hAnsi="Arial" w:cs="Arial"/>
          <w:color w:val="000000"/>
          <w:kern w:val="0"/>
        </w:rPr>
        <w:t>Con la pubblicazione dei dati di gennaio 2019,</w:t>
      </w:r>
      <w:r w:rsidRPr="002875F7">
        <w:t xml:space="preserve"> </w:t>
      </w:r>
      <w:r w:rsidRPr="002875F7">
        <w:rPr>
          <w:rFonts w:ascii="Arial" w:hAnsi="Arial" w:cs="Arial"/>
          <w:color w:val="000000"/>
          <w:kern w:val="0"/>
        </w:rPr>
        <w:t xml:space="preserve">la diffusione diretta degli indici comunali dei prezzi al consumo è effettuata dai comuni autorizzati in concomitanza con l’uscita degli indici definitivi da parte dell’Istat. </w:t>
      </w:r>
    </w:p>
    <w:p w14:paraId="1A54BDF9" w14:textId="77777777" w:rsidR="00AB34E1" w:rsidRPr="002875F7" w:rsidRDefault="00AB34E1" w:rsidP="00AB34E1">
      <w:pPr>
        <w:spacing w:before="0" w:after="120"/>
        <w:jc w:val="both"/>
        <w:rPr>
          <w:rFonts w:ascii="Arial" w:hAnsi="Arial" w:cs="Arial"/>
          <w:color w:val="000000"/>
          <w:kern w:val="0"/>
        </w:rPr>
      </w:pPr>
      <w:r w:rsidRPr="002875F7">
        <w:rPr>
          <w:rFonts w:ascii="Arial" w:hAnsi="Arial" w:cs="Arial"/>
          <w:color w:val="000000"/>
          <w:kern w:val="0"/>
        </w:rPr>
        <w:t xml:space="preserve">Gli indici, sia per la stima preliminare sia per quella definitiva, sono diffusi attraverso il comunicato stampa “Prezzi al consumo” disponibile sul sito web dell’Istituto all’indirizzo </w:t>
      </w:r>
      <w:hyperlink r:id="rId38" w:history="1">
        <w:r w:rsidRPr="002875F7">
          <w:rPr>
            <w:rStyle w:val="Collegamentoipertestuale"/>
            <w:rFonts w:ascii="Arial" w:hAnsi="Arial" w:cs="Arial"/>
            <w:kern w:val="0"/>
          </w:rPr>
          <w:t>https://www.istat.it/it/archivio/prezzi+al+consumo</w:t>
        </w:r>
      </w:hyperlink>
      <w:r w:rsidRPr="002875F7">
        <w:rPr>
          <w:rFonts w:ascii="Arial" w:hAnsi="Arial" w:cs="Arial"/>
          <w:color w:val="000000"/>
          <w:kern w:val="0"/>
        </w:rPr>
        <w:t>.</w:t>
      </w:r>
    </w:p>
    <w:p w14:paraId="4008B480" w14:textId="77777777" w:rsidR="00AB34E1" w:rsidRPr="002875F7" w:rsidRDefault="00AB34E1" w:rsidP="00AB34E1">
      <w:pPr>
        <w:spacing w:before="0" w:after="120"/>
        <w:jc w:val="both"/>
        <w:rPr>
          <w:rFonts w:ascii="Arial" w:hAnsi="Arial" w:cs="Arial"/>
          <w:color w:val="000000"/>
          <w:kern w:val="0"/>
        </w:rPr>
      </w:pPr>
      <w:r w:rsidRPr="002875F7">
        <w:rPr>
          <w:rFonts w:ascii="Arial" w:hAnsi="Arial" w:cs="Arial"/>
          <w:color w:val="000000"/>
          <w:kern w:val="0"/>
        </w:rPr>
        <w:t xml:space="preserve">Le serie degli indici aggiornate sono pubblicate, in concomitanza con la diffusione del comunicato stampa, sul data warehouse </w:t>
      </w:r>
      <w:r>
        <w:rPr>
          <w:rFonts w:ascii="Arial" w:hAnsi="Arial" w:cs="Arial"/>
          <w:color w:val="000000"/>
          <w:kern w:val="0"/>
        </w:rPr>
        <w:t>IstatData</w:t>
      </w:r>
      <w:r w:rsidRPr="002875F7">
        <w:rPr>
          <w:rFonts w:ascii="Arial" w:hAnsi="Arial" w:cs="Arial"/>
          <w:color w:val="000000"/>
          <w:kern w:val="0"/>
        </w:rPr>
        <w:t xml:space="preserve"> (</w:t>
      </w:r>
      <w:hyperlink r:id="rId39" w:history="1">
        <w:r w:rsidRPr="00E544C9">
          <w:rPr>
            <w:rStyle w:val="Collegamentoipertestuale"/>
            <w:rFonts w:ascii="Arial" w:hAnsi="Arial" w:cs="Arial"/>
            <w:kern w:val="0"/>
          </w:rPr>
          <w:t>https://esploradati.istat.it/</w:t>
        </w:r>
      </w:hyperlink>
      <w:r w:rsidRPr="002875F7">
        <w:rPr>
          <w:rFonts w:ascii="Arial" w:hAnsi="Arial" w:cs="Arial"/>
          <w:color w:val="000000"/>
          <w:kern w:val="0"/>
        </w:rPr>
        <w:t>) all’interno del tema Prezzi - Prezzi al consumo. Unitamente agli indici mensili sono diffuse le variazioni percentuali congiunturali e tendenziali, gli indici medi annui, le variazioni medie annue e i pesi calcolati annualmente. Gli indici ai diversi livelli di aggregazione e per i diversi livelli territoriali di riferimento che hanno avuto una quota di imputazioni superiore al 50% (in termini di prezzi mancanti e/o di peso) sono individuabili con il flag “i” (dato imputato).</w:t>
      </w:r>
    </w:p>
    <w:p w14:paraId="29017170" w14:textId="77777777" w:rsidR="00AB34E1" w:rsidRPr="002875F7" w:rsidRDefault="00AB34E1" w:rsidP="00AB34E1">
      <w:pPr>
        <w:spacing w:before="0" w:after="120"/>
        <w:jc w:val="both"/>
        <w:rPr>
          <w:rFonts w:ascii="Arial" w:hAnsi="Arial" w:cs="Arial"/>
        </w:rPr>
      </w:pPr>
      <w:r w:rsidRPr="002875F7">
        <w:rPr>
          <w:rFonts w:ascii="Arial" w:hAnsi="Arial" w:cs="Arial"/>
        </w:rPr>
        <w:t xml:space="preserve">Informazioni sugli indici dei prezzi al consumo sono disponibili sulla banca dati </w:t>
      </w:r>
      <w:hyperlink r:id="rId40" w:history="1">
        <w:r w:rsidRPr="002875F7">
          <w:rPr>
            <w:rStyle w:val="Collegamentoipertestuale"/>
            <w:rFonts w:ascii="Arial" w:hAnsi="Arial" w:cs="Arial"/>
          </w:rPr>
          <w:t>Congiuntura.Stat</w:t>
        </w:r>
      </w:hyperlink>
      <w:r w:rsidRPr="002875F7">
        <w:rPr>
          <w:rFonts w:ascii="Arial" w:hAnsi="Arial" w:cs="Arial"/>
        </w:rPr>
        <w:t>, che raccoglie e sistematizza le statistiche congiunturali prodotte dall’Istat e si propone quale strumento di approfondimento per policy maker, operatori sociali, studiosi e cittadini.</w:t>
      </w:r>
    </w:p>
    <w:p w14:paraId="37698E7C" w14:textId="77777777" w:rsidR="00AB34E1" w:rsidRDefault="00AB34E1" w:rsidP="00AB34E1">
      <w:pPr>
        <w:spacing w:before="0" w:after="120"/>
        <w:jc w:val="both"/>
        <w:rPr>
          <w:rFonts w:ascii="Arial" w:hAnsi="Arial" w:cs="Arial"/>
          <w:color w:val="000000"/>
          <w:kern w:val="0"/>
        </w:rPr>
      </w:pPr>
      <w:r w:rsidRPr="002875F7">
        <w:rPr>
          <w:rFonts w:ascii="Arial" w:hAnsi="Arial" w:cs="Arial"/>
          <w:color w:val="000000"/>
          <w:kern w:val="0"/>
        </w:rPr>
        <w:t xml:space="preserve">Informazioni sulle serie storiche di tutti e tre gli indici, a partire dal 1861 e fino al 2015, sono disponibili sul sito dell’Istat all’indirizzo </w:t>
      </w:r>
      <w:hyperlink r:id="rId41" w:history="1">
        <w:r w:rsidRPr="002875F7">
          <w:rPr>
            <w:rStyle w:val="Collegamentoipertestuale"/>
            <w:rFonts w:ascii="Arial" w:hAnsi="Arial" w:cs="Arial"/>
            <w:kern w:val="0"/>
          </w:rPr>
          <w:t>http://seriestoriche.istat.it/</w:t>
        </w:r>
      </w:hyperlink>
      <w:r w:rsidRPr="002875F7">
        <w:rPr>
          <w:rFonts w:ascii="Arial" w:hAnsi="Arial" w:cs="Arial"/>
          <w:color w:val="000000"/>
          <w:kern w:val="0"/>
        </w:rPr>
        <w:t>.</w:t>
      </w:r>
    </w:p>
    <w:p w14:paraId="678BF8BF" w14:textId="77777777" w:rsidR="00AB34E1" w:rsidRPr="002875F7" w:rsidRDefault="00AB34E1" w:rsidP="00AB34E1">
      <w:pPr>
        <w:spacing w:before="0" w:after="120"/>
        <w:jc w:val="both"/>
        <w:rPr>
          <w:rFonts w:ascii="Arial" w:hAnsi="Arial" w:cs="Arial"/>
          <w:color w:val="000000"/>
          <w:kern w:val="0"/>
        </w:rPr>
      </w:pPr>
      <w:r w:rsidRPr="002875F7">
        <w:rPr>
          <w:rFonts w:ascii="Arial" w:hAnsi="Arial" w:cs="Arial"/>
          <w:color w:val="000000"/>
          <w:kern w:val="0"/>
        </w:rPr>
        <w:t>Dati riepilogativi e approfondimenti sui prezzi al consumo e sul paniere dei beni e servizi sono, inoltre, contenuti in alcuni prodotti editoriali diffusi dall’Istat a cadenza annuale, quali l’</w:t>
      </w:r>
      <w:r w:rsidRPr="002875F7">
        <w:rPr>
          <w:rFonts w:ascii="Arial" w:hAnsi="Arial" w:cs="Arial"/>
          <w:i/>
          <w:color w:val="000000"/>
          <w:kern w:val="0"/>
        </w:rPr>
        <w:t>Annuario statistico</w:t>
      </w:r>
      <w:r w:rsidRPr="002875F7">
        <w:rPr>
          <w:rFonts w:ascii="Arial" w:hAnsi="Arial" w:cs="Arial"/>
          <w:color w:val="000000"/>
          <w:kern w:val="0"/>
        </w:rPr>
        <w:t xml:space="preserve">, il </w:t>
      </w:r>
      <w:r w:rsidRPr="002875F7">
        <w:rPr>
          <w:rFonts w:ascii="Arial" w:hAnsi="Arial" w:cs="Arial"/>
          <w:i/>
          <w:color w:val="000000"/>
          <w:kern w:val="0"/>
        </w:rPr>
        <w:t>Rapporto annuale</w:t>
      </w:r>
      <w:r w:rsidRPr="002875F7">
        <w:rPr>
          <w:rFonts w:ascii="Arial" w:hAnsi="Arial" w:cs="Arial"/>
          <w:color w:val="000000"/>
          <w:kern w:val="0"/>
        </w:rPr>
        <w:t xml:space="preserve"> e la pubblicazione </w:t>
      </w:r>
      <w:r w:rsidRPr="002875F7">
        <w:rPr>
          <w:rFonts w:ascii="Arial" w:hAnsi="Arial" w:cs="Arial"/>
          <w:i/>
          <w:color w:val="000000"/>
          <w:kern w:val="0"/>
        </w:rPr>
        <w:t>Noi Italia</w:t>
      </w:r>
      <w:r w:rsidRPr="002875F7">
        <w:rPr>
          <w:rFonts w:ascii="Arial" w:hAnsi="Arial" w:cs="Arial"/>
          <w:color w:val="000000"/>
          <w:kern w:val="0"/>
        </w:rPr>
        <w:t>.</w:t>
      </w:r>
    </w:p>
    <w:p w14:paraId="7FD29F15" w14:textId="77777777" w:rsidR="00AB34E1" w:rsidRPr="002875F7" w:rsidRDefault="00AB34E1" w:rsidP="00AB34E1">
      <w:pPr>
        <w:spacing w:before="0" w:after="120"/>
        <w:jc w:val="both"/>
        <w:rPr>
          <w:rFonts w:ascii="Arial" w:hAnsi="Arial" w:cs="Arial"/>
          <w:color w:val="000000"/>
          <w:kern w:val="0"/>
        </w:rPr>
      </w:pPr>
      <w:r w:rsidRPr="002875F7">
        <w:rPr>
          <w:rFonts w:ascii="Arial" w:hAnsi="Arial" w:cs="Arial"/>
          <w:color w:val="000000"/>
          <w:kern w:val="0"/>
        </w:rPr>
        <w:t xml:space="preserve">In adempimento al Regolamento europeo </w:t>
      </w:r>
      <w:r w:rsidRPr="002875F7">
        <w:rPr>
          <w:rFonts w:ascii="Arial" w:hAnsi="Arial" w:cs="Arial"/>
          <w:kern w:val="0"/>
        </w:rPr>
        <w:t>n. 792/2016,</w:t>
      </w:r>
      <w:r w:rsidRPr="002875F7">
        <w:rPr>
          <w:rFonts w:ascii="Arial" w:hAnsi="Arial" w:cs="Arial"/>
          <w:color w:val="000000"/>
          <w:kern w:val="0"/>
        </w:rPr>
        <w:t xml:space="preserve"> i dati dell’indagine sui prezzi al consumo sono trasmessi due volte al mese ad Eurostat. I principali indicatori, archiviati nel database di Eurostat, sono consultabili all’indirizzo </w:t>
      </w:r>
      <w:hyperlink r:id="rId42" w:history="1">
        <w:r w:rsidRPr="002875F7">
          <w:rPr>
            <w:rStyle w:val="Collegamentoipertestuale"/>
            <w:rFonts w:ascii="Arial" w:hAnsi="Arial" w:cs="Arial"/>
            <w:kern w:val="0"/>
          </w:rPr>
          <w:t>http://ec.europa.eu/eurostat/data/database</w:t>
        </w:r>
      </w:hyperlink>
      <w:r w:rsidRPr="002875F7">
        <w:rPr>
          <w:rFonts w:ascii="Arial" w:hAnsi="Arial" w:cs="Arial"/>
          <w:color w:val="000000"/>
          <w:kern w:val="0"/>
        </w:rPr>
        <w:t xml:space="preserve"> (Tema “</w:t>
      </w:r>
      <w:r w:rsidRPr="002875F7">
        <w:rPr>
          <w:rFonts w:ascii="Arial" w:hAnsi="Arial" w:cs="Arial"/>
          <w:i/>
          <w:iCs/>
          <w:color w:val="000000"/>
          <w:kern w:val="0"/>
        </w:rPr>
        <w:t>Economy and finance</w:t>
      </w:r>
      <w:r w:rsidRPr="002875F7">
        <w:rPr>
          <w:rFonts w:ascii="Arial" w:hAnsi="Arial" w:cs="Arial"/>
          <w:color w:val="000000"/>
          <w:kern w:val="0"/>
        </w:rPr>
        <w:t>”, argomento “</w:t>
      </w:r>
      <w:r w:rsidRPr="002875F7">
        <w:rPr>
          <w:rFonts w:ascii="Arial" w:hAnsi="Arial" w:cs="Arial"/>
          <w:i/>
          <w:iCs/>
          <w:color w:val="000000"/>
          <w:kern w:val="0"/>
        </w:rPr>
        <w:t>Prices</w:t>
      </w:r>
      <w:r w:rsidRPr="002875F7">
        <w:rPr>
          <w:rFonts w:ascii="Arial" w:hAnsi="Arial" w:cs="Arial"/>
          <w:color w:val="000000"/>
          <w:kern w:val="0"/>
        </w:rPr>
        <w:t>”).</w:t>
      </w:r>
    </w:p>
    <w:p w14:paraId="4E2DF7D1" w14:textId="77777777" w:rsidR="00AB34E1" w:rsidRDefault="00AB34E1" w:rsidP="00AB34E1">
      <w:pPr>
        <w:widowControl/>
        <w:overflowPunct/>
        <w:spacing w:before="0" w:after="0"/>
        <w:jc w:val="both"/>
        <w:rPr>
          <w:rFonts w:ascii="Arial" w:hAnsi="Arial" w:cs="Arial"/>
          <w:color w:val="000000"/>
          <w:kern w:val="0"/>
        </w:rPr>
      </w:pPr>
    </w:p>
    <w:p w14:paraId="23B6371E" w14:textId="77777777" w:rsidR="00AB34E1" w:rsidRDefault="00AB34E1" w:rsidP="00AB34E1">
      <w:pPr>
        <w:spacing w:before="0" w:after="120"/>
        <w:jc w:val="both"/>
        <w:rPr>
          <w:rFonts w:ascii="Arial" w:hAnsi="Arial" w:cs="Arial"/>
          <w:sz w:val="18"/>
          <w:szCs w:val="22"/>
        </w:rPr>
      </w:pPr>
    </w:p>
    <w:p w14:paraId="206D4235" w14:textId="77777777" w:rsidR="00AB34E1" w:rsidRPr="001E6318" w:rsidRDefault="00AB34E1" w:rsidP="00AB34E1">
      <w:pPr>
        <w:widowControl/>
        <w:overflowPunct/>
        <w:spacing w:before="0" w:after="0"/>
        <w:jc w:val="both"/>
        <w:rPr>
          <w:rFonts w:ascii="Arial"/>
          <w:color w:val="CD232E"/>
          <w:spacing w:val="-1"/>
          <w:sz w:val="36"/>
        </w:rPr>
      </w:pPr>
      <w:r w:rsidRPr="001E6318">
        <w:rPr>
          <w:rFonts w:ascii="Arial"/>
          <w:color w:val="CD232E"/>
          <w:spacing w:val="-1"/>
          <w:sz w:val="36"/>
        </w:rPr>
        <w:t>Per chiarimenti</w:t>
      </w:r>
      <w:r w:rsidRPr="001E6318">
        <w:rPr>
          <w:rFonts w:ascii="Arial"/>
          <w:color w:val="CD232E"/>
          <w:spacing w:val="1"/>
          <w:sz w:val="36"/>
        </w:rPr>
        <w:t xml:space="preserve"> </w:t>
      </w:r>
      <w:r w:rsidRPr="001E6318">
        <w:rPr>
          <w:rFonts w:ascii="Arial"/>
          <w:color w:val="CD232E"/>
          <w:spacing w:val="-1"/>
          <w:sz w:val="36"/>
        </w:rPr>
        <w:t>tecnici</w:t>
      </w:r>
      <w:r w:rsidRPr="001E6318">
        <w:rPr>
          <w:rFonts w:ascii="Arial"/>
          <w:color w:val="CD232E"/>
          <w:spacing w:val="-2"/>
          <w:sz w:val="36"/>
        </w:rPr>
        <w:t xml:space="preserve"> </w:t>
      </w:r>
      <w:r w:rsidRPr="001E6318">
        <w:rPr>
          <w:rFonts w:ascii="Arial"/>
          <w:color w:val="CD232E"/>
          <w:sz w:val="36"/>
        </w:rPr>
        <w:t>e</w:t>
      </w:r>
      <w:r w:rsidRPr="001E6318">
        <w:rPr>
          <w:rFonts w:ascii="Arial"/>
          <w:color w:val="CD232E"/>
          <w:spacing w:val="-1"/>
          <w:sz w:val="36"/>
        </w:rPr>
        <w:t xml:space="preserve"> metodologici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AB34E1" w:rsidRPr="001E6318" w14:paraId="46EB4EE7" w14:textId="77777777" w:rsidTr="00E06FB8">
        <w:tc>
          <w:tcPr>
            <w:tcW w:w="5097" w:type="dxa"/>
          </w:tcPr>
          <w:p w14:paraId="1A91A999" w14:textId="77777777" w:rsidR="00AB34E1" w:rsidRPr="001E6318" w:rsidRDefault="00AB34E1" w:rsidP="00E06FB8">
            <w:pPr>
              <w:pStyle w:val="Titolo3"/>
              <w:spacing w:before="72"/>
              <w:rPr>
                <w:rFonts w:ascii="Arial" w:eastAsia="Arial" w:hAnsi="Arial" w:cs="Arial"/>
                <w:b w:val="0"/>
                <w:bCs w:val="0"/>
              </w:rPr>
            </w:pPr>
            <w:r>
              <w:rPr>
                <w:rFonts w:ascii="Arial"/>
                <w:color w:val="CD232E"/>
                <w:spacing w:val="-1"/>
              </w:rPr>
              <w:t>Manuela Morricone</w:t>
            </w:r>
          </w:p>
          <w:p w14:paraId="61240ADA" w14:textId="77777777" w:rsidR="00AB34E1" w:rsidRPr="001E6318" w:rsidRDefault="00AB34E1" w:rsidP="00E06FB8">
            <w:pPr>
              <w:spacing w:before="122"/>
              <w:rPr>
                <w:rFonts w:ascii="Arial" w:eastAsia="Arial" w:hAnsi="Arial" w:cs="Arial"/>
                <w:sz w:val="24"/>
                <w:szCs w:val="24"/>
              </w:rPr>
            </w:pPr>
            <w:r w:rsidRPr="001E6318">
              <w:rPr>
                <w:rFonts w:ascii="Arial"/>
                <w:sz w:val="24"/>
              </w:rPr>
              <w:t>tel.</w:t>
            </w:r>
            <w:r w:rsidRPr="001E6318">
              <w:rPr>
                <w:rFonts w:ascii="Arial"/>
                <w:spacing w:val="-1"/>
                <w:sz w:val="24"/>
              </w:rPr>
              <w:t xml:space="preserve"> +39</w:t>
            </w:r>
            <w:r w:rsidRPr="001E6318">
              <w:rPr>
                <w:rFonts w:ascii="Arial"/>
                <w:spacing w:val="-3"/>
                <w:sz w:val="24"/>
              </w:rPr>
              <w:t xml:space="preserve"> </w:t>
            </w:r>
            <w:r w:rsidRPr="001E6318">
              <w:rPr>
                <w:rFonts w:ascii="Arial"/>
                <w:sz w:val="24"/>
              </w:rPr>
              <w:t>06</w:t>
            </w:r>
            <w:r w:rsidRPr="001E6318">
              <w:rPr>
                <w:rFonts w:ascii="Arial"/>
                <w:spacing w:val="-3"/>
                <w:sz w:val="24"/>
              </w:rPr>
              <w:t xml:space="preserve"> </w:t>
            </w:r>
            <w:r>
              <w:rPr>
                <w:rFonts w:ascii="Arial"/>
                <w:spacing w:val="-1"/>
                <w:sz w:val="24"/>
              </w:rPr>
              <w:t>4673 2181</w:t>
            </w:r>
          </w:p>
          <w:p w14:paraId="3EC136D8" w14:textId="77777777" w:rsidR="00AB34E1" w:rsidRPr="001E6318" w:rsidRDefault="00DA1B56" w:rsidP="00E06FB8">
            <w:pPr>
              <w:widowControl/>
              <w:overflowPunct/>
              <w:spacing w:before="0" w:after="0"/>
              <w:jc w:val="both"/>
              <w:rPr>
                <w:rFonts w:ascii="Arial"/>
                <w:color w:val="0000FF"/>
                <w:spacing w:val="-1"/>
                <w:sz w:val="24"/>
                <w:u w:val="single" w:color="0000FF"/>
              </w:rPr>
            </w:pPr>
            <w:hyperlink r:id="rId43" w:history="1">
              <w:r w:rsidR="00AB34E1" w:rsidRPr="002815BE">
                <w:rPr>
                  <w:rStyle w:val="Collegamentoipertestuale"/>
                  <w:rFonts w:ascii="Arial"/>
                  <w:spacing w:val="-1"/>
                  <w:sz w:val="24"/>
                  <w:u w:color="0000FF"/>
                </w:rPr>
                <w:t>manuela.morricone@istat.it</w:t>
              </w:r>
            </w:hyperlink>
          </w:p>
        </w:tc>
        <w:tc>
          <w:tcPr>
            <w:tcW w:w="5098" w:type="dxa"/>
          </w:tcPr>
          <w:p w14:paraId="1561DAA8" w14:textId="77777777" w:rsidR="00AB34E1" w:rsidRPr="001E6318" w:rsidRDefault="00AB34E1" w:rsidP="00E06FB8">
            <w:pPr>
              <w:spacing w:before="72"/>
              <w:ind w:left="112"/>
              <w:rPr>
                <w:rFonts w:ascii="Arial" w:eastAsia="Arial" w:hAnsi="Arial" w:cs="Arial"/>
              </w:rPr>
            </w:pPr>
            <w:r w:rsidRPr="001E6318">
              <w:rPr>
                <w:rFonts w:ascii="Arial"/>
                <w:b/>
                <w:color w:val="CD232E"/>
                <w:spacing w:val="-1"/>
              </w:rPr>
              <w:t>Alessandro Brunetti</w:t>
            </w:r>
          </w:p>
          <w:p w14:paraId="660E1EDE" w14:textId="77777777" w:rsidR="00AB34E1" w:rsidRPr="001E6318" w:rsidRDefault="00AB34E1" w:rsidP="00E06FB8">
            <w:pPr>
              <w:spacing w:before="122"/>
              <w:ind w:left="112"/>
              <w:rPr>
                <w:rFonts w:ascii="Arial" w:eastAsia="Arial" w:hAnsi="Arial" w:cs="Arial"/>
                <w:sz w:val="24"/>
                <w:szCs w:val="24"/>
              </w:rPr>
            </w:pPr>
            <w:r w:rsidRPr="001E6318">
              <w:rPr>
                <w:rFonts w:ascii="Arial"/>
                <w:sz w:val="24"/>
              </w:rPr>
              <w:t>tel.</w:t>
            </w:r>
            <w:r w:rsidRPr="001E6318">
              <w:rPr>
                <w:rFonts w:ascii="Arial"/>
                <w:spacing w:val="-2"/>
                <w:sz w:val="24"/>
              </w:rPr>
              <w:t xml:space="preserve"> </w:t>
            </w:r>
            <w:r w:rsidRPr="001E6318">
              <w:rPr>
                <w:rFonts w:ascii="Arial"/>
                <w:spacing w:val="-1"/>
                <w:sz w:val="24"/>
              </w:rPr>
              <w:t>+39</w:t>
            </w:r>
            <w:r w:rsidRPr="001E6318">
              <w:rPr>
                <w:rFonts w:ascii="Arial"/>
                <w:spacing w:val="-3"/>
                <w:sz w:val="24"/>
              </w:rPr>
              <w:t xml:space="preserve"> </w:t>
            </w:r>
            <w:r w:rsidRPr="001E6318">
              <w:rPr>
                <w:rFonts w:ascii="Arial"/>
                <w:sz w:val="24"/>
              </w:rPr>
              <w:t>06</w:t>
            </w:r>
            <w:r w:rsidRPr="001E6318">
              <w:rPr>
                <w:rFonts w:ascii="Arial"/>
                <w:spacing w:val="-3"/>
                <w:sz w:val="24"/>
              </w:rPr>
              <w:t xml:space="preserve"> </w:t>
            </w:r>
            <w:r w:rsidRPr="001E6318">
              <w:rPr>
                <w:rFonts w:ascii="Arial"/>
                <w:spacing w:val="-1"/>
                <w:sz w:val="24"/>
              </w:rPr>
              <w:t>4673 2545</w:t>
            </w:r>
          </w:p>
          <w:p w14:paraId="46C3218F" w14:textId="77777777" w:rsidR="00AB34E1" w:rsidRPr="001E6318" w:rsidRDefault="00DA1B56" w:rsidP="00E06FB8">
            <w:pPr>
              <w:spacing w:before="98"/>
              <w:ind w:left="112"/>
              <w:rPr>
                <w:rFonts w:ascii="Arial"/>
                <w:color w:val="0000FF"/>
                <w:spacing w:val="-1"/>
                <w:sz w:val="24"/>
                <w:u w:val="single" w:color="0000FF"/>
              </w:rPr>
            </w:pPr>
            <w:hyperlink r:id="rId44" w:history="1">
              <w:r w:rsidR="00AB34E1" w:rsidRPr="001E6318">
                <w:rPr>
                  <w:rStyle w:val="Collegamentoipertestuale"/>
                  <w:rFonts w:ascii="Arial"/>
                  <w:spacing w:val="-1"/>
                  <w:sz w:val="24"/>
                  <w:u w:color="0000FF"/>
                </w:rPr>
                <w:t>alessandro.brunetti@istat.it</w:t>
              </w:r>
            </w:hyperlink>
          </w:p>
        </w:tc>
      </w:tr>
    </w:tbl>
    <w:p w14:paraId="4C3ED998" w14:textId="77777777" w:rsidR="00AB34E1" w:rsidRPr="001E6318" w:rsidRDefault="00AB34E1" w:rsidP="00AB34E1">
      <w:pPr>
        <w:spacing w:before="0" w:after="120"/>
        <w:jc w:val="both"/>
        <w:rPr>
          <w:rFonts w:ascii="Arial" w:hAnsi="Arial" w:cs="Arial"/>
          <w:color w:val="000000"/>
          <w:kern w:val="0"/>
        </w:rPr>
      </w:pPr>
    </w:p>
    <w:p w14:paraId="6E3FAEEB" w14:textId="77777777" w:rsidR="00AB34E1" w:rsidRDefault="00AB34E1" w:rsidP="00AB34E1">
      <w:pPr>
        <w:widowControl/>
        <w:overflowPunct/>
        <w:spacing w:before="0" w:after="0"/>
        <w:jc w:val="both"/>
        <w:rPr>
          <w:rFonts w:ascii="Arial" w:hAnsi="Arial" w:cs="Arial"/>
          <w:color w:val="000000"/>
          <w:kern w:val="0"/>
        </w:rPr>
      </w:pPr>
    </w:p>
    <w:p w14:paraId="04E84489" w14:textId="207A673B" w:rsidR="003E5E5A" w:rsidRDefault="003E5E5A" w:rsidP="00AB34E1">
      <w:pPr>
        <w:spacing w:before="0" w:after="120"/>
        <w:jc w:val="both"/>
        <w:rPr>
          <w:rFonts w:ascii="Arial" w:hAnsi="Arial" w:cs="Arial"/>
          <w:color w:val="000000"/>
          <w:kern w:val="0"/>
        </w:rPr>
      </w:pPr>
    </w:p>
    <w:sectPr w:rsidR="003E5E5A" w:rsidSect="00AB34E1">
      <w:headerReference w:type="default" r:id="rId45"/>
      <w:pgSz w:w="11907" w:h="16840" w:code="9"/>
      <w:pgMar w:top="1534" w:right="851" w:bottom="680" w:left="851"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1516C" w14:textId="77777777" w:rsidR="00DA1B56" w:rsidRDefault="00DA1B56">
      <w:r>
        <w:separator/>
      </w:r>
    </w:p>
  </w:endnote>
  <w:endnote w:type="continuationSeparator" w:id="0">
    <w:p w14:paraId="30E38A97" w14:textId="77777777" w:rsidR="00DA1B56" w:rsidRDefault="00DA1B56">
      <w:r>
        <w:continuationSeparator/>
      </w:r>
    </w:p>
  </w:endnote>
  <w:endnote w:type="continuationNotice" w:id="1">
    <w:p w14:paraId="0C51FCA6" w14:textId="77777777" w:rsidR="00DA1B56" w:rsidRDefault="00DA1B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D8B75" w14:textId="023D21D6" w:rsidR="00486EDA" w:rsidRPr="008B50B8" w:rsidRDefault="00486EDA" w:rsidP="008B50B8">
    <w:pPr>
      <w:pStyle w:val="Pidipagina"/>
      <w:ind w:left="1560"/>
    </w:pPr>
    <w:r>
      <w:rPr>
        <w:rFonts w:ascii="Calibri" w:hAnsi="Calibri"/>
        <w:noProof/>
        <w:color w:val="E42618"/>
        <w:sz w:val="28"/>
        <w:szCs w:val="28"/>
      </w:rPr>
      <w:drawing>
        <wp:anchor distT="0" distB="0" distL="114300" distR="114300" simplePos="0" relativeHeight="251676672" behindDoc="0" locked="0" layoutInCell="1" allowOverlap="1" wp14:anchorId="206E3172" wp14:editId="3E6BA660">
          <wp:simplePos x="0" y="0"/>
          <wp:positionH relativeFrom="column">
            <wp:posOffset>13335</wp:posOffset>
          </wp:positionH>
          <wp:positionV relativeFrom="paragraph">
            <wp:posOffset>-107950</wp:posOffset>
          </wp:positionV>
          <wp:extent cx="943610" cy="390525"/>
          <wp:effectExtent l="0" t="0" r="8890" b="9525"/>
          <wp:wrapNone/>
          <wp:docPr id="1015093473" name="Immagine 1015093473" descr="Descrizione: Logo a 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Descrizione: Logo a col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390525"/>
                  </a:xfrm>
                  <a:prstGeom prst="rect">
                    <a:avLst/>
                  </a:prstGeom>
                  <a:noFill/>
                  <a:ln>
                    <a:noFill/>
                  </a:ln>
                </pic:spPr>
              </pic:pic>
            </a:graphicData>
          </a:graphic>
        </wp:anchor>
      </w:drawing>
    </w:r>
    <w:r w:rsidRPr="000F43D3">
      <w:rPr>
        <w:rStyle w:val="Numeropagina"/>
        <w:rFonts w:ascii="Calibri" w:hAnsi="Calibri"/>
        <w:color w:val="E42618"/>
        <w:sz w:val="28"/>
        <w:szCs w:val="28"/>
      </w:rPr>
      <w:t>|</w:t>
    </w:r>
    <w:r>
      <w:rPr>
        <w:rStyle w:val="Numeropagina"/>
        <w:rFonts w:ascii="Calibri" w:hAnsi="Calibri"/>
        <w:color w:val="E31C18"/>
        <w:sz w:val="28"/>
        <w:szCs w:val="28"/>
      </w:rPr>
      <w:t xml:space="preserve"> </w:t>
    </w:r>
    <w:r w:rsidRPr="006B6BAF">
      <w:rPr>
        <w:rFonts w:ascii="Arial" w:hAnsi="Arial" w:cs="Arial"/>
        <w:b/>
        <w:color w:val="808080"/>
        <w:sz w:val="24"/>
        <w:szCs w:val="24"/>
      </w:rPr>
      <w:fldChar w:fldCharType="begin"/>
    </w:r>
    <w:r w:rsidRPr="006B6BAF">
      <w:rPr>
        <w:rFonts w:ascii="Arial" w:hAnsi="Arial" w:cs="Arial"/>
        <w:b/>
        <w:color w:val="808080"/>
        <w:sz w:val="24"/>
        <w:szCs w:val="24"/>
      </w:rPr>
      <w:instrText>PAGE   \* MERGEFORMAT</w:instrText>
    </w:r>
    <w:r w:rsidRPr="006B6BAF">
      <w:rPr>
        <w:rFonts w:ascii="Arial" w:hAnsi="Arial" w:cs="Arial"/>
        <w:b/>
        <w:color w:val="808080"/>
        <w:sz w:val="24"/>
        <w:szCs w:val="24"/>
      </w:rPr>
      <w:fldChar w:fldCharType="separate"/>
    </w:r>
    <w:r w:rsidR="00092C43">
      <w:rPr>
        <w:rFonts w:ascii="Arial" w:hAnsi="Arial" w:cs="Arial"/>
        <w:b/>
        <w:noProof/>
        <w:color w:val="808080"/>
        <w:sz w:val="24"/>
        <w:szCs w:val="24"/>
      </w:rPr>
      <w:t>16</w:t>
    </w:r>
    <w:r w:rsidRPr="006B6BAF">
      <w:rPr>
        <w:rFonts w:ascii="Arial" w:hAnsi="Arial" w:cs="Arial"/>
        <w:b/>
        <w:color w:val="8080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27524" w14:textId="77777777" w:rsidR="00DA1B56" w:rsidRDefault="00DA1B56">
      <w:r>
        <w:separator/>
      </w:r>
    </w:p>
  </w:footnote>
  <w:footnote w:type="continuationSeparator" w:id="0">
    <w:p w14:paraId="239F6C28" w14:textId="77777777" w:rsidR="00DA1B56" w:rsidRDefault="00DA1B56">
      <w:r>
        <w:continuationSeparator/>
      </w:r>
    </w:p>
  </w:footnote>
  <w:footnote w:type="continuationNotice" w:id="1">
    <w:p w14:paraId="7B78575A" w14:textId="77777777" w:rsidR="00DA1B56" w:rsidRDefault="00DA1B56">
      <w:pPr>
        <w:spacing w:before="0" w:after="0"/>
      </w:pPr>
    </w:p>
  </w:footnote>
  <w:footnote w:id="2">
    <w:p w14:paraId="14C99139" w14:textId="77777777" w:rsidR="00486EDA" w:rsidRDefault="00486EDA" w:rsidP="00AB34E1">
      <w:pPr>
        <w:pStyle w:val="Testonotaapidipagina"/>
        <w:spacing w:before="0" w:after="0"/>
      </w:pPr>
      <w:r>
        <w:rPr>
          <w:rStyle w:val="Rimandonotaapidipagina"/>
        </w:rPr>
        <w:footnoteRef/>
      </w:r>
      <w:r>
        <w:rPr>
          <w:rFonts w:ascii="Arial" w:hAnsi="Arial" w:cs="Arial"/>
          <w:sz w:val="16"/>
          <w:szCs w:val="16"/>
        </w:rPr>
        <w:t xml:space="preserve"> Il</w:t>
      </w:r>
      <w:r w:rsidRPr="009115BA">
        <w:t xml:space="preserve"> </w:t>
      </w:r>
      <w:r w:rsidRPr="009115BA">
        <w:rPr>
          <w:rFonts w:ascii="Arial" w:hAnsi="Arial" w:cs="Arial"/>
          <w:sz w:val="16"/>
          <w:szCs w:val="16"/>
        </w:rPr>
        <w:t xml:space="preserve">comune non capoluogo </w:t>
      </w:r>
      <w:r>
        <w:rPr>
          <w:rFonts w:ascii="Arial" w:hAnsi="Arial" w:cs="Arial"/>
          <w:sz w:val="16"/>
          <w:szCs w:val="16"/>
        </w:rPr>
        <w:t xml:space="preserve">di provincia </w:t>
      </w:r>
      <w:r w:rsidRPr="009115BA">
        <w:rPr>
          <w:rFonts w:ascii="Arial" w:hAnsi="Arial" w:cs="Arial"/>
          <w:sz w:val="16"/>
          <w:szCs w:val="16"/>
        </w:rPr>
        <w:t>con più di 30mila abitanti</w:t>
      </w:r>
      <w:r>
        <w:rPr>
          <w:rFonts w:ascii="Arial" w:hAnsi="Arial" w:cs="Arial"/>
          <w:sz w:val="16"/>
          <w:szCs w:val="16"/>
        </w:rPr>
        <w:t xml:space="preserve"> che partecipa all’indagine (dal 2020) è il comune di Olbia.</w:t>
      </w:r>
    </w:p>
  </w:footnote>
  <w:footnote w:id="3">
    <w:p w14:paraId="13D4EC9C" w14:textId="77777777" w:rsidR="00486EDA" w:rsidRPr="00C66331" w:rsidRDefault="00486EDA" w:rsidP="00AB34E1">
      <w:pPr>
        <w:pStyle w:val="Testonotaapidipagina"/>
        <w:spacing w:before="0" w:after="0"/>
        <w:rPr>
          <w:rFonts w:ascii="Arial" w:hAnsi="Arial" w:cs="Arial"/>
          <w:sz w:val="16"/>
          <w:szCs w:val="16"/>
        </w:rPr>
      </w:pPr>
      <w:r w:rsidRPr="00C66331">
        <w:rPr>
          <w:rStyle w:val="Rimandonotaapidipagina"/>
        </w:rPr>
        <w:footnoteRef/>
      </w:r>
      <w:r w:rsidRPr="00C66331">
        <w:rPr>
          <w:rStyle w:val="Rimandonotaapidipagina"/>
        </w:rPr>
        <w:t xml:space="preserve"> </w:t>
      </w:r>
      <w:r w:rsidRPr="00C66331">
        <w:rPr>
          <w:rFonts w:ascii="Arial" w:hAnsi="Arial" w:cs="Arial"/>
          <w:sz w:val="16"/>
          <w:szCs w:val="16"/>
        </w:rPr>
        <w:t>Si tratta dei comuni di Asti, Chieti, Foggia, Frosinone, L’Aquila, Matera, Prato, Ragusa, Verbania e Vibo Valentia.</w:t>
      </w:r>
    </w:p>
  </w:footnote>
  <w:footnote w:id="4">
    <w:p w14:paraId="6A85D949" w14:textId="77777777" w:rsidR="00486EDA" w:rsidRPr="008A6A18" w:rsidRDefault="00486EDA" w:rsidP="00AB34E1">
      <w:pPr>
        <w:pStyle w:val="Testonotaapidipagina"/>
        <w:spacing w:before="0" w:after="0"/>
        <w:rPr>
          <w:rFonts w:ascii="Arial" w:hAnsi="Arial" w:cs="Arial"/>
          <w:sz w:val="16"/>
          <w:szCs w:val="16"/>
        </w:rPr>
      </w:pPr>
      <w:r>
        <w:rPr>
          <w:rStyle w:val="Rimandonotaapidipagina"/>
        </w:rPr>
        <w:footnoteRef/>
      </w:r>
      <w:r>
        <w:t xml:space="preserve"> </w:t>
      </w:r>
      <w:r w:rsidRPr="008A6A18">
        <w:rPr>
          <w:rFonts w:ascii="Arial" w:hAnsi="Arial" w:cs="Arial"/>
          <w:sz w:val="16"/>
          <w:szCs w:val="16"/>
        </w:rPr>
        <w:t>A partire da gennaio 2022 la rilevazione dei canoni di affitto per le abitazioni di privati è condotta centralmente dall’Istat tramite l’utilizzo di dati di fonte amministrativa e in particolare della base dati locazioni immobiliari dell’Osservatorio del mercato immobiliare dell’Agenzia delle entrate</w:t>
      </w:r>
      <w:r>
        <w:rPr>
          <w:rFonts w:ascii="Arial" w:hAnsi="Arial" w:cs="Arial"/>
          <w:sz w:val="16"/>
          <w:szCs w:val="16"/>
        </w:rPr>
        <w:t>.</w:t>
      </w:r>
    </w:p>
  </w:footnote>
  <w:footnote w:id="5">
    <w:p w14:paraId="2BEDC3B3" w14:textId="77777777" w:rsidR="00486EDA" w:rsidRPr="00B91B6E" w:rsidRDefault="00486EDA" w:rsidP="00AB34E1">
      <w:pPr>
        <w:pStyle w:val="Testonotaapidipagina"/>
        <w:jc w:val="both"/>
        <w:rPr>
          <w:rFonts w:ascii="Arial" w:hAnsi="Arial" w:cs="Arial"/>
          <w:sz w:val="16"/>
          <w:szCs w:val="16"/>
        </w:rPr>
      </w:pPr>
      <w:r>
        <w:rPr>
          <w:rStyle w:val="Rimandonotaapidipagina"/>
        </w:rPr>
        <w:footnoteRef/>
      </w:r>
      <w:r>
        <w:t xml:space="preserve"> </w:t>
      </w:r>
      <w:r w:rsidRPr="00B91B6E">
        <w:rPr>
          <w:rFonts w:ascii="Arial" w:hAnsi="Arial" w:cs="Arial"/>
          <w:sz w:val="16"/>
          <w:szCs w:val="16"/>
        </w:rPr>
        <w:t xml:space="preserve">A partire dal 23 settembre 2024 le serie storiche dei conti nazionali, sono state oggetto di una revisione generale finalizzata a </w:t>
      </w:r>
      <w:r>
        <w:rPr>
          <w:rFonts w:ascii="Arial" w:hAnsi="Arial" w:cs="Arial"/>
          <w:sz w:val="16"/>
          <w:szCs w:val="16"/>
        </w:rPr>
        <w:t>m</w:t>
      </w:r>
      <w:r w:rsidRPr="00614603">
        <w:rPr>
          <w:rFonts w:ascii="Arial" w:hAnsi="Arial" w:cs="Arial"/>
          <w:sz w:val="16"/>
          <w:szCs w:val="16"/>
        </w:rPr>
        <w:t>igliorare l’accuratezza e la comparabilità dei principali indicatori macroeconomici</w:t>
      </w:r>
      <w:r>
        <w:rPr>
          <w:rFonts w:ascii="Arial" w:hAnsi="Arial" w:cs="Arial"/>
          <w:sz w:val="16"/>
          <w:szCs w:val="16"/>
        </w:rPr>
        <w:t xml:space="preserve">. Tale </w:t>
      </w:r>
      <w:r w:rsidRPr="00B91B6E">
        <w:rPr>
          <w:rFonts w:ascii="Arial" w:hAnsi="Arial" w:cs="Arial"/>
          <w:sz w:val="16"/>
          <w:szCs w:val="16"/>
        </w:rPr>
        <w:t>revisione è avvenuta in coordinamento con Eurostat</w:t>
      </w:r>
      <w:r>
        <w:rPr>
          <w:rFonts w:ascii="Arial" w:hAnsi="Arial" w:cs="Arial"/>
          <w:sz w:val="16"/>
          <w:szCs w:val="16"/>
        </w:rPr>
        <w:t xml:space="preserve"> (</w:t>
      </w:r>
      <w:r w:rsidRPr="00614603">
        <w:rPr>
          <w:rFonts w:ascii="Arial" w:hAnsi="Arial" w:cs="Arial"/>
          <w:sz w:val="16"/>
          <w:szCs w:val="16"/>
        </w:rPr>
        <w:t>https://www.istat.it/wp-content/uploads/2024/08/Revisione-generale-CN-2024-Nota-informativa-Finale.pdf</w:t>
      </w:r>
      <w:r>
        <w:rPr>
          <w:rFonts w:ascii="Arial" w:hAnsi="Arial" w:cs="Arial"/>
          <w:sz w:val="16"/>
          <w:szCs w:val="16"/>
        </w:rPr>
        <w:t xml:space="preserve">). </w:t>
      </w:r>
    </w:p>
  </w:footnote>
  <w:footnote w:id="6">
    <w:p w14:paraId="45E1E356" w14:textId="05DB40D3" w:rsidR="00486EDA" w:rsidRDefault="00486EDA" w:rsidP="00AB34E1">
      <w:pPr>
        <w:pStyle w:val="Testonotaapidipagina"/>
        <w:spacing w:before="0" w:after="0"/>
        <w:jc w:val="both"/>
        <w:rPr>
          <w:rFonts w:ascii="Arial" w:hAnsi="Arial" w:cs="Arial"/>
          <w:sz w:val="16"/>
          <w:szCs w:val="16"/>
        </w:rPr>
      </w:pPr>
      <w:r>
        <w:rPr>
          <w:rStyle w:val="Rimandonotaapidipagina"/>
          <w:rFonts w:ascii="Arial" w:hAnsi="Arial" w:cs="Arial"/>
          <w:sz w:val="16"/>
          <w:szCs w:val="16"/>
        </w:rPr>
        <w:footnoteRef/>
      </w:r>
      <w:r>
        <w:rPr>
          <w:rFonts w:ascii="Arial" w:hAnsi="Arial" w:cs="Arial"/>
          <w:sz w:val="16"/>
          <w:szCs w:val="16"/>
        </w:rPr>
        <w:t xml:space="preserve"> Gli indici riferiti agli Aggregati di prodotto, nei quali si articolano ulteriormente i Segmenti di consumo, sono forniti su richiesta per specifiche finalità di studio e analisi.</w:t>
      </w:r>
    </w:p>
    <w:p w14:paraId="70CB503A" w14:textId="77777777" w:rsidR="00486EDA" w:rsidRDefault="00486EDA" w:rsidP="00AB34E1">
      <w:pPr>
        <w:pStyle w:val="Testonotaapidipagina"/>
        <w:spacing w:before="0" w:after="0"/>
        <w:jc w:val="both"/>
        <w:rPr>
          <w:rFonts w:ascii="Arial" w:hAnsi="Arial" w:cs="Arial"/>
          <w:sz w:val="16"/>
          <w:szCs w:val="16"/>
        </w:rPr>
      </w:pPr>
    </w:p>
  </w:footnote>
  <w:footnote w:id="7">
    <w:p w14:paraId="5F183514" w14:textId="77777777" w:rsidR="00486EDA" w:rsidRDefault="00486EDA" w:rsidP="00AB34E1">
      <w:pPr>
        <w:pStyle w:val="Testonotaapidipagina"/>
        <w:tabs>
          <w:tab w:val="left" w:pos="10206"/>
        </w:tabs>
        <w:spacing w:before="0" w:after="0"/>
        <w:jc w:val="both"/>
        <w:rPr>
          <w:rFonts w:ascii="Arial" w:hAnsi="Arial" w:cs="Arial"/>
          <w:sz w:val="16"/>
          <w:szCs w:val="16"/>
        </w:rPr>
      </w:pPr>
      <w:r>
        <w:rPr>
          <w:rStyle w:val="Rimandonotaapidipagina"/>
          <w:rFonts w:ascii="Arial" w:hAnsi="Arial" w:cs="Arial"/>
          <w:sz w:val="16"/>
          <w:szCs w:val="16"/>
        </w:rPr>
        <w:footnoteRef/>
      </w:r>
      <w:r>
        <w:rPr>
          <w:rFonts w:ascii="Arial" w:hAnsi="Arial" w:cs="Arial"/>
          <w:sz w:val="16"/>
          <w:szCs w:val="16"/>
        </w:rPr>
        <w:t xml:space="preserve"> La pubblicazione degli indici IPCA-AS è stata avviata a partire dai dati di febbraio 2013. La descrizione delle categorie merceologiche che definiscono i diversi aggregati speciali è disponibile sul sito web di Eurostat al seguente indirizzo: </w:t>
      </w:r>
    </w:p>
    <w:p w14:paraId="3EB92ABD" w14:textId="77777777" w:rsidR="00486EDA" w:rsidRPr="002C7A4F" w:rsidRDefault="00DA1B56" w:rsidP="00AB34E1">
      <w:pPr>
        <w:pStyle w:val="Testonotaapidipagina"/>
        <w:tabs>
          <w:tab w:val="left" w:pos="10206"/>
        </w:tabs>
        <w:spacing w:before="0" w:after="0"/>
        <w:jc w:val="both"/>
        <w:rPr>
          <w:rFonts w:ascii="Arial" w:hAnsi="Arial" w:cs="Arial"/>
          <w:sz w:val="14"/>
          <w:szCs w:val="14"/>
        </w:rPr>
      </w:pPr>
      <w:hyperlink r:id="rId1" w:history="1">
        <w:r w:rsidR="00486EDA" w:rsidRPr="00F11253">
          <w:rPr>
            <w:rStyle w:val="Collegamentoipertestuale"/>
            <w:rFonts w:ascii="Arial" w:hAnsi="Arial" w:cs="Arial"/>
            <w:sz w:val="14"/>
            <w:szCs w:val="14"/>
          </w:rPr>
          <w:t>http://ec.europa.eu/eurostat/ramon/nomenclatures/index.cfm?TargetUrl=LST_NOM_DTL&amp;StrNom=HICP_2000&amp;StrLanguageCode=EN&amp;IntPcKey=&amp;StrLayoutCode</w:t>
        </w:r>
      </w:hyperlink>
      <w:r w:rsidR="00486EDA" w:rsidRPr="002C7A4F">
        <w:rPr>
          <w:rFonts w:ascii="Arial" w:hAnsi="Arial" w:cs="Arial"/>
          <w:sz w:val="14"/>
          <w:szCs w:val="14"/>
        </w:rPr>
        <w:t xml:space="preserve"> </w:t>
      </w:r>
    </w:p>
    <w:p w14:paraId="60A972C5" w14:textId="77777777" w:rsidR="00486EDA" w:rsidRDefault="00486EDA" w:rsidP="00AB34E1">
      <w:pPr>
        <w:pStyle w:val="Testonotaapidipagina"/>
        <w:tabs>
          <w:tab w:val="left" w:pos="10206"/>
        </w:tabs>
        <w:spacing w:before="0" w:after="0"/>
        <w:jc w:val="both"/>
        <w:rPr>
          <w:rFonts w:ascii="Arial" w:hAnsi="Arial" w:cs="Arial"/>
          <w:sz w:val="16"/>
          <w:szCs w:val="16"/>
        </w:rPr>
      </w:pPr>
      <w:r>
        <w:rPr>
          <w:rFonts w:ascii="Arial" w:hAnsi="Arial" w:cs="Arial"/>
          <w:sz w:val="16"/>
          <w:szCs w:val="16"/>
        </w:rPr>
        <w:t xml:space="preserve">Per la metodologia utilizzata per la sintesi degli indici, si consulti il Compendio dell’IPCA disponibile in formato pdf all’indirizzo: </w:t>
      </w:r>
    </w:p>
    <w:p w14:paraId="5FA4CECC" w14:textId="77777777" w:rsidR="00486EDA" w:rsidRPr="00904629" w:rsidRDefault="00DA1B56" w:rsidP="00AB34E1">
      <w:pPr>
        <w:pStyle w:val="Testonotaapidipagina"/>
        <w:tabs>
          <w:tab w:val="left" w:pos="10206"/>
        </w:tabs>
        <w:spacing w:before="0" w:after="0"/>
        <w:jc w:val="both"/>
        <w:rPr>
          <w:rFonts w:ascii="Arial" w:hAnsi="Arial" w:cs="Arial"/>
          <w:sz w:val="16"/>
          <w:szCs w:val="16"/>
        </w:rPr>
      </w:pPr>
      <w:hyperlink r:id="rId2" w:history="1">
        <w:r w:rsidR="00486EDA" w:rsidRPr="00904629">
          <w:rPr>
            <w:rStyle w:val="Collegamentoipertestuale"/>
            <w:rFonts w:ascii="Arial" w:hAnsi="Arial" w:cs="Arial"/>
            <w:sz w:val="16"/>
            <w:szCs w:val="16"/>
          </w:rPr>
          <w:t>http://ec.europa.eu/eurostat/documents/3859598/5926625/KS-RA-13-017-EN.PDF/59eb2c1c-da1f-472c-b191-3d0c76521f9b?version=1.0</w:t>
        </w:r>
      </w:hyperlink>
      <w:r w:rsidR="00486EDA" w:rsidRPr="00904629">
        <w:rPr>
          <w:rFonts w:ascii="Arial" w:hAnsi="Arial" w:cs="Arial"/>
          <w:sz w:val="16"/>
          <w:szCs w:val="16"/>
        </w:rPr>
        <w:t xml:space="preserve">. </w:t>
      </w:r>
    </w:p>
    <w:p w14:paraId="509E6324" w14:textId="77777777" w:rsidR="00486EDA" w:rsidRDefault="00486EDA" w:rsidP="00AB34E1">
      <w:pPr>
        <w:pStyle w:val="Testonotaapidipagina"/>
        <w:tabs>
          <w:tab w:val="left" w:pos="10206"/>
        </w:tabs>
        <w:spacing w:before="0" w:after="60"/>
        <w:jc w:val="both"/>
        <w:rPr>
          <w:rFonts w:ascii="Arial" w:hAnsi="Arial" w:cs="Arial"/>
          <w:sz w:val="16"/>
          <w:szCs w:val="16"/>
        </w:rPr>
      </w:pPr>
      <w:r>
        <w:rPr>
          <w:rFonts w:ascii="Arial" w:hAnsi="Arial" w:cs="Arial"/>
          <w:sz w:val="16"/>
          <w:szCs w:val="16"/>
        </w:rPr>
        <w:t xml:space="preserve">Le serie a partire da gennaio 2001 sono disponibili su </w:t>
      </w:r>
      <w:hyperlink r:id="rId3" w:history="1">
        <w:r>
          <w:rPr>
            <w:rStyle w:val="Collegamentoipertestuale"/>
            <w:rFonts w:ascii="Arial" w:hAnsi="Arial" w:cs="Arial"/>
            <w:sz w:val="16"/>
            <w:szCs w:val="16"/>
          </w:rPr>
          <w:t>IstatData</w:t>
        </w:r>
      </w:hyperlink>
      <w:r w:rsidRPr="00904629">
        <w:rPr>
          <w:rFonts w:ascii="Arial" w:hAnsi="Arial" w:cs="Arial"/>
          <w:sz w:val="16"/>
          <w:szCs w:val="16"/>
        </w:rPr>
        <w:t>,</w:t>
      </w:r>
      <w:r>
        <w:rPr>
          <w:rFonts w:ascii="Arial" w:hAnsi="Arial" w:cs="Arial"/>
          <w:sz w:val="16"/>
          <w:szCs w:val="16"/>
        </w:rPr>
        <w:t xml:space="preserve"> il data warehouse delle statistiche prodotte dall’Istituto, sotto il tema “Prezzi” e “Prezzi al consumo”. </w:t>
      </w:r>
    </w:p>
  </w:footnote>
  <w:footnote w:id="8">
    <w:p w14:paraId="674E3FA8" w14:textId="77777777" w:rsidR="00486EDA" w:rsidRPr="004D0B88" w:rsidRDefault="00486EDA" w:rsidP="00AB34E1">
      <w:pPr>
        <w:pStyle w:val="Testonotaapidipagina"/>
        <w:jc w:val="both"/>
        <w:rPr>
          <w:rFonts w:ascii="Arial" w:hAnsi="Arial" w:cs="Arial"/>
          <w:sz w:val="16"/>
          <w:szCs w:val="16"/>
        </w:rPr>
      </w:pPr>
      <w:r w:rsidRPr="00C80FB4">
        <w:rPr>
          <w:rStyle w:val="Rimandonotaapidipagina"/>
          <w:rFonts w:ascii="Arial" w:hAnsi="Arial" w:cs="Arial"/>
          <w:sz w:val="16"/>
          <w:szCs w:val="16"/>
        </w:rPr>
        <w:footnoteRef/>
      </w:r>
      <w:r w:rsidRPr="00C80FB4">
        <w:rPr>
          <w:rFonts w:ascii="Arial" w:hAnsi="Arial" w:cs="Arial"/>
          <w:sz w:val="16"/>
          <w:szCs w:val="16"/>
        </w:rPr>
        <w:t xml:space="preserve"> </w:t>
      </w:r>
      <w:r w:rsidRPr="00472A7F">
        <w:rPr>
          <w:rFonts w:ascii="Arial" w:hAnsi="Arial" w:cs="Arial"/>
          <w:sz w:val="16"/>
          <w:szCs w:val="16"/>
        </w:rPr>
        <w:t>Durante il periodo dell’emergenza sanitaria legata alla diffusione del Covid-19, l’insieme delle procedure per l’imputazione delle mancate rilevazioni è stato aggiornato, in cooperazione con gli altri Istituti nazionali di statistica dei paesi dell’Unione europea e sotto il coordinamento dell’Eurostat, per tenere conto delle criticità emerse relativamente alla raccolta dei dati nella fase di pandemia.</w:t>
      </w:r>
    </w:p>
  </w:footnote>
  <w:footnote w:id="9">
    <w:p w14:paraId="3FECF93B" w14:textId="77777777" w:rsidR="00486EDA" w:rsidRPr="004D0B88" w:rsidRDefault="00486EDA" w:rsidP="00AB34E1">
      <w:pPr>
        <w:pStyle w:val="Default"/>
        <w:spacing w:after="120"/>
        <w:jc w:val="both"/>
      </w:pPr>
      <w:r w:rsidRPr="004D0B88">
        <w:rPr>
          <w:rStyle w:val="Rimandonotaapidipagina"/>
          <w:rFonts w:ascii="Arial" w:hAnsi="Arial" w:cs="Arial"/>
          <w:sz w:val="16"/>
          <w:szCs w:val="16"/>
        </w:rPr>
        <w:footnoteRef/>
      </w:r>
      <w:r w:rsidRPr="004D0B88">
        <w:rPr>
          <w:rFonts w:ascii="Arial" w:hAnsi="Arial" w:cs="Arial"/>
          <w:sz w:val="16"/>
          <w:szCs w:val="16"/>
        </w:rPr>
        <w:t xml:space="preserve"> Il criterio della </w:t>
      </w:r>
      <w:r w:rsidRPr="00472A7F">
        <w:rPr>
          <w:rFonts w:ascii="Arial" w:hAnsi="Arial" w:cs="Arial"/>
          <w:sz w:val="16"/>
          <w:szCs w:val="16"/>
        </w:rPr>
        <w:t>minimizzazione del numero di prezzi imputati implica che, nella selezione dei prodotti che compongono il paniere, si deve tenere conto della loro effettiva disponibilità all’acquisto da parte delle famiglie.</w:t>
      </w:r>
      <w:r w:rsidRPr="004D0B88">
        <w:t xml:space="preserve"> </w:t>
      </w:r>
    </w:p>
  </w:footnote>
  <w:footnote w:id="10">
    <w:p w14:paraId="16459B8D" w14:textId="45962D12" w:rsidR="00486EDA" w:rsidRPr="00C0657B" w:rsidRDefault="00486EDA" w:rsidP="00AB34E1">
      <w:pPr>
        <w:pStyle w:val="Testonotaapidipagina"/>
        <w:rPr>
          <w:rFonts w:ascii="Arial" w:hAnsi="Arial" w:cs="Arial"/>
          <w:sz w:val="16"/>
          <w:szCs w:val="16"/>
        </w:rPr>
      </w:pPr>
      <w:r w:rsidRPr="004D0B88">
        <w:rPr>
          <w:rStyle w:val="Rimandonotaapidipagina"/>
          <w:rFonts w:ascii="Arial" w:hAnsi="Arial" w:cs="Arial"/>
          <w:sz w:val="16"/>
          <w:szCs w:val="16"/>
        </w:rPr>
        <w:footnoteRef/>
      </w:r>
      <w:r w:rsidRPr="004D0B88">
        <w:rPr>
          <w:rFonts w:ascii="Arial" w:hAnsi="Arial" w:cs="Arial"/>
          <w:sz w:val="16"/>
          <w:szCs w:val="16"/>
        </w:rPr>
        <w:t xml:space="preserve"> </w:t>
      </w:r>
      <w:r w:rsidRPr="00472A7F">
        <w:rPr>
          <w:rFonts w:ascii="Arial" w:hAnsi="Arial" w:cs="Arial"/>
          <w:sz w:val="16"/>
          <w:szCs w:val="16"/>
        </w:rPr>
        <w:t>La stessa procedura si applica al caso di stima dei prezzi outlier.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51E6" w14:textId="77777777" w:rsidR="00486EDA" w:rsidRPr="00347C78" w:rsidRDefault="00486EDA" w:rsidP="00347C78">
    <w:pPr>
      <w:pStyle w:val="Intestazione"/>
    </w:pPr>
    <w:r w:rsidRPr="001D330A">
      <w:rPr>
        <w:noProof/>
      </w:rPr>
      <mc:AlternateContent>
        <mc:Choice Requires="wps">
          <w:drawing>
            <wp:anchor distT="0" distB="0" distL="114300" distR="114300" simplePos="0" relativeHeight="251681792" behindDoc="0" locked="0" layoutInCell="1" allowOverlap="1" wp14:anchorId="5852357B" wp14:editId="64DA8D91">
              <wp:simplePos x="0" y="0"/>
              <wp:positionH relativeFrom="column">
                <wp:posOffset>3850640</wp:posOffset>
              </wp:positionH>
              <wp:positionV relativeFrom="paragraph">
                <wp:posOffset>243205</wp:posOffset>
              </wp:positionV>
              <wp:extent cx="1321435" cy="325755"/>
              <wp:effectExtent l="0" t="0" r="0" b="508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1435" cy="325755"/>
                      </a:xfrm>
                      <a:prstGeom prst="rect">
                        <a:avLst/>
                      </a:prstGeom>
                      <a:solidFill>
                        <a:srgbClr val="FFFFFF"/>
                      </a:solidFill>
                      <a:ln w="9525">
                        <a:solidFill>
                          <a:srgbClr val="FFFFFF"/>
                        </a:solidFill>
                        <a:miter lim="800000"/>
                        <a:headEnd/>
                        <a:tailEnd/>
                      </a:ln>
                    </wps:spPr>
                    <wps:txbx>
                      <w:txbxContent>
                        <w:p w14:paraId="050478E8" w14:textId="7361F3EF" w:rsidR="00486EDA" w:rsidRPr="00BC2B33" w:rsidRDefault="00486EDA" w:rsidP="001D330A">
                          <w:pPr>
                            <w:jc w:val="right"/>
                            <w:rPr>
                              <w:color w:val="7F7F7F" w:themeColor="text1" w:themeTint="80"/>
                              <w:kern w:val="0"/>
                            </w:rPr>
                          </w:pPr>
                          <w:r>
                            <w:rPr>
                              <w:rFonts w:ascii="Arial Narrow" w:hAnsi="Arial Narrow"/>
                              <w:b/>
                              <w:color w:val="7F7F7F" w:themeColor="text1" w:themeTint="80"/>
                              <w:sz w:val="26"/>
                              <w:szCs w:val="26"/>
                            </w:rPr>
                            <w:t xml:space="preserve">4 febbraio 2026 </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52357B" id="_x0000_t202" coordsize="21600,21600" o:spt="202" path="m,l,21600r21600,l21600,xe">
              <v:stroke joinstyle="miter"/>
              <v:path gradientshapeok="t" o:connecttype="rect"/>
            </v:shapetype>
            <v:shape id="Casella di testo 2" o:spid="_x0000_s1026" type="#_x0000_t202" style="position:absolute;margin-left:303.2pt;margin-top:19.15pt;width:104.05pt;height:25.6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" strokecolor="white">
              <v:path arrowok="t"/>
              <v:textbox style="mso-fit-shape-to-text:t" inset="0,0,0,0">
                <w:txbxContent>
                  <w:p w14:paraId="050478E8" w14:textId="7361F3EF" w:rsidR="00486EDA" w:rsidRPr="00BC2B33" w:rsidRDefault="00486EDA" w:rsidP="001D330A">
                    <w:pPr>
                      <w:jc w:val="right"/>
                      <w:rPr>
                        <w:color w:val="7F7F7F" w:themeColor="text1" w:themeTint="80"/>
                        <w:kern w:val="0"/>
                      </w:rPr>
                    </w:pPr>
                    <w:r>
                      <w:rPr>
                        <w:rFonts w:ascii="Arial Narrow" w:hAnsi="Arial Narrow"/>
                        <w:b/>
                        <w:color w:val="7F7F7F" w:themeColor="text1" w:themeTint="80"/>
                        <w:sz w:val="26"/>
                        <w:szCs w:val="26"/>
                      </w:rPr>
                      <w:t xml:space="preserve">4 febbraio 2026 </w:t>
                    </w:r>
                  </w:p>
                </w:txbxContent>
              </v:textbox>
            </v:shape>
          </w:pict>
        </mc:Fallback>
      </mc:AlternateContent>
    </w:r>
    <w:r w:rsidRPr="001D330A">
      <w:rPr>
        <w:noProof/>
      </w:rPr>
      <mc:AlternateContent>
        <mc:Choice Requires="wps">
          <w:drawing>
            <wp:anchor distT="0" distB="0" distL="114300" distR="114300" simplePos="0" relativeHeight="251685888" behindDoc="0" locked="0" layoutInCell="1" allowOverlap="1" wp14:anchorId="2F75E45F" wp14:editId="58C6CB2E">
              <wp:simplePos x="0" y="0"/>
              <wp:positionH relativeFrom="margin">
                <wp:align>right</wp:align>
              </wp:positionH>
              <wp:positionV relativeFrom="paragraph">
                <wp:posOffset>243840</wp:posOffset>
              </wp:positionV>
              <wp:extent cx="1114425" cy="962025"/>
              <wp:effectExtent l="0" t="0" r="9525" b="9525"/>
              <wp:wrapNone/>
              <wp:docPr id="36" name="Casella di testo 36"/>
              <wp:cNvGraphicFramePr/>
              <a:graphic xmlns:a="http://schemas.openxmlformats.org/drawingml/2006/main">
                <a:graphicData uri="http://schemas.microsoft.com/office/word/2010/wordprocessingShape">
                  <wps:wsp>
                    <wps:cNvSpPr txBox="1"/>
                    <wps:spPr>
                      <a:xfrm>
                        <a:off x="0" y="0"/>
                        <a:ext cx="1114425" cy="962025"/>
                      </a:xfrm>
                      <a:prstGeom prst="rect">
                        <a:avLst/>
                      </a:prstGeom>
                      <a:solidFill>
                        <a:schemeClr val="lt1"/>
                      </a:solidFill>
                      <a:ln w="6350">
                        <a:noFill/>
                      </a:ln>
                    </wps:spPr>
                    <wps:txbx>
                      <w:txbxContent>
                        <w:p w14:paraId="4BAC6CE7" w14:textId="77777777" w:rsidR="00486EDA" w:rsidRDefault="00DA1B56" w:rsidP="00134836">
                          <w:pPr>
                            <w:spacing w:before="0" w:after="120" w:line="180" w:lineRule="exact"/>
                            <w:rPr>
                              <w:rFonts w:ascii="Arial Narrow" w:hAnsi="Arial Narrow"/>
                              <w:sz w:val="18"/>
                              <w:szCs w:val="18"/>
                            </w:rPr>
                          </w:pPr>
                          <w:hyperlink r:id="rId1" w:history="1">
                            <w:r w:rsidR="00486EDA" w:rsidRPr="0059658A">
                              <w:rPr>
                                <w:rStyle w:val="Collegamentoipertestuale"/>
                                <w:rFonts w:ascii="Arial Narrow" w:hAnsi="Arial Narrow"/>
                                <w:sz w:val="18"/>
                                <w:szCs w:val="18"/>
                              </w:rPr>
                              <w:t>http://www.istat.it</w:t>
                            </w:r>
                          </w:hyperlink>
                        </w:p>
                        <w:p w14:paraId="30DABE10" w14:textId="77777777" w:rsidR="00486EDA" w:rsidRDefault="00DA1B56" w:rsidP="00134836">
                          <w:pPr>
                            <w:spacing w:before="0" w:after="0"/>
                            <w:rPr>
                              <w:rFonts w:ascii="Arial Narrow" w:hAnsi="Arial Narrow"/>
                              <w:b/>
                              <w:bCs/>
                              <w:sz w:val="18"/>
                              <w:szCs w:val="18"/>
                            </w:rPr>
                          </w:pPr>
                          <w:hyperlink r:id="rId2" w:history="1">
                            <w:r w:rsidR="00486EDA" w:rsidRPr="006C6DF9">
                              <w:rPr>
                                <w:rStyle w:val="Collegamentoipertestuale"/>
                                <w:rFonts w:ascii="Arial Narrow" w:hAnsi="Arial Narrow"/>
                                <w:b/>
                                <w:bCs/>
                                <w:sz w:val="18"/>
                                <w:szCs w:val="18"/>
                              </w:rPr>
                              <w:t>Contact Centre</w:t>
                            </w:r>
                          </w:hyperlink>
                        </w:p>
                        <w:p w14:paraId="52BA2967" w14:textId="77777777" w:rsidR="00486EDA" w:rsidRPr="00235BD6" w:rsidRDefault="00486EDA" w:rsidP="00134836">
                          <w:pPr>
                            <w:spacing w:before="0" w:after="0"/>
                            <w:rPr>
                              <w:rFonts w:ascii="Arial Narrow" w:hAnsi="Arial Narrow"/>
                              <w:sz w:val="18"/>
                              <w:szCs w:val="18"/>
                            </w:rPr>
                          </w:pPr>
                        </w:p>
                        <w:p w14:paraId="4AD33A18" w14:textId="77777777" w:rsidR="00486EDA" w:rsidRPr="00C8512A" w:rsidRDefault="00486EDA" w:rsidP="00134836">
                          <w:pPr>
                            <w:spacing w:before="0" w:after="0"/>
                            <w:rPr>
                              <w:rFonts w:ascii="Arial Narrow" w:hAnsi="Arial Narrow"/>
                              <w:b/>
                              <w:bCs/>
                              <w:sz w:val="18"/>
                              <w:szCs w:val="18"/>
                            </w:rPr>
                          </w:pPr>
                          <w:r w:rsidRPr="00235BD6">
                            <w:rPr>
                              <w:rFonts w:ascii="Arial Narrow" w:hAnsi="Arial Narrow"/>
                              <w:b/>
                              <w:bCs/>
                              <w:sz w:val="18"/>
                              <w:szCs w:val="18"/>
                            </w:rPr>
                            <w:t>Ufficio Stampa</w:t>
                          </w:r>
                          <w:r w:rsidRPr="00235BD6">
                            <w:rPr>
                              <w:rFonts w:ascii="Arial Narrow" w:hAnsi="Arial Narrow"/>
                              <w:b/>
                              <w:bCs/>
                              <w:sz w:val="18"/>
                              <w:szCs w:val="18"/>
                            </w:rPr>
                            <w:br/>
                          </w:r>
                          <w:r w:rsidRPr="00235BD6">
                            <w:rPr>
                              <w:rFonts w:ascii="Arial Narrow" w:hAnsi="Arial Narrow"/>
                              <w:sz w:val="18"/>
                              <w:szCs w:val="18"/>
                            </w:rPr>
                            <w:t xml:space="preserve">tel. </w:t>
                          </w:r>
                          <w:r w:rsidRPr="00C8512A">
                            <w:rPr>
                              <w:rFonts w:ascii="Arial Narrow" w:hAnsi="Arial Narrow"/>
                              <w:sz w:val="18"/>
                              <w:szCs w:val="18"/>
                            </w:rPr>
                            <w:t>+39 06 4673.2243/4</w:t>
                          </w:r>
                        </w:p>
                        <w:p w14:paraId="24689738" w14:textId="77777777" w:rsidR="00486EDA" w:rsidRPr="00C8512A" w:rsidRDefault="00DA1B56" w:rsidP="00134836">
                          <w:pPr>
                            <w:spacing w:before="0" w:after="0"/>
                            <w:rPr>
                              <w:rFonts w:ascii="Arial Narrow" w:hAnsi="Arial Narrow"/>
                              <w:b/>
                              <w:bCs/>
                              <w:color w:val="7F7F7F"/>
                              <w:sz w:val="18"/>
                              <w:szCs w:val="18"/>
                            </w:rPr>
                          </w:pPr>
                          <w:hyperlink r:id="rId3" w:history="1">
                            <w:r w:rsidR="00486EDA" w:rsidRPr="00C8512A">
                              <w:rPr>
                                <w:rStyle w:val="Collegamentoipertestuale"/>
                                <w:rFonts w:ascii="Arial Narrow" w:hAnsi="Arial Narrow"/>
                                <w:b/>
                                <w:bCs/>
                                <w:sz w:val="18"/>
                                <w:szCs w:val="18"/>
                              </w:rPr>
                              <w:t>ufficiostampa@istat.it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75E45F" id="Casella di testo 36" o:spid="_x0000_s1027" type="#_x0000_t202" style="position:absolute;margin-left:36.55pt;margin-top:19.2pt;width:87.75pt;height:75.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" fillcolor="white [3201]" stroked="f" strokeweight=".5pt">
              <v:textbox inset="0,0,0,0">
                <w:txbxContent>
                  <w:p w14:paraId="4BAC6CE7" w14:textId="77777777" w:rsidR="00486EDA" w:rsidRDefault="00486EDA" w:rsidP="00134836">
                    <w:pPr>
                      <w:spacing w:before="0" w:after="120" w:line="180" w:lineRule="exact"/>
                      <w:rPr>
                        <w:rFonts w:ascii="Arial Narrow" w:hAnsi="Arial Narrow"/>
                        <w:sz w:val="18"/>
                        <w:szCs w:val="18"/>
                      </w:rPr>
                    </w:pPr>
                    <w:hyperlink r:id="rId4" w:history="1">
                      <w:r w:rsidRPr="0059658A">
                        <w:rPr>
                          <w:rStyle w:val="Collegamentoipertestuale"/>
                          <w:rFonts w:ascii="Arial Narrow" w:hAnsi="Arial Narrow"/>
                          <w:sz w:val="18"/>
                          <w:szCs w:val="18"/>
                        </w:rPr>
                        <w:t>http://www.istat.it</w:t>
                      </w:r>
                    </w:hyperlink>
                  </w:p>
                  <w:p w14:paraId="30DABE10" w14:textId="77777777" w:rsidR="00486EDA" w:rsidRDefault="00486EDA" w:rsidP="00134836">
                    <w:pPr>
                      <w:spacing w:before="0" w:after="0"/>
                      <w:rPr>
                        <w:rFonts w:ascii="Arial Narrow" w:hAnsi="Arial Narrow"/>
                        <w:b/>
                        <w:bCs/>
                        <w:sz w:val="18"/>
                        <w:szCs w:val="18"/>
                      </w:rPr>
                    </w:pPr>
                    <w:hyperlink r:id="rId5" w:history="1">
                      <w:r w:rsidRPr="006C6DF9">
                        <w:rPr>
                          <w:rStyle w:val="Collegamentoipertestuale"/>
                          <w:rFonts w:ascii="Arial Narrow" w:hAnsi="Arial Narrow"/>
                          <w:b/>
                          <w:bCs/>
                          <w:sz w:val="18"/>
                          <w:szCs w:val="18"/>
                        </w:rPr>
                        <w:t>Contact Centre</w:t>
                      </w:r>
                    </w:hyperlink>
                  </w:p>
                  <w:p w14:paraId="52BA2967" w14:textId="77777777" w:rsidR="00486EDA" w:rsidRPr="00235BD6" w:rsidRDefault="00486EDA" w:rsidP="00134836">
                    <w:pPr>
                      <w:spacing w:before="0" w:after="0"/>
                      <w:rPr>
                        <w:rFonts w:ascii="Arial Narrow" w:hAnsi="Arial Narrow"/>
                        <w:sz w:val="18"/>
                        <w:szCs w:val="18"/>
                      </w:rPr>
                    </w:pPr>
                  </w:p>
                  <w:p w14:paraId="4AD33A18" w14:textId="77777777" w:rsidR="00486EDA" w:rsidRPr="00C8512A" w:rsidRDefault="00486EDA" w:rsidP="00134836">
                    <w:pPr>
                      <w:spacing w:before="0" w:after="0"/>
                      <w:rPr>
                        <w:rFonts w:ascii="Arial Narrow" w:hAnsi="Arial Narrow"/>
                        <w:b/>
                        <w:bCs/>
                        <w:sz w:val="18"/>
                        <w:szCs w:val="18"/>
                      </w:rPr>
                    </w:pPr>
                    <w:r w:rsidRPr="00235BD6">
                      <w:rPr>
                        <w:rFonts w:ascii="Arial Narrow" w:hAnsi="Arial Narrow"/>
                        <w:b/>
                        <w:bCs/>
                        <w:sz w:val="18"/>
                        <w:szCs w:val="18"/>
                      </w:rPr>
                      <w:t>Ufficio Stampa</w:t>
                    </w:r>
                    <w:r w:rsidRPr="00235BD6">
                      <w:rPr>
                        <w:rFonts w:ascii="Arial Narrow" w:hAnsi="Arial Narrow"/>
                        <w:b/>
                        <w:bCs/>
                        <w:sz w:val="18"/>
                        <w:szCs w:val="18"/>
                      </w:rPr>
                      <w:br/>
                    </w:r>
                    <w:r w:rsidRPr="00235BD6">
                      <w:rPr>
                        <w:rFonts w:ascii="Arial Narrow" w:hAnsi="Arial Narrow"/>
                        <w:sz w:val="18"/>
                        <w:szCs w:val="18"/>
                      </w:rPr>
                      <w:t xml:space="preserve">tel. </w:t>
                    </w:r>
                    <w:r w:rsidRPr="00C8512A">
                      <w:rPr>
                        <w:rFonts w:ascii="Arial Narrow" w:hAnsi="Arial Narrow"/>
                        <w:sz w:val="18"/>
                        <w:szCs w:val="18"/>
                      </w:rPr>
                      <w:t>+39 06 4673.2243/4</w:t>
                    </w:r>
                  </w:p>
                  <w:p w14:paraId="24689738" w14:textId="77777777" w:rsidR="00486EDA" w:rsidRPr="00C8512A" w:rsidRDefault="00486EDA" w:rsidP="00134836">
                    <w:pPr>
                      <w:spacing w:before="0" w:after="0"/>
                      <w:rPr>
                        <w:rFonts w:ascii="Arial Narrow" w:hAnsi="Arial Narrow"/>
                        <w:b/>
                        <w:bCs/>
                        <w:color w:val="7F7F7F"/>
                        <w:sz w:val="18"/>
                        <w:szCs w:val="18"/>
                      </w:rPr>
                    </w:pPr>
                    <w:hyperlink r:id="rId6" w:history="1">
                      <w:r w:rsidRPr="00C8512A">
                        <w:rPr>
                          <w:rStyle w:val="Collegamentoipertestuale"/>
                          <w:rFonts w:ascii="Arial Narrow" w:hAnsi="Arial Narrow"/>
                          <w:b/>
                          <w:bCs/>
                          <w:sz w:val="18"/>
                          <w:szCs w:val="18"/>
                        </w:rPr>
                        <w:t>ufficiostampa@istat.it</w:t>
                      </w:r>
                    </w:hyperlink>
                  </w:p>
                </w:txbxContent>
              </v:textbox>
              <w10:wrap anchorx="margin"/>
            </v:shape>
          </w:pict>
        </mc:Fallback>
      </mc:AlternateContent>
    </w:r>
    <w:r w:rsidRPr="001D330A">
      <w:rPr>
        <w:noProof/>
      </w:rPr>
      <w:drawing>
        <wp:anchor distT="0" distB="0" distL="114300" distR="114300" simplePos="0" relativeHeight="251678720" behindDoc="0" locked="0" layoutInCell="1" allowOverlap="1" wp14:anchorId="5D6D862A" wp14:editId="4DC0ED06">
          <wp:simplePos x="0" y="0"/>
          <wp:positionH relativeFrom="column">
            <wp:posOffset>0</wp:posOffset>
          </wp:positionH>
          <wp:positionV relativeFrom="paragraph">
            <wp:posOffset>0</wp:posOffset>
          </wp:positionV>
          <wp:extent cx="5332781" cy="1137834"/>
          <wp:effectExtent l="0" t="0" r="1270" b="5715"/>
          <wp:wrapNone/>
          <wp:docPr id="889084372" name="Immagine 6" descr="iconeComunicatiRosso-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6" descr="iconeComunicatiRosso-01"/>
                  <pic:cNvPicPr>
                    <a:picLocks/>
                  </pic:cNvPicPr>
                </pic:nvPicPr>
                <pic:blipFill rotWithShape="1">
                  <a:blip r:embed="rId7">
                    <a:extLst>
                      <a:ext uri="{28A0092B-C50C-407E-A947-70E740481C1C}">
                        <a14:useLocalDpi xmlns:a14="http://schemas.microsoft.com/office/drawing/2010/main" val="0"/>
                      </a:ext>
                    </a:extLst>
                  </a:blip>
                  <a:srcRect l="4" t="-12706" r="16052" b="7286"/>
                  <a:stretch/>
                </pic:blipFill>
                <pic:spPr bwMode="auto">
                  <a:xfrm>
                    <a:off x="0" y="0"/>
                    <a:ext cx="5333658" cy="113802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D330A">
      <w:rPr>
        <w:noProof/>
      </w:rPr>
      <mc:AlternateContent>
        <mc:Choice Requires="wps">
          <w:drawing>
            <wp:anchor distT="0" distB="0" distL="114300" distR="114300" simplePos="0" relativeHeight="251680768" behindDoc="0" locked="0" layoutInCell="1" allowOverlap="1" wp14:anchorId="7D51CB01" wp14:editId="45E5DEAC">
              <wp:simplePos x="0" y="0"/>
              <wp:positionH relativeFrom="column">
                <wp:posOffset>-15240</wp:posOffset>
              </wp:positionH>
              <wp:positionV relativeFrom="paragraph">
                <wp:posOffset>1219835</wp:posOffset>
              </wp:positionV>
              <wp:extent cx="6414770" cy="0"/>
              <wp:effectExtent l="0" t="0" r="11430" b="12700"/>
              <wp:wrapNone/>
              <wp:docPr id="21" name="Connettore 1 37"/>
              <wp:cNvGraphicFramePr/>
              <a:graphic xmlns:a="http://schemas.openxmlformats.org/drawingml/2006/main">
                <a:graphicData uri="http://schemas.microsoft.com/office/word/2010/wordprocessingShape">
                  <wps:wsp>
                    <wps:cNvCnPr/>
                    <wps:spPr>
                      <a:xfrm>
                        <a:off x="0" y="0"/>
                        <a:ext cx="6414770" cy="0"/>
                      </a:xfrm>
                      <a:prstGeom prst="line">
                        <a:avLst/>
                      </a:prstGeom>
                      <a:ln w="95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9416B3" id="Connettore 1 37"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96.05pt" to="503.9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" strokecolor="#7f7f7f [161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BAA79" w14:textId="77777777" w:rsidR="00486EDA" w:rsidRDefault="00486EDA">
    <w:pPr>
      <w:pStyle w:val="Intestazione"/>
    </w:pPr>
    <w:r>
      <w:rPr>
        <w:noProof/>
      </w:rPr>
      <mc:AlternateContent>
        <mc:Choice Requires="wps">
          <w:drawing>
            <wp:anchor distT="0" distB="0" distL="114300" distR="114300" simplePos="0" relativeHeight="251672576" behindDoc="0" locked="0" layoutInCell="1" allowOverlap="1" wp14:anchorId="1E9C4953" wp14:editId="6CB5AAA6">
              <wp:simplePos x="0" y="0"/>
              <wp:positionH relativeFrom="column">
                <wp:posOffset>531495</wp:posOffset>
              </wp:positionH>
              <wp:positionV relativeFrom="paragraph">
                <wp:posOffset>69850</wp:posOffset>
              </wp:positionV>
              <wp:extent cx="1078230" cy="263525"/>
              <wp:effectExtent l="12700" t="13970" r="13970" b="8255"/>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263525"/>
                      </a:xfrm>
                      <a:prstGeom prst="rect">
                        <a:avLst/>
                      </a:prstGeom>
                      <a:solidFill>
                        <a:srgbClr val="FFFFFF"/>
                      </a:solidFill>
                      <a:ln w="9525">
                        <a:solidFill>
                          <a:srgbClr val="FFFFFF"/>
                        </a:solidFill>
                        <a:miter lim="800000"/>
                        <a:headEnd/>
                        <a:tailEnd/>
                      </a:ln>
                    </wps:spPr>
                    <wps:txbx>
                      <w:txbxContent>
                        <w:p w14:paraId="09F032EE" w14:textId="77777777" w:rsidR="00486EDA" w:rsidRDefault="00486EDA" w:rsidP="003728D3">
                          <w:pPr>
                            <w:pStyle w:val="Intestazione"/>
                            <w:overflowPunct/>
                            <w:autoSpaceDE/>
                            <w:autoSpaceDN/>
                            <w:adjustRightInd/>
                            <w:spacing w:before="0" w:after="0" w:line="200" w:lineRule="exact"/>
                            <w:rPr>
                              <w:rFonts w:ascii="Arial Narrow" w:hAnsi="Arial Narrow"/>
                              <w:b/>
                              <w:color w:val="5F5F5F"/>
                              <w:kern w:val="0"/>
                            </w:rPr>
                          </w:pPr>
                          <w:r>
                            <w:rPr>
                              <w:rFonts w:ascii="Arial Narrow" w:hAnsi="Arial Narrow"/>
                              <w:b/>
                              <w:color w:val="5F5F5F"/>
                              <w:kern w:val="0"/>
                            </w:rPr>
                            <w:t xml:space="preserve">PREZZI </w:t>
                          </w:r>
                        </w:p>
                        <w:p w14:paraId="5EDE8CE1" w14:textId="77777777" w:rsidR="00486EDA" w:rsidRPr="00C423DB" w:rsidRDefault="00486EDA" w:rsidP="003728D3">
                          <w:pPr>
                            <w:pStyle w:val="Intestazione"/>
                            <w:overflowPunct/>
                            <w:autoSpaceDE/>
                            <w:autoSpaceDN/>
                            <w:adjustRightInd/>
                            <w:spacing w:before="0" w:after="0" w:line="200" w:lineRule="exact"/>
                            <w:rPr>
                              <w:rFonts w:ascii="Arial Narrow" w:hAnsi="Arial Narrow"/>
                              <w:b/>
                              <w:color w:val="5F5F5F"/>
                              <w:kern w:val="0"/>
                            </w:rPr>
                          </w:pPr>
                          <w:r>
                            <w:rPr>
                              <w:rFonts w:ascii="Arial Narrow" w:hAnsi="Arial Narrow"/>
                              <w:b/>
                              <w:color w:val="5F5F5F"/>
                              <w:kern w:val="0"/>
                            </w:rPr>
                            <w:t>AL CONSUMO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9C4953" id="_x0000_t202" coordsize="21600,21600" o:spt="202" path="m,l,21600r21600,l21600,xe">
              <v:stroke joinstyle="miter"/>
              <v:path gradientshapeok="t" o:connecttype="rect"/>
            </v:shapetype>
            <v:shape id="_x0000_s1028" type="#_x0000_t202" style="position:absolute;margin-left:41.85pt;margin-top:5.5pt;width:84.9pt;height:20.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" strokecolor="white">
              <v:textbox style="mso-fit-shape-to-text:t" inset="0,0,0,0">
                <w:txbxContent>
                  <w:p w14:paraId="09F032EE" w14:textId="77777777" w:rsidR="00486EDA" w:rsidRDefault="00486EDA" w:rsidP="003728D3">
                    <w:pPr>
                      <w:pStyle w:val="Intestazione"/>
                      <w:overflowPunct/>
                      <w:autoSpaceDE/>
                      <w:autoSpaceDN/>
                      <w:adjustRightInd/>
                      <w:spacing w:before="0" w:after="0" w:line="200" w:lineRule="exact"/>
                      <w:rPr>
                        <w:rFonts w:ascii="Arial Narrow" w:hAnsi="Arial Narrow"/>
                        <w:b/>
                        <w:color w:val="5F5F5F"/>
                        <w:kern w:val="0"/>
                      </w:rPr>
                    </w:pPr>
                    <w:r>
                      <w:rPr>
                        <w:rFonts w:ascii="Arial Narrow" w:hAnsi="Arial Narrow"/>
                        <w:b/>
                        <w:color w:val="5F5F5F"/>
                        <w:kern w:val="0"/>
                      </w:rPr>
                      <w:t xml:space="preserve">PREZZI </w:t>
                    </w:r>
                  </w:p>
                  <w:p w14:paraId="5EDE8CE1" w14:textId="77777777" w:rsidR="00486EDA" w:rsidRPr="00C423DB" w:rsidRDefault="00486EDA" w:rsidP="003728D3">
                    <w:pPr>
                      <w:pStyle w:val="Intestazione"/>
                      <w:overflowPunct/>
                      <w:autoSpaceDE/>
                      <w:autoSpaceDN/>
                      <w:adjustRightInd/>
                      <w:spacing w:before="0" w:after="0" w:line="200" w:lineRule="exact"/>
                      <w:rPr>
                        <w:rFonts w:ascii="Arial Narrow" w:hAnsi="Arial Narrow"/>
                        <w:b/>
                        <w:color w:val="5F5F5F"/>
                        <w:kern w:val="0"/>
                      </w:rPr>
                    </w:pPr>
                    <w:r>
                      <w:rPr>
                        <w:rFonts w:ascii="Arial Narrow" w:hAnsi="Arial Narrow"/>
                        <w:b/>
                        <w:color w:val="5F5F5F"/>
                        <w:kern w:val="0"/>
                      </w:rPr>
                      <w:t>AL CONSUMO</w:t>
                    </w:r>
                  </w:p>
                </w:txbxContent>
              </v:textbox>
            </v:shape>
          </w:pict>
        </mc:Fallback>
      </mc:AlternateContent>
    </w:r>
    <w:r>
      <w:rPr>
        <w:noProof/>
      </w:rPr>
      <w:drawing>
        <wp:inline distT="0" distB="0" distL="0" distR="0" wp14:anchorId="106096AC" wp14:editId="6480FB68">
          <wp:extent cx="6480175" cy="588645"/>
          <wp:effectExtent l="0" t="0" r="0" b="1905"/>
          <wp:docPr id="571297604" name="Immagine 571297604" descr="iconeComunicatiRoss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eComunicatiRoss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5886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0FE4" w14:textId="77777777" w:rsidR="00486EDA" w:rsidRPr="009E5F03" w:rsidRDefault="00486EDA" w:rsidP="009E5F03">
    <w:pPr>
      <w:pStyle w:val="Intestazione"/>
    </w:pPr>
    <w:r>
      <w:rPr>
        <w:noProof/>
      </w:rPr>
      <mc:AlternateContent>
        <mc:Choice Requires="wps">
          <w:drawing>
            <wp:anchor distT="0" distB="0" distL="114300" distR="114300" simplePos="0" relativeHeight="251674624" behindDoc="0" locked="0" layoutInCell="1" allowOverlap="1" wp14:anchorId="4339A417" wp14:editId="1558E1FF">
              <wp:simplePos x="0" y="0"/>
              <wp:positionH relativeFrom="column">
                <wp:posOffset>520700</wp:posOffset>
              </wp:positionH>
              <wp:positionV relativeFrom="paragraph">
                <wp:posOffset>55245</wp:posOffset>
              </wp:positionV>
              <wp:extent cx="1078230" cy="263525"/>
              <wp:effectExtent l="0" t="0" r="26670" b="2286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263525"/>
                      </a:xfrm>
                      <a:prstGeom prst="rect">
                        <a:avLst/>
                      </a:prstGeom>
                      <a:solidFill>
                        <a:srgbClr val="FFFFFF"/>
                      </a:solidFill>
                      <a:ln w="9525">
                        <a:solidFill>
                          <a:srgbClr val="FFFFFF"/>
                        </a:solidFill>
                        <a:miter lim="800000"/>
                        <a:headEnd/>
                        <a:tailEnd/>
                      </a:ln>
                    </wps:spPr>
                    <wps:txbx>
                      <w:txbxContent>
                        <w:p w14:paraId="2720C519" w14:textId="77777777" w:rsidR="00486EDA" w:rsidRPr="002812D7" w:rsidRDefault="00486EDA" w:rsidP="00914A6D">
                          <w:pPr>
                            <w:pStyle w:val="Intestazione"/>
                            <w:overflowPunct/>
                            <w:autoSpaceDE/>
                            <w:autoSpaceDN/>
                            <w:adjustRightInd/>
                            <w:spacing w:before="0" w:after="0" w:line="200" w:lineRule="exact"/>
                            <w:rPr>
                              <w:rFonts w:ascii="Arial Narrow" w:hAnsi="Arial Narrow"/>
                              <w:b/>
                              <w:color w:val="808080"/>
                              <w:kern w:val="0"/>
                            </w:rPr>
                          </w:pPr>
                          <w:r w:rsidRPr="002812D7">
                            <w:rPr>
                              <w:rFonts w:ascii="Arial Narrow" w:hAnsi="Arial Narrow"/>
                              <w:b/>
                              <w:color w:val="808080"/>
                              <w:kern w:val="0"/>
                            </w:rPr>
                            <w:t xml:space="preserve">PREZZI </w:t>
                          </w:r>
                        </w:p>
                        <w:p w14:paraId="2F3610AC" w14:textId="77777777" w:rsidR="00486EDA" w:rsidRPr="002812D7" w:rsidRDefault="00486EDA" w:rsidP="00914A6D">
                          <w:pPr>
                            <w:pStyle w:val="Intestazione"/>
                            <w:overflowPunct/>
                            <w:autoSpaceDE/>
                            <w:autoSpaceDN/>
                            <w:adjustRightInd/>
                            <w:spacing w:before="0" w:after="0" w:line="200" w:lineRule="exact"/>
                            <w:rPr>
                              <w:rFonts w:ascii="Arial Narrow" w:hAnsi="Arial Narrow"/>
                              <w:b/>
                              <w:color w:val="808080"/>
                              <w:kern w:val="0"/>
                            </w:rPr>
                          </w:pPr>
                          <w:r w:rsidRPr="002812D7">
                            <w:rPr>
                              <w:rFonts w:ascii="Arial Narrow" w:hAnsi="Arial Narrow"/>
                              <w:b/>
                              <w:color w:val="808080"/>
                              <w:kern w:val="0"/>
                            </w:rPr>
                            <w:t>AL CONSUMO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39A417" id="_x0000_t202" coordsize="21600,21600" o:spt="202" path="m,l,21600r21600,l21600,xe">
              <v:stroke joinstyle="miter"/>
              <v:path gradientshapeok="t" o:connecttype="rect"/>
            </v:shapetype>
            <v:shape id="Text Box 11" o:spid="_x0000_s1029" type="#_x0000_t202" style="position:absolute;margin-left:41pt;margin-top:4.35pt;width:84.9pt;height:20.7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" strokecolor="white">
              <v:textbox style="mso-fit-shape-to-text:t" inset="0,0,0,0">
                <w:txbxContent>
                  <w:p w14:paraId="2720C519" w14:textId="77777777" w:rsidR="00486EDA" w:rsidRPr="002812D7" w:rsidRDefault="00486EDA" w:rsidP="00914A6D">
                    <w:pPr>
                      <w:pStyle w:val="Intestazione"/>
                      <w:overflowPunct/>
                      <w:autoSpaceDE/>
                      <w:autoSpaceDN/>
                      <w:adjustRightInd/>
                      <w:spacing w:before="0" w:after="0" w:line="200" w:lineRule="exact"/>
                      <w:rPr>
                        <w:rFonts w:ascii="Arial Narrow" w:hAnsi="Arial Narrow"/>
                        <w:b/>
                        <w:color w:val="808080"/>
                        <w:kern w:val="0"/>
                      </w:rPr>
                    </w:pPr>
                    <w:r w:rsidRPr="002812D7">
                      <w:rPr>
                        <w:rFonts w:ascii="Arial Narrow" w:hAnsi="Arial Narrow"/>
                        <w:b/>
                        <w:color w:val="808080"/>
                        <w:kern w:val="0"/>
                      </w:rPr>
                      <w:t xml:space="preserve">PREZZI </w:t>
                    </w:r>
                  </w:p>
                  <w:p w14:paraId="2F3610AC" w14:textId="77777777" w:rsidR="00486EDA" w:rsidRPr="002812D7" w:rsidRDefault="00486EDA" w:rsidP="00914A6D">
                    <w:pPr>
                      <w:pStyle w:val="Intestazione"/>
                      <w:overflowPunct/>
                      <w:autoSpaceDE/>
                      <w:autoSpaceDN/>
                      <w:adjustRightInd/>
                      <w:spacing w:before="0" w:after="0" w:line="200" w:lineRule="exact"/>
                      <w:rPr>
                        <w:rFonts w:ascii="Arial Narrow" w:hAnsi="Arial Narrow"/>
                        <w:b/>
                        <w:color w:val="808080"/>
                        <w:kern w:val="0"/>
                      </w:rPr>
                    </w:pPr>
                    <w:r w:rsidRPr="002812D7">
                      <w:rPr>
                        <w:rFonts w:ascii="Arial Narrow" w:hAnsi="Arial Narrow"/>
                        <w:b/>
                        <w:color w:val="808080"/>
                        <w:kern w:val="0"/>
                      </w:rPr>
                      <w:t>AL CONSUMO</w:t>
                    </w:r>
                  </w:p>
                </w:txbxContent>
              </v:textbox>
            </v:shape>
          </w:pict>
        </mc:Fallback>
      </mc:AlternateContent>
    </w:r>
    <w:r>
      <w:rPr>
        <w:noProof/>
      </w:rPr>
      <w:drawing>
        <wp:inline distT="0" distB="0" distL="0" distR="0" wp14:anchorId="0DE2ACBC" wp14:editId="4C096B82">
          <wp:extent cx="6477000" cy="590550"/>
          <wp:effectExtent l="0" t="0" r="0" b="0"/>
          <wp:docPr id="433424618" name="Immagine 433424618" descr="iconeComunicatiRoss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eComunicatiRoss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5905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30911" w14:textId="77777777" w:rsidR="00486EDA" w:rsidRPr="00CC0BEA" w:rsidRDefault="00486EDA" w:rsidP="002C01C5">
    <w:pPr>
      <w:pStyle w:val="Intestazione"/>
    </w:pPr>
    <w:r>
      <w:rPr>
        <w:noProof/>
      </w:rPr>
      <mc:AlternateContent>
        <mc:Choice Requires="wps">
          <w:drawing>
            <wp:anchor distT="0" distB="0" distL="114300" distR="114300" simplePos="0" relativeHeight="251689984" behindDoc="0" locked="0" layoutInCell="1" allowOverlap="1" wp14:anchorId="26BA0B2E" wp14:editId="4A4BAABE">
              <wp:simplePos x="0" y="0"/>
              <wp:positionH relativeFrom="column">
                <wp:posOffset>520700</wp:posOffset>
              </wp:positionH>
              <wp:positionV relativeFrom="paragraph">
                <wp:posOffset>71120</wp:posOffset>
              </wp:positionV>
              <wp:extent cx="1078230" cy="263525"/>
              <wp:effectExtent l="0" t="0" r="26670" b="22860"/>
              <wp:wrapNone/>
              <wp:docPr id="2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263525"/>
                      </a:xfrm>
                      <a:prstGeom prst="rect">
                        <a:avLst/>
                      </a:prstGeom>
                      <a:solidFill>
                        <a:srgbClr val="FFFFFF"/>
                      </a:solidFill>
                      <a:ln w="9525">
                        <a:solidFill>
                          <a:srgbClr val="FFFFFF"/>
                        </a:solidFill>
                        <a:miter lim="800000"/>
                        <a:headEnd/>
                        <a:tailEnd/>
                      </a:ln>
                    </wps:spPr>
                    <wps:txbx>
                      <w:txbxContent>
                        <w:p w14:paraId="673BBFFA" w14:textId="77777777" w:rsidR="00486EDA" w:rsidRDefault="00486EDA" w:rsidP="002C01C5">
                          <w:pPr>
                            <w:pStyle w:val="Intestazione"/>
                            <w:overflowPunct/>
                            <w:autoSpaceDE/>
                            <w:autoSpaceDN/>
                            <w:adjustRightInd/>
                            <w:spacing w:before="0" w:after="0" w:line="200" w:lineRule="exact"/>
                            <w:rPr>
                              <w:rFonts w:ascii="Arial Narrow" w:hAnsi="Arial Narrow"/>
                              <w:b/>
                              <w:color w:val="5F5F5F"/>
                              <w:kern w:val="0"/>
                            </w:rPr>
                          </w:pPr>
                          <w:r>
                            <w:rPr>
                              <w:rFonts w:ascii="Arial Narrow" w:hAnsi="Arial Narrow"/>
                              <w:b/>
                              <w:color w:val="5F5F5F"/>
                              <w:kern w:val="0"/>
                            </w:rPr>
                            <w:t xml:space="preserve">PREZZI </w:t>
                          </w:r>
                        </w:p>
                        <w:p w14:paraId="7A40C0B2" w14:textId="77777777" w:rsidR="00486EDA" w:rsidRPr="00C423DB" w:rsidRDefault="00486EDA" w:rsidP="002C01C5">
                          <w:pPr>
                            <w:pStyle w:val="Intestazione"/>
                            <w:overflowPunct/>
                            <w:autoSpaceDE/>
                            <w:autoSpaceDN/>
                            <w:adjustRightInd/>
                            <w:spacing w:before="0" w:after="0" w:line="200" w:lineRule="exact"/>
                            <w:rPr>
                              <w:rFonts w:ascii="Arial Narrow" w:hAnsi="Arial Narrow"/>
                              <w:b/>
                              <w:color w:val="5F5F5F"/>
                              <w:kern w:val="0"/>
                            </w:rPr>
                          </w:pPr>
                          <w:r>
                            <w:rPr>
                              <w:rFonts w:ascii="Arial Narrow" w:hAnsi="Arial Narrow"/>
                              <w:b/>
                              <w:color w:val="5F5F5F"/>
                              <w:kern w:val="0"/>
                            </w:rPr>
                            <w:t>AL CONSUMO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BA0B2E" id="_x0000_t202" coordsize="21600,21600" o:spt="202" path="m,l,21600r21600,l21600,xe">
              <v:stroke joinstyle="miter"/>
              <v:path gradientshapeok="t" o:connecttype="rect"/>
            </v:shapetype>
            <v:shape id="_x0000_s1030" type="#_x0000_t202" style="position:absolute;margin-left:41pt;margin-top:5.6pt;width:84.9pt;height:20.7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" strokecolor="white">
              <v:textbox style="mso-fit-shape-to-text:t" inset="0,0,0,0">
                <w:txbxContent>
                  <w:p w14:paraId="673BBFFA" w14:textId="77777777" w:rsidR="00486EDA" w:rsidRDefault="00486EDA" w:rsidP="002C01C5">
                    <w:pPr>
                      <w:pStyle w:val="Intestazione"/>
                      <w:overflowPunct/>
                      <w:autoSpaceDE/>
                      <w:autoSpaceDN/>
                      <w:adjustRightInd/>
                      <w:spacing w:before="0" w:after="0" w:line="200" w:lineRule="exact"/>
                      <w:rPr>
                        <w:rFonts w:ascii="Arial Narrow" w:hAnsi="Arial Narrow"/>
                        <w:b/>
                        <w:color w:val="5F5F5F"/>
                        <w:kern w:val="0"/>
                      </w:rPr>
                    </w:pPr>
                    <w:r>
                      <w:rPr>
                        <w:rFonts w:ascii="Arial Narrow" w:hAnsi="Arial Narrow"/>
                        <w:b/>
                        <w:color w:val="5F5F5F"/>
                        <w:kern w:val="0"/>
                      </w:rPr>
                      <w:t xml:space="preserve">PREZZI </w:t>
                    </w:r>
                  </w:p>
                  <w:p w14:paraId="7A40C0B2" w14:textId="77777777" w:rsidR="00486EDA" w:rsidRPr="00C423DB" w:rsidRDefault="00486EDA" w:rsidP="002C01C5">
                    <w:pPr>
                      <w:pStyle w:val="Intestazione"/>
                      <w:overflowPunct/>
                      <w:autoSpaceDE/>
                      <w:autoSpaceDN/>
                      <w:adjustRightInd/>
                      <w:spacing w:before="0" w:after="0" w:line="200" w:lineRule="exact"/>
                      <w:rPr>
                        <w:rFonts w:ascii="Arial Narrow" w:hAnsi="Arial Narrow"/>
                        <w:b/>
                        <w:color w:val="5F5F5F"/>
                        <w:kern w:val="0"/>
                      </w:rPr>
                    </w:pPr>
                    <w:r>
                      <w:rPr>
                        <w:rFonts w:ascii="Arial Narrow" w:hAnsi="Arial Narrow"/>
                        <w:b/>
                        <w:color w:val="5F5F5F"/>
                        <w:kern w:val="0"/>
                      </w:rPr>
                      <w:t>AL CONSUMO</w:t>
                    </w:r>
                  </w:p>
                </w:txbxContent>
              </v:textbox>
            </v:shape>
          </w:pict>
        </mc:Fallback>
      </mc:AlternateContent>
    </w:r>
    <w:r>
      <w:rPr>
        <w:noProof/>
      </w:rPr>
      <w:drawing>
        <wp:inline distT="0" distB="0" distL="0" distR="0" wp14:anchorId="53E21C5B" wp14:editId="2466A707">
          <wp:extent cx="6480175" cy="580390"/>
          <wp:effectExtent l="0" t="0" r="0" b="0"/>
          <wp:docPr id="18" name="Immagine 18" descr="iconeComunicatiRosso-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oneComunicatiRosso-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58039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7331" w14:textId="77777777" w:rsidR="00486EDA" w:rsidRPr="009E5F03" w:rsidRDefault="00486EDA" w:rsidP="009E5F03">
    <w:pPr>
      <w:pStyle w:val="Intestazione"/>
    </w:pPr>
    <w:r>
      <w:rPr>
        <w:noProof/>
      </w:rPr>
      <w:drawing>
        <wp:inline distT="0" distB="0" distL="0" distR="0" wp14:anchorId="11227476" wp14:editId="71DAA031">
          <wp:extent cx="6477000" cy="590550"/>
          <wp:effectExtent l="0" t="0" r="0" b="0"/>
          <wp:docPr id="19" name="Immagine 19" descr="iconeComunicati-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eComunicati-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590550"/>
                  </a:xfrm>
                  <a:prstGeom prst="rect">
                    <a:avLst/>
                  </a:prstGeom>
                  <a:noFill/>
                  <a:ln>
                    <a:noFill/>
                  </a:ln>
                </pic:spPr>
              </pic:pic>
            </a:graphicData>
          </a:graphic>
        </wp:inline>
      </w:drawing>
    </w:r>
    <w:r>
      <w:rPr>
        <w:noProof/>
      </w:rPr>
      <mc:AlternateContent>
        <mc:Choice Requires="wps">
          <w:drawing>
            <wp:anchor distT="0" distB="0" distL="114300" distR="114300" simplePos="0" relativeHeight="251692032" behindDoc="0" locked="0" layoutInCell="1" allowOverlap="1" wp14:anchorId="6B406305" wp14:editId="2023B453">
              <wp:simplePos x="0" y="0"/>
              <wp:positionH relativeFrom="column">
                <wp:posOffset>536575</wp:posOffset>
              </wp:positionH>
              <wp:positionV relativeFrom="paragraph">
                <wp:posOffset>41910</wp:posOffset>
              </wp:positionV>
              <wp:extent cx="1078230" cy="263525"/>
              <wp:effectExtent l="0" t="0" r="26670" b="2286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263525"/>
                      </a:xfrm>
                      <a:prstGeom prst="rect">
                        <a:avLst/>
                      </a:prstGeom>
                      <a:solidFill>
                        <a:srgbClr val="FFFFFF"/>
                      </a:solidFill>
                      <a:ln w="9525">
                        <a:solidFill>
                          <a:srgbClr val="FFFFFF"/>
                        </a:solidFill>
                        <a:miter lim="800000"/>
                        <a:headEnd/>
                        <a:tailEnd/>
                      </a:ln>
                    </wps:spPr>
                    <wps:txbx>
                      <w:txbxContent>
                        <w:p w14:paraId="63385A8A" w14:textId="77777777" w:rsidR="00486EDA" w:rsidRDefault="00486EDA" w:rsidP="00E06FB8">
                          <w:pPr>
                            <w:pStyle w:val="Intestazione"/>
                            <w:overflowPunct/>
                            <w:autoSpaceDE/>
                            <w:autoSpaceDN/>
                            <w:adjustRightInd/>
                            <w:spacing w:before="0" w:after="0" w:line="200" w:lineRule="exact"/>
                            <w:rPr>
                              <w:rFonts w:ascii="Arial Narrow" w:hAnsi="Arial Narrow"/>
                              <w:b/>
                              <w:color w:val="5F5F5F"/>
                              <w:kern w:val="0"/>
                            </w:rPr>
                          </w:pPr>
                          <w:r>
                            <w:rPr>
                              <w:rFonts w:ascii="Arial Narrow" w:hAnsi="Arial Narrow"/>
                              <w:b/>
                              <w:color w:val="5F5F5F"/>
                              <w:kern w:val="0"/>
                            </w:rPr>
                            <w:t xml:space="preserve">PREZZI </w:t>
                          </w:r>
                        </w:p>
                        <w:p w14:paraId="03F64930" w14:textId="77777777" w:rsidR="00486EDA" w:rsidRPr="00C423DB" w:rsidRDefault="00486EDA" w:rsidP="00B249D0">
                          <w:pPr>
                            <w:pStyle w:val="Intestazione"/>
                            <w:overflowPunct/>
                            <w:autoSpaceDE/>
                            <w:autoSpaceDN/>
                            <w:adjustRightInd/>
                            <w:spacing w:before="0" w:after="0" w:line="200" w:lineRule="exact"/>
                            <w:rPr>
                              <w:rFonts w:ascii="Arial Narrow" w:hAnsi="Arial Narrow"/>
                              <w:b/>
                              <w:color w:val="5F5F5F"/>
                              <w:kern w:val="0"/>
                            </w:rPr>
                          </w:pPr>
                          <w:r>
                            <w:rPr>
                              <w:rFonts w:ascii="Arial Narrow" w:hAnsi="Arial Narrow"/>
                              <w:b/>
                              <w:color w:val="5F5F5F"/>
                              <w:kern w:val="0"/>
                            </w:rPr>
                            <w:t>AL CONSUMO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406305" id="_x0000_t202" coordsize="21600,21600" o:spt="202" path="m,l,21600r21600,l21600,xe">
              <v:stroke joinstyle="miter"/>
              <v:path gradientshapeok="t" o:connecttype="rect"/>
            </v:shapetype>
            <v:shape id="Casella di testo 11" o:spid="_x0000_s1031" type="#_x0000_t202" style="position:absolute;margin-left:42.25pt;margin-top:3.3pt;width:84.9pt;height:20.7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" strokecolor="white">
              <v:textbox style="mso-fit-shape-to-text:t" inset="0,0,0,0">
                <w:txbxContent>
                  <w:p w14:paraId="63385A8A" w14:textId="77777777" w:rsidR="00486EDA" w:rsidRDefault="00486EDA" w:rsidP="00E06FB8">
                    <w:pPr>
                      <w:pStyle w:val="Intestazione"/>
                      <w:overflowPunct/>
                      <w:autoSpaceDE/>
                      <w:autoSpaceDN/>
                      <w:adjustRightInd/>
                      <w:spacing w:before="0" w:after="0" w:line="200" w:lineRule="exact"/>
                      <w:rPr>
                        <w:rFonts w:ascii="Arial Narrow" w:hAnsi="Arial Narrow"/>
                        <w:b/>
                        <w:color w:val="5F5F5F"/>
                        <w:kern w:val="0"/>
                      </w:rPr>
                    </w:pPr>
                    <w:r>
                      <w:rPr>
                        <w:rFonts w:ascii="Arial Narrow" w:hAnsi="Arial Narrow"/>
                        <w:b/>
                        <w:color w:val="5F5F5F"/>
                        <w:kern w:val="0"/>
                      </w:rPr>
                      <w:t xml:space="preserve">PREZZI </w:t>
                    </w:r>
                  </w:p>
                  <w:p w14:paraId="03F64930" w14:textId="77777777" w:rsidR="00486EDA" w:rsidRPr="00C423DB" w:rsidRDefault="00486EDA" w:rsidP="00B249D0">
                    <w:pPr>
                      <w:pStyle w:val="Intestazione"/>
                      <w:overflowPunct/>
                      <w:autoSpaceDE/>
                      <w:autoSpaceDN/>
                      <w:adjustRightInd/>
                      <w:spacing w:before="0" w:after="0" w:line="200" w:lineRule="exact"/>
                      <w:rPr>
                        <w:rFonts w:ascii="Arial Narrow" w:hAnsi="Arial Narrow"/>
                        <w:b/>
                        <w:color w:val="5F5F5F"/>
                        <w:kern w:val="0"/>
                      </w:rPr>
                    </w:pPr>
                    <w:r>
                      <w:rPr>
                        <w:rFonts w:ascii="Arial Narrow" w:hAnsi="Arial Narrow"/>
                        <w:b/>
                        <w:color w:val="5F5F5F"/>
                        <w:kern w:val="0"/>
                      </w:rPr>
                      <w:t>AL CONSUMO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7.2pt" o:bullet="t">
        <v:imagedata r:id="rId1" o:title=""/>
      </v:shape>
    </w:pict>
  </w:numPicBullet>
  <w:abstractNum w:abstractNumId="0" w15:restartNumberingAfterBreak="0">
    <w:nsid w:val="06EB06D5"/>
    <w:multiLevelType w:val="hybridMultilevel"/>
    <w:tmpl w:val="FB56AB9A"/>
    <w:lvl w:ilvl="0" w:tplc="B2FE55E2">
      <w:start w:val="1"/>
      <w:numFmt w:val="bullet"/>
      <w:lvlText w:val=""/>
      <w:lvlPicBulletId w:val="0"/>
      <w:lvlJc w:val="left"/>
      <w:pPr>
        <w:tabs>
          <w:tab w:val="num" w:pos="720"/>
        </w:tabs>
        <w:ind w:left="720" w:hanging="360"/>
      </w:pPr>
      <w:rPr>
        <w:rFonts w:ascii="Symbol" w:hAnsi="Symbol" w:hint="default"/>
      </w:rPr>
    </w:lvl>
    <w:lvl w:ilvl="1" w:tplc="92C4D3EE" w:tentative="1">
      <w:start w:val="1"/>
      <w:numFmt w:val="bullet"/>
      <w:lvlText w:val=""/>
      <w:lvlJc w:val="left"/>
      <w:pPr>
        <w:tabs>
          <w:tab w:val="num" w:pos="1440"/>
        </w:tabs>
        <w:ind w:left="1440" w:hanging="360"/>
      </w:pPr>
      <w:rPr>
        <w:rFonts w:ascii="Symbol" w:hAnsi="Symbol" w:hint="default"/>
      </w:rPr>
    </w:lvl>
    <w:lvl w:ilvl="2" w:tplc="D30C083A" w:tentative="1">
      <w:start w:val="1"/>
      <w:numFmt w:val="bullet"/>
      <w:lvlText w:val=""/>
      <w:lvlJc w:val="left"/>
      <w:pPr>
        <w:tabs>
          <w:tab w:val="num" w:pos="2160"/>
        </w:tabs>
        <w:ind w:left="2160" w:hanging="360"/>
      </w:pPr>
      <w:rPr>
        <w:rFonts w:ascii="Symbol" w:hAnsi="Symbol" w:hint="default"/>
      </w:rPr>
    </w:lvl>
    <w:lvl w:ilvl="3" w:tplc="02223036" w:tentative="1">
      <w:start w:val="1"/>
      <w:numFmt w:val="bullet"/>
      <w:lvlText w:val=""/>
      <w:lvlJc w:val="left"/>
      <w:pPr>
        <w:tabs>
          <w:tab w:val="num" w:pos="2880"/>
        </w:tabs>
        <w:ind w:left="2880" w:hanging="360"/>
      </w:pPr>
      <w:rPr>
        <w:rFonts w:ascii="Symbol" w:hAnsi="Symbol" w:hint="default"/>
      </w:rPr>
    </w:lvl>
    <w:lvl w:ilvl="4" w:tplc="E7FC4076" w:tentative="1">
      <w:start w:val="1"/>
      <w:numFmt w:val="bullet"/>
      <w:lvlText w:val=""/>
      <w:lvlJc w:val="left"/>
      <w:pPr>
        <w:tabs>
          <w:tab w:val="num" w:pos="3600"/>
        </w:tabs>
        <w:ind w:left="3600" w:hanging="360"/>
      </w:pPr>
      <w:rPr>
        <w:rFonts w:ascii="Symbol" w:hAnsi="Symbol" w:hint="default"/>
      </w:rPr>
    </w:lvl>
    <w:lvl w:ilvl="5" w:tplc="819EFF5A" w:tentative="1">
      <w:start w:val="1"/>
      <w:numFmt w:val="bullet"/>
      <w:lvlText w:val=""/>
      <w:lvlJc w:val="left"/>
      <w:pPr>
        <w:tabs>
          <w:tab w:val="num" w:pos="4320"/>
        </w:tabs>
        <w:ind w:left="4320" w:hanging="360"/>
      </w:pPr>
      <w:rPr>
        <w:rFonts w:ascii="Symbol" w:hAnsi="Symbol" w:hint="default"/>
      </w:rPr>
    </w:lvl>
    <w:lvl w:ilvl="6" w:tplc="ABC074C0" w:tentative="1">
      <w:start w:val="1"/>
      <w:numFmt w:val="bullet"/>
      <w:lvlText w:val=""/>
      <w:lvlJc w:val="left"/>
      <w:pPr>
        <w:tabs>
          <w:tab w:val="num" w:pos="5040"/>
        </w:tabs>
        <w:ind w:left="5040" w:hanging="360"/>
      </w:pPr>
      <w:rPr>
        <w:rFonts w:ascii="Symbol" w:hAnsi="Symbol" w:hint="default"/>
      </w:rPr>
    </w:lvl>
    <w:lvl w:ilvl="7" w:tplc="8E583D36" w:tentative="1">
      <w:start w:val="1"/>
      <w:numFmt w:val="bullet"/>
      <w:lvlText w:val=""/>
      <w:lvlJc w:val="left"/>
      <w:pPr>
        <w:tabs>
          <w:tab w:val="num" w:pos="5760"/>
        </w:tabs>
        <w:ind w:left="5760" w:hanging="360"/>
      </w:pPr>
      <w:rPr>
        <w:rFonts w:ascii="Symbol" w:hAnsi="Symbol" w:hint="default"/>
      </w:rPr>
    </w:lvl>
    <w:lvl w:ilvl="8" w:tplc="B1D602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272349"/>
    <w:multiLevelType w:val="hybridMultilevel"/>
    <w:tmpl w:val="B596EB7A"/>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15B33207"/>
    <w:multiLevelType w:val="hybridMultilevel"/>
    <w:tmpl w:val="0D7A8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D459B4"/>
    <w:multiLevelType w:val="multilevel"/>
    <w:tmpl w:val="288855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CC2B15"/>
    <w:multiLevelType w:val="hybridMultilevel"/>
    <w:tmpl w:val="7DF6A352"/>
    <w:lvl w:ilvl="0" w:tplc="065E899C">
      <w:start w:val="1"/>
      <w:numFmt w:val="bullet"/>
      <w:lvlText w:val=""/>
      <w:lvlPicBulletId w:val="0"/>
      <w:lvlJc w:val="left"/>
      <w:pPr>
        <w:ind w:left="2534" w:hanging="360"/>
      </w:pPr>
      <w:rPr>
        <w:rFonts w:ascii="Symbol" w:hAnsi="Symbol" w:hint="default"/>
        <w:color w:val="E42618"/>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5" w15:restartNumberingAfterBreak="0">
    <w:nsid w:val="5F6A2BB5"/>
    <w:multiLevelType w:val="hybridMultilevel"/>
    <w:tmpl w:val="02FA6F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BB2EB1"/>
    <w:multiLevelType w:val="hybridMultilevel"/>
    <w:tmpl w:val="E3FA6C7E"/>
    <w:lvl w:ilvl="0" w:tplc="82C8BDA8">
      <w:start w:val="1"/>
      <w:numFmt w:val="bullet"/>
      <w:lvlText w:val=""/>
      <w:lvlJc w:val="left"/>
      <w:pPr>
        <w:ind w:left="720" w:hanging="360"/>
      </w:pPr>
      <w:rPr>
        <w:rFonts w:ascii="Wingdings" w:hAnsi="Wingdings" w:hint="default"/>
        <w:color w:val="E42618"/>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BC34D31"/>
    <w:multiLevelType w:val="hybridMultilevel"/>
    <w:tmpl w:val="75862612"/>
    <w:lvl w:ilvl="0" w:tplc="D4C29338">
      <w:start w:val="9"/>
      <w:numFmt w:val="bullet"/>
      <w:lvlText w:val="-"/>
      <w:lvlJc w:val="left"/>
      <w:pPr>
        <w:ind w:left="720" w:hanging="360"/>
      </w:pPr>
      <w:rPr>
        <w:rFonts w:ascii="Arial Narrow" w:eastAsia="Times New Roman"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131078" w:nlCheck="1" w:checkStyle="0"/>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49" style="mso-position-horizontal:center;mso-width-percent:400;mso-height-percent:200;mso-width-relative:margin;mso-height-relative:margin" fillcolor="white">
      <v:fill color="white"/>
      <v:textbox style="mso-fit-shape-to-text:t"/>
      <o:colormru v:ext="edit" colors="#bd1f2b,#cf1e24,#d90b13,#e31c18"/>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7E"/>
    <w:rsid w:val="00000148"/>
    <w:rsid w:val="00000CAB"/>
    <w:rsid w:val="000013A9"/>
    <w:rsid w:val="00001451"/>
    <w:rsid w:val="00001BF8"/>
    <w:rsid w:val="00001C85"/>
    <w:rsid w:val="000020B7"/>
    <w:rsid w:val="0000242C"/>
    <w:rsid w:val="000026CA"/>
    <w:rsid w:val="000026DF"/>
    <w:rsid w:val="00002F2D"/>
    <w:rsid w:val="000034C8"/>
    <w:rsid w:val="00003834"/>
    <w:rsid w:val="00003A76"/>
    <w:rsid w:val="00003AAA"/>
    <w:rsid w:val="00003AB5"/>
    <w:rsid w:val="00003AD9"/>
    <w:rsid w:val="00003F46"/>
    <w:rsid w:val="000041BD"/>
    <w:rsid w:val="00004387"/>
    <w:rsid w:val="000043D5"/>
    <w:rsid w:val="00004794"/>
    <w:rsid w:val="000047AF"/>
    <w:rsid w:val="000049DD"/>
    <w:rsid w:val="00004DDD"/>
    <w:rsid w:val="00004DF3"/>
    <w:rsid w:val="00004E38"/>
    <w:rsid w:val="00005A6B"/>
    <w:rsid w:val="00006031"/>
    <w:rsid w:val="0000683C"/>
    <w:rsid w:val="00006DB7"/>
    <w:rsid w:val="00007042"/>
    <w:rsid w:val="0000740E"/>
    <w:rsid w:val="00010041"/>
    <w:rsid w:val="000101B6"/>
    <w:rsid w:val="000102D5"/>
    <w:rsid w:val="00010573"/>
    <w:rsid w:val="0001089C"/>
    <w:rsid w:val="000108ED"/>
    <w:rsid w:val="00010957"/>
    <w:rsid w:val="000109BD"/>
    <w:rsid w:val="000109E3"/>
    <w:rsid w:val="00010A46"/>
    <w:rsid w:val="00010B11"/>
    <w:rsid w:val="00010B15"/>
    <w:rsid w:val="00010B3C"/>
    <w:rsid w:val="00010C89"/>
    <w:rsid w:val="000113F8"/>
    <w:rsid w:val="0001150C"/>
    <w:rsid w:val="00011610"/>
    <w:rsid w:val="0001189E"/>
    <w:rsid w:val="000119A0"/>
    <w:rsid w:val="000119E5"/>
    <w:rsid w:val="00011A51"/>
    <w:rsid w:val="00011C85"/>
    <w:rsid w:val="00011F76"/>
    <w:rsid w:val="00012364"/>
    <w:rsid w:val="000127DA"/>
    <w:rsid w:val="0001283C"/>
    <w:rsid w:val="00012A11"/>
    <w:rsid w:val="00012B7A"/>
    <w:rsid w:val="000134A3"/>
    <w:rsid w:val="000135AB"/>
    <w:rsid w:val="00013751"/>
    <w:rsid w:val="00013995"/>
    <w:rsid w:val="00013A1E"/>
    <w:rsid w:val="00013D04"/>
    <w:rsid w:val="00013ED5"/>
    <w:rsid w:val="00013F41"/>
    <w:rsid w:val="00014227"/>
    <w:rsid w:val="000143A8"/>
    <w:rsid w:val="00014927"/>
    <w:rsid w:val="00015A3B"/>
    <w:rsid w:val="00015D22"/>
    <w:rsid w:val="00015EAD"/>
    <w:rsid w:val="000161BF"/>
    <w:rsid w:val="00016B13"/>
    <w:rsid w:val="00017353"/>
    <w:rsid w:val="00017756"/>
    <w:rsid w:val="000205CA"/>
    <w:rsid w:val="0002065A"/>
    <w:rsid w:val="00020C77"/>
    <w:rsid w:val="000211AD"/>
    <w:rsid w:val="000213E2"/>
    <w:rsid w:val="00021652"/>
    <w:rsid w:val="000217E2"/>
    <w:rsid w:val="0002181D"/>
    <w:rsid w:val="00021B34"/>
    <w:rsid w:val="00022197"/>
    <w:rsid w:val="00022763"/>
    <w:rsid w:val="000228CB"/>
    <w:rsid w:val="00022CBD"/>
    <w:rsid w:val="000241B7"/>
    <w:rsid w:val="00024BDA"/>
    <w:rsid w:val="000250BE"/>
    <w:rsid w:val="00025294"/>
    <w:rsid w:val="000254AC"/>
    <w:rsid w:val="00025503"/>
    <w:rsid w:val="0002574E"/>
    <w:rsid w:val="000257C6"/>
    <w:rsid w:val="00025822"/>
    <w:rsid w:val="0002587D"/>
    <w:rsid w:val="00025AA7"/>
    <w:rsid w:val="000266A7"/>
    <w:rsid w:val="00027589"/>
    <w:rsid w:val="00027CFD"/>
    <w:rsid w:val="00027FBC"/>
    <w:rsid w:val="00030014"/>
    <w:rsid w:val="00030183"/>
    <w:rsid w:val="00030522"/>
    <w:rsid w:val="00030792"/>
    <w:rsid w:val="00030BEE"/>
    <w:rsid w:val="00030E7A"/>
    <w:rsid w:val="0003114F"/>
    <w:rsid w:val="00031258"/>
    <w:rsid w:val="000312DF"/>
    <w:rsid w:val="00031864"/>
    <w:rsid w:val="00031934"/>
    <w:rsid w:val="00031C2E"/>
    <w:rsid w:val="000320B7"/>
    <w:rsid w:val="0003218A"/>
    <w:rsid w:val="000322CF"/>
    <w:rsid w:val="0003286F"/>
    <w:rsid w:val="00032972"/>
    <w:rsid w:val="00032A4E"/>
    <w:rsid w:val="00032AF0"/>
    <w:rsid w:val="00033432"/>
    <w:rsid w:val="00033982"/>
    <w:rsid w:val="00033DFE"/>
    <w:rsid w:val="0003444C"/>
    <w:rsid w:val="000350E3"/>
    <w:rsid w:val="00035164"/>
    <w:rsid w:val="00035837"/>
    <w:rsid w:val="00035A57"/>
    <w:rsid w:val="00035C40"/>
    <w:rsid w:val="0003629C"/>
    <w:rsid w:val="000363D3"/>
    <w:rsid w:val="0003689D"/>
    <w:rsid w:val="0003704B"/>
    <w:rsid w:val="0003781A"/>
    <w:rsid w:val="00037DCC"/>
    <w:rsid w:val="0004002D"/>
    <w:rsid w:val="00040033"/>
    <w:rsid w:val="000402DE"/>
    <w:rsid w:val="000405F8"/>
    <w:rsid w:val="00040CDD"/>
    <w:rsid w:val="00041081"/>
    <w:rsid w:val="00041726"/>
    <w:rsid w:val="00041DD2"/>
    <w:rsid w:val="00041DDD"/>
    <w:rsid w:val="00041DEF"/>
    <w:rsid w:val="000424C6"/>
    <w:rsid w:val="0004257E"/>
    <w:rsid w:val="00042694"/>
    <w:rsid w:val="00042B16"/>
    <w:rsid w:val="00042D21"/>
    <w:rsid w:val="00042F77"/>
    <w:rsid w:val="00043082"/>
    <w:rsid w:val="000433C2"/>
    <w:rsid w:val="0004346C"/>
    <w:rsid w:val="00043C67"/>
    <w:rsid w:val="00044214"/>
    <w:rsid w:val="000447F6"/>
    <w:rsid w:val="00044806"/>
    <w:rsid w:val="00044AAF"/>
    <w:rsid w:val="00044BA2"/>
    <w:rsid w:val="00044DCD"/>
    <w:rsid w:val="000451B2"/>
    <w:rsid w:val="00045420"/>
    <w:rsid w:val="000455A6"/>
    <w:rsid w:val="0004572F"/>
    <w:rsid w:val="000457A7"/>
    <w:rsid w:val="00045BC9"/>
    <w:rsid w:val="00045F6A"/>
    <w:rsid w:val="000462ED"/>
    <w:rsid w:val="00046347"/>
    <w:rsid w:val="00046668"/>
    <w:rsid w:val="00046881"/>
    <w:rsid w:val="00046950"/>
    <w:rsid w:val="00046AF5"/>
    <w:rsid w:val="00046EDF"/>
    <w:rsid w:val="0004715D"/>
    <w:rsid w:val="000474A3"/>
    <w:rsid w:val="000478E6"/>
    <w:rsid w:val="000479D4"/>
    <w:rsid w:val="00047CCE"/>
    <w:rsid w:val="00047E42"/>
    <w:rsid w:val="00050117"/>
    <w:rsid w:val="00050441"/>
    <w:rsid w:val="00050489"/>
    <w:rsid w:val="00050496"/>
    <w:rsid w:val="00050679"/>
    <w:rsid w:val="000508D1"/>
    <w:rsid w:val="00050907"/>
    <w:rsid w:val="000511AB"/>
    <w:rsid w:val="000512D1"/>
    <w:rsid w:val="0005182E"/>
    <w:rsid w:val="00051D92"/>
    <w:rsid w:val="00051E6A"/>
    <w:rsid w:val="00051E81"/>
    <w:rsid w:val="00051FC2"/>
    <w:rsid w:val="00052412"/>
    <w:rsid w:val="00052AE3"/>
    <w:rsid w:val="00053471"/>
    <w:rsid w:val="000537BB"/>
    <w:rsid w:val="000538A1"/>
    <w:rsid w:val="00053B44"/>
    <w:rsid w:val="0005401B"/>
    <w:rsid w:val="000541C7"/>
    <w:rsid w:val="00054645"/>
    <w:rsid w:val="00054A14"/>
    <w:rsid w:val="00054FB9"/>
    <w:rsid w:val="0005548D"/>
    <w:rsid w:val="000557ED"/>
    <w:rsid w:val="0005599F"/>
    <w:rsid w:val="00055D9C"/>
    <w:rsid w:val="00055E26"/>
    <w:rsid w:val="00055E3A"/>
    <w:rsid w:val="00055E99"/>
    <w:rsid w:val="000565A3"/>
    <w:rsid w:val="000565F7"/>
    <w:rsid w:val="00056612"/>
    <w:rsid w:val="00056635"/>
    <w:rsid w:val="000567BC"/>
    <w:rsid w:val="000567C0"/>
    <w:rsid w:val="000569CC"/>
    <w:rsid w:val="000569E0"/>
    <w:rsid w:val="000569E6"/>
    <w:rsid w:val="000572AC"/>
    <w:rsid w:val="00057588"/>
    <w:rsid w:val="00057640"/>
    <w:rsid w:val="000578A2"/>
    <w:rsid w:val="00057B50"/>
    <w:rsid w:val="00060194"/>
    <w:rsid w:val="00060485"/>
    <w:rsid w:val="00060769"/>
    <w:rsid w:val="000607A6"/>
    <w:rsid w:val="00060BD8"/>
    <w:rsid w:val="0006148E"/>
    <w:rsid w:val="000617FF"/>
    <w:rsid w:val="00061BEA"/>
    <w:rsid w:val="00061DC7"/>
    <w:rsid w:val="00061E48"/>
    <w:rsid w:val="00061E67"/>
    <w:rsid w:val="000620FB"/>
    <w:rsid w:val="000621DF"/>
    <w:rsid w:val="00062437"/>
    <w:rsid w:val="00062447"/>
    <w:rsid w:val="000629AB"/>
    <w:rsid w:val="00062C7C"/>
    <w:rsid w:val="00062E45"/>
    <w:rsid w:val="0006302A"/>
    <w:rsid w:val="000635F7"/>
    <w:rsid w:val="00063D28"/>
    <w:rsid w:val="000643F7"/>
    <w:rsid w:val="00064404"/>
    <w:rsid w:val="00064527"/>
    <w:rsid w:val="00064E2A"/>
    <w:rsid w:val="00065341"/>
    <w:rsid w:val="0006537C"/>
    <w:rsid w:val="00065467"/>
    <w:rsid w:val="0006575A"/>
    <w:rsid w:val="000657C3"/>
    <w:rsid w:val="000657E2"/>
    <w:rsid w:val="00065CE2"/>
    <w:rsid w:val="00065E03"/>
    <w:rsid w:val="0006623E"/>
    <w:rsid w:val="000662FB"/>
    <w:rsid w:val="0006654D"/>
    <w:rsid w:val="0006665B"/>
    <w:rsid w:val="00067349"/>
    <w:rsid w:val="00067AB5"/>
    <w:rsid w:val="00067F81"/>
    <w:rsid w:val="00070038"/>
    <w:rsid w:val="00070376"/>
    <w:rsid w:val="00070718"/>
    <w:rsid w:val="0007076D"/>
    <w:rsid w:val="000708D3"/>
    <w:rsid w:val="0007136C"/>
    <w:rsid w:val="00071D2B"/>
    <w:rsid w:val="00071DDB"/>
    <w:rsid w:val="00071EFA"/>
    <w:rsid w:val="000720F5"/>
    <w:rsid w:val="000720F8"/>
    <w:rsid w:val="00072142"/>
    <w:rsid w:val="00072474"/>
    <w:rsid w:val="000726A2"/>
    <w:rsid w:val="00072711"/>
    <w:rsid w:val="00072728"/>
    <w:rsid w:val="00072B3F"/>
    <w:rsid w:val="00072BE2"/>
    <w:rsid w:val="000732DF"/>
    <w:rsid w:val="000732FB"/>
    <w:rsid w:val="0007358E"/>
    <w:rsid w:val="00073872"/>
    <w:rsid w:val="00073F42"/>
    <w:rsid w:val="00074665"/>
    <w:rsid w:val="000746D5"/>
    <w:rsid w:val="00074709"/>
    <w:rsid w:val="000749B9"/>
    <w:rsid w:val="00074E34"/>
    <w:rsid w:val="000753A7"/>
    <w:rsid w:val="00075487"/>
    <w:rsid w:val="000755F9"/>
    <w:rsid w:val="00075605"/>
    <w:rsid w:val="0007593A"/>
    <w:rsid w:val="00075941"/>
    <w:rsid w:val="00075CC6"/>
    <w:rsid w:val="0007650D"/>
    <w:rsid w:val="00076C27"/>
    <w:rsid w:val="00077534"/>
    <w:rsid w:val="0007754A"/>
    <w:rsid w:val="00077592"/>
    <w:rsid w:val="00077897"/>
    <w:rsid w:val="00077E7D"/>
    <w:rsid w:val="00080263"/>
    <w:rsid w:val="000803AD"/>
    <w:rsid w:val="00080F62"/>
    <w:rsid w:val="00081026"/>
    <w:rsid w:val="000811D8"/>
    <w:rsid w:val="000817F5"/>
    <w:rsid w:val="000818DD"/>
    <w:rsid w:val="000819D4"/>
    <w:rsid w:val="00081D6A"/>
    <w:rsid w:val="00082164"/>
    <w:rsid w:val="000826C3"/>
    <w:rsid w:val="000828E6"/>
    <w:rsid w:val="000829B6"/>
    <w:rsid w:val="00082A62"/>
    <w:rsid w:val="00082D21"/>
    <w:rsid w:val="00082E1E"/>
    <w:rsid w:val="00082F2A"/>
    <w:rsid w:val="00083065"/>
    <w:rsid w:val="00083173"/>
    <w:rsid w:val="000832E2"/>
    <w:rsid w:val="00083429"/>
    <w:rsid w:val="00083FE3"/>
    <w:rsid w:val="00084387"/>
    <w:rsid w:val="00084761"/>
    <w:rsid w:val="00084AF6"/>
    <w:rsid w:val="00084E02"/>
    <w:rsid w:val="00084EE6"/>
    <w:rsid w:val="0008506C"/>
    <w:rsid w:val="0008527C"/>
    <w:rsid w:val="0008545A"/>
    <w:rsid w:val="00085AC2"/>
    <w:rsid w:val="00085AFD"/>
    <w:rsid w:val="00085B01"/>
    <w:rsid w:val="00085BC7"/>
    <w:rsid w:val="00085C51"/>
    <w:rsid w:val="00085E26"/>
    <w:rsid w:val="0008600B"/>
    <w:rsid w:val="00086154"/>
    <w:rsid w:val="00086620"/>
    <w:rsid w:val="000868F5"/>
    <w:rsid w:val="00086C83"/>
    <w:rsid w:val="00086F11"/>
    <w:rsid w:val="00087335"/>
    <w:rsid w:val="000873CD"/>
    <w:rsid w:val="000876FA"/>
    <w:rsid w:val="00087774"/>
    <w:rsid w:val="00087A0A"/>
    <w:rsid w:val="00087BB3"/>
    <w:rsid w:val="0009016A"/>
    <w:rsid w:val="000909B9"/>
    <w:rsid w:val="00090A07"/>
    <w:rsid w:val="00090B4F"/>
    <w:rsid w:val="00090B9F"/>
    <w:rsid w:val="00090D41"/>
    <w:rsid w:val="00090DE6"/>
    <w:rsid w:val="0009127D"/>
    <w:rsid w:val="000924D4"/>
    <w:rsid w:val="00092C29"/>
    <w:rsid w:val="00092C43"/>
    <w:rsid w:val="00092E3F"/>
    <w:rsid w:val="000937E1"/>
    <w:rsid w:val="00093938"/>
    <w:rsid w:val="00093B5D"/>
    <w:rsid w:val="00094B3C"/>
    <w:rsid w:val="00094CB4"/>
    <w:rsid w:val="00094E38"/>
    <w:rsid w:val="00095213"/>
    <w:rsid w:val="00095632"/>
    <w:rsid w:val="00095ABF"/>
    <w:rsid w:val="00095EBA"/>
    <w:rsid w:val="00096313"/>
    <w:rsid w:val="00096371"/>
    <w:rsid w:val="0009657B"/>
    <w:rsid w:val="0009679D"/>
    <w:rsid w:val="00096954"/>
    <w:rsid w:val="00096C13"/>
    <w:rsid w:val="00096DB8"/>
    <w:rsid w:val="000971AB"/>
    <w:rsid w:val="000972EF"/>
    <w:rsid w:val="0009734F"/>
    <w:rsid w:val="000977C6"/>
    <w:rsid w:val="00097945"/>
    <w:rsid w:val="000A0805"/>
    <w:rsid w:val="000A0936"/>
    <w:rsid w:val="000A09E7"/>
    <w:rsid w:val="000A0A67"/>
    <w:rsid w:val="000A0AC7"/>
    <w:rsid w:val="000A0D76"/>
    <w:rsid w:val="000A1026"/>
    <w:rsid w:val="000A1070"/>
    <w:rsid w:val="000A123E"/>
    <w:rsid w:val="000A169F"/>
    <w:rsid w:val="000A1D54"/>
    <w:rsid w:val="000A206E"/>
    <w:rsid w:val="000A2640"/>
    <w:rsid w:val="000A27BB"/>
    <w:rsid w:val="000A320D"/>
    <w:rsid w:val="000A32BD"/>
    <w:rsid w:val="000A3D66"/>
    <w:rsid w:val="000A3E31"/>
    <w:rsid w:val="000A3EBA"/>
    <w:rsid w:val="000A4087"/>
    <w:rsid w:val="000A40FD"/>
    <w:rsid w:val="000A4131"/>
    <w:rsid w:val="000A44A5"/>
    <w:rsid w:val="000A4E9A"/>
    <w:rsid w:val="000A5314"/>
    <w:rsid w:val="000A53FD"/>
    <w:rsid w:val="000A53FF"/>
    <w:rsid w:val="000A5D8F"/>
    <w:rsid w:val="000A5D99"/>
    <w:rsid w:val="000A63AD"/>
    <w:rsid w:val="000A6591"/>
    <w:rsid w:val="000A677A"/>
    <w:rsid w:val="000A69D2"/>
    <w:rsid w:val="000A7213"/>
    <w:rsid w:val="000A72CA"/>
    <w:rsid w:val="000A77D6"/>
    <w:rsid w:val="000A78EC"/>
    <w:rsid w:val="000A7A9F"/>
    <w:rsid w:val="000A7B77"/>
    <w:rsid w:val="000A7CF9"/>
    <w:rsid w:val="000B01FA"/>
    <w:rsid w:val="000B022B"/>
    <w:rsid w:val="000B02ED"/>
    <w:rsid w:val="000B0DCE"/>
    <w:rsid w:val="000B0FD7"/>
    <w:rsid w:val="000B1910"/>
    <w:rsid w:val="000B1BA4"/>
    <w:rsid w:val="000B1C44"/>
    <w:rsid w:val="000B1D7E"/>
    <w:rsid w:val="000B1F20"/>
    <w:rsid w:val="000B1F2B"/>
    <w:rsid w:val="000B27E0"/>
    <w:rsid w:val="000B2985"/>
    <w:rsid w:val="000B2A82"/>
    <w:rsid w:val="000B2AAC"/>
    <w:rsid w:val="000B32C5"/>
    <w:rsid w:val="000B32E4"/>
    <w:rsid w:val="000B3304"/>
    <w:rsid w:val="000B34AB"/>
    <w:rsid w:val="000B38EA"/>
    <w:rsid w:val="000B399E"/>
    <w:rsid w:val="000B3AC5"/>
    <w:rsid w:val="000B3F89"/>
    <w:rsid w:val="000B51E7"/>
    <w:rsid w:val="000B548E"/>
    <w:rsid w:val="000B56C0"/>
    <w:rsid w:val="000B582F"/>
    <w:rsid w:val="000B5A90"/>
    <w:rsid w:val="000B5B83"/>
    <w:rsid w:val="000B5DC1"/>
    <w:rsid w:val="000B625F"/>
    <w:rsid w:val="000B6575"/>
    <w:rsid w:val="000B6A87"/>
    <w:rsid w:val="000B6C6C"/>
    <w:rsid w:val="000B6D0F"/>
    <w:rsid w:val="000B6E6D"/>
    <w:rsid w:val="000B6F2E"/>
    <w:rsid w:val="000B6F52"/>
    <w:rsid w:val="000B72E0"/>
    <w:rsid w:val="000B7989"/>
    <w:rsid w:val="000C0226"/>
    <w:rsid w:val="000C076E"/>
    <w:rsid w:val="000C099C"/>
    <w:rsid w:val="000C0F55"/>
    <w:rsid w:val="000C1049"/>
    <w:rsid w:val="000C1097"/>
    <w:rsid w:val="000C11ED"/>
    <w:rsid w:val="000C15A3"/>
    <w:rsid w:val="000C1C3E"/>
    <w:rsid w:val="000C233C"/>
    <w:rsid w:val="000C25D8"/>
    <w:rsid w:val="000C267B"/>
    <w:rsid w:val="000C2980"/>
    <w:rsid w:val="000C2FB7"/>
    <w:rsid w:val="000C35FB"/>
    <w:rsid w:val="000C3630"/>
    <w:rsid w:val="000C3830"/>
    <w:rsid w:val="000C39B4"/>
    <w:rsid w:val="000C3BA7"/>
    <w:rsid w:val="000C3DA5"/>
    <w:rsid w:val="000C4457"/>
    <w:rsid w:val="000C44AD"/>
    <w:rsid w:val="000C4689"/>
    <w:rsid w:val="000C4C18"/>
    <w:rsid w:val="000C4D5C"/>
    <w:rsid w:val="000C4F84"/>
    <w:rsid w:val="000C5202"/>
    <w:rsid w:val="000C53F5"/>
    <w:rsid w:val="000C5564"/>
    <w:rsid w:val="000C5602"/>
    <w:rsid w:val="000C58B0"/>
    <w:rsid w:val="000C59C4"/>
    <w:rsid w:val="000C5B36"/>
    <w:rsid w:val="000C627A"/>
    <w:rsid w:val="000C6408"/>
    <w:rsid w:val="000C6819"/>
    <w:rsid w:val="000C6867"/>
    <w:rsid w:val="000C6F05"/>
    <w:rsid w:val="000C71C5"/>
    <w:rsid w:val="000C727A"/>
    <w:rsid w:val="000C7320"/>
    <w:rsid w:val="000C7697"/>
    <w:rsid w:val="000C789E"/>
    <w:rsid w:val="000C7B4C"/>
    <w:rsid w:val="000C7EF4"/>
    <w:rsid w:val="000D0000"/>
    <w:rsid w:val="000D019B"/>
    <w:rsid w:val="000D072A"/>
    <w:rsid w:val="000D0BB5"/>
    <w:rsid w:val="000D0F51"/>
    <w:rsid w:val="000D1221"/>
    <w:rsid w:val="000D1354"/>
    <w:rsid w:val="000D1781"/>
    <w:rsid w:val="000D1B06"/>
    <w:rsid w:val="000D1E54"/>
    <w:rsid w:val="000D23EF"/>
    <w:rsid w:val="000D24E2"/>
    <w:rsid w:val="000D2BA7"/>
    <w:rsid w:val="000D2C85"/>
    <w:rsid w:val="000D36A3"/>
    <w:rsid w:val="000D3A07"/>
    <w:rsid w:val="000D3A7C"/>
    <w:rsid w:val="000D3CAE"/>
    <w:rsid w:val="000D3E53"/>
    <w:rsid w:val="000D4568"/>
    <w:rsid w:val="000D4BAF"/>
    <w:rsid w:val="000D4EE8"/>
    <w:rsid w:val="000D4FE9"/>
    <w:rsid w:val="000D5383"/>
    <w:rsid w:val="000D53B8"/>
    <w:rsid w:val="000D5645"/>
    <w:rsid w:val="000D5B97"/>
    <w:rsid w:val="000D5EA1"/>
    <w:rsid w:val="000D64B7"/>
    <w:rsid w:val="000D68E4"/>
    <w:rsid w:val="000D6C3B"/>
    <w:rsid w:val="000D70FA"/>
    <w:rsid w:val="000D7279"/>
    <w:rsid w:val="000D7679"/>
    <w:rsid w:val="000E0672"/>
    <w:rsid w:val="000E0D71"/>
    <w:rsid w:val="000E0FC9"/>
    <w:rsid w:val="000E1054"/>
    <w:rsid w:val="000E1473"/>
    <w:rsid w:val="000E162A"/>
    <w:rsid w:val="000E177D"/>
    <w:rsid w:val="000E1827"/>
    <w:rsid w:val="000E19F0"/>
    <w:rsid w:val="000E1C6A"/>
    <w:rsid w:val="000E1E6F"/>
    <w:rsid w:val="000E2098"/>
    <w:rsid w:val="000E237E"/>
    <w:rsid w:val="000E23BF"/>
    <w:rsid w:val="000E23EF"/>
    <w:rsid w:val="000E2BE0"/>
    <w:rsid w:val="000E2E1B"/>
    <w:rsid w:val="000E327D"/>
    <w:rsid w:val="000E32BE"/>
    <w:rsid w:val="000E32CD"/>
    <w:rsid w:val="000E33C5"/>
    <w:rsid w:val="000E3886"/>
    <w:rsid w:val="000E3AE8"/>
    <w:rsid w:val="000E3CFC"/>
    <w:rsid w:val="000E40CB"/>
    <w:rsid w:val="000E420F"/>
    <w:rsid w:val="000E4295"/>
    <w:rsid w:val="000E42A9"/>
    <w:rsid w:val="000E42DF"/>
    <w:rsid w:val="000E44A9"/>
    <w:rsid w:val="000E4876"/>
    <w:rsid w:val="000E4A55"/>
    <w:rsid w:val="000E4A6D"/>
    <w:rsid w:val="000E4E04"/>
    <w:rsid w:val="000E5429"/>
    <w:rsid w:val="000E62CE"/>
    <w:rsid w:val="000E6324"/>
    <w:rsid w:val="000E63BC"/>
    <w:rsid w:val="000E649F"/>
    <w:rsid w:val="000E66DB"/>
    <w:rsid w:val="000E66DF"/>
    <w:rsid w:val="000E6B08"/>
    <w:rsid w:val="000E6B42"/>
    <w:rsid w:val="000E70A5"/>
    <w:rsid w:val="000E7523"/>
    <w:rsid w:val="000E785C"/>
    <w:rsid w:val="000E78BC"/>
    <w:rsid w:val="000E7F42"/>
    <w:rsid w:val="000F039B"/>
    <w:rsid w:val="000F0888"/>
    <w:rsid w:val="000F09BC"/>
    <w:rsid w:val="000F0DEA"/>
    <w:rsid w:val="000F0DFE"/>
    <w:rsid w:val="000F1394"/>
    <w:rsid w:val="000F14F7"/>
    <w:rsid w:val="000F1519"/>
    <w:rsid w:val="000F18A3"/>
    <w:rsid w:val="000F19CA"/>
    <w:rsid w:val="000F1A51"/>
    <w:rsid w:val="000F1CEF"/>
    <w:rsid w:val="000F24EF"/>
    <w:rsid w:val="000F252B"/>
    <w:rsid w:val="000F25EE"/>
    <w:rsid w:val="000F269A"/>
    <w:rsid w:val="000F26C0"/>
    <w:rsid w:val="000F2873"/>
    <w:rsid w:val="000F2BE7"/>
    <w:rsid w:val="000F2CEF"/>
    <w:rsid w:val="000F2FB2"/>
    <w:rsid w:val="000F32AC"/>
    <w:rsid w:val="000F370D"/>
    <w:rsid w:val="000F380D"/>
    <w:rsid w:val="000F38FA"/>
    <w:rsid w:val="000F3D86"/>
    <w:rsid w:val="000F3E1E"/>
    <w:rsid w:val="000F4698"/>
    <w:rsid w:val="000F46CB"/>
    <w:rsid w:val="000F49A0"/>
    <w:rsid w:val="000F4D00"/>
    <w:rsid w:val="000F4FE7"/>
    <w:rsid w:val="000F528C"/>
    <w:rsid w:val="000F5E41"/>
    <w:rsid w:val="000F5EC4"/>
    <w:rsid w:val="000F5EC9"/>
    <w:rsid w:val="000F6161"/>
    <w:rsid w:val="000F6295"/>
    <w:rsid w:val="000F716C"/>
    <w:rsid w:val="000F7520"/>
    <w:rsid w:val="000F7AD5"/>
    <w:rsid w:val="000F7CB4"/>
    <w:rsid w:val="000F7D62"/>
    <w:rsid w:val="000F7F64"/>
    <w:rsid w:val="000F7FAE"/>
    <w:rsid w:val="00100058"/>
    <w:rsid w:val="00100268"/>
    <w:rsid w:val="001002DA"/>
    <w:rsid w:val="00100472"/>
    <w:rsid w:val="0010072C"/>
    <w:rsid w:val="00100B0C"/>
    <w:rsid w:val="00100CD5"/>
    <w:rsid w:val="00100F4A"/>
    <w:rsid w:val="00100FAA"/>
    <w:rsid w:val="00101285"/>
    <w:rsid w:val="00101A55"/>
    <w:rsid w:val="00101F21"/>
    <w:rsid w:val="0010203F"/>
    <w:rsid w:val="001024E9"/>
    <w:rsid w:val="0010279D"/>
    <w:rsid w:val="00102B37"/>
    <w:rsid w:val="00102E12"/>
    <w:rsid w:val="001030AE"/>
    <w:rsid w:val="0010327A"/>
    <w:rsid w:val="00103356"/>
    <w:rsid w:val="00103433"/>
    <w:rsid w:val="00103564"/>
    <w:rsid w:val="001035FC"/>
    <w:rsid w:val="00103A48"/>
    <w:rsid w:val="00103D71"/>
    <w:rsid w:val="00104168"/>
    <w:rsid w:val="00104E34"/>
    <w:rsid w:val="00104E68"/>
    <w:rsid w:val="00104EC6"/>
    <w:rsid w:val="00105774"/>
    <w:rsid w:val="00105B08"/>
    <w:rsid w:val="00105CFF"/>
    <w:rsid w:val="0010607E"/>
    <w:rsid w:val="0010642A"/>
    <w:rsid w:val="0010687A"/>
    <w:rsid w:val="00106AA3"/>
    <w:rsid w:val="00106ED3"/>
    <w:rsid w:val="00107126"/>
    <w:rsid w:val="001075A8"/>
    <w:rsid w:val="001079C3"/>
    <w:rsid w:val="00107B24"/>
    <w:rsid w:val="00110856"/>
    <w:rsid w:val="00110D5D"/>
    <w:rsid w:val="001112CB"/>
    <w:rsid w:val="00111347"/>
    <w:rsid w:val="0011143D"/>
    <w:rsid w:val="00111823"/>
    <w:rsid w:val="00111CBB"/>
    <w:rsid w:val="00111D49"/>
    <w:rsid w:val="0011212C"/>
    <w:rsid w:val="001124E6"/>
    <w:rsid w:val="001125D9"/>
    <w:rsid w:val="00112A83"/>
    <w:rsid w:val="00112AF7"/>
    <w:rsid w:val="00112B79"/>
    <w:rsid w:val="00112FD6"/>
    <w:rsid w:val="0011344A"/>
    <w:rsid w:val="00113BDB"/>
    <w:rsid w:val="00113E20"/>
    <w:rsid w:val="00113E61"/>
    <w:rsid w:val="00113F0D"/>
    <w:rsid w:val="00114045"/>
    <w:rsid w:val="00114364"/>
    <w:rsid w:val="001143AE"/>
    <w:rsid w:val="001143D0"/>
    <w:rsid w:val="00114488"/>
    <w:rsid w:val="00114527"/>
    <w:rsid w:val="001146BF"/>
    <w:rsid w:val="001148C3"/>
    <w:rsid w:val="001150D8"/>
    <w:rsid w:val="0011562D"/>
    <w:rsid w:val="001156D5"/>
    <w:rsid w:val="0011636E"/>
    <w:rsid w:val="00116DD5"/>
    <w:rsid w:val="00117309"/>
    <w:rsid w:val="00117AF1"/>
    <w:rsid w:val="00117BB0"/>
    <w:rsid w:val="00117C1F"/>
    <w:rsid w:val="0012011D"/>
    <w:rsid w:val="00120457"/>
    <w:rsid w:val="00120D7F"/>
    <w:rsid w:val="00120F89"/>
    <w:rsid w:val="00121177"/>
    <w:rsid w:val="00121674"/>
    <w:rsid w:val="001216FA"/>
    <w:rsid w:val="00121F1E"/>
    <w:rsid w:val="0012223F"/>
    <w:rsid w:val="00122912"/>
    <w:rsid w:val="00122976"/>
    <w:rsid w:val="00122E75"/>
    <w:rsid w:val="00123705"/>
    <w:rsid w:val="0012380F"/>
    <w:rsid w:val="00123978"/>
    <w:rsid w:val="00123A77"/>
    <w:rsid w:val="00123B4C"/>
    <w:rsid w:val="00124117"/>
    <w:rsid w:val="00124463"/>
    <w:rsid w:val="001248B9"/>
    <w:rsid w:val="001249B2"/>
    <w:rsid w:val="001250EB"/>
    <w:rsid w:val="001254C6"/>
    <w:rsid w:val="00125651"/>
    <w:rsid w:val="00125958"/>
    <w:rsid w:val="00125AC1"/>
    <w:rsid w:val="00125BF1"/>
    <w:rsid w:val="00125C51"/>
    <w:rsid w:val="00125D56"/>
    <w:rsid w:val="00125FC1"/>
    <w:rsid w:val="00125FD7"/>
    <w:rsid w:val="001261E2"/>
    <w:rsid w:val="00126235"/>
    <w:rsid w:val="0012636E"/>
    <w:rsid w:val="001267F9"/>
    <w:rsid w:val="00126876"/>
    <w:rsid w:val="001273DA"/>
    <w:rsid w:val="00127ADF"/>
    <w:rsid w:val="00127CCE"/>
    <w:rsid w:val="0013060B"/>
    <w:rsid w:val="001306A7"/>
    <w:rsid w:val="00130759"/>
    <w:rsid w:val="00130A88"/>
    <w:rsid w:val="00131084"/>
    <w:rsid w:val="0013114E"/>
    <w:rsid w:val="001315D4"/>
    <w:rsid w:val="001315EA"/>
    <w:rsid w:val="0013171C"/>
    <w:rsid w:val="001319AE"/>
    <w:rsid w:val="00132098"/>
    <w:rsid w:val="0013239A"/>
    <w:rsid w:val="00132674"/>
    <w:rsid w:val="001326DD"/>
    <w:rsid w:val="00132A09"/>
    <w:rsid w:val="00132D0E"/>
    <w:rsid w:val="00132F27"/>
    <w:rsid w:val="001334D9"/>
    <w:rsid w:val="001335FA"/>
    <w:rsid w:val="00133667"/>
    <w:rsid w:val="0013399B"/>
    <w:rsid w:val="00134063"/>
    <w:rsid w:val="0013455F"/>
    <w:rsid w:val="00134836"/>
    <w:rsid w:val="00135207"/>
    <w:rsid w:val="001358CD"/>
    <w:rsid w:val="00135D93"/>
    <w:rsid w:val="00135EC9"/>
    <w:rsid w:val="001376AE"/>
    <w:rsid w:val="00137940"/>
    <w:rsid w:val="00137B50"/>
    <w:rsid w:val="00137FEB"/>
    <w:rsid w:val="001400C6"/>
    <w:rsid w:val="0014041C"/>
    <w:rsid w:val="00140552"/>
    <w:rsid w:val="0014197D"/>
    <w:rsid w:val="001419EF"/>
    <w:rsid w:val="00141A37"/>
    <w:rsid w:val="00141B4A"/>
    <w:rsid w:val="00141C42"/>
    <w:rsid w:val="001421E4"/>
    <w:rsid w:val="0014289C"/>
    <w:rsid w:val="00142F44"/>
    <w:rsid w:val="00143151"/>
    <w:rsid w:val="001431DB"/>
    <w:rsid w:val="001436A6"/>
    <w:rsid w:val="00143799"/>
    <w:rsid w:val="001439E8"/>
    <w:rsid w:val="00143A49"/>
    <w:rsid w:val="00143C18"/>
    <w:rsid w:val="0014409A"/>
    <w:rsid w:val="001440DD"/>
    <w:rsid w:val="00144DF8"/>
    <w:rsid w:val="0014541C"/>
    <w:rsid w:val="001456F4"/>
    <w:rsid w:val="00145A1D"/>
    <w:rsid w:val="001463B3"/>
    <w:rsid w:val="0014704F"/>
    <w:rsid w:val="00147253"/>
    <w:rsid w:val="00147300"/>
    <w:rsid w:val="0014745A"/>
    <w:rsid w:val="0014748A"/>
    <w:rsid w:val="0014754B"/>
    <w:rsid w:val="00147559"/>
    <w:rsid w:val="001478BA"/>
    <w:rsid w:val="00147CF6"/>
    <w:rsid w:val="00150616"/>
    <w:rsid w:val="001506A9"/>
    <w:rsid w:val="00150F6B"/>
    <w:rsid w:val="00150F92"/>
    <w:rsid w:val="001511A4"/>
    <w:rsid w:val="0015128D"/>
    <w:rsid w:val="00151343"/>
    <w:rsid w:val="001516DB"/>
    <w:rsid w:val="00151BB3"/>
    <w:rsid w:val="00152617"/>
    <w:rsid w:val="00152B24"/>
    <w:rsid w:val="00152BBE"/>
    <w:rsid w:val="00152E56"/>
    <w:rsid w:val="001532E5"/>
    <w:rsid w:val="0015378F"/>
    <w:rsid w:val="001538D3"/>
    <w:rsid w:val="00153A3C"/>
    <w:rsid w:val="00153BD1"/>
    <w:rsid w:val="00153D5E"/>
    <w:rsid w:val="00154850"/>
    <w:rsid w:val="0015485C"/>
    <w:rsid w:val="00154B63"/>
    <w:rsid w:val="00154CB3"/>
    <w:rsid w:val="00155054"/>
    <w:rsid w:val="00155117"/>
    <w:rsid w:val="001555D0"/>
    <w:rsid w:val="001559AA"/>
    <w:rsid w:val="001560FB"/>
    <w:rsid w:val="00156C7D"/>
    <w:rsid w:val="00156D13"/>
    <w:rsid w:val="00156F02"/>
    <w:rsid w:val="00157260"/>
    <w:rsid w:val="0015733B"/>
    <w:rsid w:val="001575D8"/>
    <w:rsid w:val="00157664"/>
    <w:rsid w:val="001579A8"/>
    <w:rsid w:val="001600DF"/>
    <w:rsid w:val="00160180"/>
    <w:rsid w:val="00160503"/>
    <w:rsid w:val="001606AF"/>
    <w:rsid w:val="00161148"/>
    <w:rsid w:val="001611C8"/>
    <w:rsid w:val="00161230"/>
    <w:rsid w:val="001612D8"/>
    <w:rsid w:val="00161444"/>
    <w:rsid w:val="0016149C"/>
    <w:rsid w:val="001614D8"/>
    <w:rsid w:val="00161A69"/>
    <w:rsid w:val="00161AEE"/>
    <w:rsid w:val="00161BFF"/>
    <w:rsid w:val="00161C15"/>
    <w:rsid w:val="00161D33"/>
    <w:rsid w:val="00162056"/>
    <w:rsid w:val="001622D3"/>
    <w:rsid w:val="00162C0B"/>
    <w:rsid w:val="0016323D"/>
    <w:rsid w:val="001632FB"/>
    <w:rsid w:val="0016343C"/>
    <w:rsid w:val="00163540"/>
    <w:rsid w:val="001645B6"/>
    <w:rsid w:val="00164938"/>
    <w:rsid w:val="001649B5"/>
    <w:rsid w:val="00164C3E"/>
    <w:rsid w:val="00164DAA"/>
    <w:rsid w:val="00165112"/>
    <w:rsid w:val="001652F4"/>
    <w:rsid w:val="00165947"/>
    <w:rsid w:val="00165C76"/>
    <w:rsid w:val="00165E0A"/>
    <w:rsid w:val="001661D3"/>
    <w:rsid w:val="00166288"/>
    <w:rsid w:val="00166316"/>
    <w:rsid w:val="00166319"/>
    <w:rsid w:val="001664CA"/>
    <w:rsid w:val="001671CF"/>
    <w:rsid w:val="00167687"/>
    <w:rsid w:val="00167757"/>
    <w:rsid w:val="00167891"/>
    <w:rsid w:val="00167A99"/>
    <w:rsid w:val="00167FAA"/>
    <w:rsid w:val="00167FBE"/>
    <w:rsid w:val="00167FDD"/>
    <w:rsid w:val="001703A0"/>
    <w:rsid w:val="00170967"/>
    <w:rsid w:val="00170991"/>
    <w:rsid w:val="00170A4B"/>
    <w:rsid w:val="00170CE1"/>
    <w:rsid w:val="00170E15"/>
    <w:rsid w:val="00170E70"/>
    <w:rsid w:val="001711DC"/>
    <w:rsid w:val="0017188E"/>
    <w:rsid w:val="00172A01"/>
    <w:rsid w:val="00172E48"/>
    <w:rsid w:val="00173151"/>
    <w:rsid w:val="00173955"/>
    <w:rsid w:val="00173E3A"/>
    <w:rsid w:val="0017476F"/>
    <w:rsid w:val="001747FB"/>
    <w:rsid w:val="00174879"/>
    <w:rsid w:val="0017489B"/>
    <w:rsid w:val="00174B36"/>
    <w:rsid w:val="00174D35"/>
    <w:rsid w:val="00174F15"/>
    <w:rsid w:val="00175079"/>
    <w:rsid w:val="0017508C"/>
    <w:rsid w:val="00175120"/>
    <w:rsid w:val="00175364"/>
    <w:rsid w:val="00175897"/>
    <w:rsid w:val="00175B59"/>
    <w:rsid w:val="00175DBA"/>
    <w:rsid w:val="00175FBA"/>
    <w:rsid w:val="0017600F"/>
    <w:rsid w:val="0017656D"/>
    <w:rsid w:val="001765A3"/>
    <w:rsid w:val="00176F1E"/>
    <w:rsid w:val="00176F23"/>
    <w:rsid w:val="001770F1"/>
    <w:rsid w:val="00177246"/>
    <w:rsid w:val="001772A7"/>
    <w:rsid w:val="00177362"/>
    <w:rsid w:val="00177A94"/>
    <w:rsid w:val="0018016F"/>
    <w:rsid w:val="00180464"/>
    <w:rsid w:val="0018092A"/>
    <w:rsid w:val="00180932"/>
    <w:rsid w:val="00180A46"/>
    <w:rsid w:val="00180B4B"/>
    <w:rsid w:val="00180F58"/>
    <w:rsid w:val="00181180"/>
    <w:rsid w:val="0018133F"/>
    <w:rsid w:val="0018145B"/>
    <w:rsid w:val="00181555"/>
    <w:rsid w:val="00181A1C"/>
    <w:rsid w:val="00182103"/>
    <w:rsid w:val="001823B9"/>
    <w:rsid w:val="00182A18"/>
    <w:rsid w:val="00182B9D"/>
    <w:rsid w:val="00183052"/>
    <w:rsid w:val="001836BE"/>
    <w:rsid w:val="00183ACA"/>
    <w:rsid w:val="00183B4D"/>
    <w:rsid w:val="00183F63"/>
    <w:rsid w:val="0018452B"/>
    <w:rsid w:val="00184632"/>
    <w:rsid w:val="00184694"/>
    <w:rsid w:val="00185048"/>
    <w:rsid w:val="00185701"/>
    <w:rsid w:val="001857BC"/>
    <w:rsid w:val="00185D1D"/>
    <w:rsid w:val="00185DEC"/>
    <w:rsid w:val="00185F1A"/>
    <w:rsid w:val="00186029"/>
    <w:rsid w:val="00186981"/>
    <w:rsid w:val="00186A0C"/>
    <w:rsid w:val="00186C4E"/>
    <w:rsid w:val="00186E87"/>
    <w:rsid w:val="001871F1"/>
    <w:rsid w:val="0018767A"/>
    <w:rsid w:val="00187799"/>
    <w:rsid w:val="00187ACE"/>
    <w:rsid w:val="00190077"/>
    <w:rsid w:val="00190333"/>
    <w:rsid w:val="001906DB"/>
    <w:rsid w:val="0019079B"/>
    <w:rsid w:val="001910F4"/>
    <w:rsid w:val="00191237"/>
    <w:rsid w:val="0019150C"/>
    <w:rsid w:val="00191515"/>
    <w:rsid w:val="00191B8A"/>
    <w:rsid w:val="00192293"/>
    <w:rsid w:val="00192353"/>
    <w:rsid w:val="0019272F"/>
    <w:rsid w:val="00192736"/>
    <w:rsid w:val="001927F0"/>
    <w:rsid w:val="00192880"/>
    <w:rsid w:val="00192937"/>
    <w:rsid w:val="00192E96"/>
    <w:rsid w:val="00192F98"/>
    <w:rsid w:val="00193A14"/>
    <w:rsid w:val="00193A4B"/>
    <w:rsid w:val="00193CF7"/>
    <w:rsid w:val="00193D54"/>
    <w:rsid w:val="00194384"/>
    <w:rsid w:val="00194DAF"/>
    <w:rsid w:val="00195940"/>
    <w:rsid w:val="001959E9"/>
    <w:rsid w:val="00195B32"/>
    <w:rsid w:val="001967A3"/>
    <w:rsid w:val="001967B2"/>
    <w:rsid w:val="00196C94"/>
    <w:rsid w:val="00196D70"/>
    <w:rsid w:val="001971CB"/>
    <w:rsid w:val="0019720C"/>
    <w:rsid w:val="001973D5"/>
    <w:rsid w:val="001977AD"/>
    <w:rsid w:val="00197AD3"/>
    <w:rsid w:val="00197EAC"/>
    <w:rsid w:val="001A02E7"/>
    <w:rsid w:val="001A047F"/>
    <w:rsid w:val="001A0668"/>
    <w:rsid w:val="001A09FF"/>
    <w:rsid w:val="001A0BA4"/>
    <w:rsid w:val="001A0D3B"/>
    <w:rsid w:val="001A11E5"/>
    <w:rsid w:val="001A1252"/>
    <w:rsid w:val="001A13B6"/>
    <w:rsid w:val="001A14D5"/>
    <w:rsid w:val="001A19E6"/>
    <w:rsid w:val="001A1FCD"/>
    <w:rsid w:val="001A20C6"/>
    <w:rsid w:val="001A22C1"/>
    <w:rsid w:val="001A25AE"/>
    <w:rsid w:val="001A2616"/>
    <w:rsid w:val="001A28FB"/>
    <w:rsid w:val="001A2902"/>
    <w:rsid w:val="001A2967"/>
    <w:rsid w:val="001A34D7"/>
    <w:rsid w:val="001A38F0"/>
    <w:rsid w:val="001A3A0A"/>
    <w:rsid w:val="001A3F3F"/>
    <w:rsid w:val="001A41BF"/>
    <w:rsid w:val="001A4D76"/>
    <w:rsid w:val="001A4EB9"/>
    <w:rsid w:val="001A5199"/>
    <w:rsid w:val="001A57C1"/>
    <w:rsid w:val="001A5AFA"/>
    <w:rsid w:val="001A6760"/>
    <w:rsid w:val="001A7AAD"/>
    <w:rsid w:val="001A7B3C"/>
    <w:rsid w:val="001B000F"/>
    <w:rsid w:val="001B01CB"/>
    <w:rsid w:val="001B07B9"/>
    <w:rsid w:val="001B0ADE"/>
    <w:rsid w:val="001B10B4"/>
    <w:rsid w:val="001B1426"/>
    <w:rsid w:val="001B15BA"/>
    <w:rsid w:val="001B1A43"/>
    <w:rsid w:val="001B20F5"/>
    <w:rsid w:val="001B26D9"/>
    <w:rsid w:val="001B28C7"/>
    <w:rsid w:val="001B2A8B"/>
    <w:rsid w:val="001B3221"/>
    <w:rsid w:val="001B3775"/>
    <w:rsid w:val="001B3AD8"/>
    <w:rsid w:val="001B3F06"/>
    <w:rsid w:val="001B3F30"/>
    <w:rsid w:val="001B4695"/>
    <w:rsid w:val="001B46E7"/>
    <w:rsid w:val="001B4A8F"/>
    <w:rsid w:val="001B52C9"/>
    <w:rsid w:val="001B5337"/>
    <w:rsid w:val="001B53BC"/>
    <w:rsid w:val="001B57BC"/>
    <w:rsid w:val="001B599E"/>
    <w:rsid w:val="001B5A20"/>
    <w:rsid w:val="001B5A78"/>
    <w:rsid w:val="001B5CAF"/>
    <w:rsid w:val="001B5DCB"/>
    <w:rsid w:val="001B665C"/>
    <w:rsid w:val="001B6B0B"/>
    <w:rsid w:val="001B7735"/>
    <w:rsid w:val="001B77ED"/>
    <w:rsid w:val="001B7B68"/>
    <w:rsid w:val="001C0221"/>
    <w:rsid w:val="001C061E"/>
    <w:rsid w:val="001C097D"/>
    <w:rsid w:val="001C0F4B"/>
    <w:rsid w:val="001C0FBC"/>
    <w:rsid w:val="001C129F"/>
    <w:rsid w:val="001C13ED"/>
    <w:rsid w:val="001C1687"/>
    <w:rsid w:val="001C1F72"/>
    <w:rsid w:val="001C218A"/>
    <w:rsid w:val="001C2213"/>
    <w:rsid w:val="001C2C8A"/>
    <w:rsid w:val="001C2E71"/>
    <w:rsid w:val="001C3A11"/>
    <w:rsid w:val="001C3B24"/>
    <w:rsid w:val="001C3D9E"/>
    <w:rsid w:val="001C4877"/>
    <w:rsid w:val="001C51E1"/>
    <w:rsid w:val="001C5236"/>
    <w:rsid w:val="001C5458"/>
    <w:rsid w:val="001C5F64"/>
    <w:rsid w:val="001C6181"/>
    <w:rsid w:val="001C6347"/>
    <w:rsid w:val="001C6887"/>
    <w:rsid w:val="001C6B3C"/>
    <w:rsid w:val="001C736C"/>
    <w:rsid w:val="001C78BB"/>
    <w:rsid w:val="001C7E3F"/>
    <w:rsid w:val="001D04EA"/>
    <w:rsid w:val="001D07C1"/>
    <w:rsid w:val="001D0963"/>
    <w:rsid w:val="001D0D4A"/>
    <w:rsid w:val="001D0DC3"/>
    <w:rsid w:val="001D0F42"/>
    <w:rsid w:val="001D1045"/>
    <w:rsid w:val="001D1882"/>
    <w:rsid w:val="001D2416"/>
    <w:rsid w:val="001D2592"/>
    <w:rsid w:val="001D26FF"/>
    <w:rsid w:val="001D2C5F"/>
    <w:rsid w:val="001D3155"/>
    <w:rsid w:val="001D330A"/>
    <w:rsid w:val="001D35C0"/>
    <w:rsid w:val="001D3A08"/>
    <w:rsid w:val="001D3EF8"/>
    <w:rsid w:val="001D4279"/>
    <w:rsid w:val="001D447C"/>
    <w:rsid w:val="001D4745"/>
    <w:rsid w:val="001D4769"/>
    <w:rsid w:val="001D4AD4"/>
    <w:rsid w:val="001D4E3C"/>
    <w:rsid w:val="001D5006"/>
    <w:rsid w:val="001D52D8"/>
    <w:rsid w:val="001D58AB"/>
    <w:rsid w:val="001D5E51"/>
    <w:rsid w:val="001D671A"/>
    <w:rsid w:val="001D682E"/>
    <w:rsid w:val="001D6B31"/>
    <w:rsid w:val="001D6B45"/>
    <w:rsid w:val="001D6CF4"/>
    <w:rsid w:val="001D744B"/>
    <w:rsid w:val="001E028C"/>
    <w:rsid w:val="001E079A"/>
    <w:rsid w:val="001E081F"/>
    <w:rsid w:val="001E08DA"/>
    <w:rsid w:val="001E0B27"/>
    <w:rsid w:val="001E0EDB"/>
    <w:rsid w:val="001E13D3"/>
    <w:rsid w:val="001E15E8"/>
    <w:rsid w:val="001E1B40"/>
    <w:rsid w:val="001E1BE8"/>
    <w:rsid w:val="001E204F"/>
    <w:rsid w:val="001E21C4"/>
    <w:rsid w:val="001E24EA"/>
    <w:rsid w:val="001E2F57"/>
    <w:rsid w:val="001E4755"/>
    <w:rsid w:val="001E4804"/>
    <w:rsid w:val="001E4F73"/>
    <w:rsid w:val="001E51F7"/>
    <w:rsid w:val="001E531B"/>
    <w:rsid w:val="001E54C0"/>
    <w:rsid w:val="001E551F"/>
    <w:rsid w:val="001E55E6"/>
    <w:rsid w:val="001E5952"/>
    <w:rsid w:val="001E5D07"/>
    <w:rsid w:val="001E5DAC"/>
    <w:rsid w:val="001E6089"/>
    <w:rsid w:val="001E6583"/>
    <w:rsid w:val="001E67C4"/>
    <w:rsid w:val="001E7779"/>
    <w:rsid w:val="001E779F"/>
    <w:rsid w:val="001E79F6"/>
    <w:rsid w:val="001F0235"/>
    <w:rsid w:val="001F0698"/>
    <w:rsid w:val="001F0879"/>
    <w:rsid w:val="001F0E4B"/>
    <w:rsid w:val="001F0FDA"/>
    <w:rsid w:val="001F1597"/>
    <w:rsid w:val="001F1ABF"/>
    <w:rsid w:val="001F1D93"/>
    <w:rsid w:val="001F1DAA"/>
    <w:rsid w:val="001F21EC"/>
    <w:rsid w:val="001F3366"/>
    <w:rsid w:val="001F352E"/>
    <w:rsid w:val="001F38D3"/>
    <w:rsid w:val="001F3D88"/>
    <w:rsid w:val="001F3E90"/>
    <w:rsid w:val="001F3EF9"/>
    <w:rsid w:val="001F4360"/>
    <w:rsid w:val="001F4B05"/>
    <w:rsid w:val="001F4BC7"/>
    <w:rsid w:val="001F53EF"/>
    <w:rsid w:val="001F5498"/>
    <w:rsid w:val="001F573B"/>
    <w:rsid w:val="001F5C37"/>
    <w:rsid w:val="001F5EA0"/>
    <w:rsid w:val="001F60A2"/>
    <w:rsid w:val="001F6302"/>
    <w:rsid w:val="001F64D7"/>
    <w:rsid w:val="001F66D3"/>
    <w:rsid w:val="001F7077"/>
    <w:rsid w:val="001F70B7"/>
    <w:rsid w:val="001F7282"/>
    <w:rsid w:val="001F77BE"/>
    <w:rsid w:val="001F7D1B"/>
    <w:rsid w:val="002000EB"/>
    <w:rsid w:val="002005F7"/>
    <w:rsid w:val="00200A45"/>
    <w:rsid w:val="00200C03"/>
    <w:rsid w:val="00200EAC"/>
    <w:rsid w:val="0020169C"/>
    <w:rsid w:val="00201C23"/>
    <w:rsid w:val="00201D2E"/>
    <w:rsid w:val="002023EE"/>
    <w:rsid w:val="00202773"/>
    <w:rsid w:val="00202BBE"/>
    <w:rsid w:val="00202BC9"/>
    <w:rsid w:val="00202F9C"/>
    <w:rsid w:val="00202FBE"/>
    <w:rsid w:val="002034BA"/>
    <w:rsid w:val="0020368C"/>
    <w:rsid w:val="00203790"/>
    <w:rsid w:val="00203797"/>
    <w:rsid w:val="002039D7"/>
    <w:rsid w:val="00203B8B"/>
    <w:rsid w:val="00203C0F"/>
    <w:rsid w:val="00203C61"/>
    <w:rsid w:val="00204018"/>
    <w:rsid w:val="00204871"/>
    <w:rsid w:val="00204C24"/>
    <w:rsid w:val="00204C6A"/>
    <w:rsid w:val="00204C86"/>
    <w:rsid w:val="002057AA"/>
    <w:rsid w:val="00205C76"/>
    <w:rsid w:val="002068C9"/>
    <w:rsid w:val="00206BBF"/>
    <w:rsid w:val="00206E6F"/>
    <w:rsid w:val="00207188"/>
    <w:rsid w:val="002073C2"/>
    <w:rsid w:val="0020766F"/>
    <w:rsid w:val="00207EF4"/>
    <w:rsid w:val="0021003C"/>
    <w:rsid w:val="00210DD3"/>
    <w:rsid w:val="00211045"/>
    <w:rsid w:val="002112B8"/>
    <w:rsid w:val="00211448"/>
    <w:rsid w:val="002116C4"/>
    <w:rsid w:val="00211886"/>
    <w:rsid w:val="00211AE2"/>
    <w:rsid w:val="00211EC0"/>
    <w:rsid w:val="00211EF1"/>
    <w:rsid w:val="00212507"/>
    <w:rsid w:val="0021265C"/>
    <w:rsid w:val="00212661"/>
    <w:rsid w:val="00212AC5"/>
    <w:rsid w:val="0021357B"/>
    <w:rsid w:val="00213C0F"/>
    <w:rsid w:val="00213DB3"/>
    <w:rsid w:val="00213EF9"/>
    <w:rsid w:val="002142A5"/>
    <w:rsid w:val="0021442F"/>
    <w:rsid w:val="00214777"/>
    <w:rsid w:val="00214CFE"/>
    <w:rsid w:val="00214F26"/>
    <w:rsid w:val="00215176"/>
    <w:rsid w:val="00215554"/>
    <w:rsid w:val="00215733"/>
    <w:rsid w:val="0021595C"/>
    <w:rsid w:val="00215FC4"/>
    <w:rsid w:val="002161F6"/>
    <w:rsid w:val="002165F4"/>
    <w:rsid w:val="00216AC6"/>
    <w:rsid w:val="00216FFC"/>
    <w:rsid w:val="00217777"/>
    <w:rsid w:val="00217B7E"/>
    <w:rsid w:val="00217C10"/>
    <w:rsid w:val="00217F9A"/>
    <w:rsid w:val="00220900"/>
    <w:rsid w:val="00220D49"/>
    <w:rsid w:val="002210D5"/>
    <w:rsid w:val="002216A8"/>
    <w:rsid w:val="00221BAA"/>
    <w:rsid w:val="00221DAE"/>
    <w:rsid w:val="00221EF9"/>
    <w:rsid w:val="002222B9"/>
    <w:rsid w:val="002227FF"/>
    <w:rsid w:val="0022293C"/>
    <w:rsid w:val="00222B53"/>
    <w:rsid w:val="00222F6D"/>
    <w:rsid w:val="00223A96"/>
    <w:rsid w:val="00223EDA"/>
    <w:rsid w:val="00223EEC"/>
    <w:rsid w:val="00224322"/>
    <w:rsid w:val="002244F6"/>
    <w:rsid w:val="002244FD"/>
    <w:rsid w:val="0022476B"/>
    <w:rsid w:val="00224A5E"/>
    <w:rsid w:val="00224BE7"/>
    <w:rsid w:val="00224DC1"/>
    <w:rsid w:val="00224E8B"/>
    <w:rsid w:val="002250A9"/>
    <w:rsid w:val="00225129"/>
    <w:rsid w:val="0022535F"/>
    <w:rsid w:val="00225704"/>
    <w:rsid w:val="002258CD"/>
    <w:rsid w:val="00225B5B"/>
    <w:rsid w:val="00226403"/>
    <w:rsid w:val="00226461"/>
    <w:rsid w:val="00226679"/>
    <w:rsid w:val="00226782"/>
    <w:rsid w:val="00226932"/>
    <w:rsid w:val="00226F29"/>
    <w:rsid w:val="00227068"/>
    <w:rsid w:val="002272AB"/>
    <w:rsid w:val="002274CB"/>
    <w:rsid w:val="00227555"/>
    <w:rsid w:val="00227E2D"/>
    <w:rsid w:val="002300AE"/>
    <w:rsid w:val="00230515"/>
    <w:rsid w:val="00230538"/>
    <w:rsid w:val="00230ABF"/>
    <w:rsid w:val="00230D7B"/>
    <w:rsid w:val="00230E55"/>
    <w:rsid w:val="002311C5"/>
    <w:rsid w:val="00231739"/>
    <w:rsid w:val="002317F1"/>
    <w:rsid w:val="00231891"/>
    <w:rsid w:val="00231899"/>
    <w:rsid w:val="002318D6"/>
    <w:rsid w:val="00231C07"/>
    <w:rsid w:val="00231E46"/>
    <w:rsid w:val="002320ED"/>
    <w:rsid w:val="002328F7"/>
    <w:rsid w:val="0023361F"/>
    <w:rsid w:val="00233824"/>
    <w:rsid w:val="002338C4"/>
    <w:rsid w:val="00233908"/>
    <w:rsid w:val="00233B11"/>
    <w:rsid w:val="00233E05"/>
    <w:rsid w:val="0023428C"/>
    <w:rsid w:val="002344A7"/>
    <w:rsid w:val="00234B37"/>
    <w:rsid w:val="00234D9F"/>
    <w:rsid w:val="00234F0F"/>
    <w:rsid w:val="00235A66"/>
    <w:rsid w:val="00235EFE"/>
    <w:rsid w:val="00236021"/>
    <w:rsid w:val="0023612D"/>
    <w:rsid w:val="0023622A"/>
    <w:rsid w:val="002363B1"/>
    <w:rsid w:val="0023707F"/>
    <w:rsid w:val="00237263"/>
    <w:rsid w:val="00237837"/>
    <w:rsid w:val="00237914"/>
    <w:rsid w:val="00237E3E"/>
    <w:rsid w:val="00240242"/>
    <w:rsid w:val="002409A9"/>
    <w:rsid w:val="00240A7B"/>
    <w:rsid w:val="00240C21"/>
    <w:rsid w:val="00240F22"/>
    <w:rsid w:val="00240FF7"/>
    <w:rsid w:val="002417D6"/>
    <w:rsid w:val="002417F9"/>
    <w:rsid w:val="00241BE0"/>
    <w:rsid w:val="002421BC"/>
    <w:rsid w:val="00242210"/>
    <w:rsid w:val="00242263"/>
    <w:rsid w:val="00242CF9"/>
    <w:rsid w:val="00242DF5"/>
    <w:rsid w:val="00243133"/>
    <w:rsid w:val="00243234"/>
    <w:rsid w:val="00243660"/>
    <w:rsid w:val="00243A79"/>
    <w:rsid w:val="00243B1E"/>
    <w:rsid w:val="00243E75"/>
    <w:rsid w:val="00244133"/>
    <w:rsid w:val="002443A9"/>
    <w:rsid w:val="00244441"/>
    <w:rsid w:val="002447BE"/>
    <w:rsid w:val="002449AF"/>
    <w:rsid w:val="00244C69"/>
    <w:rsid w:val="002450DB"/>
    <w:rsid w:val="0024546C"/>
    <w:rsid w:val="0024546D"/>
    <w:rsid w:val="00245E94"/>
    <w:rsid w:val="00245ECC"/>
    <w:rsid w:val="00246CF4"/>
    <w:rsid w:val="00246EF8"/>
    <w:rsid w:val="00247154"/>
    <w:rsid w:val="002471C5"/>
    <w:rsid w:val="002473BB"/>
    <w:rsid w:val="0024768D"/>
    <w:rsid w:val="002476D0"/>
    <w:rsid w:val="00247BC0"/>
    <w:rsid w:val="00247D0F"/>
    <w:rsid w:val="002500FB"/>
    <w:rsid w:val="0025051F"/>
    <w:rsid w:val="00250697"/>
    <w:rsid w:val="00250829"/>
    <w:rsid w:val="00251722"/>
    <w:rsid w:val="00251B16"/>
    <w:rsid w:val="0025254B"/>
    <w:rsid w:val="00252594"/>
    <w:rsid w:val="00252697"/>
    <w:rsid w:val="00252B02"/>
    <w:rsid w:val="00252F1D"/>
    <w:rsid w:val="002534FD"/>
    <w:rsid w:val="002538CC"/>
    <w:rsid w:val="00253AC8"/>
    <w:rsid w:val="00253E7F"/>
    <w:rsid w:val="00254122"/>
    <w:rsid w:val="002546FF"/>
    <w:rsid w:val="00254781"/>
    <w:rsid w:val="002548DD"/>
    <w:rsid w:val="00254F66"/>
    <w:rsid w:val="002555A3"/>
    <w:rsid w:val="0025597E"/>
    <w:rsid w:val="00255B2E"/>
    <w:rsid w:val="0025636A"/>
    <w:rsid w:val="00256392"/>
    <w:rsid w:val="00256443"/>
    <w:rsid w:val="002564F9"/>
    <w:rsid w:val="00256A69"/>
    <w:rsid w:val="00256C8A"/>
    <w:rsid w:val="00256E1E"/>
    <w:rsid w:val="0025715E"/>
    <w:rsid w:val="002571D5"/>
    <w:rsid w:val="0025771E"/>
    <w:rsid w:val="00257953"/>
    <w:rsid w:val="00257EA6"/>
    <w:rsid w:val="00257F9D"/>
    <w:rsid w:val="0026018C"/>
    <w:rsid w:val="00260508"/>
    <w:rsid w:val="0026094B"/>
    <w:rsid w:val="00260A10"/>
    <w:rsid w:val="00260A19"/>
    <w:rsid w:val="00260B0F"/>
    <w:rsid w:val="00260BE9"/>
    <w:rsid w:val="00260C44"/>
    <w:rsid w:val="00261067"/>
    <w:rsid w:val="002610AB"/>
    <w:rsid w:val="0026158D"/>
    <w:rsid w:val="00261836"/>
    <w:rsid w:val="0026195B"/>
    <w:rsid w:val="00261967"/>
    <w:rsid w:val="0026196A"/>
    <w:rsid w:val="002619F6"/>
    <w:rsid w:val="002620DE"/>
    <w:rsid w:val="002621B0"/>
    <w:rsid w:val="0026234A"/>
    <w:rsid w:val="0026240F"/>
    <w:rsid w:val="00262636"/>
    <w:rsid w:val="00262C3B"/>
    <w:rsid w:val="0026348A"/>
    <w:rsid w:val="002639B6"/>
    <w:rsid w:val="00263A53"/>
    <w:rsid w:val="00263B85"/>
    <w:rsid w:val="00263B9E"/>
    <w:rsid w:val="00263C5B"/>
    <w:rsid w:val="00263F1D"/>
    <w:rsid w:val="00263F7F"/>
    <w:rsid w:val="002640C9"/>
    <w:rsid w:val="0026417C"/>
    <w:rsid w:val="002645E0"/>
    <w:rsid w:val="002646BC"/>
    <w:rsid w:val="00264C3C"/>
    <w:rsid w:val="00264D1C"/>
    <w:rsid w:val="002651C4"/>
    <w:rsid w:val="002652E2"/>
    <w:rsid w:val="0026533A"/>
    <w:rsid w:val="00265594"/>
    <w:rsid w:val="002656E7"/>
    <w:rsid w:val="00265A7E"/>
    <w:rsid w:val="002660E7"/>
    <w:rsid w:val="00266427"/>
    <w:rsid w:val="0026674A"/>
    <w:rsid w:val="0026698A"/>
    <w:rsid w:val="00266A37"/>
    <w:rsid w:val="00266A4E"/>
    <w:rsid w:val="00266B5E"/>
    <w:rsid w:val="00266BA4"/>
    <w:rsid w:val="0026788C"/>
    <w:rsid w:val="00270176"/>
    <w:rsid w:val="002703EE"/>
    <w:rsid w:val="00270486"/>
    <w:rsid w:val="00270BA6"/>
    <w:rsid w:val="002711A3"/>
    <w:rsid w:val="00271495"/>
    <w:rsid w:val="00271962"/>
    <w:rsid w:val="00271BB0"/>
    <w:rsid w:val="00271E93"/>
    <w:rsid w:val="0027215F"/>
    <w:rsid w:val="002721FD"/>
    <w:rsid w:val="00272239"/>
    <w:rsid w:val="0027254B"/>
    <w:rsid w:val="0027257D"/>
    <w:rsid w:val="0027278D"/>
    <w:rsid w:val="002727F1"/>
    <w:rsid w:val="0027284A"/>
    <w:rsid w:val="002733D4"/>
    <w:rsid w:val="0027349E"/>
    <w:rsid w:val="00273798"/>
    <w:rsid w:val="0027381D"/>
    <w:rsid w:val="0027386A"/>
    <w:rsid w:val="002743FA"/>
    <w:rsid w:val="00274620"/>
    <w:rsid w:val="00274ACB"/>
    <w:rsid w:val="00274BBB"/>
    <w:rsid w:val="00274CA1"/>
    <w:rsid w:val="0027566E"/>
    <w:rsid w:val="00275A35"/>
    <w:rsid w:val="00275D3C"/>
    <w:rsid w:val="00275D68"/>
    <w:rsid w:val="00276171"/>
    <w:rsid w:val="00276294"/>
    <w:rsid w:val="00276900"/>
    <w:rsid w:val="00276C62"/>
    <w:rsid w:val="0027710B"/>
    <w:rsid w:val="0027752A"/>
    <w:rsid w:val="002776DB"/>
    <w:rsid w:val="00277C1C"/>
    <w:rsid w:val="00277D4A"/>
    <w:rsid w:val="00277E37"/>
    <w:rsid w:val="00277E82"/>
    <w:rsid w:val="00280061"/>
    <w:rsid w:val="00280144"/>
    <w:rsid w:val="00280270"/>
    <w:rsid w:val="00280375"/>
    <w:rsid w:val="00280377"/>
    <w:rsid w:val="002804AC"/>
    <w:rsid w:val="002804EB"/>
    <w:rsid w:val="00280C1D"/>
    <w:rsid w:val="00280E87"/>
    <w:rsid w:val="00281059"/>
    <w:rsid w:val="002812D7"/>
    <w:rsid w:val="00281554"/>
    <w:rsid w:val="00281A05"/>
    <w:rsid w:val="00281C4A"/>
    <w:rsid w:val="00281D6B"/>
    <w:rsid w:val="00282110"/>
    <w:rsid w:val="00282236"/>
    <w:rsid w:val="002828FD"/>
    <w:rsid w:val="002832B0"/>
    <w:rsid w:val="002838EA"/>
    <w:rsid w:val="00283AE9"/>
    <w:rsid w:val="002840A3"/>
    <w:rsid w:val="00284AB7"/>
    <w:rsid w:val="00284D53"/>
    <w:rsid w:val="00284E21"/>
    <w:rsid w:val="002850DB"/>
    <w:rsid w:val="00285D73"/>
    <w:rsid w:val="00285F5C"/>
    <w:rsid w:val="002862AB"/>
    <w:rsid w:val="002862DE"/>
    <w:rsid w:val="002865EA"/>
    <w:rsid w:val="002869BD"/>
    <w:rsid w:val="00286CFA"/>
    <w:rsid w:val="00286E72"/>
    <w:rsid w:val="0028714B"/>
    <w:rsid w:val="00287290"/>
    <w:rsid w:val="0028777D"/>
    <w:rsid w:val="00290211"/>
    <w:rsid w:val="00290849"/>
    <w:rsid w:val="00290945"/>
    <w:rsid w:val="00290DD8"/>
    <w:rsid w:val="0029142B"/>
    <w:rsid w:val="00291BDF"/>
    <w:rsid w:val="0029200F"/>
    <w:rsid w:val="002922A2"/>
    <w:rsid w:val="0029253F"/>
    <w:rsid w:val="00292686"/>
    <w:rsid w:val="00292729"/>
    <w:rsid w:val="00292DD1"/>
    <w:rsid w:val="00292E42"/>
    <w:rsid w:val="002930DF"/>
    <w:rsid w:val="002930F0"/>
    <w:rsid w:val="0029317C"/>
    <w:rsid w:val="002934D7"/>
    <w:rsid w:val="00293972"/>
    <w:rsid w:val="002939A1"/>
    <w:rsid w:val="00293E11"/>
    <w:rsid w:val="00294271"/>
    <w:rsid w:val="0029428F"/>
    <w:rsid w:val="002943C8"/>
    <w:rsid w:val="002943D6"/>
    <w:rsid w:val="00294CC4"/>
    <w:rsid w:val="00294DB4"/>
    <w:rsid w:val="00294E55"/>
    <w:rsid w:val="00294E58"/>
    <w:rsid w:val="00295478"/>
    <w:rsid w:val="002957D8"/>
    <w:rsid w:val="00295EAE"/>
    <w:rsid w:val="0029619C"/>
    <w:rsid w:val="0029661E"/>
    <w:rsid w:val="00296AA9"/>
    <w:rsid w:val="00296BFD"/>
    <w:rsid w:val="00296CA0"/>
    <w:rsid w:val="00296E94"/>
    <w:rsid w:val="0029700A"/>
    <w:rsid w:val="00297699"/>
    <w:rsid w:val="00297761"/>
    <w:rsid w:val="002978BE"/>
    <w:rsid w:val="00297F1E"/>
    <w:rsid w:val="00297F47"/>
    <w:rsid w:val="002A0347"/>
    <w:rsid w:val="002A060F"/>
    <w:rsid w:val="002A0A1D"/>
    <w:rsid w:val="002A0D0D"/>
    <w:rsid w:val="002A1271"/>
    <w:rsid w:val="002A12FD"/>
    <w:rsid w:val="002A1ECA"/>
    <w:rsid w:val="002A2139"/>
    <w:rsid w:val="002A3389"/>
    <w:rsid w:val="002A373D"/>
    <w:rsid w:val="002A3DE5"/>
    <w:rsid w:val="002A3E42"/>
    <w:rsid w:val="002A3EE0"/>
    <w:rsid w:val="002A44A4"/>
    <w:rsid w:val="002A44D1"/>
    <w:rsid w:val="002A4657"/>
    <w:rsid w:val="002A484E"/>
    <w:rsid w:val="002A59B7"/>
    <w:rsid w:val="002A5C5A"/>
    <w:rsid w:val="002A5EDF"/>
    <w:rsid w:val="002A629A"/>
    <w:rsid w:val="002A670F"/>
    <w:rsid w:val="002A6EF8"/>
    <w:rsid w:val="002A7D91"/>
    <w:rsid w:val="002A7EC9"/>
    <w:rsid w:val="002B0249"/>
    <w:rsid w:val="002B03F7"/>
    <w:rsid w:val="002B0CB4"/>
    <w:rsid w:val="002B1088"/>
    <w:rsid w:val="002B113A"/>
    <w:rsid w:val="002B130B"/>
    <w:rsid w:val="002B1344"/>
    <w:rsid w:val="002B1735"/>
    <w:rsid w:val="002B1812"/>
    <w:rsid w:val="002B1B35"/>
    <w:rsid w:val="002B1B82"/>
    <w:rsid w:val="002B25FB"/>
    <w:rsid w:val="002B2D7C"/>
    <w:rsid w:val="002B3064"/>
    <w:rsid w:val="002B323E"/>
    <w:rsid w:val="002B3352"/>
    <w:rsid w:val="002B34FF"/>
    <w:rsid w:val="002B3890"/>
    <w:rsid w:val="002B3B22"/>
    <w:rsid w:val="002B3C30"/>
    <w:rsid w:val="002B3EB9"/>
    <w:rsid w:val="002B487A"/>
    <w:rsid w:val="002B48AB"/>
    <w:rsid w:val="002B4B86"/>
    <w:rsid w:val="002B4EA8"/>
    <w:rsid w:val="002B596F"/>
    <w:rsid w:val="002B5A11"/>
    <w:rsid w:val="002B5B1A"/>
    <w:rsid w:val="002B5BCB"/>
    <w:rsid w:val="002B5D56"/>
    <w:rsid w:val="002B5EAA"/>
    <w:rsid w:val="002B5F69"/>
    <w:rsid w:val="002B6045"/>
    <w:rsid w:val="002B645E"/>
    <w:rsid w:val="002B6831"/>
    <w:rsid w:val="002B6F8C"/>
    <w:rsid w:val="002B7013"/>
    <w:rsid w:val="002B706E"/>
    <w:rsid w:val="002B745C"/>
    <w:rsid w:val="002B7529"/>
    <w:rsid w:val="002B75CB"/>
    <w:rsid w:val="002B7983"/>
    <w:rsid w:val="002C0080"/>
    <w:rsid w:val="002C01C5"/>
    <w:rsid w:val="002C03CE"/>
    <w:rsid w:val="002C0E2C"/>
    <w:rsid w:val="002C0ECE"/>
    <w:rsid w:val="002C112A"/>
    <w:rsid w:val="002C13AE"/>
    <w:rsid w:val="002C1525"/>
    <w:rsid w:val="002C17A3"/>
    <w:rsid w:val="002C1BD4"/>
    <w:rsid w:val="002C1C92"/>
    <w:rsid w:val="002C1FF9"/>
    <w:rsid w:val="002C2097"/>
    <w:rsid w:val="002C28FB"/>
    <w:rsid w:val="002C29DD"/>
    <w:rsid w:val="002C2BAC"/>
    <w:rsid w:val="002C2EDD"/>
    <w:rsid w:val="002C2FD9"/>
    <w:rsid w:val="002C3122"/>
    <w:rsid w:val="002C362C"/>
    <w:rsid w:val="002C3673"/>
    <w:rsid w:val="002C3714"/>
    <w:rsid w:val="002C3F1F"/>
    <w:rsid w:val="002C421F"/>
    <w:rsid w:val="002C44A8"/>
    <w:rsid w:val="002C4BCB"/>
    <w:rsid w:val="002C4F15"/>
    <w:rsid w:val="002C5068"/>
    <w:rsid w:val="002C51E3"/>
    <w:rsid w:val="002C6157"/>
    <w:rsid w:val="002C63C4"/>
    <w:rsid w:val="002C64C2"/>
    <w:rsid w:val="002C6AB6"/>
    <w:rsid w:val="002C6C39"/>
    <w:rsid w:val="002C702C"/>
    <w:rsid w:val="002C72DC"/>
    <w:rsid w:val="002C7695"/>
    <w:rsid w:val="002C77D8"/>
    <w:rsid w:val="002C7905"/>
    <w:rsid w:val="002C7A4F"/>
    <w:rsid w:val="002D0179"/>
    <w:rsid w:val="002D0307"/>
    <w:rsid w:val="002D06E2"/>
    <w:rsid w:val="002D07EA"/>
    <w:rsid w:val="002D118F"/>
    <w:rsid w:val="002D1867"/>
    <w:rsid w:val="002D239F"/>
    <w:rsid w:val="002D2D74"/>
    <w:rsid w:val="002D3487"/>
    <w:rsid w:val="002D377F"/>
    <w:rsid w:val="002D37B7"/>
    <w:rsid w:val="002D3D34"/>
    <w:rsid w:val="002D40B9"/>
    <w:rsid w:val="002D44D5"/>
    <w:rsid w:val="002D45C1"/>
    <w:rsid w:val="002D45DD"/>
    <w:rsid w:val="002D4E27"/>
    <w:rsid w:val="002D4EC7"/>
    <w:rsid w:val="002D602D"/>
    <w:rsid w:val="002D6341"/>
    <w:rsid w:val="002D66F4"/>
    <w:rsid w:val="002D6B56"/>
    <w:rsid w:val="002D75DA"/>
    <w:rsid w:val="002D7647"/>
    <w:rsid w:val="002D7C26"/>
    <w:rsid w:val="002D7DDE"/>
    <w:rsid w:val="002E0647"/>
    <w:rsid w:val="002E09D6"/>
    <w:rsid w:val="002E0A17"/>
    <w:rsid w:val="002E0BFA"/>
    <w:rsid w:val="002E0E0F"/>
    <w:rsid w:val="002E167C"/>
    <w:rsid w:val="002E1E79"/>
    <w:rsid w:val="002E223A"/>
    <w:rsid w:val="002E2387"/>
    <w:rsid w:val="002E27E0"/>
    <w:rsid w:val="002E35E0"/>
    <w:rsid w:val="002E3CEB"/>
    <w:rsid w:val="002E4450"/>
    <w:rsid w:val="002E44BA"/>
    <w:rsid w:val="002E478E"/>
    <w:rsid w:val="002E48F6"/>
    <w:rsid w:val="002E4DA4"/>
    <w:rsid w:val="002E525F"/>
    <w:rsid w:val="002E52A5"/>
    <w:rsid w:val="002E54A7"/>
    <w:rsid w:val="002E5BDF"/>
    <w:rsid w:val="002E5E0C"/>
    <w:rsid w:val="002E60B7"/>
    <w:rsid w:val="002E62E9"/>
    <w:rsid w:val="002E6345"/>
    <w:rsid w:val="002E6375"/>
    <w:rsid w:val="002E6590"/>
    <w:rsid w:val="002E663C"/>
    <w:rsid w:val="002E6B6F"/>
    <w:rsid w:val="002E6FBD"/>
    <w:rsid w:val="002E73AA"/>
    <w:rsid w:val="002E7463"/>
    <w:rsid w:val="002F0003"/>
    <w:rsid w:val="002F03F0"/>
    <w:rsid w:val="002F0E0F"/>
    <w:rsid w:val="002F0F72"/>
    <w:rsid w:val="002F1052"/>
    <w:rsid w:val="002F1260"/>
    <w:rsid w:val="002F12EE"/>
    <w:rsid w:val="002F1774"/>
    <w:rsid w:val="002F17CD"/>
    <w:rsid w:val="002F1B7F"/>
    <w:rsid w:val="002F1EC3"/>
    <w:rsid w:val="002F1F01"/>
    <w:rsid w:val="002F204E"/>
    <w:rsid w:val="002F2215"/>
    <w:rsid w:val="002F2678"/>
    <w:rsid w:val="002F27B8"/>
    <w:rsid w:val="002F2864"/>
    <w:rsid w:val="002F2916"/>
    <w:rsid w:val="002F2BBC"/>
    <w:rsid w:val="002F2D9C"/>
    <w:rsid w:val="002F2DB7"/>
    <w:rsid w:val="002F2E20"/>
    <w:rsid w:val="002F2FDD"/>
    <w:rsid w:val="002F3222"/>
    <w:rsid w:val="002F37DE"/>
    <w:rsid w:val="002F3B21"/>
    <w:rsid w:val="002F3C57"/>
    <w:rsid w:val="002F3DA7"/>
    <w:rsid w:val="002F4141"/>
    <w:rsid w:val="002F4451"/>
    <w:rsid w:val="002F498C"/>
    <w:rsid w:val="002F52A7"/>
    <w:rsid w:val="002F535A"/>
    <w:rsid w:val="002F53DF"/>
    <w:rsid w:val="002F57F2"/>
    <w:rsid w:val="002F5CD6"/>
    <w:rsid w:val="002F5E1F"/>
    <w:rsid w:val="002F5FF0"/>
    <w:rsid w:val="002F68A4"/>
    <w:rsid w:val="002F701A"/>
    <w:rsid w:val="002F7122"/>
    <w:rsid w:val="002F72FC"/>
    <w:rsid w:val="002F7538"/>
    <w:rsid w:val="002F7D08"/>
    <w:rsid w:val="002F7D8B"/>
    <w:rsid w:val="002F7ED7"/>
    <w:rsid w:val="003001A6"/>
    <w:rsid w:val="0030043E"/>
    <w:rsid w:val="00300644"/>
    <w:rsid w:val="0030088A"/>
    <w:rsid w:val="00300A81"/>
    <w:rsid w:val="0030190B"/>
    <w:rsid w:val="00301DD8"/>
    <w:rsid w:val="0030234B"/>
    <w:rsid w:val="003026B2"/>
    <w:rsid w:val="00302A3F"/>
    <w:rsid w:val="00302FF0"/>
    <w:rsid w:val="00303350"/>
    <w:rsid w:val="00303393"/>
    <w:rsid w:val="00303731"/>
    <w:rsid w:val="003037E8"/>
    <w:rsid w:val="00303AD6"/>
    <w:rsid w:val="00303B74"/>
    <w:rsid w:val="003048AB"/>
    <w:rsid w:val="00304B86"/>
    <w:rsid w:val="00304EC3"/>
    <w:rsid w:val="003051F6"/>
    <w:rsid w:val="0030522F"/>
    <w:rsid w:val="003054EF"/>
    <w:rsid w:val="003055A0"/>
    <w:rsid w:val="003057A5"/>
    <w:rsid w:val="003057F5"/>
    <w:rsid w:val="00305F64"/>
    <w:rsid w:val="0030664D"/>
    <w:rsid w:val="003068B3"/>
    <w:rsid w:val="00306B10"/>
    <w:rsid w:val="003071EC"/>
    <w:rsid w:val="00307201"/>
    <w:rsid w:val="00307545"/>
    <w:rsid w:val="003075F3"/>
    <w:rsid w:val="00307B6D"/>
    <w:rsid w:val="00307D3C"/>
    <w:rsid w:val="00307EA9"/>
    <w:rsid w:val="00307F9B"/>
    <w:rsid w:val="00310271"/>
    <w:rsid w:val="003105A2"/>
    <w:rsid w:val="0031082C"/>
    <w:rsid w:val="0031090A"/>
    <w:rsid w:val="00310C18"/>
    <w:rsid w:val="00310EB6"/>
    <w:rsid w:val="00311216"/>
    <w:rsid w:val="00311580"/>
    <w:rsid w:val="00311741"/>
    <w:rsid w:val="00311AA2"/>
    <w:rsid w:val="00311FF1"/>
    <w:rsid w:val="003122C6"/>
    <w:rsid w:val="00312636"/>
    <w:rsid w:val="003126DF"/>
    <w:rsid w:val="0031271D"/>
    <w:rsid w:val="00312A54"/>
    <w:rsid w:val="003137B8"/>
    <w:rsid w:val="003138A5"/>
    <w:rsid w:val="00313A64"/>
    <w:rsid w:val="00313B75"/>
    <w:rsid w:val="00313E32"/>
    <w:rsid w:val="00313F62"/>
    <w:rsid w:val="00314113"/>
    <w:rsid w:val="003142B1"/>
    <w:rsid w:val="003143E5"/>
    <w:rsid w:val="0031481A"/>
    <w:rsid w:val="00314822"/>
    <w:rsid w:val="00314DE9"/>
    <w:rsid w:val="00314E9E"/>
    <w:rsid w:val="00314F1F"/>
    <w:rsid w:val="003155AC"/>
    <w:rsid w:val="00315C41"/>
    <w:rsid w:val="00315EBD"/>
    <w:rsid w:val="00316068"/>
    <w:rsid w:val="003166DD"/>
    <w:rsid w:val="003169E9"/>
    <w:rsid w:val="0031766A"/>
    <w:rsid w:val="003201D6"/>
    <w:rsid w:val="00320550"/>
    <w:rsid w:val="00320598"/>
    <w:rsid w:val="00320DF2"/>
    <w:rsid w:val="00321E0F"/>
    <w:rsid w:val="003227AE"/>
    <w:rsid w:val="00322CF8"/>
    <w:rsid w:val="00322EA8"/>
    <w:rsid w:val="003230EF"/>
    <w:rsid w:val="00323185"/>
    <w:rsid w:val="00323460"/>
    <w:rsid w:val="0032400C"/>
    <w:rsid w:val="00324153"/>
    <w:rsid w:val="003241B5"/>
    <w:rsid w:val="003247E3"/>
    <w:rsid w:val="00324B8F"/>
    <w:rsid w:val="00324F83"/>
    <w:rsid w:val="0032569A"/>
    <w:rsid w:val="00325E85"/>
    <w:rsid w:val="00326134"/>
    <w:rsid w:val="00326311"/>
    <w:rsid w:val="003266E3"/>
    <w:rsid w:val="003267AB"/>
    <w:rsid w:val="00326ED5"/>
    <w:rsid w:val="00326F5E"/>
    <w:rsid w:val="003271F9"/>
    <w:rsid w:val="0032779B"/>
    <w:rsid w:val="003277C6"/>
    <w:rsid w:val="0032797F"/>
    <w:rsid w:val="003279B1"/>
    <w:rsid w:val="0033021A"/>
    <w:rsid w:val="00330C5E"/>
    <w:rsid w:val="00330CD1"/>
    <w:rsid w:val="00330E16"/>
    <w:rsid w:val="00330F96"/>
    <w:rsid w:val="00331402"/>
    <w:rsid w:val="00331564"/>
    <w:rsid w:val="00331A0A"/>
    <w:rsid w:val="00331C83"/>
    <w:rsid w:val="00331F43"/>
    <w:rsid w:val="00332085"/>
    <w:rsid w:val="00332258"/>
    <w:rsid w:val="00332626"/>
    <w:rsid w:val="00332651"/>
    <w:rsid w:val="00332C2C"/>
    <w:rsid w:val="00332C71"/>
    <w:rsid w:val="00332E1C"/>
    <w:rsid w:val="00332FE7"/>
    <w:rsid w:val="0033326F"/>
    <w:rsid w:val="00333357"/>
    <w:rsid w:val="0033353D"/>
    <w:rsid w:val="00334216"/>
    <w:rsid w:val="00334388"/>
    <w:rsid w:val="00334591"/>
    <w:rsid w:val="00334FEC"/>
    <w:rsid w:val="00335234"/>
    <w:rsid w:val="003357A5"/>
    <w:rsid w:val="003358AC"/>
    <w:rsid w:val="00335A67"/>
    <w:rsid w:val="00335ACF"/>
    <w:rsid w:val="00335DFC"/>
    <w:rsid w:val="00336044"/>
    <w:rsid w:val="003369E9"/>
    <w:rsid w:val="00336AF8"/>
    <w:rsid w:val="00336D82"/>
    <w:rsid w:val="00336E00"/>
    <w:rsid w:val="00336FCE"/>
    <w:rsid w:val="003370AE"/>
    <w:rsid w:val="00337E02"/>
    <w:rsid w:val="00340550"/>
    <w:rsid w:val="003407F7"/>
    <w:rsid w:val="00340943"/>
    <w:rsid w:val="00340D6C"/>
    <w:rsid w:val="00340F4C"/>
    <w:rsid w:val="00341201"/>
    <w:rsid w:val="0034151E"/>
    <w:rsid w:val="00341652"/>
    <w:rsid w:val="003417A1"/>
    <w:rsid w:val="00341F7B"/>
    <w:rsid w:val="0034221D"/>
    <w:rsid w:val="00342701"/>
    <w:rsid w:val="003428A8"/>
    <w:rsid w:val="00342971"/>
    <w:rsid w:val="00342CDD"/>
    <w:rsid w:val="003433E1"/>
    <w:rsid w:val="0034376F"/>
    <w:rsid w:val="0034379A"/>
    <w:rsid w:val="00343C4C"/>
    <w:rsid w:val="0034432B"/>
    <w:rsid w:val="003444EA"/>
    <w:rsid w:val="00344820"/>
    <w:rsid w:val="00344F4E"/>
    <w:rsid w:val="00345DA7"/>
    <w:rsid w:val="00345E28"/>
    <w:rsid w:val="00345F3F"/>
    <w:rsid w:val="003466C2"/>
    <w:rsid w:val="00346AE9"/>
    <w:rsid w:val="00346C38"/>
    <w:rsid w:val="00346CD9"/>
    <w:rsid w:val="00346FA2"/>
    <w:rsid w:val="00347416"/>
    <w:rsid w:val="0034755D"/>
    <w:rsid w:val="0034781D"/>
    <w:rsid w:val="00347A7B"/>
    <w:rsid w:val="00347C78"/>
    <w:rsid w:val="00347EE3"/>
    <w:rsid w:val="00347FDF"/>
    <w:rsid w:val="0035049A"/>
    <w:rsid w:val="003506A3"/>
    <w:rsid w:val="003506D7"/>
    <w:rsid w:val="0035073E"/>
    <w:rsid w:val="003508F5"/>
    <w:rsid w:val="00350ED6"/>
    <w:rsid w:val="00351508"/>
    <w:rsid w:val="003516AB"/>
    <w:rsid w:val="00351A20"/>
    <w:rsid w:val="00351BDE"/>
    <w:rsid w:val="00351DDD"/>
    <w:rsid w:val="003520E0"/>
    <w:rsid w:val="003520F2"/>
    <w:rsid w:val="00352478"/>
    <w:rsid w:val="00352844"/>
    <w:rsid w:val="00352DD2"/>
    <w:rsid w:val="00352F42"/>
    <w:rsid w:val="00353066"/>
    <w:rsid w:val="003530D0"/>
    <w:rsid w:val="003534F2"/>
    <w:rsid w:val="00353A33"/>
    <w:rsid w:val="00353EBB"/>
    <w:rsid w:val="00354081"/>
    <w:rsid w:val="00354271"/>
    <w:rsid w:val="00354501"/>
    <w:rsid w:val="003552DE"/>
    <w:rsid w:val="003552EC"/>
    <w:rsid w:val="00355346"/>
    <w:rsid w:val="003555CB"/>
    <w:rsid w:val="003556D2"/>
    <w:rsid w:val="0035597C"/>
    <w:rsid w:val="00356912"/>
    <w:rsid w:val="00356CC3"/>
    <w:rsid w:val="00357112"/>
    <w:rsid w:val="0035733C"/>
    <w:rsid w:val="00357450"/>
    <w:rsid w:val="00357726"/>
    <w:rsid w:val="0035776E"/>
    <w:rsid w:val="003577B4"/>
    <w:rsid w:val="00357DB0"/>
    <w:rsid w:val="0036019E"/>
    <w:rsid w:val="0036024D"/>
    <w:rsid w:val="003602E7"/>
    <w:rsid w:val="00360878"/>
    <w:rsid w:val="00360E38"/>
    <w:rsid w:val="00361487"/>
    <w:rsid w:val="003617E9"/>
    <w:rsid w:val="00361AD2"/>
    <w:rsid w:val="00362655"/>
    <w:rsid w:val="00362A89"/>
    <w:rsid w:val="00362B31"/>
    <w:rsid w:val="00363320"/>
    <w:rsid w:val="00363362"/>
    <w:rsid w:val="0036364D"/>
    <w:rsid w:val="00363751"/>
    <w:rsid w:val="00363892"/>
    <w:rsid w:val="00363BA9"/>
    <w:rsid w:val="00363E9C"/>
    <w:rsid w:val="003641BE"/>
    <w:rsid w:val="003643D6"/>
    <w:rsid w:val="003645AF"/>
    <w:rsid w:val="003646B0"/>
    <w:rsid w:val="00364B65"/>
    <w:rsid w:val="00364C67"/>
    <w:rsid w:val="0036558F"/>
    <w:rsid w:val="003656F1"/>
    <w:rsid w:val="003657B7"/>
    <w:rsid w:val="00365914"/>
    <w:rsid w:val="003662D4"/>
    <w:rsid w:val="003663C3"/>
    <w:rsid w:val="0036650E"/>
    <w:rsid w:val="0036682B"/>
    <w:rsid w:val="00366867"/>
    <w:rsid w:val="00366896"/>
    <w:rsid w:val="0036699E"/>
    <w:rsid w:val="00366D2A"/>
    <w:rsid w:val="00366D35"/>
    <w:rsid w:val="00367112"/>
    <w:rsid w:val="003672B7"/>
    <w:rsid w:val="00367842"/>
    <w:rsid w:val="00367FE9"/>
    <w:rsid w:val="003703FE"/>
    <w:rsid w:val="003706B8"/>
    <w:rsid w:val="00370778"/>
    <w:rsid w:val="00370DCA"/>
    <w:rsid w:val="00370EBD"/>
    <w:rsid w:val="003715A2"/>
    <w:rsid w:val="00372319"/>
    <w:rsid w:val="00372368"/>
    <w:rsid w:val="003728D3"/>
    <w:rsid w:val="0037396E"/>
    <w:rsid w:val="003739FC"/>
    <w:rsid w:val="00373A92"/>
    <w:rsid w:val="00373B11"/>
    <w:rsid w:val="00373ED7"/>
    <w:rsid w:val="0037401F"/>
    <w:rsid w:val="003742E8"/>
    <w:rsid w:val="003744F4"/>
    <w:rsid w:val="003749B0"/>
    <w:rsid w:val="00374C56"/>
    <w:rsid w:val="00374D55"/>
    <w:rsid w:val="00375811"/>
    <w:rsid w:val="00375C47"/>
    <w:rsid w:val="0037600D"/>
    <w:rsid w:val="003760B4"/>
    <w:rsid w:val="0037686F"/>
    <w:rsid w:val="003769F3"/>
    <w:rsid w:val="00376B63"/>
    <w:rsid w:val="00376C06"/>
    <w:rsid w:val="00377031"/>
    <w:rsid w:val="00377691"/>
    <w:rsid w:val="003779B7"/>
    <w:rsid w:val="00377ACB"/>
    <w:rsid w:val="00377BBF"/>
    <w:rsid w:val="00377D23"/>
    <w:rsid w:val="0038003F"/>
    <w:rsid w:val="00380240"/>
    <w:rsid w:val="00380684"/>
    <w:rsid w:val="003807A7"/>
    <w:rsid w:val="00380A47"/>
    <w:rsid w:val="00380C5B"/>
    <w:rsid w:val="00380CD3"/>
    <w:rsid w:val="00380DB2"/>
    <w:rsid w:val="00380F04"/>
    <w:rsid w:val="003812C2"/>
    <w:rsid w:val="0038131C"/>
    <w:rsid w:val="00381419"/>
    <w:rsid w:val="003815E8"/>
    <w:rsid w:val="00381751"/>
    <w:rsid w:val="003825B1"/>
    <w:rsid w:val="00382674"/>
    <w:rsid w:val="00382C4F"/>
    <w:rsid w:val="00382CD5"/>
    <w:rsid w:val="00382DFD"/>
    <w:rsid w:val="003830F2"/>
    <w:rsid w:val="003831BB"/>
    <w:rsid w:val="00383416"/>
    <w:rsid w:val="0038341C"/>
    <w:rsid w:val="0038342A"/>
    <w:rsid w:val="0038382B"/>
    <w:rsid w:val="0038386C"/>
    <w:rsid w:val="00383AEB"/>
    <w:rsid w:val="003847F8"/>
    <w:rsid w:val="00384DCF"/>
    <w:rsid w:val="0038543F"/>
    <w:rsid w:val="0038587C"/>
    <w:rsid w:val="003858E3"/>
    <w:rsid w:val="00385ACA"/>
    <w:rsid w:val="00385B90"/>
    <w:rsid w:val="003864A1"/>
    <w:rsid w:val="00386C51"/>
    <w:rsid w:val="003870C7"/>
    <w:rsid w:val="00387279"/>
    <w:rsid w:val="003873C5"/>
    <w:rsid w:val="003873EC"/>
    <w:rsid w:val="00387414"/>
    <w:rsid w:val="0038758C"/>
    <w:rsid w:val="00387602"/>
    <w:rsid w:val="003877FA"/>
    <w:rsid w:val="00387A3A"/>
    <w:rsid w:val="00387B14"/>
    <w:rsid w:val="00387CE8"/>
    <w:rsid w:val="0039050A"/>
    <w:rsid w:val="00390A42"/>
    <w:rsid w:val="00390BBB"/>
    <w:rsid w:val="00391051"/>
    <w:rsid w:val="00391722"/>
    <w:rsid w:val="003918C2"/>
    <w:rsid w:val="003918D7"/>
    <w:rsid w:val="003923C9"/>
    <w:rsid w:val="00392870"/>
    <w:rsid w:val="003929B9"/>
    <w:rsid w:val="0039302C"/>
    <w:rsid w:val="0039307B"/>
    <w:rsid w:val="003930E4"/>
    <w:rsid w:val="0039325B"/>
    <w:rsid w:val="00393818"/>
    <w:rsid w:val="00393B51"/>
    <w:rsid w:val="00393D4D"/>
    <w:rsid w:val="00393ED2"/>
    <w:rsid w:val="00394197"/>
    <w:rsid w:val="0039457D"/>
    <w:rsid w:val="0039486E"/>
    <w:rsid w:val="00394B46"/>
    <w:rsid w:val="00395136"/>
    <w:rsid w:val="00395D05"/>
    <w:rsid w:val="00395D07"/>
    <w:rsid w:val="0039621D"/>
    <w:rsid w:val="0039625A"/>
    <w:rsid w:val="003967F3"/>
    <w:rsid w:val="00396DE8"/>
    <w:rsid w:val="00396E03"/>
    <w:rsid w:val="00397213"/>
    <w:rsid w:val="003974F3"/>
    <w:rsid w:val="00397623"/>
    <w:rsid w:val="003977A3"/>
    <w:rsid w:val="003977F5"/>
    <w:rsid w:val="00397B3F"/>
    <w:rsid w:val="00397E52"/>
    <w:rsid w:val="003A050D"/>
    <w:rsid w:val="003A0C00"/>
    <w:rsid w:val="003A0C60"/>
    <w:rsid w:val="003A0D1A"/>
    <w:rsid w:val="003A0E36"/>
    <w:rsid w:val="003A1006"/>
    <w:rsid w:val="003A117A"/>
    <w:rsid w:val="003A13A2"/>
    <w:rsid w:val="003A16CD"/>
    <w:rsid w:val="003A1870"/>
    <w:rsid w:val="003A18F2"/>
    <w:rsid w:val="003A19E1"/>
    <w:rsid w:val="003A2214"/>
    <w:rsid w:val="003A2282"/>
    <w:rsid w:val="003A2290"/>
    <w:rsid w:val="003A2350"/>
    <w:rsid w:val="003A265D"/>
    <w:rsid w:val="003A311C"/>
    <w:rsid w:val="003A36FC"/>
    <w:rsid w:val="003A3841"/>
    <w:rsid w:val="003A3993"/>
    <w:rsid w:val="003A3B1E"/>
    <w:rsid w:val="003A3DF1"/>
    <w:rsid w:val="003A3F86"/>
    <w:rsid w:val="003A3FE5"/>
    <w:rsid w:val="003A518A"/>
    <w:rsid w:val="003A577F"/>
    <w:rsid w:val="003A5905"/>
    <w:rsid w:val="003A5977"/>
    <w:rsid w:val="003A5AFE"/>
    <w:rsid w:val="003A61A8"/>
    <w:rsid w:val="003A6759"/>
    <w:rsid w:val="003A6CD3"/>
    <w:rsid w:val="003A6E76"/>
    <w:rsid w:val="003A7255"/>
    <w:rsid w:val="003A769A"/>
    <w:rsid w:val="003A7FE6"/>
    <w:rsid w:val="003B030F"/>
    <w:rsid w:val="003B0761"/>
    <w:rsid w:val="003B076F"/>
    <w:rsid w:val="003B0AB5"/>
    <w:rsid w:val="003B0C3B"/>
    <w:rsid w:val="003B0CEB"/>
    <w:rsid w:val="003B0E7D"/>
    <w:rsid w:val="003B1525"/>
    <w:rsid w:val="003B1858"/>
    <w:rsid w:val="003B1CD3"/>
    <w:rsid w:val="003B1D7D"/>
    <w:rsid w:val="003B1EF7"/>
    <w:rsid w:val="003B20FE"/>
    <w:rsid w:val="003B2183"/>
    <w:rsid w:val="003B220C"/>
    <w:rsid w:val="003B230E"/>
    <w:rsid w:val="003B2492"/>
    <w:rsid w:val="003B27CE"/>
    <w:rsid w:val="003B2805"/>
    <w:rsid w:val="003B2C01"/>
    <w:rsid w:val="003B2C2C"/>
    <w:rsid w:val="003B2E36"/>
    <w:rsid w:val="003B2F20"/>
    <w:rsid w:val="003B2F26"/>
    <w:rsid w:val="003B384A"/>
    <w:rsid w:val="003B3E1E"/>
    <w:rsid w:val="003B40B4"/>
    <w:rsid w:val="003B4338"/>
    <w:rsid w:val="003B4529"/>
    <w:rsid w:val="003B4570"/>
    <w:rsid w:val="003B4643"/>
    <w:rsid w:val="003B4C8E"/>
    <w:rsid w:val="003B51FA"/>
    <w:rsid w:val="003B532E"/>
    <w:rsid w:val="003B53D3"/>
    <w:rsid w:val="003B573B"/>
    <w:rsid w:val="003B574D"/>
    <w:rsid w:val="003B5B18"/>
    <w:rsid w:val="003B5E91"/>
    <w:rsid w:val="003B5FBE"/>
    <w:rsid w:val="003B635A"/>
    <w:rsid w:val="003B6BED"/>
    <w:rsid w:val="003B6C70"/>
    <w:rsid w:val="003B6EA9"/>
    <w:rsid w:val="003B6F86"/>
    <w:rsid w:val="003B7026"/>
    <w:rsid w:val="003B7034"/>
    <w:rsid w:val="003B7B45"/>
    <w:rsid w:val="003B7C67"/>
    <w:rsid w:val="003B7D50"/>
    <w:rsid w:val="003B7E52"/>
    <w:rsid w:val="003C017E"/>
    <w:rsid w:val="003C06C4"/>
    <w:rsid w:val="003C1208"/>
    <w:rsid w:val="003C1441"/>
    <w:rsid w:val="003C14F9"/>
    <w:rsid w:val="003C1B9D"/>
    <w:rsid w:val="003C1BBD"/>
    <w:rsid w:val="003C25CD"/>
    <w:rsid w:val="003C292B"/>
    <w:rsid w:val="003C2DC7"/>
    <w:rsid w:val="003C30E0"/>
    <w:rsid w:val="003C3455"/>
    <w:rsid w:val="003C3836"/>
    <w:rsid w:val="003C3B3F"/>
    <w:rsid w:val="003C3B81"/>
    <w:rsid w:val="003C44CC"/>
    <w:rsid w:val="003C46C4"/>
    <w:rsid w:val="003C47CE"/>
    <w:rsid w:val="003C48A9"/>
    <w:rsid w:val="003C48AB"/>
    <w:rsid w:val="003C4BDA"/>
    <w:rsid w:val="003C4DED"/>
    <w:rsid w:val="003C4EEE"/>
    <w:rsid w:val="003C52BC"/>
    <w:rsid w:val="003C54D5"/>
    <w:rsid w:val="003C56AF"/>
    <w:rsid w:val="003C5803"/>
    <w:rsid w:val="003C5AB8"/>
    <w:rsid w:val="003C6B1B"/>
    <w:rsid w:val="003C6D66"/>
    <w:rsid w:val="003C7616"/>
    <w:rsid w:val="003C7689"/>
    <w:rsid w:val="003C7D1B"/>
    <w:rsid w:val="003D030E"/>
    <w:rsid w:val="003D0395"/>
    <w:rsid w:val="003D057E"/>
    <w:rsid w:val="003D05D4"/>
    <w:rsid w:val="003D0A1B"/>
    <w:rsid w:val="003D0CA3"/>
    <w:rsid w:val="003D0E71"/>
    <w:rsid w:val="003D147A"/>
    <w:rsid w:val="003D17D8"/>
    <w:rsid w:val="003D1848"/>
    <w:rsid w:val="003D1B38"/>
    <w:rsid w:val="003D1C2B"/>
    <w:rsid w:val="003D216F"/>
    <w:rsid w:val="003D21BE"/>
    <w:rsid w:val="003D25ED"/>
    <w:rsid w:val="003D2CD5"/>
    <w:rsid w:val="003D2D9F"/>
    <w:rsid w:val="003D30AC"/>
    <w:rsid w:val="003D32A3"/>
    <w:rsid w:val="003D33F5"/>
    <w:rsid w:val="003D3472"/>
    <w:rsid w:val="003D4770"/>
    <w:rsid w:val="003D49B9"/>
    <w:rsid w:val="003D4B53"/>
    <w:rsid w:val="003D513E"/>
    <w:rsid w:val="003D52BE"/>
    <w:rsid w:val="003D560D"/>
    <w:rsid w:val="003D5FF7"/>
    <w:rsid w:val="003D615C"/>
    <w:rsid w:val="003D6443"/>
    <w:rsid w:val="003D64AC"/>
    <w:rsid w:val="003D6539"/>
    <w:rsid w:val="003D697C"/>
    <w:rsid w:val="003D6B5C"/>
    <w:rsid w:val="003D6F1B"/>
    <w:rsid w:val="003D6FD9"/>
    <w:rsid w:val="003D701E"/>
    <w:rsid w:val="003D7233"/>
    <w:rsid w:val="003D77A5"/>
    <w:rsid w:val="003D78BB"/>
    <w:rsid w:val="003D7D0F"/>
    <w:rsid w:val="003E0025"/>
    <w:rsid w:val="003E05F3"/>
    <w:rsid w:val="003E06FC"/>
    <w:rsid w:val="003E120C"/>
    <w:rsid w:val="003E12A2"/>
    <w:rsid w:val="003E14B2"/>
    <w:rsid w:val="003E14E7"/>
    <w:rsid w:val="003E17C2"/>
    <w:rsid w:val="003E18FD"/>
    <w:rsid w:val="003E2081"/>
    <w:rsid w:val="003E2087"/>
    <w:rsid w:val="003E22BD"/>
    <w:rsid w:val="003E2B3A"/>
    <w:rsid w:val="003E2BD1"/>
    <w:rsid w:val="003E2F05"/>
    <w:rsid w:val="003E399B"/>
    <w:rsid w:val="003E3B7C"/>
    <w:rsid w:val="003E3B8B"/>
    <w:rsid w:val="003E42DF"/>
    <w:rsid w:val="003E457C"/>
    <w:rsid w:val="003E477B"/>
    <w:rsid w:val="003E4DEB"/>
    <w:rsid w:val="003E50B6"/>
    <w:rsid w:val="003E5238"/>
    <w:rsid w:val="003E5560"/>
    <w:rsid w:val="003E5695"/>
    <w:rsid w:val="003E584F"/>
    <w:rsid w:val="003E5B51"/>
    <w:rsid w:val="003E5D2A"/>
    <w:rsid w:val="003E5E29"/>
    <w:rsid w:val="003E5E5A"/>
    <w:rsid w:val="003E6417"/>
    <w:rsid w:val="003E647C"/>
    <w:rsid w:val="003E6717"/>
    <w:rsid w:val="003E6E80"/>
    <w:rsid w:val="003E7009"/>
    <w:rsid w:val="003E726A"/>
    <w:rsid w:val="003E7764"/>
    <w:rsid w:val="003E7889"/>
    <w:rsid w:val="003E7F5A"/>
    <w:rsid w:val="003F0B3C"/>
    <w:rsid w:val="003F0C5A"/>
    <w:rsid w:val="003F0D44"/>
    <w:rsid w:val="003F1151"/>
    <w:rsid w:val="003F14CC"/>
    <w:rsid w:val="003F14F1"/>
    <w:rsid w:val="003F1A39"/>
    <w:rsid w:val="003F1B38"/>
    <w:rsid w:val="003F1DD9"/>
    <w:rsid w:val="003F21FA"/>
    <w:rsid w:val="003F223B"/>
    <w:rsid w:val="003F22A7"/>
    <w:rsid w:val="003F2CAF"/>
    <w:rsid w:val="003F361C"/>
    <w:rsid w:val="003F3A2F"/>
    <w:rsid w:val="003F3CEC"/>
    <w:rsid w:val="003F3D11"/>
    <w:rsid w:val="003F3F73"/>
    <w:rsid w:val="003F3F99"/>
    <w:rsid w:val="003F473D"/>
    <w:rsid w:val="003F4863"/>
    <w:rsid w:val="003F4893"/>
    <w:rsid w:val="003F49EB"/>
    <w:rsid w:val="003F4E7B"/>
    <w:rsid w:val="003F5639"/>
    <w:rsid w:val="003F56A8"/>
    <w:rsid w:val="003F5C15"/>
    <w:rsid w:val="003F5DAA"/>
    <w:rsid w:val="003F5E6C"/>
    <w:rsid w:val="003F5FD6"/>
    <w:rsid w:val="003F614A"/>
    <w:rsid w:val="003F6511"/>
    <w:rsid w:val="003F6BDC"/>
    <w:rsid w:val="003F6CD8"/>
    <w:rsid w:val="003F6D10"/>
    <w:rsid w:val="003F6EB8"/>
    <w:rsid w:val="003F721F"/>
    <w:rsid w:val="003F734A"/>
    <w:rsid w:val="003F744D"/>
    <w:rsid w:val="003F772F"/>
    <w:rsid w:val="003F7772"/>
    <w:rsid w:val="003F7809"/>
    <w:rsid w:val="003F7DDE"/>
    <w:rsid w:val="00400C48"/>
    <w:rsid w:val="00400F9C"/>
    <w:rsid w:val="004011B6"/>
    <w:rsid w:val="00401683"/>
    <w:rsid w:val="00401933"/>
    <w:rsid w:val="00401A73"/>
    <w:rsid w:val="00401D27"/>
    <w:rsid w:val="00401ED6"/>
    <w:rsid w:val="00402141"/>
    <w:rsid w:val="00402420"/>
    <w:rsid w:val="004025BF"/>
    <w:rsid w:val="00402C58"/>
    <w:rsid w:val="0040359C"/>
    <w:rsid w:val="00403783"/>
    <w:rsid w:val="004037D8"/>
    <w:rsid w:val="00403976"/>
    <w:rsid w:val="00404073"/>
    <w:rsid w:val="00404096"/>
    <w:rsid w:val="00404577"/>
    <w:rsid w:val="00404B2C"/>
    <w:rsid w:val="00404BA0"/>
    <w:rsid w:val="004050E3"/>
    <w:rsid w:val="0040523B"/>
    <w:rsid w:val="00405586"/>
    <w:rsid w:val="00405905"/>
    <w:rsid w:val="00405963"/>
    <w:rsid w:val="0040596B"/>
    <w:rsid w:val="00405A4B"/>
    <w:rsid w:val="00405CB5"/>
    <w:rsid w:val="00405D4C"/>
    <w:rsid w:val="00406443"/>
    <w:rsid w:val="00406496"/>
    <w:rsid w:val="00406532"/>
    <w:rsid w:val="004065D7"/>
    <w:rsid w:val="0040672B"/>
    <w:rsid w:val="00406B25"/>
    <w:rsid w:val="00406E02"/>
    <w:rsid w:val="00406E3F"/>
    <w:rsid w:val="00406F3C"/>
    <w:rsid w:val="00406FD2"/>
    <w:rsid w:val="004077BD"/>
    <w:rsid w:val="00407978"/>
    <w:rsid w:val="00407D29"/>
    <w:rsid w:val="00407E9B"/>
    <w:rsid w:val="00407F04"/>
    <w:rsid w:val="004106ED"/>
    <w:rsid w:val="004107CD"/>
    <w:rsid w:val="00410977"/>
    <w:rsid w:val="00410B07"/>
    <w:rsid w:val="00410BEC"/>
    <w:rsid w:val="0041103D"/>
    <w:rsid w:val="0041185F"/>
    <w:rsid w:val="00411986"/>
    <w:rsid w:val="0041201D"/>
    <w:rsid w:val="004120EB"/>
    <w:rsid w:val="00412449"/>
    <w:rsid w:val="004124B7"/>
    <w:rsid w:val="00412A73"/>
    <w:rsid w:val="004132B5"/>
    <w:rsid w:val="00413355"/>
    <w:rsid w:val="004135B3"/>
    <w:rsid w:val="00414E63"/>
    <w:rsid w:val="004158A8"/>
    <w:rsid w:val="004159BF"/>
    <w:rsid w:val="00415C52"/>
    <w:rsid w:val="00415DE2"/>
    <w:rsid w:val="0041602E"/>
    <w:rsid w:val="004166BC"/>
    <w:rsid w:val="0041679A"/>
    <w:rsid w:val="00416911"/>
    <w:rsid w:val="004169B9"/>
    <w:rsid w:val="00416A32"/>
    <w:rsid w:val="00417152"/>
    <w:rsid w:val="004175B6"/>
    <w:rsid w:val="00417714"/>
    <w:rsid w:val="00417B42"/>
    <w:rsid w:val="00417BB4"/>
    <w:rsid w:val="00417BC5"/>
    <w:rsid w:val="00417C33"/>
    <w:rsid w:val="00417D16"/>
    <w:rsid w:val="00417E1D"/>
    <w:rsid w:val="00417ECD"/>
    <w:rsid w:val="004203FA"/>
    <w:rsid w:val="00420545"/>
    <w:rsid w:val="00420620"/>
    <w:rsid w:val="00420AA9"/>
    <w:rsid w:val="00420CB5"/>
    <w:rsid w:val="00420F56"/>
    <w:rsid w:val="00421675"/>
    <w:rsid w:val="004218C4"/>
    <w:rsid w:val="00421A7F"/>
    <w:rsid w:val="00421ED1"/>
    <w:rsid w:val="00422146"/>
    <w:rsid w:val="00422303"/>
    <w:rsid w:val="004225B1"/>
    <w:rsid w:val="004225E7"/>
    <w:rsid w:val="00422ED6"/>
    <w:rsid w:val="004239FF"/>
    <w:rsid w:val="00423A39"/>
    <w:rsid w:val="00423BBB"/>
    <w:rsid w:val="00423C08"/>
    <w:rsid w:val="004243F9"/>
    <w:rsid w:val="004244D4"/>
    <w:rsid w:val="00424647"/>
    <w:rsid w:val="00424B23"/>
    <w:rsid w:val="00425250"/>
    <w:rsid w:val="00425437"/>
    <w:rsid w:val="0042563A"/>
    <w:rsid w:val="00425724"/>
    <w:rsid w:val="00425729"/>
    <w:rsid w:val="00425AC0"/>
    <w:rsid w:val="00425ACB"/>
    <w:rsid w:val="00425AED"/>
    <w:rsid w:val="00425DA0"/>
    <w:rsid w:val="00425E97"/>
    <w:rsid w:val="0042609B"/>
    <w:rsid w:val="00426210"/>
    <w:rsid w:val="00426B1C"/>
    <w:rsid w:val="00426B82"/>
    <w:rsid w:val="00426F10"/>
    <w:rsid w:val="004275C9"/>
    <w:rsid w:val="004279EA"/>
    <w:rsid w:val="00427ED8"/>
    <w:rsid w:val="00427FF2"/>
    <w:rsid w:val="004300D3"/>
    <w:rsid w:val="00430489"/>
    <w:rsid w:val="00430692"/>
    <w:rsid w:val="004309C8"/>
    <w:rsid w:val="00430B6C"/>
    <w:rsid w:val="00430B7F"/>
    <w:rsid w:val="00430EA4"/>
    <w:rsid w:val="00430F36"/>
    <w:rsid w:val="00431975"/>
    <w:rsid w:val="00431E54"/>
    <w:rsid w:val="004323D0"/>
    <w:rsid w:val="0043285D"/>
    <w:rsid w:val="0043292D"/>
    <w:rsid w:val="00432932"/>
    <w:rsid w:val="00432A85"/>
    <w:rsid w:val="00432A8E"/>
    <w:rsid w:val="00432B6E"/>
    <w:rsid w:val="00432E67"/>
    <w:rsid w:val="00432E68"/>
    <w:rsid w:val="00433733"/>
    <w:rsid w:val="00433845"/>
    <w:rsid w:val="00433B94"/>
    <w:rsid w:val="00434015"/>
    <w:rsid w:val="00434325"/>
    <w:rsid w:val="0043447C"/>
    <w:rsid w:val="0043456C"/>
    <w:rsid w:val="00434932"/>
    <w:rsid w:val="004349F7"/>
    <w:rsid w:val="00434C33"/>
    <w:rsid w:val="00434D0D"/>
    <w:rsid w:val="004350BA"/>
    <w:rsid w:val="00435802"/>
    <w:rsid w:val="004358FA"/>
    <w:rsid w:val="00435A1B"/>
    <w:rsid w:val="00435D51"/>
    <w:rsid w:val="00435FFF"/>
    <w:rsid w:val="00436758"/>
    <w:rsid w:val="00436860"/>
    <w:rsid w:val="00436861"/>
    <w:rsid w:val="00436BBA"/>
    <w:rsid w:val="00436D25"/>
    <w:rsid w:val="00437253"/>
    <w:rsid w:val="004375A1"/>
    <w:rsid w:val="004404A2"/>
    <w:rsid w:val="00440679"/>
    <w:rsid w:val="00440A06"/>
    <w:rsid w:val="00440EF8"/>
    <w:rsid w:val="00440F16"/>
    <w:rsid w:val="00440F98"/>
    <w:rsid w:val="004416A0"/>
    <w:rsid w:val="00441AF8"/>
    <w:rsid w:val="00441B06"/>
    <w:rsid w:val="00441E3E"/>
    <w:rsid w:val="004423DE"/>
    <w:rsid w:val="004428D8"/>
    <w:rsid w:val="00442A1A"/>
    <w:rsid w:val="00442C1F"/>
    <w:rsid w:val="00442DCC"/>
    <w:rsid w:val="00442EF9"/>
    <w:rsid w:val="00443AEA"/>
    <w:rsid w:val="00443F09"/>
    <w:rsid w:val="0044408A"/>
    <w:rsid w:val="00444495"/>
    <w:rsid w:val="00444508"/>
    <w:rsid w:val="00444509"/>
    <w:rsid w:val="00444E9E"/>
    <w:rsid w:val="00445096"/>
    <w:rsid w:val="00445130"/>
    <w:rsid w:val="004451DA"/>
    <w:rsid w:val="0044528A"/>
    <w:rsid w:val="0044536C"/>
    <w:rsid w:val="004458F2"/>
    <w:rsid w:val="00445BBE"/>
    <w:rsid w:val="00445DEB"/>
    <w:rsid w:val="00445FBF"/>
    <w:rsid w:val="004461DD"/>
    <w:rsid w:val="00446348"/>
    <w:rsid w:val="0044666B"/>
    <w:rsid w:val="004468ED"/>
    <w:rsid w:val="0044694C"/>
    <w:rsid w:val="00446A13"/>
    <w:rsid w:val="00446ACB"/>
    <w:rsid w:val="00446AD8"/>
    <w:rsid w:val="00446C97"/>
    <w:rsid w:val="004474D4"/>
    <w:rsid w:val="00447576"/>
    <w:rsid w:val="00447A29"/>
    <w:rsid w:val="00447D16"/>
    <w:rsid w:val="00447E54"/>
    <w:rsid w:val="00447EA3"/>
    <w:rsid w:val="004500B9"/>
    <w:rsid w:val="00450DD9"/>
    <w:rsid w:val="00450FD5"/>
    <w:rsid w:val="00451137"/>
    <w:rsid w:val="0045113B"/>
    <w:rsid w:val="004514A2"/>
    <w:rsid w:val="00451FAA"/>
    <w:rsid w:val="0045266E"/>
    <w:rsid w:val="00452F7A"/>
    <w:rsid w:val="004535F3"/>
    <w:rsid w:val="00453AA8"/>
    <w:rsid w:val="00453B63"/>
    <w:rsid w:val="00453B68"/>
    <w:rsid w:val="004541AE"/>
    <w:rsid w:val="004541F3"/>
    <w:rsid w:val="004541FD"/>
    <w:rsid w:val="00454201"/>
    <w:rsid w:val="004547FA"/>
    <w:rsid w:val="0045489F"/>
    <w:rsid w:val="00454AF8"/>
    <w:rsid w:val="00454BC1"/>
    <w:rsid w:val="00454D1F"/>
    <w:rsid w:val="0045558E"/>
    <w:rsid w:val="00455780"/>
    <w:rsid w:val="0045580C"/>
    <w:rsid w:val="004559EF"/>
    <w:rsid w:val="00455B62"/>
    <w:rsid w:val="00455F18"/>
    <w:rsid w:val="004567AC"/>
    <w:rsid w:val="00456F80"/>
    <w:rsid w:val="00456FCA"/>
    <w:rsid w:val="004573D9"/>
    <w:rsid w:val="00457681"/>
    <w:rsid w:val="00457730"/>
    <w:rsid w:val="00457ACC"/>
    <w:rsid w:val="004600F6"/>
    <w:rsid w:val="00460457"/>
    <w:rsid w:val="00460B08"/>
    <w:rsid w:val="00460B3A"/>
    <w:rsid w:val="00460D19"/>
    <w:rsid w:val="00461421"/>
    <w:rsid w:val="004617BA"/>
    <w:rsid w:val="00461E39"/>
    <w:rsid w:val="0046299E"/>
    <w:rsid w:val="00462C08"/>
    <w:rsid w:val="00462CDD"/>
    <w:rsid w:val="00462DEA"/>
    <w:rsid w:val="004639FB"/>
    <w:rsid w:val="00463A4F"/>
    <w:rsid w:val="00464124"/>
    <w:rsid w:val="004643BC"/>
    <w:rsid w:val="0046482D"/>
    <w:rsid w:val="004648F3"/>
    <w:rsid w:val="00464B27"/>
    <w:rsid w:val="00464EF5"/>
    <w:rsid w:val="00464F80"/>
    <w:rsid w:val="00464FF5"/>
    <w:rsid w:val="00464FFD"/>
    <w:rsid w:val="004651F3"/>
    <w:rsid w:val="00465203"/>
    <w:rsid w:val="004656C0"/>
    <w:rsid w:val="00465B58"/>
    <w:rsid w:val="00465E50"/>
    <w:rsid w:val="00465EB1"/>
    <w:rsid w:val="00465FDA"/>
    <w:rsid w:val="00466618"/>
    <w:rsid w:val="00466BDF"/>
    <w:rsid w:val="0046700E"/>
    <w:rsid w:val="004676F6"/>
    <w:rsid w:val="00467A80"/>
    <w:rsid w:val="00467D89"/>
    <w:rsid w:val="0047006B"/>
    <w:rsid w:val="00470513"/>
    <w:rsid w:val="0047052B"/>
    <w:rsid w:val="00470865"/>
    <w:rsid w:val="00470A44"/>
    <w:rsid w:val="00470E31"/>
    <w:rsid w:val="00470EB6"/>
    <w:rsid w:val="0047136E"/>
    <w:rsid w:val="004713E7"/>
    <w:rsid w:val="00471561"/>
    <w:rsid w:val="00471613"/>
    <w:rsid w:val="00471A4D"/>
    <w:rsid w:val="00471AB2"/>
    <w:rsid w:val="00471CA7"/>
    <w:rsid w:val="00471E45"/>
    <w:rsid w:val="00471E6F"/>
    <w:rsid w:val="004720A3"/>
    <w:rsid w:val="00472254"/>
    <w:rsid w:val="004723FC"/>
    <w:rsid w:val="00472862"/>
    <w:rsid w:val="004730F6"/>
    <w:rsid w:val="00473116"/>
    <w:rsid w:val="004732E0"/>
    <w:rsid w:val="00473874"/>
    <w:rsid w:val="00473D38"/>
    <w:rsid w:val="00474027"/>
    <w:rsid w:val="004742D9"/>
    <w:rsid w:val="00474822"/>
    <w:rsid w:val="004748AB"/>
    <w:rsid w:val="00474E36"/>
    <w:rsid w:val="004756C6"/>
    <w:rsid w:val="00475B31"/>
    <w:rsid w:val="00475C13"/>
    <w:rsid w:val="00475C89"/>
    <w:rsid w:val="00475EF2"/>
    <w:rsid w:val="00476048"/>
    <w:rsid w:val="0047614F"/>
    <w:rsid w:val="004765D0"/>
    <w:rsid w:val="00476632"/>
    <w:rsid w:val="00476711"/>
    <w:rsid w:val="0047685C"/>
    <w:rsid w:val="00477258"/>
    <w:rsid w:val="00477499"/>
    <w:rsid w:val="00477A1E"/>
    <w:rsid w:val="00477A5B"/>
    <w:rsid w:val="00477F32"/>
    <w:rsid w:val="00480FF9"/>
    <w:rsid w:val="00481025"/>
    <w:rsid w:val="004810CF"/>
    <w:rsid w:val="00481328"/>
    <w:rsid w:val="00481340"/>
    <w:rsid w:val="004814B3"/>
    <w:rsid w:val="004818A1"/>
    <w:rsid w:val="004818D5"/>
    <w:rsid w:val="00482465"/>
    <w:rsid w:val="004824DD"/>
    <w:rsid w:val="004826CF"/>
    <w:rsid w:val="0048280F"/>
    <w:rsid w:val="004828B2"/>
    <w:rsid w:val="00482AF5"/>
    <w:rsid w:val="00482C3D"/>
    <w:rsid w:val="00482DD6"/>
    <w:rsid w:val="00482DFE"/>
    <w:rsid w:val="00482FFB"/>
    <w:rsid w:val="004830AA"/>
    <w:rsid w:val="00483211"/>
    <w:rsid w:val="004835A5"/>
    <w:rsid w:val="00483858"/>
    <w:rsid w:val="00483AF3"/>
    <w:rsid w:val="00483E9E"/>
    <w:rsid w:val="00484066"/>
    <w:rsid w:val="00484440"/>
    <w:rsid w:val="00484A4E"/>
    <w:rsid w:val="00484ABB"/>
    <w:rsid w:val="00484F00"/>
    <w:rsid w:val="00485453"/>
    <w:rsid w:val="0048546D"/>
    <w:rsid w:val="00485A12"/>
    <w:rsid w:val="00485CF8"/>
    <w:rsid w:val="0048614A"/>
    <w:rsid w:val="00486649"/>
    <w:rsid w:val="00486EDA"/>
    <w:rsid w:val="00486F36"/>
    <w:rsid w:val="004871D6"/>
    <w:rsid w:val="00487528"/>
    <w:rsid w:val="0048781F"/>
    <w:rsid w:val="00487B57"/>
    <w:rsid w:val="00487B5A"/>
    <w:rsid w:val="00487BB6"/>
    <w:rsid w:val="004901AF"/>
    <w:rsid w:val="004903B1"/>
    <w:rsid w:val="00490A4A"/>
    <w:rsid w:val="00490BD2"/>
    <w:rsid w:val="00490D3A"/>
    <w:rsid w:val="0049107E"/>
    <w:rsid w:val="0049192C"/>
    <w:rsid w:val="00491BE4"/>
    <w:rsid w:val="00491D4B"/>
    <w:rsid w:val="00491E51"/>
    <w:rsid w:val="00491F82"/>
    <w:rsid w:val="0049220C"/>
    <w:rsid w:val="00492783"/>
    <w:rsid w:val="0049283C"/>
    <w:rsid w:val="00492A49"/>
    <w:rsid w:val="00492D4D"/>
    <w:rsid w:val="00493428"/>
    <w:rsid w:val="0049365E"/>
    <w:rsid w:val="00493C5A"/>
    <w:rsid w:val="00493FBF"/>
    <w:rsid w:val="004941C0"/>
    <w:rsid w:val="004942B5"/>
    <w:rsid w:val="0049431B"/>
    <w:rsid w:val="00494DAD"/>
    <w:rsid w:val="00495829"/>
    <w:rsid w:val="004959DC"/>
    <w:rsid w:val="00495A78"/>
    <w:rsid w:val="00495FFC"/>
    <w:rsid w:val="0049623F"/>
    <w:rsid w:val="004964F6"/>
    <w:rsid w:val="0049652D"/>
    <w:rsid w:val="00496550"/>
    <w:rsid w:val="004967C5"/>
    <w:rsid w:val="00496A48"/>
    <w:rsid w:val="004973CB"/>
    <w:rsid w:val="004975D3"/>
    <w:rsid w:val="004A0586"/>
    <w:rsid w:val="004A06D0"/>
    <w:rsid w:val="004A084A"/>
    <w:rsid w:val="004A13A5"/>
    <w:rsid w:val="004A1538"/>
    <w:rsid w:val="004A1C80"/>
    <w:rsid w:val="004A2072"/>
    <w:rsid w:val="004A211E"/>
    <w:rsid w:val="004A294B"/>
    <w:rsid w:val="004A2E90"/>
    <w:rsid w:val="004A3338"/>
    <w:rsid w:val="004A3878"/>
    <w:rsid w:val="004A3B43"/>
    <w:rsid w:val="004A4236"/>
    <w:rsid w:val="004A446A"/>
    <w:rsid w:val="004A4B54"/>
    <w:rsid w:val="004A4B82"/>
    <w:rsid w:val="004A50DC"/>
    <w:rsid w:val="004A52D6"/>
    <w:rsid w:val="004A57AA"/>
    <w:rsid w:val="004A5940"/>
    <w:rsid w:val="004A60ED"/>
    <w:rsid w:val="004A627E"/>
    <w:rsid w:val="004A6374"/>
    <w:rsid w:val="004A6626"/>
    <w:rsid w:val="004A6663"/>
    <w:rsid w:val="004A6853"/>
    <w:rsid w:val="004A68A5"/>
    <w:rsid w:val="004A6BBA"/>
    <w:rsid w:val="004A6D0F"/>
    <w:rsid w:val="004A6FC8"/>
    <w:rsid w:val="004A764F"/>
    <w:rsid w:val="004A7B47"/>
    <w:rsid w:val="004A7B8D"/>
    <w:rsid w:val="004B0131"/>
    <w:rsid w:val="004B022E"/>
    <w:rsid w:val="004B062D"/>
    <w:rsid w:val="004B07E8"/>
    <w:rsid w:val="004B0CFF"/>
    <w:rsid w:val="004B0D6A"/>
    <w:rsid w:val="004B0EA3"/>
    <w:rsid w:val="004B111F"/>
    <w:rsid w:val="004B1C42"/>
    <w:rsid w:val="004B1D68"/>
    <w:rsid w:val="004B2154"/>
    <w:rsid w:val="004B2A9B"/>
    <w:rsid w:val="004B2CA3"/>
    <w:rsid w:val="004B2D7E"/>
    <w:rsid w:val="004B35E9"/>
    <w:rsid w:val="004B36DA"/>
    <w:rsid w:val="004B3A98"/>
    <w:rsid w:val="004B3ACE"/>
    <w:rsid w:val="004B3BF8"/>
    <w:rsid w:val="004B3C23"/>
    <w:rsid w:val="004B4635"/>
    <w:rsid w:val="004B47F8"/>
    <w:rsid w:val="004B49EC"/>
    <w:rsid w:val="004B4A7C"/>
    <w:rsid w:val="004B4C9B"/>
    <w:rsid w:val="004B5028"/>
    <w:rsid w:val="004B5039"/>
    <w:rsid w:val="004B50EA"/>
    <w:rsid w:val="004B561B"/>
    <w:rsid w:val="004B57FE"/>
    <w:rsid w:val="004B5A8F"/>
    <w:rsid w:val="004B5DB2"/>
    <w:rsid w:val="004B60B9"/>
    <w:rsid w:val="004B6229"/>
    <w:rsid w:val="004B65B3"/>
    <w:rsid w:val="004B672C"/>
    <w:rsid w:val="004B6859"/>
    <w:rsid w:val="004B6FB0"/>
    <w:rsid w:val="004B72C1"/>
    <w:rsid w:val="004B7BCE"/>
    <w:rsid w:val="004C00AB"/>
    <w:rsid w:val="004C0362"/>
    <w:rsid w:val="004C0B35"/>
    <w:rsid w:val="004C0BCE"/>
    <w:rsid w:val="004C0C66"/>
    <w:rsid w:val="004C0D32"/>
    <w:rsid w:val="004C0F9B"/>
    <w:rsid w:val="004C120F"/>
    <w:rsid w:val="004C1282"/>
    <w:rsid w:val="004C1AC5"/>
    <w:rsid w:val="004C1E26"/>
    <w:rsid w:val="004C2078"/>
    <w:rsid w:val="004C23A0"/>
    <w:rsid w:val="004C2741"/>
    <w:rsid w:val="004C28C9"/>
    <w:rsid w:val="004C28FA"/>
    <w:rsid w:val="004C30CB"/>
    <w:rsid w:val="004C3A36"/>
    <w:rsid w:val="004C3D63"/>
    <w:rsid w:val="004C412C"/>
    <w:rsid w:val="004C45AB"/>
    <w:rsid w:val="004C4B5A"/>
    <w:rsid w:val="004C4C21"/>
    <w:rsid w:val="004C4F5C"/>
    <w:rsid w:val="004C4F6D"/>
    <w:rsid w:val="004C525C"/>
    <w:rsid w:val="004C52F9"/>
    <w:rsid w:val="004C5631"/>
    <w:rsid w:val="004C56E5"/>
    <w:rsid w:val="004C5745"/>
    <w:rsid w:val="004C5984"/>
    <w:rsid w:val="004C5F36"/>
    <w:rsid w:val="004C61A1"/>
    <w:rsid w:val="004C6290"/>
    <w:rsid w:val="004C66C7"/>
    <w:rsid w:val="004C67AD"/>
    <w:rsid w:val="004C6F2C"/>
    <w:rsid w:val="004C75F5"/>
    <w:rsid w:val="004C77EE"/>
    <w:rsid w:val="004C7AA6"/>
    <w:rsid w:val="004D08DF"/>
    <w:rsid w:val="004D0A7F"/>
    <w:rsid w:val="004D0B6E"/>
    <w:rsid w:val="004D11BC"/>
    <w:rsid w:val="004D11C3"/>
    <w:rsid w:val="004D1BC4"/>
    <w:rsid w:val="004D1C7D"/>
    <w:rsid w:val="004D1ED3"/>
    <w:rsid w:val="004D1F46"/>
    <w:rsid w:val="004D2648"/>
    <w:rsid w:val="004D273F"/>
    <w:rsid w:val="004D291C"/>
    <w:rsid w:val="004D2FCF"/>
    <w:rsid w:val="004D34CA"/>
    <w:rsid w:val="004D3724"/>
    <w:rsid w:val="004D3A26"/>
    <w:rsid w:val="004D4106"/>
    <w:rsid w:val="004D4529"/>
    <w:rsid w:val="004D487E"/>
    <w:rsid w:val="004D4ACB"/>
    <w:rsid w:val="004D55B1"/>
    <w:rsid w:val="004D55F2"/>
    <w:rsid w:val="004D5867"/>
    <w:rsid w:val="004D587F"/>
    <w:rsid w:val="004D5BB2"/>
    <w:rsid w:val="004D5D1A"/>
    <w:rsid w:val="004D5D79"/>
    <w:rsid w:val="004D600D"/>
    <w:rsid w:val="004D6A6F"/>
    <w:rsid w:val="004D6AEA"/>
    <w:rsid w:val="004D6B9F"/>
    <w:rsid w:val="004D79B1"/>
    <w:rsid w:val="004D79F5"/>
    <w:rsid w:val="004D7D67"/>
    <w:rsid w:val="004E0357"/>
    <w:rsid w:val="004E0770"/>
    <w:rsid w:val="004E0A8C"/>
    <w:rsid w:val="004E0EA4"/>
    <w:rsid w:val="004E111C"/>
    <w:rsid w:val="004E1738"/>
    <w:rsid w:val="004E18AB"/>
    <w:rsid w:val="004E1C19"/>
    <w:rsid w:val="004E23C2"/>
    <w:rsid w:val="004E2413"/>
    <w:rsid w:val="004E276C"/>
    <w:rsid w:val="004E27A6"/>
    <w:rsid w:val="004E308F"/>
    <w:rsid w:val="004E3690"/>
    <w:rsid w:val="004E427E"/>
    <w:rsid w:val="004E4484"/>
    <w:rsid w:val="004E4626"/>
    <w:rsid w:val="004E46F6"/>
    <w:rsid w:val="004E4733"/>
    <w:rsid w:val="004E4797"/>
    <w:rsid w:val="004E49C7"/>
    <w:rsid w:val="004E50E3"/>
    <w:rsid w:val="004E5438"/>
    <w:rsid w:val="004E5B05"/>
    <w:rsid w:val="004E5BE2"/>
    <w:rsid w:val="004E6686"/>
    <w:rsid w:val="004E6C70"/>
    <w:rsid w:val="004E6E23"/>
    <w:rsid w:val="004E71BF"/>
    <w:rsid w:val="004E7DDD"/>
    <w:rsid w:val="004E7E80"/>
    <w:rsid w:val="004F0402"/>
    <w:rsid w:val="004F0475"/>
    <w:rsid w:val="004F0519"/>
    <w:rsid w:val="004F0954"/>
    <w:rsid w:val="004F0D75"/>
    <w:rsid w:val="004F0EA3"/>
    <w:rsid w:val="004F0F5F"/>
    <w:rsid w:val="004F1036"/>
    <w:rsid w:val="004F1446"/>
    <w:rsid w:val="004F1721"/>
    <w:rsid w:val="004F1952"/>
    <w:rsid w:val="004F1B8E"/>
    <w:rsid w:val="004F1E26"/>
    <w:rsid w:val="004F206D"/>
    <w:rsid w:val="004F2160"/>
    <w:rsid w:val="004F236E"/>
    <w:rsid w:val="004F275E"/>
    <w:rsid w:val="004F2EEE"/>
    <w:rsid w:val="004F325B"/>
    <w:rsid w:val="004F44F5"/>
    <w:rsid w:val="004F4635"/>
    <w:rsid w:val="004F466B"/>
    <w:rsid w:val="004F47B9"/>
    <w:rsid w:val="004F48D3"/>
    <w:rsid w:val="004F49BB"/>
    <w:rsid w:val="004F4C5B"/>
    <w:rsid w:val="004F4E2A"/>
    <w:rsid w:val="004F4F47"/>
    <w:rsid w:val="004F51B4"/>
    <w:rsid w:val="004F52EC"/>
    <w:rsid w:val="004F5506"/>
    <w:rsid w:val="004F59D9"/>
    <w:rsid w:val="004F5B9D"/>
    <w:rsid w:val="004F5F3C"/>
    <w:rsid w:val="004F61B7"/>
    <w:rsid w:val="004F6307"/>
    <w:rsid w:val="004F6D60"/>
    <w:rsid w:val="004F6E9B"/>
    <w:rsid w:val="004F6FE6"/>
    <w:rsid w:val="004F7698"/>
    <w:rsid w:val="004F7981"/>
    <w:rsid w:val="004F7AF8"/>
    <w:rsid w:val="00500422"/>
    <w:rsid w:val="005006CD"/>
    <w:rsid w:val="00500993"/>
    <w:rsid w:val="005009E7"/>
    <w:rsid w:val="00500A9D"/>
    <w:rsid w:val="00500AED"/>
    <w:rsid w:val="00500AF9"/>
    <w:rsid w:val="00500BCA"/>
    <w:rsid w:val="00500D40"/>
    <w:rsid w:val="005019C1"/>
    <w:rsid w:val="00501A5B"/>
    <w:rsid w:val="00501ABF"/>
    <w:rsid w:val="00501C42"/>
    <w:rsid w:val="00501E40"/>
    <w:rsid w:val="00501FAE"/>
    <w:rsid w:val="00502656"/>
    <w:rsid w:val="0050277A"/>
    <w:rsid w:val="0050282A"/>
    <w:rsid w:val="005029EA"/>
    <w:rsid w:val="00502B83"/>
    <w:rsid w:val="00502C39"/>
    <w:rsid w:val="00502D25"/>
    <w:rsid w:val="005031DD"/>
    <w:rsid w:val="0050352B"/>
    <w:rsid w:val="00503BBF"/>
    <w:rsid w:val="00503D7E"/>
    <w:rsid w:val="00504CBF"/>
    <w:rsid w:val="005052E6"/>
    <w:rsid w:val="005054CE"/>
    <w:rsid w:val="00505513"/>
    <w:rsid w:val="005055AD"/>
    <w:rsid w:val="00505A02"/>
    <w:rsid w:val="00505A25"/>
    <w:rsid w:val="00505C93"/>
    <w:rsid w:val="00506105"/>
    <w:rsid w:val="0050648D"/>
    <w:rsid w:val="00506C0D"/>
    <w:rsid w:val="00506E61"/>
    <w:rsid w:val="0050714C"/>
    <w:rsid w:val="005071B5"/>
    <w:rsid w:val="00507301"/>
    <w:rsid w:val="00507529"/>
    <w:rsid w:val="005078A9"/>
    <w:rsid w:val="00507D67"/>
    <w:rsid w:val="005100B9"/>
    <w:rsid w:val="0051033B"/>
    <w:rsid w:val="005104E5"/>
    <w:rsid w:val="005105C3"/>
    <w:rsid w:val="00510D4F"/>
    <w:rsid w:val="00510E9E"/>
    <w:rsid w:val="00510F55"/>
    <w:rsid w:val="00510FAE"/>
    <w:rsid w:val="0051126B"/>
    <w:rsid w:val="0051154D"/>
    <w:rsid w:val="005115E8"/>
    <w:rsid w:val="00511695"/>
    <w:rsid w:val="00511967"/>
    <w:rsid w:val="00511D35"/>
    <w:rsid w:val="00511D69"/>
    <w:rsid w:val="00512064"/>
    <w:rsid w:val="0051213E"/>
    <w:rsid w:val="00512229"/>
    <w:rsid w:val="00512315"/>
    <w:rsid w:val="00512B1D"/>
    <w:rsid w:val="00512C7E"/>
    <w:rsid w:val="00512D73"/>
    <w:rsid w:val="00513176"/>
    <w:rsid w:val="00513571"/>
    <w:rsid w:val="005144CB"/>
    <w:rsid w:val="00514616"/>
    <w:rsid w:val="00514694"/>
    <w:rsid w:val="005147EC"/>
    <w:rsid w:val="005148A5"/>
    <w:rsid w:val="00514CEF"/>
    <w:rsid w:val="00514DE6"/>
    <w:rsid w:val="00515AA5"/>
    <w:rsid w:val="00515D55"/>
    <w:rsid w:val="00516615"/>
    <w:rsid w:val="00516959"/>
    <w:rsid w:val="005169FE"/>
    <w:rsid w:val="00516BAA"/>
    <w:rsid w:val="00517372"/>
    <w:rsid w:val="005177D9"/>
    <w:rsid w:val="00517E09"/>
    <w:rsid w:val="005203BD"/>
    <w:rsid w:val="0052053E"/>
    <w:rsid w:val="00520D81"/>
    <w:rsid w:val="00520EA3"/>
    <w:rsid w:val="00521000"/>
    <w:rsid w:val="00521384"/>
    <w:rsid w:val="00521472"/>
    <w:rsid w:val="00521666"/>
    <w:rsid w:val="005216B5"/>
    <w:rsid w:val="00521958"/>
    <w:rsid w:val="00521AA6"/>
    <w:rsid w:val="0052214D"/>
    <w:rsid w:val="00522378"/>
    <w:rsid w:val="005226FB"/>
    <w:rsid w:val="00522B3F"/>
    <w:rsid w:val="00522C59"/>
    <w:rsid w:val="00522E13"/>
    <w:rsid w:val="00522FCC"/>
    <w:rsid w:val="0052320B"/>
    <w:rsid w:val="00523A6F"/>
    <w:rsid w:val="00523F35"/>
    <w:rsid w:val="0052427A"/>
    <w:rsid w:val="0052434B"/>
    <w:rsid w:val="005243CA"/>
    <w:rsid w:val="00524881"/>
    <w:rsid w:val="00524D8B"/>
    <w:rsid w:val="00524EF6"/>
    <w:rsid w:val="00524F09"/>
    <w:rsid w:val="0052589D"/>
    <w:rsid w:val="0052610E"/>
    <w:rsid w:val="00526282"/>
    <w:rsid w:val="00526407"/>
    <w:rsid w:val="0052642A"/>
    <w:rsid w:val="005264A6"/>
    <w:rsid w:val="005266AC"/>
    <w:rsid w:val="00526ACD"/>
    <w:rsid w:val="00526DCA"/>
    <w:rsid w:val="005301A7"/>
    <w:rsid w:val="0053046D"/>
    <w:rsid w:val="0053075E"/>
    <w:rsid w:val="0053097A"/>
    <w:rsid w:val="00530E63"/>
    <w:rsid w:val="00531931"/>
    <w:rsid w:val="00531B2A"/>
    <w:rsid w:val="00531E8E"/>
    <w:rsid w:val="005322B1"/>
    <w:rsid w:val="0053256F"/>
    <w:rsid w:val="00532C0D"/>
    <w:rsid w:val="005335A3"/>
    <w:rsid w:val="005337BB"/>
    <w:rsid w:val="005339F1"/>
    <w:rsid w:val="00533FC9"/>
    <w:rsid w:val="00534409"/>
    <w:rsid w:val="005346DF"/>
    <w:rsid w:val="00534B04"/>
    <w:rsid w:val="00534F16"/>
    <w:rsid w:val="0053524F"/>
    <w:rsid w:val="005359C9"/>
    <w:rsid w:val="005360D1"/>
    <w:rsid w:val="00536101"/>
    <w:rsid w:val="00536135"/>
    <w:rsid w:val="005362EC"/>
    <w:rsid w:val="00536602"/>
    <w:rsid w:val="00536978"/>
    <w:rsid w:val="00537065"/>
    <w:rsid w:val="005370CE"/>
    <w:rsid w:val="00537163"/>
    <w:rsid w:val="0053731C"/>
    <w:rsid w:val="0053731D"/>
    <w:rsid w:val="00537340"/>
    <w:rsid w:val="00537574"/>
    <w:rsid w:val="0054015B"/>
    <w:rsid w:val="00540326"/>
    <w:rsid w:val="0054037E"/>
    <w:rsid w:val="00540397"/>
    <w:rsid w:val="00540604"/>
    <w:rsid w:val="00541120"/>
    <w:rsid w:val="00541612"/>
    <w:rsid w:val="0054180D"/>
    <w:rsid w:val="00541C8C"/>
    <w:rsid w:val="00541EE6"/>
    <w:rsid w:val="00542913"/>
    <w:rsid w:val="00542C96"/>
    <w:rsid w:val="00542D7D"/>
    <w:rsid w:val="00543244"/>
    <w:rsid w:val="00543451"/>
    <w:rsid w:val="005436DD"/>
    <w:rsid w:val="00543731"/>
    <w:rsid w:val="00543A24"/>
    <w:rsid w:val="00543A6E"/>
    <w:rsid w:val="005445B1"/>
    <w:rsid w:val="005445FE"/>
    <w:rsid w:val="0054464D"/>
    <w:rsid w:val="00544853"/>
    <w:rsid w:val="00544C51"/>
    <w:rsid w:val="005453D3"/>
    <w:rsid w:val="005455AE"/>
    <w:rsid w:val="00545DA7"/>
    <w:rsid w:val="00545FB1"/>
    <w:rsid w:val="005460F4"/>
    <w:rsid w:val="005462CD"/>
    <w:rsid w:val="00546304"/>
    <w:rsid w:val="005466E7"/>
    <w:rsid w:val="005468A8"/>
    <w:rsid w:val="00546C96"/>
    <w:rsid w:val="00546D8B"/>
    <w:rsid w:val="00546F62"/>
    <w:rsid w:val="0054716D"/>
    <w:rsid w:val="00547296"/>
    <w:rsid w:val="00547374"/>
    <w:rsid w:val="00547531"/>
    <w:rsid w:val="0054762D"/>
    <w:rsid w:val="00547BE3"/>
    <w:rsid w:val="00547CA8"/>
    <w:rsid w:val="00547CC6"/>
    <w:rsid w:val="00550236"/>
    <w:rsid w:val="0055059F"/>
    <w:rsid w:val="0055082F"/>
    <w:rsid w:val="00550DAC"/>
    <w:rsid w:val="005514CC"/>
    <w:rsid w:val="005518A0"/>
    <w:rsid w:val="005518AD"/>
    <w:rsid w:val="00551954"/>
    <w:rsid w:val="00551AAC"/>
    <w:rsid w:val="00551D6E"/>
    <w:rsid w:val="0055225E"/>
    <w:rsid w:val="00552549"/>
    <w:rsid w:val="005525F4"/>
    <w:rsid w:val="0055270E"/>
    <w:rsid w:val="00552ED5"/>
    <w:rsid w:val="00552FB7"/>
    <w:rsid w:val="005531E1"/>
    <w:rsid w:val="005537D3"/>
    <w:rsid w:val="005537E4"/>
    <w:rsid w:val="005539F0"/>
    <w:rsid w:val="00553C86"/>
    <w:rsid w:val="00553F99"/>
    <w:rsid w:val="00554C9E"/>
    <w:rsid w:val="005556C6"/>
    <w:rsid w:val="005556E4"/>
    <w:rsid w:val="00555CF1"/>
    <w:rsid w:val="00555EF9"/>
    <w:rsid w:val="005561B1"/>
    <w:rsid w:val="00556490"/>
    <w:rsid w:val="00556E69"/>
    <w:rsid w:val="00556F80"/>
    <w:rsid w:val="0055730B"/>
    <w:rsid w:val="005574A0"/>
    <w:rsid w:val="00557904"/>
    <w:rsid w:val="00557931"/>
    <w:rsid w:val="00557C08"/>
    <w:rsid w:val="00557C0C"/>
    <w:rsid w:val="00557CC0"/>
    <w:rsid w:val="00557CC8"/>
    <w:rsid w:val="005601CC"/>
    <w:rsid w:val="005609F5"/>
    <w:rsid w:val="00560CE7"/>
    <w:rsid w:val="005614DB"/>
    <w:rsid w:val="00562072"/>
    <w:rsid w:val="0056233E"/>
    <w:rsid w:val="0056240B"/>
    <w:rsid w:val="00563272"/>
    <w:rsid w:val="00563469"/>
    <w:rsid w:val="005637CE"/>
    <w:rsid w:val="005639EE"/>
    <w:rsid w:val="00563A79"/>
    <w:rsid w:val="00563C1C"/>
    <w:rsid w:val="00563D5A"/>
    <w:rsid w:val="00563D88"/>
    <w:rsid w:val="0056464C"/>
    <w:rsid w:val="00564E6B"/>
    <w:rsid w:val="00564EAF"/>
    <w:rsid w:val="005654C9"/>
    <w:rsid w:val="005654F4"/>
    <w:rsid w:val="0056555F"/>
    <w:rsid w:val="00565EE7"/>
    <w:rsid w:val="005661E3"/>
    <w:rsid w:val="0056632A"/>
    <w:rsid w:val="00566350"/>
    <w:rsid w:val="00566451"/>
    <w:rsid w:val="00566DFE"/>
    <w:rsid w:val="00567205"/>
    <w:rsid w:val="005675A6"/>
    <w:rsid w:val="005675C6"/>
    <w:rsid w:val="0056782D"/>
    <w:rsid w:val="005679BA"/>
    <w:rsid w:val="00567F2B"/>
    <w:rsid w:val="00570020"/>
    <w:rsid w:val="005701C2"/>
    <w:rsid w:val="00570391"/>
    <w:rsid w:val="005704F0"/>
    <w:rsid w:val="005706DD"/>
    <w:rsid w:val="00570C7E"/>
    <w:rsid w:val="00571242"/>
    <w:rsid w:val="0057162B"/>
    <w:rsid w:val="005716D4"/>
    <w:rsid w:val="00571ED8"/>
    <w:rsid w:val="00571FA2"/>
    <w:rsid w:val="0057233B"/>
    <w:rsid w:val="00572550"/>
    <w:rsid w:val="0057292F"/>
    <w:rsid w:val="00572A47"/>
    <w:rsid w:val="00572D62"/>
    <w:rsid w:val="00572E69"/>
    <w:rsid w:val="00572EA3"/>
    <w:rsid w:val="00573016"/>
    <w:rsid w:val="00573BAC"/>
    <w:rsid w:val="00573E5F"/>
    <w:rsid w:val="00573F4E"/>
    <w:rsid w:val="00573F76"/>
    <w:rsid w:val="00574441"/>
    <w:rsid w:val="0057454F"/>
    <w:rsid w:val="00574AB0"/>
    <w:rsid w:val="00574C3C"/>
    <w:rsid w:val="00575956"/>
    <w:rsid w:val="00575CD0"/>
    <w:rsid w:val="00576354"/>
    <w:rsid w:val="00576826"/>
    <w:rsid w:val="00576895"/>
    <w:rsid w:val="00576B01"/>
    <w:rsid w:val="00576FBA"/>
    <w:rsid w:val="005771E7"/>
    <w:rsid w:val="005779B1"/>
    <w:rsid w:val="00577E2C"/>
    <w:rsid w:val="005800AF"/>
    <w:rsid w:val="005801FE"/>
    <w:rsid w:val="0058083D"/>
    <w:rsid w:val="005808D6"/>
    <w:rsid w:val="00581337"/>
    <w:rsid w:val="005816BC"/>
    <w:rsid w:val="00581858"/>
    <w:rsid w:val="0058195D"/>
    <w:rsid w:val="00581DB5"/>
    <w:rsid w:val="00581F34"/>
    <w:rsid w:val="00582346"/>
    <w:rsid w:val="0058260E"/>
    <w:rsid w:val="00582646"/>
    <w:rsid w:val="00582805"/>
    <w:rsid w:val="005830D0"/>
    <w:rsid w:val="00583169"/>
    <w:rsid w:val="00583190"/>
    <w:rsid w:val="005833E4"/>
    <w:rsid w:val="0058363F"/>
    <w:rsid w:val="005838F8"/>
    <w:rsid w:val="00583C20"/>
    <w:rsid w:val="00583DA9"/>
    <w:rsid w:val="00583EED"/>
    <w:rsid w:val="00584391"/>
    <w:rsid w:val="00584585"/>
    <w:rsid w:val="0058509F"/>
    <w:rsid w:val="005852BB"/>
    <w:rsid w:val="005853DA"/>
    <w:rsid w:val="0058559D"/>
    <w:rsid w:val="00585B3C"/>
    <w:rsid w:val="00585FB4"/>
    <w:rsid w:val="00586949"/>
    <w:rsid w:val="00586C8D"/>
    <w:rsid w:val="00586F4F"/>
    <w:rsid w:val="0058705F"/>
    <w:rsid w:val="005870A1"/>
    <w:rsid w:val="00587264"/>
    <w:rsid w:val="00587A4F"/>
    <w:rsid w:val="00587BB0"/>
    <w:rsid w:val="00587CCF"/>
    <w:rsid w:val="005900BC"/>
    <w:rsid w:val="0059033A"/>
    <w:rsid w:val="005905D1"/>
    <w:rsid w:val="005905E0"/>
    <w:rsid w:val="005908DD"/>
    <w:rsid w:val="00590C61"/>
    <w:rsid w:val="00591818"/>
    <w:rsid w:val="00591D2D"/>
    <w:rsid w:val="00591E0D"/>
    <w:rsid w:val="00591F9B"/>
    <w:rsid w:val="00592098"/>
    <w:rsid w:val="00592224"/>
    <w:rsid w:val="005923EC"/>
    <w:rsid w:val="00592801"/>
    <w:rsid w:val="00592C88"/>
    <w:rsid w:val="005933C1"/>
    <w:rsid w:val="00593C47"/>
    <w:rsid w:val="00593F10"/>
    <w:rsid w:val="005942FC"/>
    <w:rsid w:val="0059435E"/>
    <w:rsid w:val="0059464A"/>
    <w:rsid w:val="00594AA5"/>
    <w:rsid w:val="00594B0B"/>
    <w:rsid w:val="00594E5F"/>
    <w:rsid w:val="00595312"/>
    <w:rsid w:val="00595345"/>
    <w:rsid w:val="00595534"/>
    <w:rsid w:val="0059560C"/>
    <w:rsid w:val="00595781"/>
    <w:rsid w:val="00595A23"/>
    <w:rsid w:val="005962F0"/>
    <w:rsid w:val="00596558"/>
    <w:rsid w:val="00596E06"/>
    <w:rsid w:val="00596FD3"/>
    <w:rsid w:val="005977D2"/>
    <w:rsid w:val="00597DB7"/>
    <w:rsid w:val="00597F7B"/>
    <w:rsid w:val="005A023F"/>
    <w:rsid w:val="005A0854"/>
    <w:rsid w:val="005A08EA"/>
    <w:rsid w:val="005A0F92"/>
    <w:rsid w:val="005A1075"/>
    <w:rsid w:val="005A11ED"/>
    <w:rsid w:val="005A1483"/>
    <w:rsid w:val="005A1B3E"/>
    <w:rsid w:val="005A1C99"/>
    <w:rsid w:val="005A1DFE"/>
    <w:rsid w:val="005A2CBF"/>
    <w:rsid w:val="005A3318"/>
    <w:rsid w:val="005A3340"/>
    <w:rsid w:val="005A36A9"/>
    <w:rsid w:val="005A3C94"/>
    <w:rsid w:val="005A45FE"/>
    <w:rsid w:val="005A4647"/>
    <w:rsid w:val="005A4D17"/>
    <w:rsid w:val="005A5497"/>
    <w:rsid w:val="005A5553"/>
    <w:rsid w:val="005A5759"/>
    <w:rsid w:val="005A5A04"/>
    <w:rsid w:val="005A5D7C"/>
    <w:rsid w:val="005A6164"/>
    <w:rsid w:val="005A6588"/>
    <w:rsid w:val="005A6943"/>
    <w:rsid w:val="005A6A4A"/>
    <w:rsid w:val="005A6F96"/>
    <w:rsid w:val="005A73AC"/>
    <w:rsid w:val="005A7610"/>
    <w:rsid w:val="005A766C"/>
    <w:rsid w:val="005A7678"/>
    <w:rsid w:val="005A77E4"/>
    <w:rsid w:val="005A7BFA"/>
    <w:rsid w:val="005A7FD1"/>
    <w:rsid w:val="005B0566"/>
    <w:rsid w:val="005B057D"/>
    <w:rsid w:val="005B09DA"/>
    <w:rsid w:val="005B1E2F"/>
    <w:rsid w:val="005B1EEB"/>
    <w:rsid w:val="005B2021"/>
    <w:rsid w:val="005B25A9"/>
    <w:rsid w:val="005B26D6"/>
    <w:rsid w:val="005B2DE4"/>
    <w:rsid w:val="005B3189"/>
    <w:rsid w:val="005B31E3"/>
    <w:rsid w:val="005B3E69"/>
    <w:rsid w:val="005B4515"/>
    <w:rsid w:val="005B4B35"/>
    <w:rsid w:val="005B4EE2"/>
    <w:rsid w:val="005B5140"/>
    <w:rsid w:val="005B5222"/>
    <w:rsid w:val="005B548A"/>
    <w:rsid w:val="005B5731"/>
    <w:rsid w:val="005B5A68"/>
    <w:rsid w:val="005B5E13"/>
    <w:rsid w:val="005B62D5"/>
    <w:rsid w:val="005B6B86"/>
    <w:rsid w:val="005B706C"/>
    <w:rsid w:val="005B726C"/>
    <w:rsid w:val="005B7489"/>
    <w:rsid w:val="005B79E3"/>
    <w:rsid w:val="005B7DBB"/>
    <w:rsid w:val="005C0587"/>
    <w:rsid w:val="005C07A8"/>
    <w:rsid w:val="005C0D2F"/>
    <w:rsid w:val="005C193F"/>
    <w:rsid w:val="005C1C27"/>
    <w:rsid w:val="005C1FB8"/>
    <w:rsid w:val="005C2014"/>
    <w:rsid w:val="005C21F3"/>
    <w:rsid w:val="005C2955"/>
    <w:rsid w:val="005C2A35"/>
    <w:rsid w:val="005C2CC3"/>
    <w:rsid w:val="005C3339"/>
    <w:rsid w:val="005C3356"/>
    <w:rsid w:val="005C3370"/>
    <w:rsid w:val="005C3863"/>
    <w:rsid w:val="005C396B"/>
    <w:rsid w:val="005C3D41"/>
    <w:rsid w:val="005C3FDB"/>
    <w:rsid w:val="005C40C8"/>
    <w:rsid w:val="005C4453"/>
    <w:rsid w:val="005C46FB"/>
    <w:rsid w:val="005C506B"/>
    <w:rsid w:val="005C53BC"/>
    <w:rsid w:val="005C54E7"/>
    <w:rsid w:val="005C55C4"/>
    <w:rsid w:val="005C5659"/>
    <w:rsid w:val="005C5751"/>
    <w:rsid w:val="005C5C12"/>
    <w:rsid w:val="005C5C57"/>
    <w:rsid w:val="005C5EDD"/>
    <w:rsid w:val="005C60B1"/>
    <w:rsid w:val="005C656B"/>
    <w:rsid w:val="005C68D8"/>
    <w:rsid w:val="005C6DAD"/>
    <w:rsid w:val="005C71BC"/>
    <w:rsid w:val="005C72B4"/>
    <w:rsid w:val="005C75E1"/>
    <w:rsid w:val="005C7C1A"/>
    <w:rsid w:val="005D06C7"/>
    <w:rsid w:val="005D0921"/>
    <w:rsid w:val="005D0970"/>
    <w:rsid w:val="005D1014"/>
    <w:rsid w:val="005D1077"/>
    <w:rsid w:val="005D1145"/>
    <w:rsid w:val="005D11C9"/>
    <w:rsid w:val="005D1252"/>
    <w:rsid w:val="005D132E"/>
    <w:rsid w:val="005D18AB"/>
    <w:rsid w:val="005D1A79"/>
    <w:rsid w:val="005D1A98"/>
    <w:rsid w:val="005D1B7A"/>
    <w:rsid w:val="005D2232"/>
    <w:rsid w:val="005D2496"/>
    <w:rsid w:val="005D2525"/>
    <w:rsid w:val="005D2587"/>
    <w:rsid w:val="005D2589"/>
    <w:rsid w:val="005D26B6"/>
    <w:rsid w:val="005D2878"/>
    <w:rsid w:val="005D2A4D"/>
    <w:rsid w:val="005D30AD"/>
    <w:rsid w:val="005D31E5"/>
    <w:rsid w:val="005D3301"/>
    <w:rsid w:val="005D3AD7"/>
    <w:rsid w:val="005D3FD1"/>
    <w:rsid w:val="005D4141"/>
    <w:rsid w:val="005D43CD"/>
    <w:rsid w:val="005D4478"/>
    <w:rsid w:val="005D47C1"/>
    <w:rsid w:val="005D4893"/>
    <w:rsid w:val="005D48D7"/>
    <w:rsid w:val="005D4DDA"/>
    <w:rsid w:val="005D4F94"/>
    <w:rsid w:val="005D5253"/>
    <w:rsid w:val="005D57C0"/>
    <w:rsid w:val="005D5828"/>
    <w:rsid w:val="005D5957"/>
    <w:rsid w:val="005D5B3C"/>
    <w:rsid w:val="005D5BCF"/>
    <w:rsid w:val="005D64E1"/>
    <w:rsid w:val="005D64F4"/>
    <w:rsid w:val="005D6BBA"/>
    <w:rsid w:val="005D712C"/>
    <w:rsid w:val="005D73B5"/>
    <w:rsid w:val="005D7644"/>
    <w:rsid w:val="005D7699"/>
    <w:rsid w:val="005D7BC9"/>
    <w:rsid w:val="005D7C11"/>
    <w:rsid w:val="005D7C44"/>
    <w:rsid w:val="005D7DB8"/>
    <w:rsid w:val="005D7DDD"/>
    <w:rsid w:val="005E0350"/>
    <w:rsid w:val="005E06D1"/>
    <w:rsid w:val="005E10D5"/>
    <w:rsid w:val="005E15F6"/>
    <w:rsid w:val="005E165E"/>
    <w:rsid w:val="005E16BF"/>
    <w:rsid w:val="005E16DE"/>
    <w:rsid w:val="005E193D"/>
    <w:rsid w:val="005E19AF"/>
    <w:rsid w:val="005E1D39"/>
    <w:rsid w:val="005E1DB3"/>
    <w:rsid w:val="005E1F66"/>
    <w:rsid w:val="005E2863"/>
    <w:rsid w:val="005E2A16"/>
    <w:rsid w:val="005E2D34"/>
    <w:rsid w:val="005E2DD5"/>
    <w:rsid w:val="005E2DE2"/>
    <w:rsid w:val="005E30AB"/>
    <w:rsid w:val="005E3537"/>
    <w:rsid w:val="005E36E1"/>
    <w:rsid w:val="005E3787"/>
    <w:rsid w:val="005E45FC"/>
    <w:rsid w:val="005E46BE"/>
    <w:rsid w:val="005E493E"/>
    <w:rsid w:val="005E4A8B"/>
    <w:rsid w:val="005E50C1"/>
    <w:rsid w:val="005E51E7"/>
    <w:rsid w:val="005E5BC9"/>
    <w:rsid w:val="005E5ECC"/>
    <w:rsid w:val="005E601A"/>
    <w:rsid w:val="005E675A"/>
    <w:rsid w:val="005E7291"/>
    <w:rsid w:val="005E73FC"/>
    <w:rsid w:val="005E7A42"/>
    <w:rsid w:val="005E7DD7"/>
    <w:rsid w:val="005F0777"/>
    <w:rsid w:val="005F095B"/>
    <w:rsid w:val="005F0A50"/>
    <w:rsid w:val="005F0ADA"/>
    <w:rsid w:val="005F106A"/>
    <w:rsid w:val="005F1784"/>
    <w:rsid w:val="005F1862"/>
    <w:rsid w:val="005F191C"/>
    <w:rsid w:val="005F1A18"/>
    <w:rsid w:val="005F24DF"/>
    <w:rsid w:val="005F29EE"/>
    <w:rsid w:val="005F2C85"/>
    <w:rsid w:val="005F35D0"/>
    <w:rsid w:val="005F369D"/>
    <w:rsid w:val="005F3B4F"/>
    <w:rsid w:val="005F4065"/>
    <w:rsid w:val="005F40E3"/>
    <w:rsid w:val="005F4825"/>
    <w:rsid w:val="005F48AB"/>
    <w:rsid w:val="005F4C1D"/>
    <w:rsid w:val="005F4E3A"/>
    <w:rsid w:val="005F4EED"/>
    <w:rsid w:val="005F51CE"/>
    <w:rsid w:val="005F5450"/>
    <w:rsid w:val="005F5915"/>
    <w:rsid w:val="005F59C3"/>
    <w:rsid w:val="005F5AEF"/>
    <w:rsid w:val="005F5C7E"/>
    <w:rsid w:val="005F5D0B"/>
    <w:rsid w:val="005F5E88"/>
    <w:rsid w:val="005F5EA8"/>
    <w:rsid w:val="005F62C8"/>
    <w:rsid w:val="005F690F"/>
    <w:rsid w:val="005F6B06"/>
    <w:rsid w:val="005F6DC4"/>
    <w:rsid w:val="005F7279"/>
    <w:rsid w:val="005F7749"/>
    <w:rsid w:val="005F77D1"/>
    <w:rsid w:val="005F7A00"/>
    <w:rsid w:val="005F7C4B"/>
    <w:rsid w:val="005F7CCD"/>
    <w:rsid w:val="0060014F"/>
    <w:rsid w:val="00600636"/>
    <w:rsid w:val="00600895"/>
    <w:rsid w:val="00600913"/>
    <w:rsid w:val="00600CDA"/>
    <w:rsid w:val="00600D05"/>
    <w:rsid w:val="00600F81"/>
    <w:rsid w:val="00601018"/>
    <w:rsid w:val="006014B9"/>
    <w:rsid w:val="006016DE"/>
    <w:rsid w:val="0060176D"/>
    <w:rsid w:val="00601C56"/>
    <w:rsid w:val="00601E0F"/>
    <w:rsid w:val="00601FC1"/>
    <w:rsid w:val="0060260E"/>
    <w:rsid w:val="0060265A"/>
    <w:rsid w:val="00602835"/>
    <w:rsid w:val="00602A02"/>
    <w:rsid w:val="00602BAC"/>
    <w:rsid w:val="006032C8"/>
    <w:rsid w:val="006033D1"/>
    <w:rsid w:val="006034DA"/>
    <w:rsid w:val="0060350B"/>
    <w:rsid w:val="00603728"/>
    <w:rsid w:val="00603A49"/>
    <w:rsid w:val="00603C58"/>
    <w:rsid w:val="00603CEC"/>
    <w:rsid w:val="00603EC6"/>
    <w:rsid w:val="0060458B"/>
    <w:rsid w:val="00604826"/>
    <w:rsid w:val="0060485B"/>
    <w:rsid w:val="00604A07"/>
    <w:rsid w:val="00604A6A"/>
    <w:rsid w:val="00604AE2"/>
    <w:rsid w:val="00604B99"/>
    <w:rsid w:val="00604C2B"/>
    <w:rsid w:val="00606649"/>
    <w:rsid w:val="00606892"/>
    <w:rsid w:val="00606F58"/>
    <w:rsid w:val="0060788F"/>
    <w:rsid w:val="00607A72"/>
    <w:rsid w:val="00607B4B"/>
    <w:rsid w:val="00607B86"/>
    <w:rsid w:val="00607EFD"/>
    <w:rsid w:val="0061043C"/>
    <w:rsid w:val="00610741"/>
    <w:rsid w:val="006108A6"/>
    <w:rsid w:val="00610C0E"/>
    <w:rsid w:val="00610D3C"/>
    <w:rsid w:val="006117AD"/>
    <w:rsid w:val="00611920"/>
    <w:rsid w:val="00611FCD"/>
    <w:rsid w:val="00612BC0"/>
    <w:rsid w:val="00612C6B"/>
    <w:rsid w:val="00612E50"/>
    <w:rsid w:val="0061312F"/>
    <w:rsid w:val="006132A1"/>
    <w:rsid w:val="006136DF"/>
    <w:rsid w:val="006137C7"/>
    <w:rsid w:val="00613926"/>
    <w:rsid w:val="006139C2"/>
    <w:rsid w:val="00613DD2"/>
    <w:rsid w:val="00613E8C"/>
    <w:rsid w:val="00614BDC"/>
    <w:rsid w:val="00614E13"/>
    <w:rsid w:val="0061551E"/>
    <w:rsid w:val="0061640F"/>
    <w:rsid w:val="00616647"/>
    <w:rsid w:val="006166D3"/>
    <w:rsid w:val="006169B4"/>
    <w:rsid w:val="006169B5"/>
    <w:rsid w:val="00616CF0"/>
    <w:rsid w:val="00617183"/>
    <w:rsid w:val="00617488"/>
    <w:rsid w:val="006174DB"/>
    <w:rsid w:val="00617671"/>
    <w:rsid w:val="00617726"/>
    <w:rsid w:val="0061789E"/>
    <w:rsid w:val="0061792B"/>
    <w:rsid w:val="00617CE5"/>
    <w:rsid w:val="00617EFF"/>
    <w:rsid w:val="00620041"/>
    <w:rsid w:val="00620233"/>
    <w:rsid w:val="006202FD"/>
    <w:rsid w:val="006203BA"/>
    <w:rsid w:val="00620753"/>
    <w:rsid w:val="006208C8"/>
    <w:rsid w:val="00620A2B"/>
    <w:rsid w:val="00620BE8"/>
    <w:rsid w:val="00620E26"/>
    <w:rsid w:val="00620E54"/>
    <w:rsid w:val="00620EE5"/>
    <w:rsid w:val="006211CF"/>
    <w:rsid w:val="00621257"/>
    <w:rsid w:val="0062130B"/>
    <w:rsid w:val="006213EE"/>
    <w:rsid w:val="006217A7"/>
    <w:rsid w:val="00621C3A"/>
    <w:rsid w:val="00621E98"/>
    <w:rsid w:val="00622700"/>
    <w:rsid w:val="00622D1B"/>
    <w:rsid w:val="00623676"/>
    <w:rsid w:val="00623B19"/>
    <w:rsid w:val="00623E20"/>
    <w:rsid w:val="00624B0B"/>
    <w:rsid w:val="00624F70"/>
    <w:rsid w:val="00625608"/>
    <w:rsid w:val="00625693"/>
    <w:rsid w:val="00625770"/>
    <w:rsid w:val="0062588E"/>
    <w:rsid w:val="00626555"/>
    <w:rsid w:val="00626B95"/>
    <w:rsid w:val="006272BF"/>
    <w:rsid w:val="00627403"/>
    <w:rsid w:val="00627936"/>
    <w:rsid w:val="00627DCC"/>
    <w:rsid w:val="00630029"/>
    <w:rsid w:val="00630122"/>
    <w:rsid w:val="00630242"/>
    <w:rsid w:val="0063053B"/>
    <w:rsid w:val="00630ABA"/>
    <w:rsid w:val="006312AC"/>
    <w:rsid w:val="006318DC"/>
    <w:rsid w:val="00631918"/>
    <w:rsid w:val="006321A3"/>
    <w:rsid w:val="00632261"/>
    <w:rsid w:val="0063228C"/>
    <w:rsid w:val="006325F8"/>
    <w:rsid w:val="00632785"/>
    <w:rsid w:val="0063331B"/>
    <w:rsid w:val="00633463"/>
    <w:rsid w:val="00633C81"/>
    <w:rsid w:val="006344FA"/>
    <w:rsid w:val="00634D42"/>
    <w:rsid w:val="0063555E"/>
    <w:rsid w:val="00635ACA"/>
    <w:rsid w:val="00635B21"/>
    <w:rsid w:val="00635C6A"/>
    <w:rsid w:val="0063691E"/>
    <w:rsid w:val="00636B8B"/>
    <w:rsid w:val="00637720"/>
    <w:rsid w:val="006377B6"/>
    <w:rsid w:val="006379AD"/>
    <w:rsid w:val="00637D45"/>
    <w:rsid w:val="00637FAC"/>
    <w:rsid w:val="00640A53"/>
    <w:rsid w:val="00640DAB"/>
    <w:rsid w:val="006411F4"/>
    <w:rsid w:val="006414A5"/>
    <w:rsid w:val="006417B1"/>
    <w:rsid w:val="006419B7"/>
    <w:rsid w:val="006419F2"/>
    <w:rsid w:val="00641FBB"/>
    <w:rsid w:val="00642219"/>
    <w:rsid w:val="00642256"/>
    <w:rsid w:val="006423FD"/>
    <w:rsid w:val="006426FD"/>
    <w:rsid w:val="00642D0C"/>
    <w:rsid w:val="006430A2"/>
    <w:rsid w:val="006430EF"/>
    <w:rsid w:val="00643520"/>
    <w:rsid w:val="00643BF2"/>
    <w:rsid w:val="00643D5B"/>
    <w:rsid w:val="006446F6"/>
    <w:rsid w:val="006448B6"/>
    <w:rsid w:val="00644CE0"/>
    <w:rsid w:val="00644E81"/>
    <w:rsid w:val="006453B4"/>
    <w:rsid w:val="006455A6"/>
    <w:rsid w:val="00645811"/>
    <w:rsid w:val="006458EB"/>
    <w:rsid w:val="00645B1E"/>
    <w:rsid w:val="00646384"/>
    <w:rsid w:val="00646836"/>
    <w:rsid w:val="00646C3A"/>
    <w:rsid w:val="00646FBB"/>
    <w:rsid w:val="00647448"/>
    <w:rsid w:val="00647558"/>
    <w:rsid w:val="00647601"/>
    <w:rsid w:val="00647694"/>
    <w:rsid w:val="0064782C"/>
    <w:rsid w:val="00647CE2"/>
    <w:rsid w:val="00647ED2"/>
    <w:rsid w:val="0065006D"/>
    <w:rsid w:val="006507DB"/>
    <w:rsid w:val="00650A10"/>
    <w:rsid w:val="00650AE3"/>
    <w:rsid w:val="00650CB5"/>
    <w:rsid w:val="00651564"/>
    <w:rsid w:val="0065175B"/>
    <w:rsid w:val="00651773"/>
    <w:rsid w:val="00651D79"/>
    <w:rsid w:val="00652056"/>
    <w:rsid w:val="0065247B"/>
    <w:rsid w:val="00652520"/>
    <w:rsid w:val="00652C6C"/>
    <w:rsid w:val="006531F9"/>
    <w:rsid w:val="00653BA1"/>
    <w:rsid w:val="00653F80"/>
    <w:rsid w:val="00653FA3"/>
    <w:rsid w:val="00654083"/>
    <w:rsid w:val="00654468"/>
    <w:rsid w:val="00654534"/>
    <w:rsid w:val="00654AA3"/>
    <w:rsid w:val="00654B25"/>
    <w:rsid w:val="00654BC4"/>
    <w:rsid w:val="00654E13"/>
    <w:rsid w:val="00654EE1"/>
    <w:rsid w:val="006556B5"/>
    <w:rsid w:val="006558A2"/>
    <w:rsid w:val="00655C54"/>
    <w:rsid w:val="00655CE8"/>
    <w:rsid w:val="00655E22"/>
    <w:rsid w:val="00655F70"/>
    <w:rsid w:val="006563EC"/>
    <w:rsid w:val="00656714"/>
    <w:rsid w:val="006567C6"/>
    <w:rsid w:val="006569B7"/>
    <w:rsid w:val="00656B41"/>
    <w:rsid w:val="00656C6C"/>
    <w:rsid w:val="006572DD"/>
    <w:rsid w:val="0065794F"/>
    <w:rsid w:val="00660081"/>
    <w:rsid w:val="00660477"/>
    <w:rsid w:val="006604C0"/>
    <w:rsid w:val="00660796"/>
    <w:rsid w:val="0066087F"/>
    <w:rsid w:val="00660D4C"/>
    <w:rsid w:val="00661005"/>
    <w:rsid w:val="006612EB"/>
    <w:rsid w:val="00661366"/>
    <w:rsid w:val="0066139F"/>
    <w:rsid w:val="006613A3"/>
    <w:rsid w:val="0066164E"/>
    <w:rsid w:val="0066198F"/>
    <w:rsid w:val="006619D1"/>
    <w:rsid w:val="00661FBD"/>
    <w:rsid w:val="00662C57"/>
    <w:rsid w:val="00663026"/>
    <w:rsid w:val="00663067"/>
    <w:rsid w:val="006630CF"/>
    <w:rsid w:val="006631EE"/>
    <w:rsid w:val="006634A5"/>
    <w:rsid w:val="00663612"/>
    <w:rsid w:val="00663A9F"/>
    <w:rsid w:val="00663C11"/>
    <w:rsid w:val="00663C65"/>
    <w:rsid w:val="00663F2F"/>
    <w:rsid w:val="00663FB4"/>
    <w:rsid w:val="00664035"/>
    <w:rsid w:val="00664229"/>
    <w:rsid w:val="00664A6E"/>
    <w:rsid w:val="00664D05"/>
    <w:rsid w:val="00664F1A"/>
    <w:rsid w:val="006655F5"/>
    <w:rsid w:val="00665662"/>
    <w:rsid w:val="006657DC"/>
    <w:rsid w:val="00665995"/>
    <w:rsid w:val="00665A05"/>
    <w:rsid w:val="0066625B"/>
    <w:rsid w:val="00666490"/>
    <w:rsid w:val="0066677D"/>
    <w:rsid w:val="00666D8F"/>
    <w:rsid w:val="00666DAA"/>
    <w:rsid w:val="00666E1D"/>
    <w:rsid w:val="006670F1"/>
    <w:rsid w:val="006673BF"/>
    <w:rsid w:val="006675E5"/>
    <w:rsid w:val="0066781B"/>
    <w:rsid w:val="00667837"/>
    <w:rsid w:val="00667962"/>
    <w:rsid w:val="00667B96"/>
    <w:rsid w:val="00667CC3"/>
    <w:rsid w:val="00670704"/>
    <w:rsid w:val="00670787"/>
    <w:rsid w:val="006709D5"/>
    <w:rsid w:val="00670B97"/>
    <w:rsid w:val="00670CFF"/>
    <w:rsid w:val="006710B7"/>
    <w:rsid w:val="00671281"/>
    <w:rsid w:val="00671747"/>
    <w:rsid w:val="00671A8E"/>
    <w:rsid w:val="00672267"/>
    <w:rsid w:val="00672355"/>
    <w:rsid w:val="006728EF"/>
    <w:rsid w:val="00672B02"/>
    <w:rsid w:val="00673203"/>
    <w:rsid w:val="00673AA4"/>
    <w:rsid w:val="00673C33"/>
    <w:rsid w:val="00673E27"/>
    <w:rsid w:val="00674049"/>
    <w:rsid w:val="00674272"/>
    <w:rsid w:val="006744F2"/>
    <w:rsid w:val="006747B4"/>
    <w:rsid w:val="006748BB"/>
    <w:rsid w:val="00674D1D"/>
    <w:rsid w:val="00674E3E"/>
    <w:rsid w:val="00675245"/>
    <w:rsid w:val="006756C6"/>
    <w:rsid w:val="0067592C"/>
    <w:rsid w:val="006761C8"/>
    <w:rsid w:val="006766BF"/>
    <w:rsid w:val="00676730"/>
    <w:rsid w:val="00676890"/>
    <w:rsid w:val="006768AC"/>
    <w:rsid w:val="00676A30"/>
    <w:rsid w:val="00676ACF"/>
    <w:rsid w:val="00676B77"/>
    <w:rsid w:val="00676E00"/>
    <w:rsid w:val="00676F19"/>
    <w:rsid w:val="006770AC"/>
    <w:rsid w:val="00677365"/>
    <w:rsid w:val="006775E2"/>
    <w:rsid w:val="0067793C"/>
    <w:rsid w:val="00680393"/>
    <w:rsid w:val="00681427"/>
    <w:rsid w:val="006817BA"/>
    <w:rsid w:val="00681971"/>
    <w:rsid w:val="00681CD5"/>
    <w:rsid w:val="00681EF8"/>
    <w:rsid w:val="00681F10"/>
    <w:rsid w:val="00682035"/>
    <w:rsid w:val="00682889"/>
    <w:rsid w:val="00683072"/>
    <w:rsid w:val="00683452"/>
    <w:rsid w:val="00683482"/>
    <w:rsid w:val="0068399A"/>
    <w:rsid w:val="0068400B"/>
    <w:rsid w:val="0068411F"/>
    <w:rsid w:val="006842A8"/>
    <w:rsid w:val="0068456E"/>
    <w:rsid w:val="006849BB"/>
    <w:rsid w:val="00684D14"/>
    <w:rsid w:val="006851DD"/>
    <w:rsid w:val="00685288"/>
    <w:rsid w:val="00685950"/>
    <w:rsid w:val="00685BF8"/>
    <w:rsid w:val="00685CC7"/>
    <w:rsid w:val="0068616E"/>
    <w:rsid w:val="006862A6"/>
    <w:rsid w:val="00686469"/>
    <w:rsid w:val="00686701"/>
    <w:rsid w:val="00686A19"/>
    <w:rsid w:val="006871B1"/>
    <w:rsid w:val="00687C70"/>
    <w:rsid w:val="00690365"/>
    <w:rsid w:val="00690755"/>
    <w:rsid w:val="00690829"/>
    <w:rsid w:val="00690B42"/>
    <w:rsid w:val="00690DF3"/>
    <w:rsid w:val="006914D2"/>
    <w:rsid w:val="00691523"/>
    <w:rsid w:val="00691A16"/>
    <w:rsid w:val="00691B02"/>
    <w:rsid w:val="00691D58"/>
    <w:rsid w:val="00691D7A"/>
    <w:rsid w:val="00692183"/>
    <w:rsid w:val="006926B5"/>
    <w:rsid w:val="006939EC"/>
    <w:rsid w:val="00693A29"/>
    <w:rsid w:val="00693C11"/>
    <w:rsid w:val="00694E22"/>
    <w:rsid w:val="00694EC6"/>
    <w:rsid w:val="00694F8F"/>
    <w:rsid w:val="006950F6"/>
    <w:rsid w:val="00695937"/>
    <w:rsid w:val="0069597C"/>
    <w:rsid w:val="00695A76"/>
    <w:rsid w:val="00695D95"/>
    <w:rsid w:val="006960B9"/>
    <w:rsid w:val="00696258"/>
    <w:rsid w:val="00696326"/>
    <w:rsid w:val="00696736"/>
    <w:rsid w:val="00696E16"/>
    <w:rsid w:val="006970D5"/>
    <w:rsid w:val="00697118"/>
    <w:rsid w:val="0069739D"/>
    <w:rsid w:val="00697CDE"/>
    <w:rsid w:val="006A0051"/>
    <w:rsid w:val="006A01DD"/>
    <w:rsid w:val="006A0293"/>
    <w:rsid w:val="006A08B5"/>
    <w:rsid w:val="006A08C1"/>
    <w:rsid w:val="006A0BE2"/>
    <w:rsid w:val="006A0D51"/>
    <w:rsid w:val="006A0DCB"/>
    <w:rsid w:val="006A1186"/>
    <w:rsid w:val="006A16C5"/>
    <w:rsid w:val="006A1A51"/>
    <w:rsid w:val="006A1E83"/>
    <w:rsid w:val="006A1EE1"/>
    <w:rsid w:val="006A1F2C"/>
    <w:rsid w:val="006A2159"/>
    <w:rsid w:val="006A249B"/>
    <w:rsid w:val="006A3897"/>
    <w:rsid w:val="006A38F6"/>
    <w:rsid w:val="006A4047"/>
    <w:rsid w:val="006A4211"/>
    <w:rsid w:val="006A436A"/>
    <w:rsid w:val="006A4813"/>
    <w:rsid w:val="006A49A4"/>
    <w:rsid w:val="006A4AE2"/>
    <w:rsid w:val="006A4D8A"/>
    <w:rsid w:val="006A4F99"/>
    <w:rsid w:val="006A50C8"/>
    <w:rsid w:val="006A58AC"/>
    <w:rsid w:val="006A5EE5"/>
    <w:rsid w:val="006A625E"/>
    <w:rsid w:val="006A64A9"/>
    <w:rsid w:val="006A64E6"/>
    <w:rsid w:val="006A661F"/>
    <w:rsid w:val="006A6AA7"/>
    <w:rsid w:val="006A6AF9"/>
    <w:rsid w:val="006A6B52"/>
    <w:rsid w:val="006A7AD0"/>
    <w:rsid w:val="006A7D66"/>
    <w:rsid w:val="006A7DFF"/>
    <w:rsid w:val="006B0469"/>
    <w:rsid w:val="006B0925"/>
    <w:rsid w:val="006B17F0"/>
    <w:rsid w:val="006B1C87"/>
    <w:rsid w:val="006B24E1"/>
    <w:rsid w:val="006B277A"/>
    <w:rsid w:val="006B2887"/>
    <w:rsid w:val="006B29BA"/>
    <w:rsid w:val="006B2BCA"/>
    <w:rsid w:val="006B2C22"/>
    <w:rsid w:val="006B2C28"/>
    <w:rsid w:val="006B309B"/>
    <w:rsid w:val="006B311C"/>
    <w:rsid w:val="006B342C"/>
    <w:rsid w:val="006B3485"/>
    <w:rsid w:val="006B38A8"/>
    <w:rsid w:val="006B39C6"/>
    <w:rsid w:val="006B3B09"/>
    <w:rsid w:val="006B3F25"/>
    <w:rsid w:val="006B4785"/>
    <w:rsid w:val="006B4949"/>
    <w:rsid w:val="006B4AAE"/>
    <w:rsid w:val="006B4C57"/>
    <w:rsid w:val="006B52D9"/>
    <w:rsid w:val="006B556C"/>
    <w:rsid w:val="006B56EC"/>
    <w:rsid w:val="006B570D"/>
    <w:rsid w:val="006B5A06"/>
    <w:rsid w:val="006B5ADB"/>
    <w:rsid w:val="006B5F5F"/>
    <w:rsid w:val="006B69D2"/>
    <w:rsid w:val="006B6B5B"/>
    <w:rsid w:val="006B6CB4"/>
    <w:rsid w:val="006B73B9"/>
    <w:rsid w:val="006B741B"/>
    <w:rsid w:val="006B7642"/>
    <w:rsid w:val="006B7EFE"/>
    <w:rsid w:val="006C0522"/>
    <w:rsid w:val="006C06D7"/>
    <w:rsid w:val="006C0CF3"/>
    <w:rsid w:val="006C0D44"/>
    <w:rsid w:val="006C0DBD"/>
    <w:rsid w:val="006C1021"/>
    <w:rsid w:val="006C13CB"/>
    <w:rsid w:val="006C145B"/>
    <w:rsid w:val="006C1847"/>
    <w:rsid w:val="006C1A1F"/>
    <w:rsid w:val="006C1A9E"/>
    <w:rsid w:val="006C25F1"/>
    <w:rsid w:val="006C2626"/>
    <w:rsid w:val="006C2966"/>
    <w:rsid w:val="006C2C29"/>
    <w:rsid w:val="006C2EF3"/>
    <w:rsid w:val="006C355C"/>
    <w:rsid w:val="006C3790"/>
    <w:rsid w:val="006C3C2A"/>
    <w:rsid w:val="006C3E91"/>
    <w:rsid w:val="006C44C8"/>
    <w:rsid w:val="006C44CD"/>
    <w:rsid w:val="006C4749"/>
    <w:rsid w:val="006C4D9E"/>
    <w:rsid w:val="006C4FD2"/>
    <w:rsid w:val="006C51CD"/>
    <w:rsid w:val="006C5448"/>
    <w:rsid w:val="006C567D"/>
    <w:rsid w:val="006C56B8"/>
    <w:rsid w:val="006C5BA8"/>
    <w:rsid w:val="006C611E"/>
    <w:rsid w:val="006C6FE4"/>
    <w:rsid w:val="006C746C"/>
    <w:rsid w:val="006C758D"/>
    <w:rsid w:val="006C7693"/>
    <w:rsid w:val="006C78CF"/>
    <w:rsid w:val="006C792D"/>
    <w:rsid w:val="006C7A1C"/>
    <w:rsid w:val="006C7C54"/>
    <w:rsid w:val="006D0F7B"/>
    <w:rsid w:val="006D103A"/>
    <w:rsid w:val="006D1D2D"/>
    <w:rsid w:val="006D1DE1"/>
    <w:rsid w:val="006D2317"/>
    <w:rsid w:val="006D266D"/>
    <w:rsid w:val="006D2C7E"/>
    <w:rsid w:val="006D2F68"/>
    <w:rsid w:val="006D31EC"/>
    <w:rsid w:val="006D32CD"/>
    <w:rsid w:val="006D3749"/>
    <w:rsid w:val="006D37B0"/>
    <w:rsid w:val="006D3994"/>
    <w:rsid w:val="006D39A5"/>
    <w:rsid w:val="006D3A92"/>
    <w:rsid w:val="006D3DBF"/>
    <w:rsid w:val="006D489D"/>
    <w:rsid w:val="006D4D0F"/>
    <w:rsid w:val="006D4D7F"/>
    <w:rsid w:val="006D4FD3"/>
    <w:rsid w:val="006D51A0"/>
    <w:rsid w:val="006D51B1"/>
    <w:rsid w:val="006D5662"/>
    <w:rsid w:val="006D5A15"/>
    <w:rsid w:val="006D5D7E"/>
    <w:rsid w:val="006D5E15"/>
    <w:rsid w:val="006D5FF2"/>
    <w:rsid w:val="006D6048"/>
    <w:rsid w:val="006D65CA"/>
    <w:rsid w:val="006D6C3A"/>
    <w:rsid w:val="006D6E3C"/>
    <w:rsid w:val="006D6F55"/>
    <w:rsid w:val="006D6F58"/>
    <w:rsid w:val="006D72DB"/>
    <w:rsid w:val="006D73BB"/>
    <w:rsid w:val="006D76B9"/>
    <w:rsid w:val="006D7B92"/>
    <w:rsid w:val="006D7FD1"/>
    <w:rsid w:val="006E0448"/>
    <w:rsid w:val="006E09DE"/>
    <w:rsid w:val="006E0DF1"/>
    <w:rsid w:val="006E0E9C"/>
    <w:rsid w:val="006E1377"/>
    <w:rsid w:val="006E13A6"/>
    <w:rsid w:val="006E143C"/>
    <w:rsid w:val="006E14F1"/>
    <w:rsid w:val="006E1582"/>
    <w:rsid w:val="006E165D"/>
    <w:rsid w:val="006E1938"/>
    <w:rsid w:val="006E1970"/>
    <w:rsid w:val="006E1DDE"/>
    <w:rsid w:val="006E1F49"/>
    <w:rsid w:val="006E2136"/>
    <w:rsid w:val="006E2191"/>
    <w:rsid w:val="006E2329"/>
    <w:rsid w:val="006E23B0"/>
    <w:rsid w:val="006E24B2"/>
    <w:rsid w:val="006E2816"/>
    <w:rsid w:val="006E2917"/>
    <w:rsid w:val="006E2AF2"/>
    <w:rsid w:val="006E322B"/>
    <w:rsid w:val="006E3280"/>
    <w:rsid w:val="006E44D9"/>
    <w:rsid w:val="006E4687"/>
    <w:rsid w:val="006E47C7"/>
    <w:rsid w:val="006E50A3"/>
    <w:rsid w:val="006E53B4"/>
    <w:rsid w:val="006E5E48"/>
    <w:rsid w:val="006E6220"/>
    <w:rsid w:val="006E62EB"/>
    <w:rsid w:val="006E630A"/>
    <w:rsid w:val="006E6476"/>
    <w:rsid w:val="006E64C8"/>
    <w:rsid w:val="006E6607"/>
    <w:rsid w:val="006E67FA"/>
    <w:rsid w:val="006E6CFE"/>
    <w:rsid w:val="006E6E11"/>
    <w:rsid w:val="006E71C1"/>
    <w:rsid w:val="006E71F3"/>
    <w:rsid w:val="006E7410"/>
    <w:rsid w:val="006E778C"/>
    <w:rsid w:val="006E7AC2"/>
    <w:rsid w:val="006F00FD"/>
    <w:rsid w:val="006F0854"/>
    <w:rsid w:val="006F0C20"/>
    <w:rsid w:val="006F1145"/>
    <w:rsid w:val="006F13A7"/>
    <w:rsid w:val="006F144F"/>
    <w:rsid w:val="006F155C"/>
    <w:rsid w:val="006F1A01"/>
    <w:rsid w:val="006F1A98"/>
    <w:rsid w:val="006F2800"/>
    <w:rsid w:val="006F2862"/>
    <w:rsid w:val="006F28B2"/>
    <w:rsid w:val="006F3306"/>
    <w:rsid w:val="006F37B8"/>
    <w:rsid w:val="006F3DA0"/>
    <w:rsid w:val="006F43CD"/>
    <w:rsid w:val="006F46D2"/>
    <w:rsid w:val="006F47ED"/>
    <w:rsid w:val="006F513C"/>
    <w:rsid w:val="006F5E2D"/>
    <w:rsid w:val="006F5E70"/>
    <w:rsid w:val="006F61F8"/>
    <w:rsid w:val="006F6789"/>
    <w:rsid w:val="006F68F6"/>
    <w:rsid w:val="006F70DB"/>
    <w:rsid w:val="006F74EA"/>
    <w:rsid w:val="006F77E7"/>
    <w:rsid w:val="006F7D2B"/>
    <w:rsid w:val="006F7E9E"/>
    <w:rsid w:val="00700017"/>
    <w:rsid w:val="007004C2"/>
    <w:rsid w:val="007007E6"/>
    <w:rsid w:val="007009DF"/>
    <w:rsid w:val="00700A01"/>
    <w:rsid w:val="00701027"/>
    <w:rsid w:val="007012C0"/>
    <w:rsid w:val="00701345"/>
    <w:rsid w:val="007014FC"/>
    <w:rsid w:val="007016AF"/>
    <w:rsid w:val="0070195E"/>
    <w:rsid w:val="00701A74"/>
    <w:rsid w:val="00701EE8"/>
    <w:rsid w:val="00702372"/>
    <w:rsid w:val="007023B6"/>
    <w:rsid w:val="0070283F"/>
    <w:rsid w:val="00702E7F"/>
    <w:rsid w:val="00702F24"/>
    <w:rsid w:val="00703056"/>
    <w:rsid w:val="00703094"/>
    <w:rsid w:val="007031A8"/>
    <w:rsid w:val="00703459"/>
    <w:rsid w:val="00703BB5"/>
    <w:rsid w:val="00703C0D"/>
    <w:rsid w:val="00703D5B"/>
    <w:rsid w:val="00703E31"/>
    <w:rsid w:val="0070417A"/>
    <w:rsid w:val="00704676"/>
    <w:rsid w:val="007047E3"/>
    <w:rsid w:val="00704935"/>
    <w:rsid w:val="00704CB9"/>
    <w:rsid w:val="00704CBD"/>
    <w:rsid w:val="00705322"/>
    <w:rsid w:val="00705AA4"/>
    <w:rsid w:val="00706065"/>
    <w:rsid w:val="0070635D"/>
    <w:rsid w:val="00706390"/>
    <w:rsid w:val="007067A8"/>
    <w:rsid w:val="00706A36"/>
    <w:rsid w:val="00706E83"/>
    <w:rsid w:val="00707489"/>
    <w:rsid w:val="007075CD"/>
    <w:rsid w:val="00707882"/>
    <w:rsid w:val="007078B4"/>
    <w:rsid w:val="007079B4"/>
    <w:rsid w:val="007079E1"/>
    <w:rsid w:val="00707AAA"/>
    <w:rsid w:val="00707B1D"/>
    <w:rsid w:val="00707B2B"/>
    <w:rsid w:val="00707CC9"/>
    <w:rsid w:val="007105D2"/>
    <w:rsid w:val="0071073E"/>
    <w:rsid w:val="00710855"/>
    <w:rsid w:val="00710BAB"/>
    <w:rsid w:val="00710DDA"/>
    <w:rsid w:val="007112C8"/>
    <w:rsid w:val="007113AF"/>
    <w:rsid w:val="00711462"/>
    <w:rsid w:val="00711875"/>
    <w:rsid w:val="00711A44"/>
    <w:rsid w:val="00711CB6"/>
    <w:rsid w:val="00711EEC"/>
    <w:rsid w:val="00711F5E"/>
    <w:rsid w:val="007120A6"/>
    <w:rsid w:val="00712148"/>
    <w:rsid w:val="00712FE6"/>
    <w:rsid w:val="00713110"/>
    <w:rsid w:val="007132F1"/>
    <w:rsid w:val="007134AA"/>
    <w:rsid w:val="00713970"/>
    <w:rsid w:val="007139E8"/>
    <w:rsid w:val="00713A94"/>
    <w:rsid w:val="00713D54"/>
    <w:rsid w:val="00713EEF"/>
    <w:rsid w:val="00714371"/>
    <w:rsid w:val="00714433"/>
    <w:rsid w:val="00714FEA"/>
    <w:rsid w:val="00715B06"/>
    <w:rsid w:val="00715CED"/>
    <w:rsid w:val="00715DED"/>
    <w:rsid w:val="0071687A"/>
    <w:rsid w:val="00716ADF"/>
    <w:rsid w:val="00716D12"/>
    <w:rsid w:val="00716E53"/>
    <w:rsid w:val="00716ECD"/>
    <w:rsid w:val="0072007E"/>
    <w:rsid w:val="00720335"/>
    <w:rsid w:val="00720B54"/>
    <w:rsid w:val="00720C62"/>
    <w:rsid w:val="00720D69"/>
    <w:rsid w:val="00720DE0"/>
    <w:rsid w:val="00720F78"/>
    <w:rsid w:val="0072102A"/>
    <w:rsid w:val="00721307"/>
    <w:rsid w:val="00721358"/>
    <w:rsid w:val="00721627"/>
    <w:rsid w:val="007217EA"/>
    <w:rsid w:val="00722509"/>
    <w:rsid w:val="007225E8"/>
    <w:rsid w:val="00722834"/>
    <w:rsid w:val="00722986"/>
    <w:rsid w:val="00722E20"/>
    <w:rsid w:val="007232BF"/>
    <w:rsid w:val="007236C8"/>
    <w:rsid w:val="00723718"/>
    <w:rsid w:val="00723918"/>
    <w:rsid w:val="00723961"/>
    <w:rsid w:val="00723E17"/>
    <w:rsid w:val="0072437F"/>
    <w:rsid w:val="00724465"/>
    <w:rsid w:val="00724530"/>
    <w:rsid w:val="007245EF"/>
    <w:rsid w:val="007247D2"/>
    <w:rsid w:val="00724DF0"/>
    <w:rsid w:val="00724F70"/>
    <w:rsid w:val="007251C7"/>
    <w:rsid w:val="00725254"/>
    <w:rsid w:val="00725866"/>
    <w:rsid w:val="007258F9"/>
    <w:rsid w:val="007259F0"/>
    <w:rsid w:val="00725E74"/>
    <w:rsid w:val="00725F82"/>
    <w:rsid w:val="00726362"/>
    <w:rsid w:val="00726714"/>
    <w:rsid w:val="00726AD4"/>
    <w:rsid w:val="007275AE"/>
    <w:rsid w:val="007277FF"/>
    <w:rsid w:val="007278C6"/>
    <w:rsid w:val="00727A66"/>
    <w:rsid w:val="00727C3D"/>
    <w:rsid w:val="0073050E"/>
    <w:rsid w:val="00730797"/>
    <w:rsid w:val="00730824"/>
    <w:rsid w:val="007309E1"/>
    <w:rsid w:val="007309FE"/>
    <w:rsid w:val="00730C51"/>
    <w:rsid w:val="00731273"/>
    <w:rsid w:val="0073150E"/>
    <w:rsid w:val="007315C2"/>
    <w:rsid w:val="007315FD"/>
    <w:rsid w:val="0073164F"/>
    <w:rsid w:val="007316EF"/>
    <w:rsid w:val="00731A34"/>
    <w:rsid w:val="00731CFE"/>
    <w:rsid w:val="00731E22"/>
    <w:rsid w:val="00731EE5"/>
    <w:rsid w:val="0073217C"/>
    <w:rsid w:val="00732307"/>
    <w:rsid w:val="00732889"/>
    <w:rsid w:val="00732999"/>
    <w:rsid w:val="00732E97"/>
    <w:rsid w:val="0073348B"/>
    <w:rsid w:val="0073358D"/>
    <w:rsid w:val="0073369D"/>
    <w:rsid w:val="007343B2"/>
    <w:rsid w:val="0073441B"/>
    <w:rsid w:val="007344AB"/>
    <w:rsid w:val="007346A0"/>
    <w:rsid w:val="007348EF"/>
    <w:rsid w:val="00734934"/>
    <w:rsid w:val="007350D1"/>
    <w:rsid w:val="00735462"/>
    <w:rsid w:val="00735634"/>
    <w:rsid w:val="007356E3"/>
    <w:rsid w:val="007358D2"/>
    <w:rsid w:val="00735CCB"/>
    <w:rsid w:val="00735F51"/>
    <w:rsid w:val="007368F9"/>
    <w:rsid w:val="00736B02"/>
    <w:rsid w:val="00736BF9"/>
    <w:rsid w:val="00736CA3"/>
    <w:rsid w:val="00736D53"/>
    <w:rsid w:val="00736F63"/>
    <w:rsid w:val="00736FCF"/>
    <w:rsid w:val="007370A6"/>
    <w:rsid w:val="007371A5"/>
    <w:rsid w:val="00737913"/>
    <w:rsid w:val="00737A30"/>
    <w:rsid w:val="00737C75"/>
    <w:rsid w:val="0074018D"/>
    <w:rsid w:val="007407A0"/>
    <w:rsid w:val="00740AA1"/>
    <w:rsid w:val="00741BCC"/>
    <w:rsid w:val="0074205D"/>
    <w:rsid w:val="007424AE"/>
    <w:rsid w:val="0074295A"/>
    <w:rsid w:val="00742B99"/>
    <w:rsid w:val="00742C38"/>
    <w:rsid w:val="00742DA3"/>
    <w:rsid w:val="0074315D"/>
    <w:rsid w:val="007436C7"/>
    <w:rsid w:val="007441BD"/>
    <w:rsid w:val="007448E2"/>
    <w:rsid w:val="00744D68"/>
    <w:rsid w:val="00744F0A"/>
    <w:rsid w:val="007450F3"/>
    <w:rsid w:val="007451C7"/>
    <w:rsid w:val="0074537E"/>
    <w:rsid w:val="0074547C"/>
    <w:rsid w:val="007457D9"/>
    <w:rsid w:val="00745967"/>
    <w:rsid w:val="00746325"/>
    <w:rsid w:val="00746346"/>
    <w:rsid w:val="007465C2"/>
    <w:rsid w:val="007466AE"/>
    <w:rsid w:val="00746716"/>
    <w:rsid w:val="007469B0"/>
    <w:rsid w:val="007474A5"/>
    <w:rsid w:val="0074771B"/>
    <w:rsid w:val="00747C06"/>
    <w:rsid w:val="00747E56"/>
    <w:rsid w:val="00750DD0"/>
    <w:rsid w:val="00750F1E"/>
    <w:rsid w:val="0075126E"/>
    <w:rsid w:val="0075155A"/>
    <w:rsid w:val="00751707"/>
    <w:rsid w:val="00751752"/>
    <w:rsid w:val="007517EE"/>
    <w:rsid w:val="0075201C"/>
    <w:rsid w:val="007520EF"/>
    <w:rsid w:val="007522C7"/>
    <w:rsid w:val="00752625"/>
    <w:rsid w:val="0075294F"/>
    <w:rsid w:val="00752D88"/>
    <w:rsid w:val="00753027"/>
    <w:rsid w:val="007536EF"/>
    <w:rsid w:val="00754410"/>
    <w:rsid w:val="00754993"/>
    <w:rsid w:val="00754D82"/>
    <w:rsid w:val="00754DE8"/>
    <w:rsid w:val="00755432"/>
    <w:rsid w:val="007556FD"/>
    <w:rsid w:val="00755995"/>
    <w:rsid w:val="00755BF2"/>
    <w:rsid w:val="00755C06"/>
    <w:rsid w:val="00755DB0"/>
    <w:rsid w:val="00755EE1"/>
    <w:rsid w:val="00755F1A"/>
    <w:rsid w:val="00756547"/>
    <w:rsid w:val="00756B09"/>
    <w:rsid w:val="00756F1A"/>
    <w:rsid w:val="007571EA"/>
    <w:rsid w:val="007571FF"/>
    <w:rsid w:val="00757437"/>
    <w:rsid w:val="00757678"/>
    <w:rsid w:val="0075772A"/>
    <w:rsid w:val="00757AE6"/>
    <w:rsid w:val="007600F8"/>
    <w:rsid w:val="0076010A"/>
    <w:rsid w:val="0076020B"/>
    <w:rsid w:val="00760B48"/>
    <w:rsid w:val="00760C7B"/>
    <w:rsid w:val="00760F46"/>
    <w:rsid w:val="007611B5"/>
    <w:rsid w:val="007613B7"/>
    <w:rsid w:val="00761810"/>
    <w:rsid w:val="007619D0"/>
    <w:rsid w:val="00761CD9"/>
    <w:rsid w:val="00761EDE"/>
    <w:rsid w:val="00762007"/>
    <w:rsid w:val="00762164"/>
    <w:rsid w:val="0076233F"/>
    <w:rsid w:val="00762442"/>
    <w:rsid w:val="0076249D"/>
    <w:rsid w:val="0076272F"/>
    <w:rsid w:val="00762BE7"/>
    <w:rsid w:val="00762D9F"/>
    <w:rsid w:val="00762FE0"/>
    <w:rsid w:val="007631AF"/>
    <w:rsid w:val="0076339A"/>
    <w:rsid w:val="0076362D"/>
    <w:rsid w:val="00763873"/>
    <w:rsid w:val="0076392F"/>
    <w:rsid w:val="0076399F"/>
    <w:rsid w:val="00763BD3"/>
    <w:rsid w:val="00763EA4"/>
    <w:rsid w:val="00764AA1"/>
    <w:rsid w:val="0076545E"/>
    <w:rsid w:val="0076565B"/>
    <w:rsid w:val="0076567F"/>
    <w:rsid w:val="00765BCF"/>
    <w:rsid w:val="0076609F"/>
    <w:rsid w:val="0076664B"/>
    <w:rsid w:val="0076677D"/>
    <w:rsid w:val="00766AF8"/>
    <w:rsid w:val="00766FA4"/>
    <w:rsid w:val="00766FCD"/>
    <w:rsid w:val="00767202"/>
    <w:rsid w:val="00770A1C"/>
    <w:rsid w:val="00770ED8"/>
    <w:rsid w:val="00771A7F"/>
    <w:rsid w:val="00771B1C"/>
    <w:rsid w:val="00771B52"/>
    <w:rsid w:val="00771C84"/>
    <w:rsid w:val="0077226E"/>
    <w:rsid w:val="00772522"/>
    <w:rsid w:val="00772561"/>
    <w:rsid w:val="00772891"/>
    <w:rsid w:val="00772CA5"/>
    <w:rsid w:val="00772E18"/>
    <w:rsid w:val="00773314"/>
    <w:rsid w:val="00773DD3"/>
    <w:rsid w:val="00774081"/>
    <w:rsid w:val="007741CB"/>
    <w:rsid w:val="007742B8"/>
    <w:rsid w:val="00774504"/>
    <w:rsid w:val="00774715"/>
    <w:rsid w:val="00774BEF"/>
    <w:rsid w:val="00774DF7"/>
    <w:rsid w:val="007751C5"/>
    <w:rsid w:val="00775433"/>
    <w:rsid w:val="0077553B"/>
    <w:rsid w:val="007755C7"/>
    <w:rsid w:val="00776667"/>
    <w:rsid w:val="00777086"/>
    <w:rsid w:val="00777463"/>
    <w:rsid w:val="007775D7"/>
    <w:rsid w:val="00777D4F"/>
    <w:rsid w:val="007801AC"/>
    <w:rsid w:val="00780314"/>
    <w:rsid w:val="0078044D"/>
    <w:rsid w:val="007806A7"/>
    <w:rsid w:val="00780BA7"/>
    <w:rsid w:val="00780CA2"/>
    <w:rsid w:val="007810D1"/>
    <w:rsid w:val="00781240"/>
    <w:rsid w:val="0078144F"/>
    <w:rsid w:val="0078170C"/>
    <w:rsid w:val="0078173E"/>
    <w:rsid w:val="0078173F"/>
    <w:rsid w:val="00781949"/>
    <w:rsid w:val="00781AC4"/>
    <w:rsid w:val="00781C10"/>
    <w:rsid w:val="00781CFE"/>
    <w:rsid w:val="007821E4"/>
    <w:rsid w:val="00782314"/>
    <w:rsid w:val="007823F9"/>
    <w:rsid w:val="007824AA"/>
    <w:rsid w:val="007824C2"/>
    <w:rsid w:val="007825C1"/>
    <w:rsid w:val="007825E0"/>
    <w:rsid w:val="007826EF"/>
    <w:rsid w:val="007827A0"/>
    <w:rsid w:val="00782875"/>
    <w:rsid w:val="0078299E"/>
    <w:rsid w:val="007829B6"/>
    <w:rsid w:val="00782A52"/>
    <w:rsid w:val="00782B0E"/>
    <w:rsid w:val="00782D65"/>
    <w:rsid w:val="00782ED8"/>
    <w:rsid w:val="00783331"/>
    <w:rsid w:val="00783366"/>
    <w:rsid w:val="0078353A"/>
    <w:rsid w:val="0078366B"/>
    <w:rsid w:val="00783851"/>
    <w:rsid w:val="00783D4D"/>
    <w:rsid w:val="0078459F"/>
    <w:rsid w:val="0078468E"/>
    <w:rsid w:val="00784BB6"/>
    <w:rsid w:val="007855CC"/>
    <w:rsid w:val="00785770"/>
    <w:rsid w:val="00785C47"/>
    <w:rsid w:val="00785F52"/>
    <w:rsid w:val="007865C5"/>
    <w:rsid w:val="007867E1"/>
    <w:rsid w:val="0078689A"/>
    <w:rsid w:val="00786D23"/>
    <w:rsid w:val="00786E0E"/>
    <w:rsid w:val="00787B2D"/>
    <w:rsid w:val="00790436"/>
    <w:rsid w:val="0079049D"/>
    <w:rsid w:val="0079053D"/>
    <w:rsid w:val="00790568"/>
    <w:rsid w:val="007905F7"/>
    <w:rsid w:val="00790754"/>
    <w:rsid w:val="00790CAA"/>
    <w:rsid w:val="00790DA7"/>
    <w:rsid w:val="00790E3B"/>
    <w:rsid w:val="00790EDD"/>
    <w:rsid w:val="00791223"/>
    <w:rsid w:val="007913B5"/>
    <w:rsid w:val="00791504"/>
    <w:rsid w:val="00791923"/>
    <w:rsid w:val="0079192B"/>
    <w:rsid w:val="00791C30"/>
    <w:rsid w:val="00791C5D"/>
    <w:rsid w:val="007928D6"/>
    <w:rsid w:val="00792FF6"/>
    <w:rsid w:val="00793099"/>
    <w:rsid w:val="007932A5"/>
    <w:rsid w:val="00793425"/>
    <w:rsid w:val="007934A5"/>
    <w:rsid w:val="007936A1"/>
    <w:rsid w:val="00793877"/>
    <w:rsid w:val="00793D17"/>
    <w:rsid w:val="00793FCE"/>
    <w:rsid w:val="00794A31"/>
    <w:rsid w:val="00794B7C"/>
    <w:rsid w:val="007951C7"/>
    <w:rsid w:val="007952F0"/>
    <w:rsid w:val="00795314"/>
    <w:rsid w:val="007954DA"/>
    <w:rsid w:val="00795726"/>
    <w:rsid w:val="00795B74"/>
    <w:rsid w:val="00796150"/>
    <w:rsid w:val="00796678"/>
    <w:rsid w:val="0079690E"/>
    <w:rsid w:val="00796A2B"/>
    <w:rsid w:val="00796E22"/>
    <w:rsid w:val="007972E9"/>
    <w:rsid w:val="00797438"/>
    <w:rsid w:val="00797567"/>
    <w:rsid w:val="0079769B"/>
    <w:rsid w:val="00797972"/>
    <w:rsid w:val="00797A9F"/>
    <w:rsid w:val="007A00ED"/>
    <w:rsid w:val="007A05CB"/>
    <w:rsid w:val="007A06E6"/>
    <w:rsid w:val="007A06FB"/>
    <w:rsid w:val="007A0817"/>
    <w:rsid w:val="007A0CBD"/>
    <w:rsid w:val="007A0CCF"/>
    <w:rsid w:val="007A0CED"/>
    <w:rsid w:val="007A0E94"/>
    <w:rsid w:val="007A1246"/>
    <w:rsid w:val="007A161B"/>
    <w:rsid w:val="007A181C"/>
    <w:rsid w:val="007A1ADA"/>
    <w:rsid w:val="007A1D64"/>
    <w:rsid w:val="007A1F9C"/>
    <w:rsid w:val="007A1FDB"/>
    <w:rsid w:val="007A205C"/>
    <w:rsid w:val="007A2384"/>
    <w:rsid w:val="007A2623"/>
    <w:rsid w:val="007A2AA3"/>
    <w:rsid w:val="007A2CF4"/>
    <w:rsid w:val="007A3104"/>
    <w:rsid w:val="007A31C0"/>
    <w:rsid w:val="007A31F5"/>
    <w:rsid w:val="007A3796"/>
    <w:rsid w:val="007A3D3B"/>
    <w:rsid w:val="007A4545"/>
    <w:rsid w:val="007A46EC"/>
    <w:rsid w:val="007A4A86"/>
    <w:rsid w:val="007A4A95"/>
    <w:rsid w:val="007A4FD8"/>
    <w:rsid w:val="007A5022"/>
    <w:rsid w:val="007A5281"/>
    <w:rsid w:val="007A55DB"/>
    <w:rsid w:val="007A5D16"/>
    <w:rsid w:val="007A5E9A"/>
    <w:rsid w:val="007A60FC"/>
    <w:rsid w:val="007A62C1"/>
    <w:rsid w:val="007A7172"/>
    <w:rsid w:val="007A71DC"/>
    <w:rsid w:val="007A738A"/>
    <w:rsid w:val="007A7688"/>
    <w:rsid w:val="007A77DA"/>
    <w:rsid w:val="007A7B58"/>
    <w:rsid w:val="007A7C80"/>
    <w:rsid w:val="007A7CC0"/>
    <w:rsid w:val="007A7CFF"/>
    <w:rsid w:val="007B07D4"/>
    <w:rsid w:val="007B0A8F"/>
    <w:rsid w:val="007B1355"/>
    <w:rsid w:val="007B136F"/>
    <w:rsid w:val="007B137E"/>
    <w:rsid w:val="007B1592"/>
    <w:rsid w:val="007B1A12"/>
    <w:rsid w:val="007B1ADE"/>
    <w:rsid w:val="007B1CC8"/>
    <w:rsid w:val="007B1D51"/>
    <w:rsid w:val="007B1F60"/>
    <w:rsid w:val="007B23C8"/>
    <w:rsid w:val="007B2530"/>
    <w:rsid w:val="007B255F"/>
    <w:rsid w:val="007B26CA"/>
    <w:rsid w:val="007B26FA"/>
    <w:rsid w:val="007B27AB"/>
    <w:rsid w:val="007B2A20"/>
    <w:rsid w:val="007B2D58"/>
    <w:rsid w:val="007B30F3"/>
    <w:rsid w:val="007B37B2"/>
    <w:rsid w:val="007B3854"/>
    <w:rsid w:val="007B3E4A"/>
    <w:rsid w:val="007B4161"/>
    <w:rsid w:val="007B44AB"/>
    <w:rsid w:val="007B47F6"/>
    <w:rsid w:val="007B4EC3"/>
    <w:rsid w:val="007B5827"/>
    <w:rsid w:val="007B59CB"/>
    <w:rsid w:val="007B666C"/>
    <w:rsid w:val="007B6A7C"/>
    <w:rsid w:val="007B6A90"/>
    <w:rsid w:val="007B6A99"/>
    <w:rsid w:val="007B6CF6"/>
    <w:rsid w:val="007B755C"/>
    <w:rsid w:val="007B7860"/>
    <w:rsid w:val="007B7C64"/>
    <w:rsid w:val="007B7D7F"/>
    <w:rsid w:val="007C0026"/>
    <w:rsid w:val="007C03D9"/>
    <w:rsid w:val="007C0730"/>
    <w:rsid w:val="007C096A"/>
    <w:rsid w:val="007C0AF9"/>
    <w:rsid w:val="007C1068"/>
    <w:rsid w:val="007C1905"/>
    <w:rsid w:val="007C1A3A"/>
    <w:rsid w:val="007C1B0B"/>
    <w:rsid w:val="007C1B9A"/>
    <w:rsid w:val="007C1E2B"/>
    <w:rsid w:val="007C2040"/>
    <w:rsid w:val="007C2575"/>
    <w:rsid w:val="007C29C9"/>
    <w:rsid w:val="007C2D6F"/>
    <w:rsid w:val="007C335F"/>
    <w:rsid w:val="007C3D9B"/>
    <w:rsid w:val="007C4506"/>
    <w:rsid w:val="007C4751"/>
    <w:rsid w:val="007C4BBC"/>
    <w:rsid w:val="007C4CD1"/>
    <w:rsid w:val="007C4D9D"/>
    <w:rsid w:val="007C4E48"/>
    <w:rsid w:val="007C51A5"/>
    <w:rsid w:val="007C5304"/>
    <w:rsid w:val="007C58A8"/>
    <w:rsid w:val="007C592C"/>
    <w:rsid w:val="007C5DA4"/>
    <w:rsid w:val="007C5DA8"/>
    <w:rsid w:val="007C5E69"/>
    <w:rsid w:val="007C61D0"/>
    <w:rsid w:val="007C62BF"/>
    <w:rsid w:val="007C62DB"/>
    <w:rsid w:val="007C70E2"/>
    <w:rsid w:val="007C751A"/>
    <w:rsid w:val="007C756A"/>
    <w:rsid w:val="007C75ED"/>
    <w:rsid w:val="007C7A8F"/>
    <w:rsid w:val="007C7E63"/>
    <w:rsid w:val="007D01EE"/>
    <w:rsid w:val="007D01FC"/>
    <w:rsid w:val="007D07FB"/>
    <w:rsid w:val="007D0C94"/>
    <w:rsid w:val="007D0D63"/>
    <w:rsid w:val="007D0FD8"/>
    <w:rsid w:val="007D1164"/>
    <w:rsid w:val="007D13D5"/>
    <w:rsid w:val="007D174D"/>
    <w:rsid w:val="007D1B4F"/>
    <w:rsid w:val="007D1B73"/>
    <w:rsid w:val="007D1CF3"/>
    <w:rsid w:val="007D1E1D"/>
    <w:rsid w:val="007D1F18"/>
    <w:rsid w:val="007D1F43"/>
    <w:rsid w:val="007D210C"/>
    <w:rsid w:val="007D26A3"/>
    <w:rsid w:val="007D282C"/>
    <w:rsid w:val="007D2870"/>
    <w:rsid w:val="007D2A04"/>
    <w:rsid w:val="007D2C90"/>
    <w:rsid w:val="007D2D30"/>
    <w:rsid w:val="007D2FC1"/>
    <w:rsid w:val="007D302F"/>
    <w:rsid w:val="007D34E9"/>
    <w:rsid w:val="007D358F"/>
    <w:rsid w:val="007D361B"/>
    <w:rsid w:val="007D4221"/>
    <w:rsid w:val="007D45D6"/>
    <w:rsid w:val="007D4B5A"/>
    <w:rsid w:val="007D53D5"/>
    <w:rsid w:val="007D56E5"/>
    <w:rsid w:val="007D575E"/>
    <w:rsid w:val="007D5884"/>
    <w:rsid w:val="007D58AA"/>
    <w:rsid w:val="007D59B1"/>
    <w:rsid w:val="007D59D7"/>
    <w:rsid w:val="007D5A04"/>
    <w:rsid w:val="007D5B21"/>
    <w:rsid w:val="007D5F07"/>
    <w:rsid w:val="007D645F"/>
    <w:rsid w:val="007D67C3"/>
    <w:rsid w:val="007D68F6"/>
    <w:rsid w:val="007D70A1"/>
    <w:rsid w:val="007D7484"/>
    <w:rsid w:val="007D7590"/>
    <w:rsid w:val="007E0048"/>
    <w:rsid w:val="007E019B"/>
    <w:rsid w:val="007E0524"/>
    <w:rsid w:val="007E05D3"/>
    <w:rsid w:val="007E07EC"/>
    <w:rsid w:val="007E0E9A"/>
    <w:rsid w:val="007E10FA"/>
    <w:rsid w:val="007E1A04"/>
    <w:rsid w:val="007E1A7F"/>
    <w:rsid w:val="007E1B21"/>
    <w:rsid w:val="007E1E11"/>
    <w:rsid w:val="007E23DC"/>
    <w:rsid w:val="007E28A2"/>
    <w:rsid w:val="007E2AB7"/>
    <w:rsid w:val="007E3776"/>
    <w:rsid w:val="007E3896"/>
    <w:rsid w:val="007E395A"/>
    <w:rsid w:val="007E3B5F"/>
    <w:rsid w:val="007E3D1B"/>
    <w:rsid w:val="007E3FED"/>
    <w:rsid w:val="007E45E1"/>
    <w:rsid w:val="007E4D0A"/>
    <w:rsid w:val="007E4D23"/>
    <w:rsid w:val="007E5235"/>
    <w:rsid w:val="007E5326"/>
    <w:rsid w:val="007E53F4"/>
    <w:rsid w:val="007E55F6"/>
    <w:rsid w:val="007E57BC"/>
    <w:rsid w:val="007E5AA7"/>
    <w:rsid w:val="007E5DFD"/>
    <w:rsid w:val="007E5E8D"/>
    <w:rsid w:val="007E620F"/>
    <w:rsid w:val="007E6F57"/>
    <w:rsid w:val="007E7329"/>
    <w:rsid w:val="007E751D"/>
    <w:rsid w:val="007E771A"/>
    <w:rsid w:val="007E7A4B"/>
    <w:rsid w:val="007E7ABA"/>
    <w:rsid w:val="007E7EB1"/>
    <w:rsid w:val="007E7FBB"/>
    <w:rsid w:val="007F0233"/>
    <w:rsid w:val="007F09C3"/>
    <w:rsid w:val="007F0E42"/>
    <w:rsid w:val="007F189B"/>
    <w:rsid w:val="007F1CD1"/>
    <w:rsid w:val="007F24E3"/>
    <w:rsid w:val="007F28F6"/>
    <w:rsid w:val="007F2A61"/>
    <w:rsid w:val="007F2C5C"/>
    <w:rsid w:val="007F2CAD"/>
    <w:rsid w:val="007F2CD6"/>
    <w:rsid w:val="007F33AE"/>
    <w:rsid w:val="007F34E6"/>
    <w:rsid w:val="007F3764"/>
    <w:rsid w:val="007F39C3"/>
    <w:rsid w:val="007F3BE7"/>
    <w:rsid w:val="007F3F5A"/>
    <w:rsid w:val="007F40F2"/>
    <w:rsid w:val="007F4590"/>
    <w:rsid w:val="007F5573"/>
    <w:rsid w:val="007F5A98"/>
    <w:rsid w:val="007F5B9A"/>
    <w:rsid w:val="007F6477"/>
    <w:rsid w:val="007F6540"/>
    <w:rsid w:val="007F684D"/>
    <w:rsid w:val="007F69E3"/>
    <w:rsid w:val="007F6AE1"/>
    <w:rsid w:val="007F723D"/>
    <w:rsid w:val="007F7644"/>
    <w:rsid w:val="007F76F8"/>
    <w:rsid w:val="007F7F94"/>
    <w:rsid w:val="00800575"/>
    <w:rsid w:val="0080079C"/>
    <w:rsid w:val="008008FC"/>
    <w:rsid w:val="00800A61"/>
    <w:rsid w:val="008014EA"/>
    <w:rsid w:val="00801D98"/>
    <w:rsid w:val="00802752"/>
    <w:rsid w:val="00802C86"/>
    <w:rsid w:val="00802CDD"/>
    <w:rsid w:val="00802E93"/>
    <w:rsid w:val="008030E7"/>
    <w:rsid w:val="0080328F"/>
    <w:rsid w:val="0080384B"/>
    <w:rsid w:val="00803DC4"/>
    <w:rsid w:val="00803E8C"/>
    <w:rsid w:val="00803E8D"/>
    <w:rsid w:val="00803F9B"/>
    <w:rsid w:val="008040BD"/>
    <w:rsid w:val="00804142"/>
    <w:rsid w:val="00804335"/>
    <w:rsid w:val="00804647"/>
    <w:rsid w:val="00804CAB"/>
    <w:rsid w:val="0080537E"/>
    <w:rsid w:val="008055B6"/>
    <w:rsid w:val="00805B92"/>
    <w:rsid w:val="00805D78"/>
    <w:rsid w:val="00806291"/>
    <w:rsid w:val="008062CA"/>
    <w:rsid w:val="008065A9"/>
    <w:rsid w:val="008065DF"/>
    <w:rsid w:val="00806752"/>
    <w:rsid w:val="008068C2"/>
    <w:rsid w:val="00806CCB"/>
    <w:rsid w:val="00807133"/>
    <w:rsid w:val="00807170"/>
    <w:rsid w:val="00807B24"/>
    <w:rsid w:val="00807F2F"/>
    <w:rsid w:val="00810093"/>
    <w:rsid w:val="0081054C"/>
    <w:rsid w:val="0081067E"/>
    <w:rsid w:val="00810933"/>
    <w:rsid w:val="00810C38"/>
    <w:rsid w:val="00811265"/>
    <w:rsid w:val="008112C1"/>
    <w:rsid w:val="0081138B"/>
    <w:rsid w:val="00811457"/>
    <w:rsid w:val="0081163A"/>
    <w:rsid w:val="00811697"/>
    <w:rsid w:val="008119FD"/>
    <w:rsid w:val="00811BAF"/>
    <w:rsid w:val="0081217E"/>
    <w:rsid w:val="008121FF"/>
    <w:rsid w:val="008126AB"/>
    <w:rsid w:val="00812766"/>
    <w:rsid w:val="0081283A"/>
    <w:rsid w:val="00812893"/>
    <w:rsid w:val="00813CC4"/>
    <w:rsid w:val="0081423A"/>
    <w:rsid w:val="00814313"/>
    <w:rsid w:val="008147A3"/>
    <w:rsid w:val="008147E8"/>
    <w:rsid w:val="008147EC"/>
    <w:rsid w:val="00814C2B"/>
    <w:rsid w:val="00814D64"/>
    <w:rsid w:val="00814F03"/>
    <w:rsid w:val="0081506C"/>
    <w:rsid w:val="008152AC"/>
    <w:rsid w:val="008153C3"/>
    <w:rsid w:val="008154D4"/>
    <w:rsid w:val="008158DF"/>
    <w:rsid w:val="00815A13"/>
    <w:rsid w:val="00815AD3"/>
    <w:rsid w:val="00816166"/>
    <w:rsid w:val="00816AB7"/>
    <w:rsid w:val="00817414"/>
    <w:rsid w:val="008175D5"/>
    <w:rsid w:val="00817744"/>
    <w:rsid w:val="0082006A"/>
    <w:rsid w:val="00820101"/>
    <w:rsid w:val="0082014E"/>
    <w:rsid w:val="0082055E"/>
    <w:rsid w:val="008205EF"/>
    <w:rsid w:val="00820973"/>
    <w:rsid w:val="00820BAB"/>
    <w:rsid w:val="00820E98"/>
    <w:rsid w:val="00820FFE"/>
    <w:rsid w:val="00821972"/>
    <w:rsid w:val="00821DC8"/>
    <w:rsid w:val="00821F62"/>
    <w:rsid w:val="00822071"/>
    <w:rsid w:val="008221F9"/>
    <w:rsid w:val="00822B21"/>
    <w:rsid w:val="00822EB2"/>
    <w:rsid w:val="00823F27"/>
    <w:rsid w:val="0082412B"/>
    <w:rsid w:val="0082421C"/>
    <w:rsid w:val="0082424A"/>
    <w:rsid w:val="008242B6"/>
    <w:rsid w:val="008243F6"/>
    <w:rsid w:val="00824443"/>
    <w:rsid w:val="00824D4B"/>
    <w:rsid w:val="00824F90"/>
    <w:rsid w:val="008259B7"/>
    <w:rsid w:val="00825F59"/>
    <w:rsid w:val="00826056"/>
    <w:rsid w:val="008261EB"/>
    <w:rsid w:val="00826A9F"/>
    <w:rsid w:val="00826B7A"/>
    <w:rsid w:val="00826B7D"/>
    <w:rsid w:val="00826BF3"/>
    <w:rsid w:val="00826C2D"/>
    <w:rsid w:val="00826F9A"/>
    <w:rsid w:val="00826FF9"/>
    <w:rsid w:val="00827005"/>
    <w:rsid w:val="00827278"/>
    <w:rsid w:val="008301E3"/>
    <w:rsid w:val="0083034E"/>
    <w:rsid w:val="00830526"/>
    <w:rsid w:val="008305F8"/>
    <w:rsid w:val="00830979"/>
    <w:rsid w:val="00830B95"/>
    <w:rsid w:val="00830D58"/>
    <w:rsid w:val="00830F0C"/>
    <w:rsid w:val="00830F71"/>
    <w:rsid w:val="0083121B"/>
    <w:rsid w:val="0083155A"/>
    <w:rsid w:val="00831BD1"/>
    <w:rsid w:val="00831C72"/>
    <w:rsid w:val="00832366"/>
    <w:rsid w:val="008323FF"/>
    <w:rsid w:val="008327D0"/>
    <w:rsid w:val="00832A0D"/>
    <w:rsid w:val="008332AB"/>
    <w:rsid w:val="008332D9"/>
    <w:rsid w:val="00833962"/>
    <w:rsid w:val="00834467"/>
    <w:rsid w:val="00834555"/>
    <w:rsid w:val="00834855"/>
    <w:rsid w:val="008349CC"/>
    <w:rsid w:val="00834DFE"/>
    <w:rsid w:val="0083511B"/>
    <w:rsid w:val="008355C2"/>
    <w:rsid w:val="00835E2E"/>
    <w:rsid w:val="008364A3"/>
    <w:rsid w:val="00836812"/>
    <w:rsid w:val="008368BB"/>
    <w:rsid w:val="008368F2"/>
    <w:rsid w:val="00836A45"/>
    <w:rsid w:val="00836B42"/>
    <w:rsid w:val="0083719A"/>
    <w:rsid w:val="00837477"/>
    <w:rsid w:val="00837A7E"/>
    <w:rsid w:val="00837B10"/>
    <w:rsid w:val="00837CD0"/>
    <w:rsid w:val="0084004E"/>
    <w:rsid w:val="0084034D"/>
    <w:rsid w:val="008405B3"/>
    <w:rsid w:val="008409FF"/>
    <w:rsid w:val="00840F84"/>
    <w:rsid w:val="00841085"/>
    <w:rsid w:val="00841349"/>
    <w:rsid w:val="008413E7"/>
    <w:rsid w:val="008415C9"/>
    <w:rsid w:val="00841772"/>
    <w:rsid w:val="00841EBA"/>
    <w:rsid w:val="00842390"/>
    <w:rsid w:val="00842413"/>
    <w:rsid w:val="00842948"/>
    <w:rsid w:val="00842F58"/>
    <w:rsid w:val="0084327D"/>
    <w:rsid w:val="0084373F"/>
    <w:rsid w:val="00843BEA"/>
    <w:rsid w:val="00844390"/>
    <w:rsid w:val="00844498"/>
    <w:rsid w:val="00844A96"/>
    <w:rsid w:val="00844B00"/>
    <w:rsid w:val="00844DE4"/>
    <w:rsid w:val="00844F2C"/>
    <w:rsid w:val="00844F8E"/>
    <w:rsid w:val="008459B4"/>
    <w:rsid w:val="008459DC"/>
    <w:rsid w:val="00845A4B"/>
    <w:rsid w:val="00845C90"/>
    <w:rsid w:val="00845FE8"/>
    <w:rsid w:val="008461E0"/>
    <w:rsid w:val="008463DD"/>
    <w:rsid w:val="008464B2"/>
    <w:rsid w:val="008464CA"/>
    <w:rsid w:val="00846801"/>
    <w:rsid w:val="00846F44"/>
    <w:rsid w:val="00847E69"/>
    <w:rsid w:val="00850148"/>
    <w:rsid w:val="008501F3"/>
    <w:rsid w:val="008502D8"/>
    <w:rsid w:val="008502F6"/>
    <w:rsid w:val="00850458"/>
    <w:rsid w:val="008505C7"/>
    <w:rsid w:val="00850839"/>
    <w:rsid w:val="00850A76"/>
    <w:rsid w:val="00850C40"/>
    <w:rsid w:val="008510C1"/>
    <w:rsid w:val="0085133B"/>
    <w:rsid w:val="008513DD"/>
    <w:rsid w:val="00851652"/>
    <w:rsid w:val="008516B7"/>
    <w:rsid w:val="0085190E"/>
    <w:rsid w:val="0085198C"/>
    <w:rsid w:val="00851B2E"/>
    <w:rsid w:val="00852214"/>
    <w:rsid w:val="00852344"/>
    <w:rsid w:val="0085281F"/>
    <w:rsid w:val="00852944"/>
    <w:rsid w:val="00852B35"/>
    <w:rsid w:val="00852DD4"/>
    <w:rsid w:val="00853373"/>
    <w:rsid w:val="00853529"/>
    <w:rsid w:val="00853A57"/>
    <w:rsid w:val="00853B35"/>
    <w:rsid w:val="00853C96"/>
    <w:rsid w:val="0085476C"/>
    <w:rsid w:val="008547B0"/>
    <w:rsid w:val="00854934"/>
    <w:rsid w:val="00854B57"/>
    <w:rsid w:val="00854B8E"/>
    <w:rsid w:val="00854BB8"/>
    <w:rsid w:val="00854DB2"/>
    <w:rsid w:val="00854F55"/>
    <w:rsid w:val="00855E2E"/>
    <w:rsid w:val="00856167"/>
    <w:rsid w:val="00856346"/>
    <w:rsid w:val="008563A7"/>
    <w:rsid w:val="008563D4"/>
    <w:rsid w:val="008568CB"/>
    <w:rsid w:val="0085692D"/>
    <w:rsid w:val="00857024"/>
    <w:rsid w:val="00857442"/>
    <w:rsid w:val="0085782F"/>
    <w:rsid w:val="00857995"/>
    <w:rsid w:val="008600C2"/>
    <w:rsid w:val="0086011A"/>
    <w:rsid w:val="008601EE"/>
    <w:rsid w:val="00860549"/>
    <w:rsid w:val="008607B6"/>
    <w:rsid w:val="00860A42"/>
    <w:rsid w:val="00860C5C"/>
    <w:rsid w:val="00861A69"/>
    <w:rsid w:val="00861BE3"/>
    <w:rsid w:val="00861CAC"/>
    <w:rsid w:val="00861E55"/>
    <w:rsid w:val="00862220"/>
    <w:rsid w:val="0086232C"/>
    <w:rsid w:val="00862420"/>
    <w:rsid w:val="0086266C"/>
    <w:rsid w:val="008626C2"/>
    <w:rsid w:val="00862AFA"/>
    <w:rsid w:val="00862F14"/>
    <w:rsid w:val="0086322F"/>
    <w:rsid w:val="008634C3"/>
    <w:rsid w:val="00863517"/>
    <w:rsid w:val="0086363B"/>
    <w:rsid w:val="0086373C"/>
    <w:rsid w:val="00863BA8"/>
    <w:rsid w:val="00863E9C"/>
    <w:rsid w:val="008644AF"/>
    <w:rsid w:val="008644C4"/>
    <w:rsid w:val="00864827"/>
    <w:rsid w:val="00864910"/>
    <w:rsid w:val="00864C9E"/>
    <w:rsid w:val="00864E34"/>
    <w:rsid w:val="00865052"/>
    <w:rsid w:val="008650A7"/>
    <w:rsid w:val="00865594"/>
    <w:rsid w:val="00865A4D"/>
    <w:rsid w:val="00865CF8"/>
    <w:rsid w:val="00866035"/>
    <w:rsid w:val="008666A6"/>
    <w:rsid w:val="00866C3A"/>
    <w:rsid w:val="00867360"/>
    <w:rsid w:val="008673C6"/>
    <w:rsid w:val="0086747C"/>
    <w:rsid w:val="008675D9"/>
    <w:rsid w:val="008677C6"/>
    <w:rsid w:val="00867B5B"/>
    <w:rsid w:val="00867F2B"/>
    <w:rsid w:val="00870437"/>
    <w:rsid w:val="0087081C"/>
    <w:rsid w:val="008708DC"/>
    <w:rsid w:val="00870DEA"/>
    <w:rsid w:val="00870F9F"/>
    <w:rsid w:val="0087173D"/>
    <w:rsid w:val="00871C2E"/>
    <w:rsid w:val="008720A5"/>
    <w:rsid w:val="008720CB"/>
    <w:rsid w:val="008723CD"/>
    <w:rsid w:val="008723F8"/>
    <w:rsid w:val="00872659"/>
    <w:rsid w:val="008726CC"/>
    <w:rsid w:val="00872F3D"/>
    <w:rsid w:val="00873478"/>
    <w:rsid w:val="008736F2"/>
    <w:rsid w:val="00873D60"/>
    <w:rsid w:val="00873EFF"/>
    <w:rsid w:val="00874331"/>
    <w:rsid w:val="008744E9"/>
    <w:rsid w:val="0087474E"/>
    <w:rsid w:val="008747D2"/>
    <w:rsid w:val="00874BDC"/>
    <w:rsid w:val="00874C04"/>
    <w:rsid w:val="00874E3B"/>
    <w:rsid w:val="00875158"/>
    <w:rsid w:val="00875280"/>
    <w:rsid w:val="008752D8"/>
    <w:rsid w:val="00875714"/>
    <w:rsid w:val="00875BC5"/>
    <w:rsid w:val="00875DB1"/>
    <w:rsid w:val="00875DBE"/>
    <w:rsid w:val="00875E74"/>
    <w:rsid w:val="00875F00"/>
    <w:rsid w:val="00876199"/>
    <w:rsid w:val="00876250"/>
    <w:rsid w:val="008762FE"/>
    <w:rsid w:val="008766D3"/>
    <w:rsid w:val="00876D35"/>
    <w:rsid w:val="008771C1"/>
    <w:rsid w:val="0087730E"/>
    <w:rsid w:val="008774DE"/>
    <w:rsid w:val="008776F1"/>
    <w:rsid w:val="00877AD9"/>
    <w:rsid w:val="00877B1A"/>
    <w:rsid w:val="00877F51"/>
    <w:rsid w:val="00880262"/>
    <w:rsid w:val="008805CA"/>
    <w:rsid w:val="008809FF"/>
    <w:rsid w:val="0088111D"/>
    <w:rsid w:val="008812C6"/>
    <w:rsid w:val="008814F3"/>
    <w:rsid w:val="0088154B"/>
    <w:rsid w:val="00881845"/>
    <w:rsid w:val="00881AA3"/>
    <w:rsid w:val="00882261"/>
    <w:rsid w:val="008822D0"/>
    <w:rsid w:val="008822FA"/>
    <w:rsid w:val="00882457"/>
    <w:rsid w:val="0088257F"/>
    <w:rsid w:val="008829BA"/>
    <w:rsid w:val="00883A88"/>
    <w:rsid w:val="00883B6D"/>
    <w:rsid w:val="0088435E"/>
    <w:rsid w:val="00884B50"/>
    <w:rsid w:val="00884E33"/>
    <w:rsid w:val="008851A5"/>
    <w:rsid w:val="00885284"/>
    <w:rsid w:val="0088537B"/>
    <w:rsid w:val="00885527"/>
    <w:rsid w:val="008859F7"/>
    <w:rsid w:val="00885BD8"/>
    <w:rsid w:val="00885E0A"/>
    <w:rsid w:val="00885E99"/>
    <w:rsid w:val="00885F5E"/>
    <w:rsid w:val="00886073"/>
    <w:rsid w:val="00886BCE"/>
    <w:rsid w:val="008873B0"/>
    <w:rsid w:val="00887C4B"/>
    <w:rsid w:val="0089016C"/>
    <w:rsid w:val="0089025D"/>
    <w:rsid w:val="00890BE7"/>
    <w:rsid w:val="00890F48"/>
    <w:rsid w:val="00891C28"/>
    <w:rsid w:val="00891CE0"/>
    <w:rsid w:val="00891F05"/>
    <w:rsid w:val="00891FFD"/>
    <w:rsid w:val="00892014"/>
    <w:rsid w:val="00892450"/>
    <w:rsid w:val="00892534"/>
    <w:rsid w:val="008926F9"/>
    <w:rsid w:val="0089283C"/>
    <w:rsid w:val="0089335D"/>
    <w:rsid w:val="0089338C"/>
    <w:rsid w:val="00893814"/>
    <w:rsid w:val="0089438A"/>
    <w:rsid w:val="00894398"/>
    <w:rsid w:val="0089456B"/>
    <w:rsid w:val="00894E81"/>
    <w:rsid w:val="008950FD"/>
    <w:rsid w:val="008956C6"/>
    <w:rsid w:val="008957F0"/>
    <w:rsid w:val="00895C40"/>
    <w:rsid w:val="00895F0B"/>
    <w:rsid w:val="00895FEE"/>
    <w:rsid w:val="0089606E"/>
    <w:rsid w:val="0089616F"/>
    <w:rsid w:val="0089637B"/>
    <w:rsid w:val="00896424"/>
    <w:rsid w:val="008966F7"/>
    <w:rsid w:val="00896871"/>
    <w:rsid w:val="00896887"/>
    <w:rsid w:val="00896DFD"/>
    <w:rsid w:val="00896E4E"/>
    <w:rsid w:val="00896EA9"/>
    <w:rsid w:val="00896F82"/>
    <w:rsid w:val="00896FC8"/>
    <w:rsid w:val="00897002"/>
    <w:rsid w:val="00897235"/>
    <w:rsid w:val="00897354"/>
    <w:rsid w:val="008A0204"/>
    <w:rsid w:val="008A03E5"/>
    <w:rsid w:val="008A0AB9"/>
    <w:rsid w:val="008A1621"/>
    <w:rsid w:val="008A1666"/>
    <w:rsid w:val="008A17F3"/>
    <w:rsid w:val="008A1B7E"/>
    <w:rsid w:val="008A1DA4"/>
    <w:rsid w:val="008A1FF9"/>
    <w:rsid w:val="008A2249"/>
    <w:rsid w:val="008A25A5"/>
    <w:rsid w:val="008A25B9"/>
    <w:rsid w:val="008A2ADE"/>
    <w:rsid w:val="008A2C3C"/>
    <w:rsid w:val="008A2DC0"/>
    <w:rsid w:val="008A2FE5"/>
    <w:rsid w:val="008A324A"/>
    <w:rsid w:val="008A35BC"/>
    <w:rsid w:val="008A38BE"/>
    <w:rsid w:val="008A38C3"/>
    <w:rsid w:val="008A3998"/>
    <w:rsid w:val="008A3AA8"/>
    <w:rsid w:val="008A3AE4"/>
    <w:rsid w:val="008A3B00"/>
    <w:rsid w:val="008A3B78"/>
    <w:rsid w:val="008A3BBA"/>
    <w:rsid w:val="008A4209"/>
    <w:rsid w:val="008A44EE"/>
    <w:rsid w:val="008A4523"/>
    <w:rsid w:val="008A4A19"/>
    <w:rsid w:val="008A4CCF"/>
    <w:rsid w:val="008A5ABA"/>
    <w:rsid w:val="008A5C12"/>
    <w:rsid w:val="008A5F6F"/>
    <w:rsid w:val="008A5F89"/>
    <w:rsid w:val="008A6502"/>
    <w:rsid w:val="008A6AFA"/>
    <w:rsid w:val="008A6B74"/>
    <w:rsid w:val="008A6EB1"/>
    <w:rsid w:val="008A77B3"/>
    <w:rsid w:val="008B00CB"/>
    <w:rsid w:val="008B01D4"/>
    <w:rsid w:val="008B01D7"/>
    <w:rsid w:val="008B01F0"/>
    <w:rsid w:val="008B0292"/>
    <w:rsid w:val="008B03C8"/>
    <w:rsid w:val="008B0660"/>
    <w:rsid w:val="008B0D31"/>
    <w:rsid w:val="008B1296"/>
    <w:rsid w:val="008B1311"/>
    <w:rsid w:val="008B1370"/>
    <w:rsid w:val="008B1D08"/>
    <w:rsid w:val="008B1E63"/>
    <w:rsid w:val="008B2356"/>
    <w:rsid w:val="008B240A"/>
    <w:rsid w:val="008B24CF"/>
    <w:rsid w:val="008B28CF"/>
    <w:rsid w:val="008B2903"/>
    <w:rsid w:val="008B2956"/>
    <w:rsid w:val="008B2A59"/>
    <w:rsid w:val="008B2A97"/>
    <w:rsid w:val="008B2B2D"/>
    <w:rsid w:val="008B443E"/>
    <w:rsid w:val="008B45BA"/>
    <w:rsid w:val="008B50B8"/>
    <w:rsid w:val="008B51C0"/>
    <w:rsid w:val="008B5382"/>
    <w:rsid w:val="008B561D"/>
    <w:rsid w:val="008B568F"/>
    <w:rsid w:val="008B574C"/>
    <w:rsid w:val="008B57BD"/>
    <w:rsid w:val="008B5D19"/>
    <w:rsid w:val="008B5DD8"/>
    <w:rsid w:val="008B602F"/>
    <w:rsid w:val="008B64E9"/>
    <w:rsid w:val="008B660D"/>
    <w:rsid w:val="008B6663"/>
    <w:rsid w:val="008B6A10"/>
    <w:rsid w:val="008B6CE1"/>
    <w:rsid w:val="008B71E0"/>
    <w:rsid w:val="008B7302"/>
    <w:rsid w:val="008B75C7"/>
    <w:rsid w:val="008B7D50"/>
    <w:rsid w:val="008C011D"/>
    <w:rsid w:val="008C0182"/>
    <w:rsid w:val="008C04BA"/>
    <w:rsid w:val="008C06E9"/>
    <w:rsid w:val="008C0E0C"/>
    <w:rsid w:val="008C1567"/>
    <w:rsid w:val="008C1868"/>
    <w:rsid w:val="008C258F"/>
    <w:rsid w:val="008C2B06"/>
    <w:rsid w:val="008C2B30"/>
    <w:rsid w:val="008C2BEA"/>
    <w:rsid w:val="008C2DF8"/>
    <w:rsid w:val="008C30D6"/>
    <w:rsid w:val="008C320F"/>
    <w:rsid w:val="008C3475"/>
    <w:rsid w:val="008C386B"/>
    <w:rsid w:val="008C3A6A"/>
    <w:rsid w:val="008C3E19"/>
    <w:rsid w:val="008C4196"/>
    <w:rsid w:val="008C46DD"/>
    <w:rsid w:val="008C48D4"/>
    <w:rsid w:val="008C4B36"/>
    <w:rsid w:val="008C4DC3"/>
    <w:rsid w:val="008C5110"/>
    <w:rsid w:val="008C580D"/>
    <w:rsid w:val="008C6067"/>
    <w:rsid w:val="008C60AC"/>
    <w:rsid w:val="008C60D0"/>
    <w:rsid w:val="008C6176"/>
    <w:rsid w:val="008C6988"/>
    <w:rsid w:val="008C6EAA"/>
    <w:rsid w:val="008C7112"/>
    <w:rsid w:val="008C7126"/>
    <w:rsid w:val="008C716B"/>
    <w:rsid w:val="008C753E"/>
    <w:rsid w:val="008C7569"/>
    <w:rsid w:val="008C7653"/>
    <w:rsid w:val="008C7822"/>
    <w:rsid w:val="008C7AAA"/>
    <w:rsid w:val="008C7DAA"/>
    <w:rsid w:val="008C7ECE"/>
    <w:rsid w:val="008C7F00"/>
    <w:rsid w:val="008D00AB"/>
    <w:rsid w:val="008D049E"/>
    <w:rsid w:val="008D0501"/>
    <w:rsid w:val="008D06BE"/>
    <w:rsid w:val="008D07A0"/>
    <w:rsid w:val="008D084B"/>
    <w:rsid w:val="008D09D5"/>
    <w:rsid w:val="008D0B43"/>
    <w:rsid w:val="008D0B9B"/>
    <w:rsid w:val="008D0D8F"/>
    <w:rsid w:val="008D1628"/>
    <w:rsid w:val="008D1CBE"/>
    <w:rsid w:val="008D1DFE"/>
    <w:rsid w:val="008D1EDF"/>
    <w:rsid w:val="008D1FC7"/>
    <w:rsid w:val="008D271C"/>
    <w:rsid w:val="008D28F0"/>
    <w:rsid w:val="008D2C9E"/>
    <w:rsid w:val="008D2E2A"/>
    <w:rsid w:val="008D3504"/>
    <w:rsid w:val="008D3893"/>
    <w:rsid w:val="008D413B"/>
    <w:rsid w:val="008D41F2"/>
    <w:rsid w:val="008D46A9"/>
    <w:rsid w:val="008D47A3"/>
    <w:rsid w:val="008D4B38"/>
    <w:rsid w:val="008D4B6E"/>
    <w:rsid w:val="008D4EE3"/>
    <w:rsid w:val="008D548C"/>
    <w:rsid w:val="008D5601"/>
    <w:rsid w:val="008D579A"/>
    <w:rsid w:val="008D669E"/>
    <w:rsid w:val="008D6CAC"/>
    <w:rsid w:val="008D6CF4"/>
    <w:rsid w:val="008D6D48"/>
    <w:rsid w:val="008D73BF"/>
    <w:rsid w:val="008D7436"/>
    <w:rsid w:val="008D75C5"/>
    <w:rsid w:val="008D7C94"/>
    <w:rsid w:val="008E00C8"/>
    <w:rsid w:val="008E0539"/>
    <w:rsid w:val="008E0925"/>
    <w:rsid w:val="008E0C49"/>
    <w:rsid w:val="008E0E12"/>
    <w:rsid w:val="008E122E"/>
    <w:rsid w:val="008E1301"/>
    <w:rsid w:val="008E1894"/>
    <w:rsid w:val="008E19EC"/>
    <w:rsid w:val="008E1A18"/>
    <w:rsid w:val="008E1C4C"/>
    <w:rsid w:val="008E1CFF"/>
    <w:rsid w:val="008E1D3D"/>
    <w:rsid w:val="008E1F2B"/>
    <w:rsid w:val="008E1FFA"/>
    <w:rsid w:val="008E21CA"/>
    <w:rsid w:val="008E2656"/>
    <w:rsid w:val="008E28F8"/>
    <w:rsid w:val="008E29E4"/>
    <w:rsid w:val="008E2D4E"/>
    <w:rsid w:val="008E30EF"/>
    <w:rsid w:val="008E36DE"/>
    <w:rsid w:val="008E3743"/>
    <w:rsid w:val="008E3971"/>
    <w:rsid w:val="008E3BE8"/>
    <w:rsid w:val="008E3CE4"/>
    <w:rsid w:val="008E40B0"/>
    <w:rsid w:val="008E469E"/>
    <w:rsid w:val="008E4944"/>
    <w:rsid w:val="008E4945"/>
    <w:rsid w:val="008E4B64"/>
    <w:rsid w:val="008E4D8C"/>
    <w:rsid w:val="008E4F22"/>
    <w:rsid w:val="008E527F"/>
    <w:rsid w:val="008E52FD"/>
    <w:rsid w:val="008E5938"/>
    <w:rsid w:val="008E5B64"/>
    <w:rsid w:val="008E5C8F"/>
    <w:rsid w:val="008E5E59"/>
    <w:rsid w:val="008E5F71"/>
    <w:rsid w:val="008E63C7"/>
    <w:rsid w:val="008E6525"/>
    <w:rsid w:val="008E6A9A"/>
    <w:rsid w:val="008E6D97"/>
    <w:rsid w:val="008E7DBC"/>
    <w:rsid w:val="008E7E70"/>
    <w:rsid w:val="008F000C"/>
    <w:rsid w:val="008F0436"/>
    <w:rsid w:val="008F05E2"/>
    <w:rsid w:val="008F07CA"/>
    <w:rsid w:val="008F07F5"/>
    <w:rsid w:val="008F13F1"/>
    <w:rsid w:val="008F14F1"/>
    <w:rsid w:val="008F152E"/>
    <w:rsid w:val="008F24A8"/>
    <w:rsid w:val="008F26C8"/>
    <w:rsid w:val="008F2A06"/>
    <w:rsid w:val="008F2B87"/>
    <w:rsid w:val="008F3187"/>
    <w:rsid w:val="008F3841"/>
    <w:rsid w:val="008F3999"/>
    <w:rsid w:val="008F3B69"/>
    <w:rsid w:val="008F3C63"/>
    <w:rsid w:val="008F41F7"/>
    <w:rsid w:val="008F453A"/>
    <w:rsid w:val="008F48FC"/>
    <w:rsid w:val="008F4DE0"/>
    <w:rsid w:val="008F4F60"/>
    <w:rsid w:val="008F51EF"/>
    <w:rsid w:val="008F53E4"/>
    <w:rsid w:val="008F575B"/>
    <w:rsid w:val="008F5901"/>
    <w:rsid w:val="008F5C8A"/>
    <w:rsid w:val="008F5FF3"/>
    <w:rsid w:val="008F68B2"/>
    <w:rsid w:val="008F6B68"/>
    <w:rsid w:val="008F6DDA"/>
    <w:rsid w:val="008F7289"/>
    <w:rsid w:val="008F75D8"/>
    <w:rsid w:val="009001DF"/>
    <w:rsid w:val="0090024F"/>
    <w:rsid w:val="009002D2"/>
    <w:rsid w:val="009002EC"/>
    <w:rsid w:val="00900EC6"/>
    <w:rsid w:val="00900FCF"/>
    <w:rsid w:val="0090142D"/>
    <w:rsid w:val="00901902"/>
    <w:rsid w:val="009019AA"/>
    <w:rsid w:val="00901CE7"/>
    <w:rsid w:val="00901D3C"/>
    <w:rsid w:val="009020B9"/>
    <w:rsid w:val="009020F5"/>
    <w:rsid w:val="00902654"/>
    <w:rsid w:val="00902833"/>
    <w:rsid w:val="00902F69"/>
    <w:rsid w:val="00903121"/>
    <w:rsid w:val="00904556"/>
    <w:rsid w:val="00904564"/>
    <w:rsid w:val="00904A60"/>
    <w:rsid w:val="00904B9A"/>
    <w:rsid w:val="00904CA3"/>
    <w:rsid w:val="009050CE"/>
    <w:rsid w:val="00905A07"/>
    <w:rsid w:val="00905A7E"/>
    <w:rsid w:val="00905BAE"/>
    <w:rsid w:val="00905EBD"/>
    <w:rsid w:val="0090609A"/>
    <w:rsid w:val="00906113"/>
    <w:rsid w:val="00906749"/>
    <w:rsid w:val="00906C67"/>
    <w:rsid w:val="009070A6"/>
    <w:rsid w:val="009077E5"/>
    <w:rsid w:val="0090790A"/>
    <w:rsid w:val="00907AD1"/>
    <w:rsid w:val="00910498"/>
    <w:rsid w:val="0091061A"/>
    <w:rsid w:val="0091081B"/>
    <w:rsid w:val="00910987"/>
    <w:rsid w:val="00910C10"/>
    <w:rsid w:val="0091171D"/>
    <w:rsid w:val="00911ADD"/>
    <w:rsid w:val="00911BB9"/>
    <w:rsid w:val="00911E8C"/>
    <w:rsid w:val="00911FA7"/>
    <w:rsid w:val="009126C8"/>
    <w:rsid w:val="00912B74"/>
    <w:rsid w:val="00912B86"/>
    <w:rsid w:val="00912C9E"/>
    <w:rsid w:val="00913081"/>
    <w:rsid w:val="00913772"/>
    <w:rsid w:val="00913865"/>
    <w:rsid w:val="00913A67"/>
    <w:rsid w:val="00913DF4"/>
    <w:rsid w:val="0091435A"/>
    <w:rsid w:val="009143F7"/>
    <w:rsid w:val="00914479"/>
    <w:rsid w:val="0091447A"/>
    <w:rsid w:val="00914A6D"/>
    <w:rsid w:val="00914B20"/>
    <w:rsid w:val="00914DC5"/>
    <w:rsid w:val="00915408"/>
    <w:rsid w:val="009154B0"/>
    <w:rsid w:val="00915898"/>
    <w:rsid w:val="00915B54"/>
    <w:rsid w:val="00915CE1"/>
    <w:rsid w:val="00915D42"/>
    <w:rsid w:val="00915E0E"/>
    <w:rsid w:val="00915F88"/>
    <w:rsid w:val="00916886"/>
    <w:rsid w:val="00916A07"/>
    <w:rsid w:val="00916B03"/>
    <w:rsid w:val="009170CE"/>
    <w:rsid w:val="0091712F"/>
    <w:rsid w:val="00917A91"/>
    <w:rsid w:val="00917AA5"/>
    <w:rsid w:val="00917DB1"/>
    <w:rsid w:val="00917E74"/>
    <w:rsid w:val="00920004"/>
    <w:rsid w:val="00920056"/>
    <w:rsid w:val="00920767"/>
    <w:rsid w:val="009209CC"/>
    <w:rsid w:val="00920AF7"/>
    <w:rsid w:val="00920E3F"/>
    <w:rsid w:val="00921094"/>
    <w:rsid w:val="0092149B"/>
    <w:rsid w:val="00922030"/>
    <w:rsid w:val="00922769"/>
    <w:rsid w:val="00922F37"/>
    <w:rsid w:val="0092319A"/>
    <w:rsid w:val="00923C89"/>
    <w:rsid w:val="00923D78"/>
    <w:rsid w:val="00923D8D"/>
    <w:rsid w:val="00923DE9"/>
    <w:rsid w:val="00923EEE"/>
    <w:rsid w:val="009242C2"/>
    <w:rsid w:val="00924633"/>
    <w:rsid w:val="009247AD"/>
    <w:rsid w:val="009248AD"/>
    <w:rsid w:val="00924907"/>
    <w:rsid w:val="009249CE"/>
    <w:rsid w:val="00924EA8"/>
    <w:rsid w:val="009250C0"/>
    <w:rsid w:val="0092511E"/>
    <w:rsid w:val="009252EE"/>
    <w:rsid w:val="00925521"/>
    <w:rsid w:val="009257CF"/>
    <w:rsid w:val="00925D5A"/>
    <w:rsid w:val="00925EDA"/>
    <w:rsid w:val="00925F87"/>
    <w:rsid w:val="00926139"/>
    <w:rsid w:val="0092688A"/>
    <w:rsid w:val="00926A7E"/>
    <w:rsid w:val="00926B7F"/>
    <w:rsid w:val="009271B3"/>
    <w:rsid w:val="00927595"/>
    <w:rsid w:val="00927695"/>
    <w:rsid w:val="00927B80"/>
    <w:rsid w:val="00927D7C"/>
    <w:rsid w:val="00927E16"/>
    <w:rsid w:val="00927F2F"/>
    <w:rsid w:val="00930279"/>
    <w:rsid w:val="0093037D"/>
    <w:rsid w:val="009303FB"/>
    <w:rsid w:val="00930419"/>
    <w:rsid w:val="00930432"/>
    <w:rsid w:val="009304C8"/>
    <w:rsid w:val="00930BC0"/>
    <w:rsid w:val="00930F75"/>
    <w:rsid w:val="00931194"/>
    <w:rsid w:val="00931F77"/>
    <w:rsid w:val="00932205"/>
    <w:rsid w:val="0093285B"/>
    <w:rsid w:val="00932883"/>
    <w:rsid w:val="00932B09"/>
    <w:rsid w:val="00932E44"/>
    <w:rsid w:val="00932F41"/>
    <w:rsid w:val="00933064"/>
    <w:rsid w:val="0093324B"/>
    <w:rsid w:val="009332E3"/>
    <w:rsid w:val="0093356A"/>
    <w:rsid w:val="00933616"/>
    <w:rsid w:val="00933630"/>
    <w:rsid w:val="00933A7C"/>
    <w:rsid w:val="00933DD8"/>
    <w:rsid w:val="00934562"/>
    <w:rsid w:val="00934780"/>
    <w:rsid w:val="00934BDE"/>
    <w:rsid w:val="009359E3"/>
    <w:rsid w:val="00935B69"/>
    <w:rsid w:val="00936382"/>
    <w:rsid w:val="00936A09"/>
    <w:rsid w:val="00936DAE"/>
    <w:rsid w:val="00937002"/>
    <w:rsid w:val="00937011"/>
    <w:rsid w:val="009371D5"/>
    <w:rsid w:val="0093743D"/>
    <w:rsid w:val="0093789C"/>
    <w:rsid w:val="00937B84"/>
    <w:rsid w:val="00937D55"/>
    <w:rsid w:val="00937EE0"/>
    <w:rsid w:val="009408FE"/>
    <w:rsid w:val="00940F01"/>
    <w:rsid w:val="009411AD"/>
    <w:rsid w:val="009415E8"/>
    <w:rsid w:val="00941639"/>
    <w:rsid w:val="00941690"/>
    <w:rsid w:val="0094246A"/>
    <w:rsid w:val="00942B1B"/>
    <w:rsid w:val="00942EAA"/>
    <w:rsid w:val="00943E55"/>
    <w:rsid w:val="00944139"/>
    <w:rsid w:val="0094423E"/>
    <w:rsid w:val="00944DCC"/>
    <w:rsid w:val="00944F23"/>
    <w:rsid w:val="009450FE"/>
    <w:rsid w:val="00945157"/>
    <w:rsid w:val="00945485"/>
    <w:rsid w:val="00945580"/>
    <w:rsid w:val="00945C32"/>
    <w:rsid w:val="00945C5F"/>
    <w:rsid w:val="00945C8F"/>
    <w:rsid w:val="00946201"/>
    <w:rsid w:val="009466D3"/>
    <w:rsid w:val="00946FAD"/>
    <w:rsid w:val="00947017"/>
    <w:rsid w:val="009475CE"/>
    <w:rsid w:val="009506E2"/>
    <w:rsid w:val="00950840"/>
    <w:rsid w:val="00950B2E"/>
    <w:rsid w:val="00950BBD"/>
    <w:rsid w:val="00951270"/>
    <w:rsid w:val="009512B8"/>
    <w:rsid w:val="009516F6"/>
    <w:rsid w:val="00951D11"/>
    <w:rsid w:val="00951D23"/>
    <w:rsid w:val="00951FBE"/>
    <w:rsid w:val="0095215B"/>
    <w:rsid w:val="00952429"/>
    <w:rsid w:val="0095270F"/>
    <w:rsid w:val="00952EAD"/>
    <w:rsid w:val="009530E5"/>
    <w:rsid w:val="0095328E"/>
    <w:rsid w:val="009536FC"/>
    <w:rsid w:val="0095426A"/>
    <w:rsid w:val="00954BD6"/>
    <w:rsid w:val="00954CEC"/>
    <w:rsid w:val="00954D87"/>
    <w:rsid w:val="009558E7"/>
    <w:rsid w:val="00955CBA"/>
    <w:rsid w:val="009564C9"/>
    <w:rsid w:val="00956787"/>
    <w:rsid w:val="0095773C"/>
    <w:rsid w:val="00957C1B"/>
    <w:rsid w:val="00957E8B"/>
    <w:rsid w:val="009603DB"/>
    <w:rsid w:val="009604C4"/>
    <w:rsid w:val="009606D0"/>
    <w:rsid w:val="009613A2"/>
    <w:rsid w:val="0096141C"/>
    <w:rsid w:val="00961DE1"/>
    <w:rsid w:val="00962DAF"/>
    <w:rsid w:val="00962E14"/>
    <w:rsid w:val="00962EC1"/>
    <w:rsid w:val="00963D9E"/>
    <w:rsid w:val="00964026"/>
    <w:rsid w:val="00964089"/>
    <w:rsid w:val="0096410E"/>
    <w:rsid w:val="009645AC"/>
    <w:rsid w:val="00964A1F"/>
    <w:rsid w:val="00964ABF"/>
    <w:rsid w:val="00964AD7"/>
    <w:rsid w:val="00964F9C"/>
    <w:rsid w:val="00965403"/>
    <w:rsid w:val="00965485"/>
    <w:rsid w:val="009655D1"/>
    <w:rsid w:val="00965B0F"/>
    <w:rsid w:val="00965BEA"/>
    <w:rsid w:val="00965E7A"/>
    <w:rsid w:val="00965F81"/>
    <w:rsid w:val="0096602B"/>
    <w:rsid w:val="00966117"/>
    <w:rsid w:val="0096632F"/>
    <w:rsid w:val="00966805"/>
    <w:rsid w:val="00966A73"/>
    <w:rsid w:val="00966CDD"/>
    <w:rsid w:val="00966D00"/>
    <w:rsid w:val="00966E54"/>
    <w:rsid w:val="009670AF"/>
    <w:rsid w:val="00967A79"/>
    <w:rsid w:val="00967B9C"/>
    <w:rsid w:val="009700C9"/>
    <w:rsid w:val="009709E9"/>
    <w:rsid w:val="00970BD9"/>
    <w:rsid w:val="00970EA4"/>
    <w:rsid w:val="00970FBB"/>
    <w:rsid w:val="00971123"/>
    <w:rsid w:val="0097131D"/>
    <w:rsid w:val="00971884"/>
    <w:rsid w:val="0097196F"/>
    <w:rsid w:val="00971B9B"/>
    <w:rsid w:val="00971DF9"/>
    <w:rsid w:val="00971F88"/>
    <w:rsid w:val="009720E3"/>
    <w:rsid w:val="00972CB8"/>
    <w:rsid w:val="00973333"/>
    <w:rsid w:val="0097339A"/>
    <w:rsid w:val="00973695"/>
    <w:rsid w:val="009737F5"/>
    <w:rsid w:val="00973BB6"/>
    <w:rsid w:val="00973F66"/>
    <w:rsid w:val="00974058"/>
    <w:rsid w:val="009741D8"/>
    <w:rsid w:val="009742F3"/>
    <w:rsid w:val="0097466B"/>
    <w:rsid w:val="00975238"/>
    <w:rsid w:val="00975838"/>
    <w:rsid w:val="00975A3C"/>
    <w:rsid w:val="00975F13"/>
    <w:rsid w:val="00975F49"/>
    <w:rsid w:val="0097696C"/>
    <w:rsid w:val="00977014"/>
    <w:rsid w:val="00977993"/>
    <w:rsid w:val="00977FA5"/>
    <w:rsid w:val="00980351"/>
    <w:rsid w:val="0098042A"/>
    <w:rsid w:val="009805A7"/>
    <w:rsid w:val="009806CA"/>
    <w:rsid w:val="00980881"/>
    <w:rsid w:val="00980CDA"/>
    <w:rsid w:val="00980F0D"/>
    <w:rsid w:val="00980F91"/>
    <w:rsid w:val="00981001"/>
    <w:rsid w:val="0098158D"/>
    <w:rsid w:val="009819D9"/>
    <w:rsid w:val="00981CAE"/>
    <w:rsid w:val="00981FA8"/>
    <w:rsid w:val="00982088"/>
    <w:rsid w:val="00982125"/>
    <w:rsid w:val="00982303"/>
    <w:rsid w:val="00983235"/>
    <w:rsid w:val="00983A06"/>
    <w:rsid w:val="00983AB5"/>
    <w:rsid w:val="00983DCF"/>
    <w:rsid w:val="00983E0F"/>
    <w:rsid w:val="009845C8"/>
    <w:rsid w:val="00984682"/>
    <w:rsid w:val="009847AA"/>
    <w:rsid w:val="00984A6C"/>
    <w:rsid w:val="00984D4C"/>
    <w:rsid w:val="009850A0"/>
    <w:rsid w:val="009857EF"/>
    <w:rsid w:val="00985AC6"/>
    <w:rsid w:val="00985D98"/>
    <w:rsid w:val="00985FC0"/>
    <w:rsid w:val="00986069"/>
    <w:rsid w:val="0098611D"/>
    <w:rsid w:val="009862FF"/>
    <w:rsid w:val="009864AE"/>
    <w:rsid w:val="0098715D"/>
    <w:rsid w:val="00987387"/>
    <w:rsid w:val="0098758E"/>
    <w:rsid w:val="0098777E"/>
    <w:rsid w:val="009877A9"/>
    <w:rsid w:val="00987A14"/>
    <w:rsid w:val="00990771"/>
    <w:rsid w:val="009908F4"/>
    <w:rsid w:val="00990A61"/>
    <w:rsid w:val="00990DDE"/>
    <w:rsid w:val="00991222"/>
    <w:rsid w:val="009913FD"/>
    <w:rsid w:val="0099158E"/>
    <w:rsid w:val="00991B1A"/>
    <w:rsid w:val="00991B35"/>
    <w:rsid w:val="00991F38"/>
    <w:rsid w:val="00992041"/>
    <w:rsid w:val="00992179"/>
    <w:rsid w:val="009927EA"/>
    <w:rsid w:val="00992802"/>
    <w:rsid w:val="009928C6"/>
    <w:rsid w:val="0099298A"/>
    <w:rsid w:val="00992B6C"/>
    <w:rsid w:val="00992F86"/>
    <w:rsid w:val="0099308D"/>
    <w:rsid w:val="009931FB"/>
    <w:rsid w:val="00993B80"/>
    <w:rsid w:val="00993DD9"/>
    <w:rsid w:val="0099409E"/>
    <w:rsid w:val="00994274"/>
    <w:rsid w:val="00994305"/>
    <w:rsid w:val="0099479A"/>
    <w:rsid w:val="009948F1"/>
    <w:rsid w:val="00994F80"/>
    <w:rsid w:val="00995304"/>
    <w:rsid w:val="009954DC"/>
    <w:rsid w:val="009954E6"/>
    <w:rsid w:val="0099561C"/>
    <w:rsid w:val="0099575D"/>
    <w:rsid w:val="009958F4"/>
    <w:rsid w:val="00995A25"/>
    <w:rsid w:val="00995F1F"/>
    <w:rsid w:val="00996749"/>
    <w:rsid w:val="00996B53"/>
    <w:rsid w:val="00996FE1"/>
    <w:rsid w:val="00997417"/>
    <w:rsid w:val="009975F5"/>
    <w:rsid w:val="009977FD"/>
    <w:rsid w:val="00997FC7"/>
    <w:rsid w:val="009A0B64"/>
    <w:rsid w:val="009A1563"/>
    <w:rsid w:val="009A17AE"/>
    <w:rsid w:val="009A1E4F"/>
    <w:rsid w:val="009A21E2"/>
    <w:rsid w:val="009A21E3"/>
    <w:rsid w:val="009A268F"/>
    <w:rsid w:val="009A2D03"/>
    <w:rsid w:val="009A39DC"/>
    <w:rsid w:val="009A3F27"/>
    <w:rsid w:val="009A43FC"/>
    <w:rsid w:val="009A4C35"/>
    <w:rsid w:val="009A4EE2"/>
    <w:rsid w:val="009A52B5"/>
    <w:rsid w:val="009A531C"/>
    <w:rsid w:val="009A5753"/>
    <w:rsid w:val="009A57EB"/>
    <w:rsid w:val="009A5947"/>
    <w:rsid w:val="009A5B7A"/>
    <w:rsid w:val="009A63DD"/>
    <w:rsid w:val="009A6437"/>
    <w:rsid w:val="009A6442"/>
    <w:rsid w:val="009A6465"/>
    <w:rsid w:val="009A65B0"/>
    <w:rsid w:val="009A6612"/>
    <w:rsid w:val="009A67A3"/>
    <w:rsid w:val="009A683B"/>
    <w:rsid w:val="009A6854"/>
    <w:rsid w:val="009A68C8"/>
    <w:rsid w:val="009A699B"/>
    <w:rsid w:val="009A6CA4"/>
    <w:rsid w:val="009A7168"/>
    <w:rsid w:val="009A71BC"/>
    <w:rsid w:val="009A76DF"/>
    <w:rsid w:val="009A7964"/>
    <w:rsid w:val="009A7A55"/>
    <w:rsid w:val="009A7BA5"/>
    <w:rsid w:val="009B04B1"/>
    <w:rsid w:val="009B103D"/>
    <w:rsid w:val="009B114B"/>
    <w:rsid w:val="009B1313"/>
    <w:rsid w:val="009B180C"/>
    <w:rsid w:val="009B2036"/>
    <w:rsid w:val="009B2077"/>
    <w:rsid w:val="009B20FE"/>
    <w:rsid w:val="009B25E9"/>
    <w:rsid w:val="009B31CE"/>
    <w:rsid w:val="009B3371"/>
    <w:rsid w:val="009B33A3"/>
    <w:rsid w:val="009B3624"/>
    <w:rsid w:val="009B393E"/>
    <w:rsid w:val="009B3BE1"/>
    <w:rsid w:val="009B3BE6"/>
    <w:rsid w:val="009B3E44"/>
    <w:rsid w:val="009B3EBA"/>
    <w:rsid w:val="009B3EFA"/>
    <w:rsid w:val="009B42F4"/>
    <w:rsid w:val="009B4A9B"/>
    <w:rsid w:val="009B4ABE"/>
    <w:rsid w:val="009B4C88"/>
    <w:rsid w:val="009B4CEE"/>
    <w:rsid w:val="009B585F"/>
    <w:rsid w:val="009B5D5B"/>
    <w:rsid w:val="009B6152"/>
    <w:rsid w:val="009B6724"/>
    <w:rsid w:val="009B68E6"/>
    <w:rsid w:val="009B6DDA"/>
    <w:rsid w:val="009B6EBC"/>
    <w:rsid w:val="009B7A84"/>
    <w:rsid w:val="009B7A96"/>
    <w:rsid w:val="009B7C85"/>
    <w:rsid w:val="009B7DDB"/>
    <w:rsid w:val="009B7E02"/>
    <w:rsid w:val="009B7E22"/>
    <w:rsid w:val="009B7FD9"/>
    <w:rsid w:val="009C01C2"/>
    <w:rsid w:val="009C04E9"/>
    <w:rsid w:val="009C060E"/>
    <w:rsid w:val="009C0732"/>
    <w:rsid w:val="009C08B7"/>
    <w:rsid w:val="009C09B8"/>
    <w:rsid w:val="009C0A9D"/>
    <w:rsid w:val="009C0B9A"/>
    <w:rsid w:val="009C0D95"/>
    <w:rsid w:val="009C0E1E"/>
    <w:rsid w:val="009C1557"/>
    <w:rsid w:val="009C17C5"/>
    <w:rsid w:val="009C17E2"/>
    <w:rsid w:val="009C181F"/>
    <w:rsid w:val="009C19DB"/>
    <w:rsid w:val="009C1A31"/>
    <w:rsid w:val="009C1AD6"/>
    <w:rsid w:val="009C1F1E"/>
    <w:rsid w:val="009C2214"/>
    <w:rsid w:val="009C239A"/>
    <w:rsid w:val="009C23CF"/>
    <w:rsid w:val="009C2575"/>
    <w:rsid w:val="009C3130"/>
    <w:rsid w:val="009C34BB"/>
    <w:rsid w:val="009C3668"/>
    <w:rsid w:val="009C36AB"/>
    <w:rsid w:val="009C387F"/>
    <w:rsid w:val="009C404D"/>
    <w:rsid w:val="009C42D6"/>
    <w:rsid w:val="009C4A1B"/>
    <w:rsid w:val="009C4AE7"/>
    <w:rsid w:val="009C4C11"/>
    <w:rsid w:val="009C4CDB"/>
    <w:rsid w:val="009C4DC8"/>
    <w:rsid w:val="009C4ECF"/>
    <w:rsid w:val="009C53E7"/>
    <w:rsid w:val="009C578B"/>
    <w:rsid w:val="009C5D06"/>
    <w:rsid w:val="009C610F"/>
    <w:rsid w:val="009C659F"/>
    <w:rsid w:val="009C65A2"/>
    <w:rsid w:val="009C6C68"/>
    <w:rsid w:val="009C6DB8"/>
    <w:rsid w:val="009C6EA2"/>
    <w:rsid w:val="009C77BF"/>
    <w:rsid w:val="009C7AAF"/>
    <w:rsid w:val="009C7C2E"/>
    <w:rsid w:val="009C7C37"/>
    <w:rsid w:val="009C7F0C"/>
    <w:rsid w:val="009D0196"/>
    <w:rsid w:val="009D08BD"/>
    <w:rsid w:val="009D0DB2"/>
    <w:rsid w:val="009D0FD1"/>
    <w:rsid w:val="009D1077"/>
    <w:rsid w:val="009D11E4"/>
    <w:rsid w:val="009D123B"/>
    <w:rsid w:val="009D16A0"/>
    <w:rsid w:val="009D1AA9"/>
    <w:rsid w:val="009D1EAE"/>
    <w:rsid w:val="009D1F8A"/>
    <w:rsid w:val="009D2210"/>
    <w:rsid w:val="009D23A2"/>
    <w:rsid w:val="009D262A"/>
    <w:rsid w:val="009D2B03"/>
    <w:rsid w:val="009D2B9F"/>
    <w:rsid w:val="009D2F81"/>
    <w:rsid w:val="009D3C55"/>
    <w:rsid w:val="009D4309"/>
    <w:rsid w:val="009D45EE"/>
    <w:rsid w:val="009D4AC6"/>
    <w:rsid w:val="009D4C9F"/>
    <w:rsid w:val="009D4D90"/>
    <w:rsid w:val="009D4F93"/>
    <w:rsid w:val="009D5081"/>
    <w:rsid w:val="009D53F2"/>
    <w:rsid w:val="009D5747"/>
    <w:rsid w:val="009D5F65"/>
    <w:rsid w:val="009D6158"/>
    <w:rsid w:val="009D6576"/>
    <w:rsid w:val="009D65A0"/>
    <w:rsid w:val="009D65C9"/>
    <w:rsid w:val="009D6725"/>
    <w:rsid w:val="009D6A08"/>
    <w:rsid w:val="009D6AC0"/>
    <w:rsid w:val="009D6D69"/>
    <w:rsid w:val="009D708C"/>
    <w:rsid w:val="009D710E"/>
    <w:rsid w:val="009D7226"/>
    <w:rsid w:val="009D73E3"/>
    <w:rsid w:val="009D77AA"/>
    <w:rsid w:val="009D7A5B"/>
    <w:rsid w:val="009D7DCA"/>
    <w:rsid w:val="009D7E2C"/>
    <w:rsid w:val="009D7E68"/>
    <w:rsid w:val="009E00F5"/>
    <w:rsid w:val="009E05A1"/>
    <w:rsid w:val="009E0E64"/>
    <w:rsid w:val="009E1113"/>
    <w:rsid w:val="009E1375"/>
    <w:rsid w:val="009E15BA"/>
    <w:rsid w:val="009E17D9"/>
    <w:rsid w:val="009E1A69"/>
    <w:rsid w:val="009E1B6C"/>
    <w:rsid w:val="009E246E"/>
    <w:rsid w:val="009E24CA"/>
    <w:rsid w:val="009E25D4"/>
    <w:rsid w:val="009E2B14"/>
    <w:rsid w:val="009E2DCB"/>
    <w:rsid w:val="009E2F65"/>
    <w:rsid w:val="009E30A3"/>
    <w:rsid w:val="009E3284"/>
    <w:rsid w:val="009E3321"/>
    <w:rsid w:val="009E33BA"/>
    <w:rsid w:val="009E33D7"/>
    <w:rsid w:val="009E3CEB"/>
    <w:rsid w:val="009E401C"/>
    <w:rsid w:val="009E425A"/>
    <w:rsid w:val="009E4502"/>
    <w:rsid w:val="009E4D6A"/>
    <w:rsid w:val="009E4E20"/>
    <w:rsid w:val="009E505F"/>
    <w:rsid w:val="009E5F03"/>
    <w:rsid w:val="009E6094"/>
    <w:rsid w:val="009E610F"/>
    <w:rsid w:val="009E61EB"/>
    <w:rsid w:val="009E668B"/>
    <w:rsid w:val="009E6753"/>
    <w:rsid w:val="009E688A"/>
    <w:rsid w:val="009E692D"/>
    <w:rsid w:val="009E6DDC"/>
    <w:rsid w:val="009E6EA8"/>
    <w:rsid w:val="009E728A"/>
    <w:rsid w:val="009E72CB"/>
    <w:rsid w:val="009E73B7"/>
    <w:rsid w:val="009E73F1"/>
    <w:rsid w:val="009F0841"/>
    <w:rsid w:val="009F0C2B"/>
    <w:rsid w:val="009F12F9"/>
    <w:rsid w:val="009F1373"/>
    <w:rsid w:val="009F22CF"/>
    <w:rsid w:val="009F3357"/>
    <w:rsid w:val="009F3547"/>
    <w:rsid w:val="009F364B"/>
    <w:rsid w:val="009F384E"/>
    <w:rsid w:val="009F3959"/>
    <w:rsid w:val="009F3B3E"/>
    <w:rsid w:val="009F4296"/>
    <w:rsid w:val="009F456B"/>
    <w:rsid w:val="009F5237"/>
    <w:rsid w:val="009F546B"/>
    <w:rsid w:val="009F557E"/>
    <w:rsid w:val="009F56AB"/>
    <w:rsid w:val="009F57AF"/>
    <w:rsid w:val="009F58DF"/>
    <w:rsid w:val="009F5D02"/>
    <w:rsid w:val="009F6117"/>
    <w:rsid w:val="009F6229"/>
    <w:rsid w:val="009F622D"/>
    <w:rsid w:val="009F6536"/>
    <w:rsid w:val="009F65D3"/>
    <w:rsid w:val="009F66E8"/>
    <w:rsid w:val="009F68F0"/>
    <w:rsid w:val="009F6E86"/>
    <w:rsid w:val="009F7293"/>
    <w:rsid w:val="009F7437"/>
    <w:rsid w:val="009F7512"/>
    <w:rsid w:val="009F76C6"/>
    <w:rsid w:val="009F7857"/>
    <w:rsid w:val="009F7D08"/>
    <w:rsid w:val="00A0056F"/>
    <w:rsid w:val="00A008B2"/>
    <w:rsid w:val="00A00FFC"/>
    <w:rsid w:val="00A0182E"/>
    <w:rsid w:val="00A018E6"/>
    <w:rsid w:val="00A01900"/>
    <w:rsid w:val="00A019EA"/>
    <w:rsid w:val="00A01AE7"/>
    <w:rsid w:val="00A01BFA"/>
    <w:rsid w:val="00A02024"/>
    <w:rsid w:val="00A02ABA"/>
    <w:rsid w:val="00A03B4E"/>
    <w:rsid w:val="00A03DFB"/>
    <w:rsid w:val="00A04005"/>
    <w:rsid w:val="00A04ADC"/>
    <w:rsid w:val="00A04C02"/>
    <w:rsid w:val="00A04F2A"/>
    <w:rsid w:val="00A050AD"/>
    <w:rsid w:val="00A05612"/>
    <w:rsid w:val="00A05DBE"/>
    <w:rsid w:val="00A05E46"/>
    <w:rsid w:val="00A065EE"/>
    <w:rsid w:val="00A06ABB"/>
    <w:rsid w:val="00A06AD0"/>
    <w:rsid w:val="00A06C25"/>
    <w:rsid w:val="00A06DCE"/>
    <w:rsid w:val="00A07088"/>
    <w:rsid w:val="00A0751F"/>
    <w:rsid w:val="00A07582"/>
    <w:rsid w:val="00A075DE"/>
    <w:rsid w:val="00A076A6"/>
    <w:rsid w:val="00A076CB"/>
    <w:rsid w:val="00A077BA"/>
    <w:rsid w:val="00A07883"/>
    <w:rsid w:val="00A07AF7"/>
    <w:rsid w:val="00A07B61"/>
    <w:rsid w:val="00A10094"/>
    <w:rsid w:val="00A10BC2"/>
    <w:rsid w:val="00A10FDB"/>
    <w:rsid w:val="00A110B5"/>
    <w:rsid w:val="00A1156A"/>
    <w:rsid w:val="00A11A82"/>
    <w:rsid w:val="00A11AD2"/>
    <w:rsid w:val="00A11F58"/>
    <w:rsid w:val="00A12016"/>
    <w:rsid w:val="00A122AA"/>
    <w:rsid w:val="00A1242F"/>
    <w:rsid w:val="00A12C70"/>
    <w:rsid w:val="00A12CE4"/>
    <w:rsid w:val="00A12FF9"/>
    <w:rsid w:val="00A1328C"/>
    <w:rsid w:val="00A13325"/>
    <w:rsid w:val="00A13377"/>
    <w:rsid w:val="00A135B0"/>
    <w:rsid w:val="00A13671"/>
    <w:rsid w:val="00A13F1F"/>
    <w:rsid w:val="00A1400A"/>
    <w:rsid w:val="00A141FA"/>
    <w:rsid w:val="00A146D1"/>
    <w:rsid w:val="00A14DC1"/>
    <w:rsid w:val="00A14E04"/>
    <w:rsid w:val="00A15012"/>
    <w:rsid w:val="00A1506E"/>
    <w:rsid w:val="00A150E9"/>
    <w:rsid w:val="00A1514F"/>
    <w:rsid w:val="00A1527B"/>
    <w:rsid w:val="00A152D9"/>
    <w:rsid w:val="00A15539"/>
    <w:rsid w:val="00A15544"/>
    <w:rsid w:val="00A1556E"/>
    <w:rsid w:val="00A162F2"/>
    <w:rsid w:val="00A164C4"/>
    <w:rsid w:val="00A16B95"/>
    <w:rsid w:val="00A16C13"/>
    <w:rsid w:val="00A16D1B"/>
    <w:rsid w:val="00A17435"/>
    <w:rsid w:val="00A17883"/>
    <w:rsid w:val="00A179E2"/>
    <w:rsid w:val="00A17D98"/>
    <w:rsid w:val="00A200E6"/>
    <w:rsid w:val="00A202EC"/>
    <w:rsid w:val="00A20330"/>
    <w:rsid w:val="00A205F5"/>
    <w:rsid w:val="00A20838"/>
    <w:rsid w:val="00A20857"/>
    <w:rsid w:val="00A20A68"/>
    <w:rsid w:val="00A20F23"/>
    <w:rsid w:val="00A20FA7"/>
    <w:rsid w:val="00A215A1"/>
    <w:rsid w:val="00A217AB"/>
    <w:rsid w:val="00A21B72"/>
    <w:rsid w:val="00A21B97"/>
    <w:rsid w:val="00A21BAC"/>
    <w:rsid w:val="00A21F93"/>
    <w:rsid w:val="00A221B4"/>
    <w:rsid w:val="00A2235E"/>
    <w:rsid w:val="00A2275D"/>
    <w:rsid w:val="00A228E9"/>
    <w:rsid w:val="00A22EC6"/>
    <w:rsid w:val="00A232F6"/>
    <w:rsid w:val="00A23367"/>
    <w:rsid w:val="00A23559"/>
    <w:rsid w:val="00A2379F"/>
    <w:rsid w:val="00A23C94"/>
    <w:rsid w:val="00A23C96"/>
    <w:rsid w:val="00A23E9B"/>
    <w:rsid w:val="00A24133"/>
    <w:rsid w:val="00A243A0"/>
    <w:rsid w:val="00A245F3"/>
    <w:rsid w:val="00A24784"/>
    <w:rsid w:val="00A24901"/>
    <w:rsid w:val="00A24F53"/>
    <w:rsid w:val="00A24F6F"/>
    <w:rsid w:val="00A2511E"/>
    <w:rsid w:val="00A2514B"/>
    <w:rsid w:val="00A25189"/>
    <w:rsid w:val="00A2547F"/>
    <w:rsid w:val="00A255A1"/>
    <w:rsid w:val="00A25694"/>
    <w:rsid w:val="00A25ABE"/>
    <w:rsid w:val="00A2611F"/>
    <w:rsid w:val="00A2636D"/>
    <w:rsid w:val="00A263BF"/>
    <w:rsid w:val="00A26418"/>
    <w:rsid w:val="00A2645A"/>
    <w:rsid w:val="00A26CA1"/>
    <w:rsid w:val="00A26CE0"/>
    <w:rsid w:val="00A26CE6"/>
    <w:rsid w:val="00A26E25"/>
    <w:rsid w:val="00A26E88"/>
    <w:rsid w:val="00A2716C"/>
    <w:rsid w:val="00A27384"/>
    <w:rsid w:val="00A274B1"/>
    <w:rsid w:val="00A275A6"/>
    <w:rsid w:val="00A275A7"/>
    <w:rsid w:val="00A27656"/>
    <w:rsid w:val="00A277C9"/>
    <w:rsid w:val="00A278C2"/>
    <w:rsid w:val="00A278ED"/>
    <w:rsid w:val="00A27DBE"/>
    <w:rsid w:val="00A30214"/>
    <w:rsid w:val="00A302A6"/>
    <w:rsid w:val="00A306A3"/>
    <w:rsid w:val="00A3071A"/>
    <w:rsid w:val="00A308F7"/>
    <w:rsid w:val="00A30A4C"/>
    <w:rsid w:val="00A30B15"/>
    <w:rsid w:val="00A30CDE"/>
    <w:rsid w:val="00A30F44"/>
    <w:rsid w:val="00A31230"/>
    <w:rsid w:val="00A313C7"/>
    <w:rsid w:val="00A316C7"/>
    <w:rsid w:val="00A318CD"/>
    <w:rsid w:val="00A319B2"/>
    <w:rsid w:val="00A31C08"/>
    <w:rsid w:val="00A32122"/>
    <w:rsid w:val="00A3223D"/>
    <w:rsid w:val="00A323F8"/>
    <w:rsid w:val="00A3249A"/>
    <w:rsid w:val="00A324BF"/>
    <w:rsid w:val="00A324E6"/>
    <w:rsid w:val="00A32897"/>
    <w:rsid w:val="00A32976"/>
    <w:rsid w:val="00A33B0F"/>
    <w:rsid w:val="00A33C06"/>
    <w:rsid w:val="00A342B5"/>
    <w:rsid w:val="00A3497D"/>
    <w:rsid w:val="00A34C08"/>
    <w:rsid w:val="00A35696"/>
    <w:rsid w:val="00A356D0"/>
    <w:rsid w:val="00A35962"/>
    <w:rsid w:val="00A36550"/>
    <w:rsid w:val="00A367F4"/>
    <w:rsid w:val="00A36A27"/>
    <w:rsid w:val="00A36BEF"/>
    <w:rsid w:val="00A36E14"/>
    <w:rsid w:val="00A36EFB"/>
    <w:rsid w:val="00A36F0B"/>
    <w:rsid w:val="00A36F86"/>
    <w:rsid w:val="00A37006"/>
    <w:rsid w:val="00A37EB8"/>
    <w:rsid w:val="00A40189"/>
    <w:rsid w:val="00A409AE"/>
    <w:rsid w:val="00A40BC5"/>
    <w:rsid w:val="00A40BEE"/>
    <w:rsid w:val="00A40CE5"/>
    <w:rsid w:val="00A4108A"/>
    <w:rsid w:val="00A410F6"/>
    <w:rsid w:val="00A41628"/>
    <w:rsid w:val="00A41808"/>
    <w:rsid w:val="00A41944"/>
    <w:rsid w:val="00A41ADA"/>
    <w:rsid w:val="00A423D0"/>
    <w:rsid w:val="00A42577"/>
    <w:rsid w:val="00A42FA3"/>
    <w:rsid w:val="00A43532"/>
    <w:rsid w:val="00A43911"/>
    <w:rsid w:val="00A43C72"/>
    <w:rsid w:val="00A43D37"/>
    <w:rsid w:val="00A44114"/>
    <w:rsid w:val="00A4486E"/>
    <w:rsid w:val="00A4499C"/>
    <w:rsid w:val="00A44A46"/>
    <w:rsid w:val="00A44AE3"/>
    <w:rsid w:val="00A44C61"/>
    <w:rsid w:val="00A44F3C"/>
    <w:rsid w:val="00A453F6"/>
    <w:rsid w:val="00A455F9"/>
    <w:rsid w:val="00A457FA"/>
    <w:rsid w:val="00A45941"/>
    <w:rsid w:val="00A45AAC"/>
    <w:rsid w:val="00A45E22"/>
    <w:rsid w:val="00A46124"/>
    <w:rsid w:val="00A466BA"/>
    <w:rsid w:val="00A470DE"/>
    <w:rsid w:val="00A47605"/>
    <w:rsid w:val="00A47B80"/>
    <w:rsid w:val="00A47EDC"/>
    <w:rsid w:val="00A47FD4"/>
    <w:rsid w:val="00A502FB"/>
    <w:rsid w:val="00A505E6"/>
    <w:rsid w:val="00A509A8"/>
    <w:rsid w:val="00A50B6C"/>
    <w:rsid w:val="00A50C01"/>
    <w:rsid w:val="00A5107F"/>
    <w:rsid w:val="00A51251"/>
    <w:rsid w:val="00A5134B"/>
    <w:rsid w:val="00A514C5"/>
    <w:rsid w:val="00A515E5"/>
    <w:rsid w:val="00A519AB"/>
    <w:rsid w:val="00A51CEB"/>
    <w:rsid w:val="00A521C4"/>
    <w:rsid w:val="00A5278C"/>
    <w:rsid w:val="00A533AC"/>
    <w:rsid w:val="00A536A6"/>
    <w:rsid w:val="00A53A2A"/>
    <w:rsid w:val="00A53D09"/>
    <w:rsid w:val="00A53E10"/>
    <w:rsid w:val="00A5424A"/>
    <w:rsid w:val="00A54745"/>
    <w:rsid w:val="00A547A7"/>
    <w:rsid w:val="00A553B6"/>
    <w:rsid w:val="00A55448"/>
    <w:rsid w:val="00A5560D"/>
    <w:rsid w:val="00A55655"/>
    <w:rsid w:val="00A5585F"/>
    <w:rsid w:val="00A5689F"/>
    <w:rsid w:val="00A5690B"/>
    <w:rsid w:val="00A56A6F"/>
    <w:rsid w:val="00A56AE1"/>
    <w:rsid w:val="00A56CE6"/>
    <w:rsid w:val="00A56DBB"/>
    <w:rsid w:val="00A57043"/>
    <w:rsid w:val="00A571D0"/>
    <w:rsid w:val="00A57A51"/>
    <w:rsid w:val="00A57D8F"/>
    <w:rsid w:val="00A60085"/>
    <w:rsid w:val="00A60334"/>
    <w:rsid w:val="00A603D4"/>
    <w:rsid w:val="00A60695"/>
    <w:rsid w:val="00A607E6"/>
    <w:rsid w:val="00A60BF3"/>
    <w:rsid w:val="00A60CD8"/>
    <w:rsid w:val="00A60D0E"/>
    <w:rsid w:val="00A60DCE"/>
    <w:rsid w:val="00A60E81"/>
    <w:rsid w:val="00A615DC"/>
    <w:rsid w:val="00A619BF"/>
    <w:rsid w:val="00A61C57"/>
    <w:rsid w:val="00A61F6B"/>
    <w:rsid w:val="00A621B7"/>
    <w:rsid w:val="00A622DB"/>
    <w:rsid w:val="00A623B3"/>
    <w:rsid w:val="00A6240E"/>
    <w:rsid w:val="00A62444"/>
    <w:rsid w:val="00A62453"/>
    <w:rsid w:val="00A624D7"/>
    <w:rsid w:val="00A62509"/>
    <w:rsid w:val="00A627D3"/>
    <w:rsid w:val="00A628F0"/>
    <w:rsid w:val="00A62E44"/>
    <w:rsid w:val="00A630E3"/>
    <w:rsid w:val="00A63157"/>
    <w:rsid w:val="00A635D0"/>
    <w:rsid w:val="00A63748"/>
    <w:rsid w:val="00A63F11"/>
    <w:rsid w:val="00A63F2F"/>
    <w:rsid w:val="00A63F61"/>
    <w:rsid w:val="00A646A5"/>
    <w:rsid w:val="00A646C5"/>
    <w:rsid w:val="00A64706"/>
    <w:rsid w:val="00A6477A"/>
    <w:rsid w:val="00A64AC4"/>
    <w:rsid w:val="00A65514"/>
    <w:rsid w:val="00A6637E"/>
    <w:rsid w:val="00A66E3F"/>
    <w:rsid w:val="00A66EF9"/>
    <w:rsid w:val="00A67147"/>
    <w:rsid w:val="00A6761C"/>
    <w:rsid w:val="00A677AD"/>
    <w:rsid w:val="00A67BD4"/>
    <w:rsid w:val="00A67D1C"/>
    <w:rsid w:val="00A67D7D"/>
    <w:rsid w:val="00A67F45"/>
    <w:rsid w:val="00A70231"/>
    <w:rsid w:val="00A7024A"/>
    <w:rsid w:val="00A703E7"/>
    <w:rsid w:val="00A705E7"/>
    <w:rsid w:val="00A70689"/>
    <w:rsid w:val="00A70B7D"/>
    <w:rsid w:val="00A71362"/>
    <w:rsid w:val="00A717D3"/>
    <w:rsid w:val="00A71AED"/>
    <w:rsid w:val="00A721D9"/>
    <w:rsid w:val="00A722BF"/>
    <w:rsid w:val="00A72381"/>
    <w:rsid w:val="00A7244B"/>
    <w:rsid w:val="00A725AB"/>
    <w:rsid w:val="00A727FB"/>
    <w:rsid w:val="00A7289E"/>
    <w:rsid w:val="00A72BE8"/>
    <w:rsid w:val="00A72E8C"/>
    <w:rsid w:val="00A72EEC"/>
    <w:rsid w:val="00A72F01"/>
    <w:rsid w:val="00A72FF7"/>
    <w:rsid w:val="00A73121"/>
    <w:rsid w:val="00A734C6"/>
    <w:rsid w:val="00A73AAD"/>
    <w:rsid w:val="00A73CAB"/>
    <w:rsid w:val="00A73EBE"/>
    <w:rsid w:val="00A7403D"/>
    <w:rsid w:val="00A74528"/>
    <w:rsid w:val="00A74873"/>
    <w:rsid w:val="00A74F51"/>
    <w:rsid w:val="00A74FAF"/>
    <w:rsid w:val="00A75133"/>
    <w:rsid w:val="00A7518C"/>
    <w:rsid w:val="00A752D3"/>
    <w:rsid w:val="00A75482"/>
    <w:rsid w:val="00A7565B"/>
    <w:rsid w:val="00A758CC"/>
    <w:rsid w:val="00A75AFD"/>
    <w:rsid w:val="00A75DE8"/>
    <w:rsid w:val="00A76357"/>
    <w:rsid w:val="00A76359"/>
    <w:rsid w:val="00A76618"/>
    <w:rsid w:val="00A76806"/>
    <w:rsid w:val="00A76973"/>
    <w:rsid w:val="00A769AA"/>
    <w:rsid w:val="00A769D2"/>
    <w:rsid w:val="00A76D0E"/>
    <w:rsid w:val="00A76FAD"/>
    <w:rsid w:val="00A77034"/>
    <w:rsid w:val="00A7737D"/>
    <w:rsid w:val="00A77789"/>
    <w:rsid w:val="00A77848"/>
    <w:rsid w:val="00A778CE"/>
    <w:rsid w:val="00A77B09"/>
    <w:rsid w:val="00A77C7A"/>
    <w:rsid w:val="00A80298"/>
    <w:rsid w:val="00A80459"/>
    <w:rsid w:val="00A80A52"/>
    <w:rsid w:val="00A80AF5"/>
    <w:rsid w:val="00A80BE4"/>
    <w:rsid w:val="00A8107B"/>
    <w:rsid w:val="00A813C9"/>
    <w:rsid w:val="00A81507"/>
    <w:rsid w:val="00A8165A"/>
    <w:rsid w:val="00A81A0C"/>
    <w:rsid w:val="00A81A2F"/>
    <w:rsid w:val="00A81B09"/>
    <w:rsid w:val="00A81BEB"/>
    <w:rsid w:val="00A82248"/>
    <w:rsid w:val="00A8284D"/>
    <w:rsid w:val="00A82C1B"/>
    <w:rsid w:val="00A82E27"/>
    <w:rsid w:val="00A835E6"/>
    <w:rsid w:val="00A83786"/>
    <w:rsid w:val="00A83EC4"/>
    <w:rsid w:val="00A84301"/>
    <w:rsid w:val="00A84396"/>
    <w:rsid w:val="00A8445F"/>
    <w:rsid w:val="00A84988"/>
    <w:rsid w:val="00A84B75"/>
    <w:rsid w:val="00A85850"/>
    <w:rsid w:val="00A85DF3"/>
    <w:rsid w:val="00A860A2"/>
    <w:rsid w:val="00A860D0"/>
    <w:rsid w:val="00A867A3"/>
    <w:rsid w:val="00A86B25"/>
    <w:rsid w:val="00A86EAA"/>
    <w:rsid w:val="00A8715A"/>
    <w:rsid w:val="00A874BE"/>
    <w:rsid w:val="00A8756E"/>
    <w:rsid w:val="00A87763"/>
    <w:rsid w:val="00A87994"/>
    <w:rsid w:val="00A87B6B"/>
    <w:rsid w:val="00A87C55"/>
    <w:rsid w:val="00A901E9"/>
    <w:rsid w:val="00A9047E"/>
    <w:rsid w:val="00A907A8"/>
    <w:rsid w:val="00A90C1A"/>
    <w:rsid w:val="00A90E3E"/>
    <w:rsid w:val="00A90F0F"/>
    <w:rsid w:val="00A90F5C"/>
    <w:rsid w:val="00A911C6"/>
    <w:rsid w:val="00A917CE"/>
    <w:rsid w:val="00A9188E"/>
    <w:rsid w:val="00A91D1C"/>
    <w:rsid w:val="00A928E9"/>
    <w:rsid w:val="00A92969"/>
    <w:rsid w:val="00A92CCA"/>
    <w:rsid w:val="00A932B1"/>
    <w:rsid w:val="00A936D7"/>
    <w:rsid w:val="00A938DF"/>
    <w:rsid w:val="00A93A6C"/>
    <w:rsid w:val="00A93F0E"/>
    <w:rsid w:val="00A94149"/>
    <w:rsid w:val="00A943B4"/>
    <w:rsid w:val="00A95944"/>
    <w:rsid w:val="00A959E1"/>
    <w:rsid w:val="00A95BC4"/>
    <w:rsid w:val="00A95F0C"/>
    <w:rsid w:val="00A960CE"/>
    <w:rsid w:val="00A96165"/>
    <w:rsid w:val="00A9629E"/>
    <w:rsid w:val="00A965E8"/>
    <w:rsid w:val="00A96A6F"/>
    <w:rsid w:val="00A96E5F"/>
    <w:rsid w:val="00A9704E"/>
    <w:rsid w:val="00A973F7"/>
    <w:rsid w:val="00A97E7A"/>
    <w:rsid w:val="00AA0264"/>
    <w:rsid w:val="00AA02ED"/>
    <w:rsid w:val="00AA06E4"/>
    <w:rsid w:val="00AA0833"/>
    <w:rsid w:val="00AA0BB9"/>
    <w:rsid w:val="00AA0CB5"/>
    <w:rsid w:val="00AA111F"/>
    <w:rsid w:val="00AA12CA"/>
    <w:rsid w:val="00AA1445"/>
    <w:rsid w:val="00AA2584"/>
    <w:rsid w:val="00AA30EC"/>
    <w:rsid w:val="00AA3350"/>
    <w:rsid w:val="00AA34B2"/>
    <w:rsid w:val="00AA35FE"/>
    <w:rsid w:val="00AA3734"/>
    <w:rsid w:val="00AA3E2F"/>
    <w:rsid w:val="00AA3EAF"/>
    <w:rsid w:val="00AA3EE1"/>
    <w:rsid w:val="00AA4119"/>
    <w:rsid w:val="00AA414C"/>
    <w:rsid w:val="00AA415C"/>
    <w:rsid w:val="00AA41C6"/>
    <w:rsid w:val="00AA47C9"/>
    <w:rsid w:val="00AA5249"/>
    <w:rsid w:val="00AA5510"/>
    <w:rsid w:val="00AA558B"/>
    <w:rsid w:val="00AA5BAB"/>
    <w:rsid w:val="00AA5FD2"/>
    <w:rsid w:val="00AA638C"/>
    <w:rsid w:val="00AA6F5E"/>
    <w:rsid w:val="00AA7131"/>
    <w:rsid w:val="00AA7138"/>
    <w:rsid w:val="00AA719D"/>
    <w:rsid w:val="00AA71CF"/>
    <w:rsid w:val="00AA747B"/>
    <w:rsid w:val="00AA750F"/>
    <w:rsid w:val="00AA798E"/>
    <w:rsid w:val="00AA79AD"/>
    <w:rsid w:val="00AA79C5"/>
    <w:rsid w:val="00AA7C9B"/>
    <w:rsid w:val="00AB039A"/>
    <w:rsid w:val="00AB09A0"/>
    <w:rsid w:val="00AB130D"/>
    <w:rsid w:val="00AB13B9"/>
    <w:rsid w:val="00AB1401"/>
    <w:rsid w:val="00AB1D65"/>
    <w:rsid w:val="00AB264F"/>
    <w:rsid w:val="00AB2C2B"/>
    <w:rsid w:val="00AB2FA6"/>
    <w:rsid w:val="00AB32FE"/>
    <w:rsid w:val="00AB3359"/>
    <w:rsid w:val="00AB3381"/>
    <w:rsid w:val="00AB34E1"/>
    <w:rsid w:val="00AB35DD"/>
    <w:rsid w:val="00AB38F0"/>
    <w:rsid w:val="00AB392B"/>
    <w:rsid w:val="00AB3BCE"/>
    <w:rsid w:val="00AB49AA"/>
    <w:rsid w:val="00AB4A6E"/>
    <w:rsid w:val="00AB4ED9"/>
    <w:rsid w:val="00AB4EEF"/>
    <w:rsid w:val="00AB5485"/>
    <w:rsid w:val="00AB5569"/>
    <w:rsid w:val="00AB5580"/>
    <w:rsid w:val="00AB6435"/>
    <w:rsid w:val="00AB71B1"/>
    <w:rsid w:val="00AB7534"/>
    <w:rsid w:val="00AC0041"/>
    <w:rsid w:val="00AC0229"/>
    <w:rsid w:val="00AC056A"/>
    <w:rsid w:val="00AC0BAC"/>
    <w:rsid w:val="00AC1381"/>
    <w:rsid w:val="00AC225D"/>
    <w:rsid w:val="00AC2BB7"/>
    <w:rsid w:val="00AC2DBB"/>
    <w:rsid w:val="00AC2E3E"/>
    <w:rsid w:val="00AC33F6"/>
    <w:rsid w:val="00AC35C9"/>
    <w:rsid w:val="00AC36A4"/>
    <w:rsid w:val="00AC39C2"/>
    <w:rsid w:val="00AC3D2A"/>
    <w:rsid w:val="00AC46E1"/>
    <w:rsid w:val="00AC4B96"/>
    <w:rsid w:val="00AC4D32"/>
    <w:rsid w:val="00AC4E64"/>
    <w:rsid w:val="00AC52D1"/>
    <w:rsid w:val="00AC5399"/>
    <w:rsid w:val="00AC54A3"/>
    <w:rsid w:val="00AC56B5"/>
    <w:rsid w:val="00AC56B6"/>
    <w:rsid w:val="00AC5700"/>
    <w:rsid w:val="00AC573D"/>
    <w:rsid w:val="00AC638C"/>
    <w:rsid w:val="00AC66EE"/>
    <w:rsid w:val="00AC673A"/>
    <w:rsid w:val="00AC680F"/>
    <w:rsid w:val="00AC68A7"/>
    <w:rsid w:val="00AC71A9"/>
    <w:rsid w:val="00AC77B9"/>
    <w:rsid w:val="00AC79C0"/>
    <w:rsid w:val="00AC7CAC"/>
    <w:rsid w:val="00AC7CC9"/>
    <w:rsid w:val="00AC7D29"/>
    <w:rsid w:val="00AC7E98"/>
    <w:rsid w:val="00AD04AE"/>
    <w:rsid w:val="00AD0E35"/>
    <w:rsid w:val="00AD109E"/>
    <w:rsid w:val="00AD1100"/>
    <w:rsid w:val="00AD1277"/>
    <w:rsid w:val="00AD158C"/>
    <w:rsid w:val="00AD190A"/>
    <w:rsid w:val="00AD2000"/>
    <w:rsid w:val="00AD20B2"/>
    <w:rsid w:val="00AD20E2"/>
    <w:rsid w:val="00AD220C"/>
    <w:rsid w:val="00AD2773"/>
    <w:rsid w:val="00AD2FB7"/>
    <w:rsid w:val="00AD37E1"/>
    <w:rsid w:val="00AD436F"/>
    <w:rsid w:val="00AD4EFB"/>
    <w:rsid w:val="00AD565B"/>
    <w:rsid w:val="00AD5740"/>
    <w:rsid w:val="00AD5B7B"/>
    <w:rsid w:val="00AD5EEC"/>
    <w:rsid w:val="00AD681A"/>
    <w:rsid w:val="00AD6DF8"/>
    <w:rsid w:val="00AD6E5D"/>
    <w:rsid w:val="00AD6ECE"/>
    <w:rsid w:val="00AD6F53"/>
    <w:rsid w:val="00AD73BB"/>
    <w:rsid w:val="00AD74E4"/>
    <w:rsid w:val="00AD750A"/>
    <w:rsid w:val="00AD75F2"/>
    <w:rsid w:val="00AD7789"/>
    <w:rsid w:val="00AD781E"/>
    <w:rsid w:val="00AD78D4"/>
    <w:rsid w:val="00AD7C05"/>
    <w:rsid w:val="00AD7E02"/>
    <w:rsid w:val="00AD7E6C"/>
    <w:rsid w:val="00AD7EB6"/>
    <w:rsid w:val="00AD7FE8"/>
    <w:rsid w:val="00AE0B82"/>
    <w:rsid w:val="00AE0BFA"/>
    <w:rsid w:val="00AE0DCF"/>
    <w:rsid w:val="00AE0F15"/>
    <w:rsid w:val="00AE10F0"/>
    <w:rsid w:val="00AE14BB"/>
    <w:rsid w:val="00AE1B50"/>
    <w:rsid w:val="00AE1DD7"/>
    <w:rsid w:val="00AE1EDC"/>
    <w:rsid w:val="00AE230B"/>
    <w:rsid w:val="00AE24E7"/>
    <w:rsid w:val="00AE2650"/>
    <w:rsid w:val="00AE28D8"/>
    <w:rsid w:val="00AE2B1E"/>
    <w:rsid w:val="00AE2D20"/>
    <w:rsid w:val="00AE2F23"/>
    <w:rsid w:val="00AE342D"/>
    <w:rsid w:val="00AE356F"/>
    <w:rsid w:val="00AE3696"/>
    <w:rsid w:val="00AE3908"/>
    <w:rsid w:val="00AE391E"/>
    <w:rsid w:val="00AE3999"/>
    <w:rsid w:val="00AE39E1"/>
    <w:rsid w:val="00AE3B81"/>
    <w:rsid w:val="00AE4002"/>
    <w:rsid w:val="00AE4159"/>
    <w:rsid w:val="00AE446C"/>
    <w:rsid w:val="00AE53BB"/>
    <w:rsid w:val="00AE65B3"/>
    <w:rsid w:val="00AE6D4B"/>
    <w:rsid w:val="00AE6D5E"/>
    <w:rsid w:val="00AE75F9"/>
    <w:rsid w:val="00AE7666"/>
    <w:rsid w:val="00AE7C98"/>
    <w:rsid w:val="00AE7E21"/>
    <w:rsid w:val="00AE7F5C"/>
    <w:rsid w:val="00AF06E4"/>
    <w:rsid w:val="00AF0868"/>
    <w:rsid w:val="00AF0AD2"/>
    <w:rsid w:val="00AF0C71"/>
    <w:rsid w:val="00AF0C82"/>
    <w:rsid w:val="00AF2311"/>
    <w:rsid w:val="00AF2F58"/>
    <w:rsid w:val="00AF3468"/>
    <w:rsid w:val="00AF3924"/>
    <w:rsid w:val="00AF3AEF"/>
    <w:rsid w:val="00AF3BD5"/>
    <w:rsid w:val="00AF3C81"/>
    <w:rsid w:val="00AF3CC6"/>
    <w:rsid w:val="00AF3E09"/>
    <w:rsid w:val="00AF4972"/>
    <w:rsid w:val="00AF4BFE"/>
    <w:rsid w:val="00AF4D84"/>
    <w:rsid w:val="00AF4DA5"/>
    <w:rsid w:val="00AF5711"/>
    <w:rsid w:val="00AF5833"/>
    <w:rsid w:val="00AF59B1"/>
    <w:rsid w:val="00AF5AAA"/>
    <w:rsid w:val="00AF5C54"/>
    <w:rsid w:val="00AF5C5B"/>
    <w:rsid w:val="00AF5D43"/>
    <w:rsid w:val="00AF609A"/>
    <w:rsid w:val="00AF658C"/>
    <w:rsid w:val="00AF67B0"/>
    <w:rsid w:val="00AF6888"/>
    <w:rsid w:val="00AF6A67"/>
    <w:rsid w:val="00AF6CA5"/>
    <w:rsid w:val="00AF6D0C"/>
    <w:rsid w:val="00AF6E9D"/>
    <w:rsid w:val="00AF717F"/>
    <w:rsid w:val="00AF71DE"/>
    <w:rsid w:val="00AF7301"/>
    <w:rsid w:val="00AF75DA"/>
    <w:rsid w:val="00AF7869"/>
    <w:rsid w:val="00B002A2"/>
    <w:rsid w:val="00B008AC"/>
    <w:rsid w:val="00B0092E"/>
    <w:rsid w:val="00B013A5"/>
    <w:rsid w:val="00B018CA"/>
    <w:rsid w:val="00B019F2"/>
    <w:rsid w:val="00B01BE2"/>
    <w:rsid w:val="00B01CE9"/>
    <w:rsid w:val="00B01E29"/>
    <w:rsid w:val="00B02764"/>
    <w:rsid w:val="00B027ED"/>
    <w:rsid w:val="00B02A25"/>
    <w:rsid w:val="00B02EAF"/>
    <w:rsid w:val="00B02F48"/>
    <w:rsid w:val="00B031CB"/>
    <w:rsid w:val="00B032A5"/>
    <w:rsid w:val="00B038D4"/>
    <w:rsid w:val="00B039F8"/>
    <w:rsid w:val="00B03B09"/>
    <w:rsid w:val="00B0408B"/>
    <w:rsid w:val="00B047A4"/>
    <w:rsid w:val="00B05DBF"/>
    <w:rsid w:val="00B06030"/>
    <w:rsid w:val="00B063D6"/>
    <w:rsid w:val="00B066BD"/>
    <w:rsid w:val="00B06ABF"/>
    <w:rsid w:val="00B06C54"/>
    <w:rsid w:val="00B06D55"/>
    <w:rsid w:val="00B06E7D"/>
    <w:rsid w:val="00B07069"/>
    <w:rsid w:val="00B074F9"/>
    <w:rsid w:val="00B07AFC"/>
    <w:rsid w:val="00B100BE"/>
    <w:rsid w:val="00B10340"/>
    <w:rsid w:val="00B10570"/>
    <w:rsid w:val="00B10AAB"/>
    <w:rsid w:val="00B10AD2"/>
    <w:rsid w:val="00B10B33"/>
    <w:rsid w:val="00B10C22"/>
    <w:rsid w:val="00B10E33"/>
    <w:rsid w:val="00B10F1D"/>
    <w:rsid w:val="00B110CD"/>
    <w:rsid w:val="00B116B6"/>
    <w:rsid w:val="00B11847"/>
    <w:rsid w:val="00B11939"/>
    <w:rsid w:val="00B11D8B"/>
    <w:rsid w:val="00B12AC4"/>
    <w:rsid w:val="00B12F25"/>
    <w:rsid w:val="00B1324C"/>
    <w:rsid w:val="00B13F30"/>
    <w:rsid w:val="00B13F99"/>
    <w:rsid w:val="00B14114"/>
    <w:rsid w:val="00B145EC"/>
    <w:rsid w:val="00B146F4"/>
    <w:rsid w:val="00B1512E"/>
    <w:rsid w:val="00B1558E"/>
    <w:rsid w:val="00B155C5"/>
    <w:rsid w:val="00B15918"/>
    <w:rsid w:val="00B15A2F"/>
    <w:rsid w:val="00B15CC5"/>
    <w:rsid w:val="00B15E8B"/>
    <w:rsid w:val="00B16557"/>
    <w:rsid w:val="00B16838"/>
    <w:rsid w:val="00B16924"/>
    <w:rsid w:val="00B16AA9"/>
    <w:rsid w:val="00B16B8B"/>
    <w:rsid w:val="00B17019"/>
    <w:rsid w:val="00B17169"/>
    <w:rsid w:val="00B173F5"/>
    <w:rsid w:val="00B20664"/>
    <w:rsid w:val="00B2077B"/>
    <w:rsid w:val="00B20DA4"/>
    <w:rsid w:val="00B20DD8"/>
    <w:rsid w:val="00B20DD9"/>
    <w:rsid w:val="00B20DF1"/>
    <w:rsid w:val="00B211AB"/>
    <w:rsid w:val="00B2132B"/>
    <w:rsid w:val="00B2147B"/>
    <w:rsid w:val="00B214D8"/>
    <w:rsid w:val="00B2150D"/>
    <w:rsid w:val="00B216C5"/>
    <w:rsid w:val="00B21D68"/>
    <w:rsid w:val="00B21FC8"/>
    <w:rsid w:val="00B225D8"/>
    <w:rsid w:val="00B229AB"/>
    <w:rsid w:val="00B22DBD"/>
    <w:rsid w:val="00B23291"/>
    <w:rsid w:val="00B23292"/>
    <w:rsid w:val="00B234BD"/>
    <w:rsid w:val="00B238C6"/>
    <w:rsid w:val="00B23CD9"/>
    <w:rsid w:val="00B23FB0"/>
    <w:rsid w:val="00B245DC"/>
    <w:rsid w:val="00B24812"/>
    <w:rsid w:val="00B249D0"/>
    <w:rsid w:val="00B24AD9"/>
    <w:rsid w:val="00B25002"/>
    <w:rsid w:val="00B250AF"/>
    <w:rsid w:val="00B251F0"/>
    <w:rsid w:val="00B25359"/>
    <w:rsid w:val="00B25F41"/>
    <w:rsid w:val="00B260F8"/>
    <w:rsid w:val="00B2699B"/>
    <w:rsid w:val="00B26CE3"/>
    <w:rsid w:val="00B26D34"/>
    <w:rsid w:val="00B273A9"/>
    <w:rsid w:val="00B274E1"/>
    <w:rsid w:val="00B2750C"/>
    <w:rsid w:val="00B275BE"/>
    <w:rsid w:val="00B27A3D"/>
    <w:rsid w:val="00B27CED"/>
    <w:rsid w:val="00B30216"/>
    <w:rsid w:val="00B302AC"/>
    <w:rsid w:val="00B3149B"/>
    <w:rsid w:val="00B31D29"/>
    <w:rsid w:val="00B31D5F"/>
    <w:rsid w:val="00B31DED"/>
    <w:rsid w:val="00B3206C"/>
    <w:rsid w:val="00B32120"/>
    <w:rsid w:val="00B3248E"/>
    <w:rsid w:val="00B325BF"/>
    <w:rsid w:val="00B32BCC"/>
    <w:rsid w:val="00B32CDA"/>
    <w:rsid w:val="00B33705"/>
    <w:rsid w:val="00B339E3"/>
    <w:rsid w:val="00B33A27"/>
    <w:rsid w:val="00B34308"/>
    <w:rsid w:val="00B3450E"/>
    <w:rsid w:val="00B3463A"/>
    <w:rsid w:val="00B34D8B"/>
    <w:rsid w:val="00B35218"/>
    <w:rsid w:val="00B35835"/>
    <w:rsid w:val="00B35A41"/>
    <w:rsid w:val="00B36426"/>
    <w:rsid w:val="00B3652C"/>
    <w:rsid w:val="00B3673D"/>
    <w:rsid w:val="00B36BB8"/>
    <w:rsid w:val="00B36BDB"/>
    <w:rsid w:val="00B3757A"/>
    <w:rsid w:val="00B37652"/>
    <w:rsid w:val="00B37A00"/>
    <w:rsid w:val="00B37B07"/>
    <w:rsid w:val="00B37EDE"/>
    <w:rsid w:val="00B40037"/>
    <w:rsid w:val="00B4026F"/>
    <w:rsid w:val="00B409E8"/>
    <w:rsid w:val="00B40B0D"/>
    <w:rsid w:val="00B40CFB"/>
    <w:rsid w:val="00B41019"/>
    <w:rsid w:val="00B41EBD"/>
    <w:rsid w:val="00B41F7E"/>
    <w:rsid w:val="00B42359"/>
    <w:rsid w:val="00B4236A"/>
    <w:rsid w:val="00B42459"/>
    <w:rsid w:val="00B4255B"/>
    <w:rsid w:val="00B42671"/>
    <w:rsid w:val="00B426B6"/>
    <w:rsid w:val="00B42C5A"/>
    <w:rsid w:val="00B435B7"/>
    <w:rsid w:val="00B4366C"/>
    <w:rsid w:val="00B43678"/>
    <w:rsid w:val="00B436AE"/>
    <w:rsid w:val="00B44595"/>
    <w:rsid w:val="00B448A0"/>
    <w:rsid w:val="00B448EC"/>
    <w:rsid w:val="00B44D64"/>
    <w:rsid w:val="00B45741"/>
    <w:rsid w:val="00B45C6D"/>
    <w:rsid w:val="00B462C6"/>
    <w:rsid w:val="00B463E6"/>
    <w:rsid w:val="00B46811"/>
    <w:rsid w:val="00B46859"/>
    <w:rsid w:val="00B46D59"/>
    <w:rsid w:val="00B46FD9"/>
    <w:rsid w:val="00B47B6A"/>
    <w:rsid w:val="00B47E7F"/>
    <w:rsid w:val="00B47E94"/>
    <w:rsid w:val="00B5016A"/>
    <w:rsid w:val="00B504B9"/>
    <w:rsid w:val="00B5078E"/>
    <w:rsid w:val="00B50B32"/>
    <w:rsid w:val="00B50E02"/>
    <w:rsid w:val="00B50EBB"/>
    <w:rsid w:val="00B50F32"/>
    <w:rsid w:val="00B512CA"/>
    <w:rsid w:val="00B51303"/>
    <w:rsid w:val="00B51403"/>
    <w:rsid w:val="00B515B9"/>
    <w:rsid w:val="00B51651"/>
    <w:rsid w:val="00B5187B"/>
    <w:rsid w:val="00B51D06"/>
    <w:rsid w:val="00B521EC"/>
    <w:rsid w:val="00B52337"/>
    <w:rsid w:val="00B524FD"/>
    <w:rsid w:val="00B52A87"/>
    <w:rsid w:val="00B530A8"/>
    <w:rsid w:val="00B534CC"/>
    <w:rsid w:val="00B53813"/>
    <w:rsid w:val="00B53E79"/>
    <w:rsid w:val="00B53FA4"/>
    <w:rsid w:val="00B5435A"/>
    <w:rsid w:val="00B544CE"/>
    <w:rsid w:val="00B54AFB"/>
    <w:rsid w:val="00B54C97"/>
    <w:rsid w:val="00B54E2E"/>
    <w:rsid w:val="00B54E35"/>
    <w:rsid w:val="00B55245"/>
    <w:rsid w:val="00B5537D"/>
    <w:rsid w:val="00B554BA"/>
    <w:rsid w:val="00B5576C"/>
    <w:rsid w:val="00B55A00"/>
    <w:rsid w:val="00B5624C"/>
    <w:rsid w:val="00B56584"/>
    <w:rsid w:val="00B567FE"/>
    <w:rsid w:val="00B56A7C"/>
    <w:rsid w:val="00B56D7F"/>
    <w:rsid w:val="00B5792C"/>
    <w:rsid w:val="00B57A19"/>
    <w:rsid w:val="00B57BA8"/>
    <w:rsid w:val="00B57C45"/>
    <w:rsid w:val="00B57D10"/>
    <w:rsid w:val="00B57F11"/>
    <w:rsid w:val="00B60490"/>
    <w:rsid w:val="00B604BB"/>
    <w:rsid w:val="00B60628"/>
    <w:rsid w:val="00B6066E"/>
    <w:rsid w:val="00B6099E"/>
    <w:rsid w:val="00B60A7A"/>
    <w:rsid w:val="00B612E3"/>
    <w:rsid w:val="00B614FF"/>
    <w:rsid w:val="00B621ED"/>
    <w:rsid w:val="00B6237B"/>
    <w:rsid w:val="00B626F3"/>
    <w:rsid w:val="00B6287C"/>
    <w:rsid w:val="00B628A0"/>
    <w:rsid w:val="00B62BC2"/>
    <w:rsid w:val="00B62C50"/>
    <w:rsid w:val="00B62DF9"/>
    <w:rsid w:val="00B632E9"/>
    <w:rsid w:val="00B63AB2"/>
    <w:rsid w:val="00B63BA0"/>
    <w:rsid w:val="00B63E65"/>
    <w:rsid w:val="00B63FB4"/>
    <w:rsid w:val="00B646C1"/>
    <w:rsid w:val="00B646F0"/>
    <w:rsid w:val="00B6485F"/>
    <w:rsid w:val="00B64C41"/>
    <w:rsid w:val="00B651B4"/>
    <w:rsid w:val="00B65828"/>
    <w:rsid w:val="00B6585E"/>
    <w:rsid w:val="00B65E75"/>
    <w:rsid w:val="00B65EE9"/>
    <w:rsid w:val="00B6649C"/>
    <w:rsid w:val="00B66529"/>
    <w:rsid w:val="00B66550"/>
    <w:rsid w:val="00B669FC"/>
    <w:rsid w:val="00B673C0"/>
    <w:rsid w:val="00B676F3"/>
    <w:rsid w:val="00B679D2"/>
    <w:rsid w:val="00B70164"/>
    <w:rsid w:val="00B704A5"/>
    <w:rsid w:val="00B70FB3"/>
    <w:rsid w:val="00B712B9"/>
    <w:rsid w:val="00B71ABE"/>
    <w:rsid w:val="00B71DB8"/>
    <w:rsid w:val="00B71F45"/>
    <w:rsid w:val="00B732E3"/>
    <w:rsid w:val="00B735C8"/>
    <w:rsid w:val="00B73A3D"/>
    <w:rsid w:val="00B73A55"/>
    <w:rsid w:val="00B73F4D"/>
    <w:rsid w:val="00B74169"/>
    <w:rsid w:val="00B7431C"/>
    <w:rsid w:val="00B7443E"/>
    <w:rsid w:val="00B744C5"/>
    <w:rsid w:val="00B74719"/>
    <w:rsid w:val="00B749AB"/>
    <w:rsid w:val="00B74F01"/>
    <w:rsid w:val="00B74FC4"/>
    <w:rsid w:val="00B75161"/>
    <w:rsid w:val="00B7563F"/>
    <w:rsid w:val="00B756E4"/>
    <w:rsid w:val="00B757AA"/>
    <w:rsid w:val="00B759F6"/>
    <w:rsid w:val="00B763F0"/>
    <w:rsid w:val="00B76712"/>
    <w:rsid w:val="00B7686B"/>
    <w:rsid w:val="00B76A33"/>
    <w:rsid w:val="00B76F4E"/>
    <w:rsid w:val="00B77315"/>
    <w:rsid w:val="00B775C7"/>
    <w:rsid w:val="00B77A36"/>
    <w:rsid w:val="00B77C79"/>
    <w:rsid w:val="00B81023"/>
    <w:rsid w:val="00B81060"/>
    <w:rsid w:val="00B810B8"/>
    <w:rsid w:val="00B81E47"/>
    <w:rsid w:val="00B8222B"/>
    <w:rsid w:val="00B82264"/>
    <w:rsid w:val="00B829D9"/>
    <w:rsid w:val="00B82C93"/>
    <w:rsid w:val="00B82D53"/>
    <w:rsid w:val="00B82E48"/>
    <w:rsid w:val="00B83D28"/>
    <w:rsid w:val="00B83F4B"/>
    <w:rsid w:val="00B84E07"/>
    <w:rsid w:val="00B8534A"/>
    <w:rsid w:val="00B8573C"/>
    <w:rsid w:val="00B8574E"/>
    <w:rsid w:val="00B85A6B"/>
    <w:rsid w:val="00B85A70"/>
    <w:rsid w:val="00B85FE2"/>
    <w:rsid w:val="00B86573"/>
    <w:rsid w:val="00B86732"/>
    <w:rsid w:val="00B86B5E"/>
    <w:rsid w:val="00B86C85"/>
    <w:rsid w:val="00B86FCC"/>
    <w:rsid w:val="00B875A4"/>
    <w:rsid w:val="00B877F4"/>
    <w:rsid w:val="00B8797F"/>
    <w:rsid w:val="00B90465"/>
    <w:rsid w:val="00B90480"/>
    <w:rsid w:val="00B90921"/>
    <w:rsid w:val="00B90C44"/>
    <w:rsid w:val="00B90D56"/>
    <w:rsid w:val="00B90DF5"/>
    <w:rsid w:val="00B90E19"/>
    <w:rsid w:val="00B91025"/>
    <w:rsid w:val="00B9207A"/>
    <w:rsid w:val="00B92123"/>
    <w:rsid w:val="00B929EC"/>
    <w:rsid w:val="00B92C64"/>
    <w:rsid w:val="00B92F0F"/>
    <w:rsid w:val="00B93395"/>
    <w:rsid w:val="00B93400"/>
    <w:rsid w:val="00B939BA"/>
    <w:rsid w:val="00B93D00"/>
    <w:rsid w:val="00B9405C"/>
    <w:rsid w:val="00B940DF"/>
    <w:rsid w:val="00B940E7"/>
    <w:rsid w:val="00B94146"/>
    <w:rsid w:val="00B9454B"/>
    <w:rsid w:val="00B94B68"/>
    <w:rsid w:val="00B94FCA"/>
    <w:rsid w:val="00B9523A"/>
    <w:rsid w:val="00B9563D"/>
    <w:rsid w:val="00B95FF5"/>
    <w:rsid w:val="00B961BC"/>
    <w:rsid w:val="00B9633D"/>
    <w:rsid w:val="00B96488"/>
    <w:rsid w:val="00B96EAE"/>
    <w:rsid w:val="00B97465"/>
    <w:rsid w:val="00B9787D"/>
    <w:rsid w:val="00B978D7"/>
    <w:rsid w:val="00BA004D"/>
    <w:rsid w:val="00BA058B"/>
    <w:rsid w:val="00BA0C4C"/>
    <w:rsid w:val="00BA11A0"/>
    <w:rsid w:val="00BA12C1"/>
    <w:rsid w:val="00BA138D"/>
    <w:rsid w:val="00BA18B0"/>
    <w:rsid w:val="00BA1965"/>
    <w:rsid w:val="00BA1976"/>
    <w:rsid w:val="00BA1BDA"/>
    <w:rsid w:val="00BA1C9F"/>
    <w:rsid w:val="00BA1E24"/>
    <w:rsid w:val="00BA1F44"/>
    <w:rsid w:val="00BA22CB"/>
    <w:rsid w:val="00BA2532"/>
    <w:rsid w:val="00BA2BBA"/>
    <w:rsid w:val="00BA3404"/>
    <w:rsid w:val="00BA3639"/>
    <w:rsid w:val="00BA39F7"/>
    <w:rsid w:val="00BA4029"/>
    <w:rsid w:val="00BA405D"/>
    <w:rsid w:val="00BA43F7"/>
    <w:rsid w:val="00BA4420"/>
    <w:rsid w:val="00BA459C"/>
    <w:rsid w:val="00BA4E72"/>
    <w:rsid w:val="00BA5629"/>
    <w:rsid w:val="00BA56F1"/>
    <w:rsid w:val="00BA57B2"/>
    <w:rsid w:val="00BA5A5C"/>
    <w:rsid w:val="00BA5D78"/>
    <w:rsid w:val="00BA5D8E"/>
    <w:rsid w:val="00BA6392"/>
    <w:rsid w:val="00BA67F1"/>
    <w:rsid w:val="00BA68E1"/>
    <w:rsid w:val="00BA6E60"/>
    <w:rsid w:val="00BA7021"/>
    <w:rsid w:val="00BA7842"/>
    <w:rsid w:val="00BA7CBF"/>
    <w:rsid w:val="00BA7F96"/>
    <w:rsid w:val="00BB05D2"/>
    <w:rsid w:val="00BB061C"/>
    <w:rsid w:val="00BB1900"/>
    <w:rsid w:val="00BB1A63"/>
    <w:rsid w:val="00BB1E50"/>
    <w:rsid w:val="00BB22F7"/>
    <w:rsid w:val="00BB2AF9"/>
    <w:rsid w:val="00BB34CE"/>
    <w:rsid w:val="00BB34DC"/>
    <w:rsid w:val="00BB354D"/>
    <w:rsid w:val="00BB36D8"/>
    <w:rsid w:val="00BB3947"/>
    <w:rsid w:val="00BB3D8E"/>
    <w:rsid w:val="00BB4855"/>
    <w:rsid w:val="00BB495B"/>
    <w:rsid w:val="00BB4A08"/>
    <w:rsid w:val="00BB4D02"/>
    <w:rsid w:val="00BB4E83"/>
    <w:rsid w:val="00BB531C"/>
    <w:rsid w:val="00BB58BC"/>
    <w:rsid w:val="00BB5C41"/>
    <w:rsid w:val="00BB5E02"/>
    <w:rsid w:val="00BB600C"/>
    <w:rsid w:val="00BB61CE"/>
    <w:rsid w:val="00BB64DA"/>
    <w:rsid w:val="00BB6868"/>
    <w:rsid w:val="00BB6948"/>
    <w:rsid w:val="00BB69C2"/>
    <w:rsid w:val="00BB69EA"/>
    <w:rsid w:val="00BB6AE9"/>
    <w:rsid w:val="00BB6C8A"/>
    <w:rsid w:val="00BB6DFC"/>
    <w:rsid w:val="00BB7721"/>
    <w:rsid w:val="00BB7727"/>
    <w:rsid w:val="00BB7AEC"/>
    <w:rsid w:val="00BC00C0"/>
    <w:rsid w:val="00BC0438"/>
    <w:rsid w:val="00BC0463"/>
    <w:rsid w:val="00BC0703"/>
    <w:rsid w:val="00BC0AAF"/>
    <w:rsid w:val="00BC0FCA"/>
    <w:rsid w:val="00BC14BE"/>
    <w:rsid w:val="00BC1B8F"/>
    <w:rsid w:val="00BC1DBF"/>
    <w:rsid w:val="00BC1EE9"/>
    <w:rsid w:val="00BC1FC8"/>
    <w:rsid w:val="00BC2283"/>
    <w:rsid w:val="00BC24A3"/>
    <w:rsid w:val="00BC24C4"/>
    <w:rsid w:val="00BC2E77"/>
    <w:rsid w:val="00BC2F1E"/>
    <w:rsid w:val="00BC3204"/>
    <w:rsid w:val="00BC322F"/>
    <w:rsid w:val="00BC35AC"/>
    <w:rsid w:val="00BC3791"/>
    <w:rsid w:val="00BC3BBE"/>
    <w:rsid w:val="00BC3BE1"/>
    <w:rsid w:val="00BC3DB8"/>
    <w:rsid w:val="00BC3F17"/>
    <w:rsid w:val="00BC3F78"/>
    <w:rsid w:val="00BC3FFD"/>
    <w:rsid w:val="00BC48AB"/>
    <w:rsid w:val="00BC48C6"/>
    <w:rsid w:val="00BC4BFF"/>
    <w:rsid w:val="00BC4DD4"/>
    <w:rsid w:val="00BC4E91"/>
    <w:rsid w:val="00BC50C1"/>
    <w:rsid w:val="00BC51BC"/>
    <w:rsid w:val="00BC5219"/>
    <w:rsid w:val="00BC524A"/>
    <w:rsid w:val="00BC54E0"/>
    <w:rsid w:val="00BC613A"/>
    <w:rsid w:val="00BC6378"/>
    <w:rsid w:val="00BC64BF"/>
    <w:rsid w:val="00BC6A08"/>
    <w:rsid w:val="00BC6AEB"/>
    <w:rsid w:val="00BC6E3B"/>
    <w:rsid w:val="00BC7350"/>
    <w:rsid w:val="00BC768B"/>
    <w:rsid w:val="00BC772A"/>
    <w:rsid w:val="00BC7829"/>
    <w:rsid w:val="00BC788D"/>
    <w:rsid w:val="00BC7BAB"/>
    <w:rsid w:val="00BD03BA"/>
    <w:rsid w:val="00BD088E"/>
    <w:rsid w:val="00BD0B76"/>
    <w:rsid w:val="00BD0FCE"/>
    <w:rsid w:val="00BD0FE9"/>
    <w:rsid w:val="00BD169B"/>
    <w:rsid w:val="00BD18A7"/>
    <w:rsid w:val="00BD1907"/>
    <w:rsid w:val="00BD209D"/>
    <w:rsid w:val="00BD2180"/>
    <w:rsid w:val="00BD23B8"/>
    <w:rsid w:val="00BD2400"/>
    <w:rsid w:val="00BD2493"/>
    <w:rsid w:val="00BD268B"/>
    <w:rsid w:val="00BD2695"/>
    <w:rsid w:val="00BD28D2"/>
    <w:rsid w:val="00BD2972"/>
    <w:rsid w:val="00BD2980"/>
    <w:rsid w:val="00BD2C18"/>
    <w:rsid w:val="00BD2CE5"/>
    <w:rsid w:val="00BD2E0F"/>
    <w:rsid w:val="00BD383D"/>
    <w:rsid w:val="00BD3D6C"/>
    <w:rsid w:val="00BD4183"/>
    <w:rsid w:val="00BD4556"/>
    <w:rsid w:val="00BD4710"/>
    <w:rsid w:val="00BD490C"/>
    <w:rsid w:val="00BD527B"/>
    <w:rsid w:val="00BD557F"/>
    <w:rsid w:val="00BD5627"/>
    <w:rsid w:val="00BD579A"/>
    <w:rsid w:val="00BD5C1E"/>
    <w:rsid w:val="00BD6143"/>
    <w:rsid w:val="00BD61C4"/>
    <w:rsid w:val="00BD621B"/>
    <w:rsid w:val="00BD62C3"/>
    <w:rsid w:val="00BD63DE"/>
    <w:rsid w:val="00BD6517"/>
    <w:rsid w:val="00BD677D"/>
    <w:rsid w:val="00BD6DA4"/>
    <w:rsid w:val="00BD762C"/>
    <w:rsid w:val="00BD7657"/>
    <w:rsid w:val="00BD766F"/>
    <w:rsid w:val="00BD7731"/>
    <w:rsid w:val="00BD7CA0"/>
    <w:rsid w:val="00BD7D03"/>
    <w:rsid w:val="00BD7D91"/>
    <w:rsid w:val="00BD7E9E"/>
    <w:rsid w:val="00BD7FB2"/>
    <w:rsid w:val="00BE0272"/>
    <w:rsid w:val="00BE0764"/>
    <w:rsid w:val="00BE0A0D"/>
    <w:rsid w:val="00BE0D14"/>
    <w:rsid w:val="00BE1215"/>
    <w:rsid w:val="00BE1855"/>
    <w:rsid w:val="00BE1AE5"/>
    <w:rsid w:val="00BE1EA8"/>
    <w:rsid w:val="00BE29EB"/>
    <w:rsid w:val="00BE2AD9"/>
    <w:rsid w:val="00BE2CFB"/>
    <w:rsid w:val="00BE34E3"/>
    <w:rsid w:val="00BE37CD"/>
    <w:rsid w:val="00BE3EA4"/>
    <w:rsid w:val="00BE41BD"/>
    <w:rsid w:val="00BE46BD"/>
    <w:rsid w:val="00BE4A44"/>
    <w:rsid w:val="00BE4E1D"/>
    <w:rsid w:val="00BE5392"/>
    <w:rsid w:val="00BE5542"/>
    <w:rsid w:val="00BE5754"/>
    <w:rsid w:val="00BE5C3F"/>
    <w:rsid w:val="00BE5FB1"/>
    <w:rsid w:val="00BE6206"/>
    <w:rsid w:val="00BE63A0"/>
    <w:rsid w:val="00BE6579"/>
    <w:rsid w:val="00BE6BFF"/>
    <w:rsid w:val="00BE6C2A"/>
    <w:rsid w:val="00BE6F7E"/>
    <w:rsid w:val="00BE7008"/>
    <w:rsid w:val="00BE7364"/>
    <w:rsid w:val="00BE7503"/>
    <w:rsid w:val="00BE7554"/>
    <w:rsid w:val="00BE7979"/>
    <w:rsid w:val="00BE7ED9"/>
    <w:rsid w:val="00BF08EE"/>
    <w:rsid w:val="00BF0BD8"/>
    <w:rsid w:val="00BF11D5"/>
    <w:rsid w:val="00BF1438"/>
    <w:rsid w:val="00BF158D"/>
    <w:rsid w:val="00BF1771"/>
    <w:rsid w:val="00BF18A6"/>
    <w:rsid w:val="00BF1986"/>
    <w:rsid w:val="00BF1BBE"/>
    <w:rsid w:val="00BF1CB1"/>
    <w:rsid w:val="00BF1D2B"/>
    <w:rsid w:val="00BF1DE9"/>
    <w:rsid w:val="00BF2002"/>
    <w:rsid w:val="00BF2354"/>
    <w:rsid w:val="00BF2556"/>
    <w:rsid w:val="00BF2D01"/>
    <w:rsid w:val="00BF2F0E"/>
    <w:rsid w:val="00BF2F5F"/>
    <w:rsid w:val="00BF3E3B"/>
    <w:rsid w:val="00BF4078"/>
    <w:rsid w:val="00BF479A"/>
    <w:rsid w:val="00BF4CA2"/>
    <w:rsid w:val="00BF4F01"/>
    <w:rsid w:val="00BF4F81"/>
    <w:rsid w:val="00BF51E0"/>
    <w:rsid w:val="00BF5368"/>
    <w:rsid w:val="00BF53BE"/>
    <w:rsid w:val="00BF55FF"/>
    <w:rsid w:val="00BF5677"/>
    <w:rsid w:val="00BF56CC"/>
    <w:rsid w:val="00BF5739"/>
    <w:rsid w:val="00BF594E"/>
    <w:rsid w:val="00BF59CD"/>
    <w:rsid w:val="00BF5A90"/>
    <w:rsid w:val="00BF5F3D"/>
    <w:rsid w:val="00BF63DC"/>
    <w:rsid w:val="00BF68E0"/>
    <w:rsid w:val="00BF6BB4"/>
    <w:rsid w:val="00BF6E99"/>
    <w:rsid w:val="00BF701B"/>
    <w:rsid w:val="00BF7326"/>
    <w:rsid w:val="00BF773D"/>
    <w:rsid w:val="00BF7792"/>
    <w:rsid w:val="00BF7A9B"/>
    <w:rsid w:val="00BF7BDB"/>
    <w:rsid w:val="00C0032D"/>
    <w:rsid w:val="00C00463"/>
    <w:rsid w:val="00C009AF"/>
    <w:rsid w:val="00C00A57"/>
    <w:rsid w:val="00C00B84"/>
    <w:rsid w:val="00C0144E"/>
    <w:rsid w:val="00C01548"/>
    <w:rsid w:val="00C016B7"/>
    <w:rsid w:val="00C019C9"/>
    <w:rsid w:val="00C01F5F"/>
    <w:rsid w:val="00C02065"/>
    <w:rsid w:val="00C02416"/>
    <w:rsid w:val="00C02585"/>
    <w:rsid w:val="00C028A0"/>
    <w:rsid w:val="00C0317B"/>
    <w:rsid w:val="00C031D2"/>
    <w:rsid w:val="00C0320C"/>
    <w:rsid w:val="00C032B6"/>
    <w:rsid w:val="00C03372"/>
    <w:rsid w:val="00C034E3"/>
    <w:rsid w:val="00C03878"/>
    <w:rsid w:val="00C03BA7"/>
    <w:rsid w:val="00C04069"/>
    <w:rsid w:val="00C04B8A"/>
    <w:rsid w:val="00C05430"/>
    <w:rsid w:val="00C0544B"/>
    <w:rsid w:val="00C05483"/>
    <w:rsid w:val="00C055E0"/>
    <w:rsid w:val="00C0563C"/>
    <w:rsid w:val="00C0581A"/>
    <w:rsid w:val="00C05FE2"/>
    <w:rsid w:val="00C062D4"/>
    <w:rsid w:val="00C06425"/>
    <w:rsid w:val="00C066EF"/>
    <w:rsid w:val="00C06A42"/>
    <w:rsid w:val="00C06C17"/>
    <w:rsid w:val="00C06CA1"/>
    <w:rsid w:val="00C06D59"/>
    <w:rsid w:val="00C0701B"/>
    <w:rsid w:val="00C073F4"/>
    <w:rsid w:val="00C078D5"/>
    <w:rsid w:val="00C07B22"/>
    <w:rsid w:val="00C10567"/>
    <w:rsid w:val="00C1079E"/>
    <w:rsid w:val="00C108C2"/>
    <w:rsid w:val="00C10FF1"/>
    <w:rsid w:val="00C11084"/>
    <w:rsid w:val="00C1127D"/>
    <w:rsid w:val="00C11BC4"/>
    <w:rsid w:val="00C11C28"/>
    <w:rsid w:val="00C11DC3"/>
    <w:rsid w:val="00C11ECD"/>
    <w:rsid w:val="00C121ED"/>
    <w:rsid w:val="00C122F7"/>
    <w:rsid w:val="00C12357"/>
    <w:rsid w:val="00C12901"/>
    <w:rsid w:val="00C12B69"/>
    <w:rsid w:val="00C12C26"/>
    <w:rsid w:val="00C133CF"/>
    <w:rsid w:val="00C1344F"/>
    <w:rsid w:val="00C13E94"/>
    <w:rsid w:val="00C14120"/>
    <w:rsid w:val="00C14306"/>
    <w:rsid w:val="00C14399"/>
    <w:rsid w:val="00C14547"/>
    <w:rsid w:val="00C148E6"/>
    <w:rsid w:val="00C14917"/>
    <w:rsid w:val="00C14BEC"/>
    <w:rsid w:val="00C14DA6"/>
    <w:rsid w:val="00C15BAA"/>
    <w:rsid w:val="00C15CF5"/>
    <w:rsid w:val="00C15DBF"/>
    <w:rsid w:val="00C15EB8"/>
    <w:rsid w:val="00C16311"/>
    <w:rsid w:val="00C163AE"/>
    <w:rsid w:val="00C163CB"/>
    <w:rsid w:val="00C16433"/>
    <w:rsid w:val="00C1644D"/>
    <w:rsid w:val="00C167AF"/>
    <w:rsid w:val="00C168EB"/>
    <w:rsid w:val="00C169A3"/>
    <w:rsid w:val="00C16E9B"/>
    <w:rsid w:val="00C17131"/>
    <w:rsid w:val="00C176B4"/>
    <w:rsid w:val="00C17AB4"/>
    <w:rsid w:val="00C17CAB"/>
    <w:rsid w:val="00C17DFF"/>
    <w:rsid w:val="00C17F53"/>
    <w:rsid w:val="00C20E78"/>
    <w:rsid w:val="00C20EDE"/>
    <w:rsid w:val="00C214A0"/>
    <w:rsid w:val="00C21988"/>
    <w:rsid w:val="00C21DCE"/>
    <w:rsid w:val="00C21E26"/>
    <w:rsid w:val="00C21F99"/>
    <w:rsid w:val="00C2227E"/>
    <w:rsid w:val="00C226FA"/>
    <w:rsid w:val="00C22817"/>
    <w:rsid w:val="00C22DF9"/>
    <w:rsid w:val="00C22FEB"/>
    <w:rsid w:val="00C234C2"/>
    <w:rsid w:val="00C2358F"/>
    <w:rsid w:val="00C237B9"/>
    <w:rsid w:val="00C23C15"/>
    <w:rsid w:val="00C24338"/>
    <w:rsid w:val="00C24D54"/>
    <w:rsid w:val="00C24E80"/>
    <w:rsid w:val="00C2546A"/>
    <w:rsid w:val="00C25A29"/>
    <w:rsid w:val="00C263FD"/>
    <w:rsid w:val="00C26B8B"/>
    <w:rsid w:val="00C26B92"/>
    <w:rsid w:val="00C26CC1"/>
    <w:rsid w:val="00C26D1C"/>
    <w:rsid w:val="00C26F26"/>
    <w:rsid w:val="00C26F5E"/>
    <w:rsid w:val="00C2701D"/>
    <w:rsid w:val="00C2703C"/>
    <w:rsid w:val="00C27118"/>
    <w:rsid w:val="00C2713C"/>
    <w:rsid w:val="00C2735D"/>
    <w:rsid w:val="00C27460"/>
    <w:rsid w:val="00C27610"/>
    <w:rsid w:val="00C278B6"/>
    <w:rsid w:val="00C27A9F"/>
    <w:rsid w:val="00C27C90"/>
    <w:rsid w:val="00C27C99"/>
    <w:rsid w:val="00C27D5B"/>
    <w:rsid w:val="00C27E0E"/>
    <w:rsid w:val="00C27E47"/>
    <w:rsid w:val="00C302D1"/>
    <w:rsid w:val="00C305BF"/>
    <w:rsid w:val="00C3063E"/>
    <w:rsid w:val="00C30B33"/>
    <w:rsid w:val="00C30BAB"/>
    <w:rsid w:val="00C30E79"/>
    <w:rsid w:val="00C3106A"/>
    <w:rsid w:val="00C31077"/>
    <w:rsid w:val="00C311C6"/>
    <w:rsid w:val="00C31224"/>
    <w:rsid w:val="00C3165F"/>
    <w:rsid w:val="00C31947"/>
    <w:rsid w:val="00C31A25"/>
    <w:rsid w:val="00C31AED"/>
    <w:rsid w:val="00C31C37"/>
    <w:rsid w:val="00C31C40"/>
    <w:rsid w:val="00C31F4E"/>
    <w:rsid w:val="00C31F96"/>
    <w:rsid w:val="00C32332"/>
    <w:rsid w:val="00C32C69"/>
    <w:rsid w:val="00C32D48"/>
    <w:rsid w:val="00C32DBB"/>
    <w:rsid w:val="00C32E74"/>
    <w:rsid w:val="00C33086"/>
    <w:rsid w:val="00C33175"/>
    <w:rsid w:val="00C332D7"/>
    <w:rsid w:val="00C33405"/>
    <w:rsid w:val="00C33557"/>
    <w:rsid w:val="00C336E1"/>
    <w:rsid w:val="00C337DF"/>
    <w:rsid w:val="00C3384D"/>
    <w:rsid w:val="00C33D23"/>
    <w:rsid w:val="00C33FFA"/>
    <w:rsid w:val="00C3416E"/>
    <w:rsid w:val="00C34294"/>
    <w:rsid w:val="00C3462F"/>
    <w:rsid w:val="00C347C2"/>
    <w:rsid w:val="00C34C86"/>
    <w:rsid w:val="00C351C0"/>
    <w:rsid w:val="00C35BC6"/>
    <w:rsid w:val="00C35C53"/>
    <w:rsid w:val="00C35D41"/>
    <w:rsid w:val="00C36471"/>
    <w:rsid w:val="00C367B3"/>
    <w:rsid w:val="00C36807"/>
    <w:rsid w:val="00C36B2A"/>
    <w:rsid w:val="00C36C95"/>
    <w:rsid w:val="00C36FED"/>
    <w:rsid w:val="00C37267"/>
    <w:rsid w:val="00C37AB4"/>
    <w:rsid w:val="00C4017A"/>
    <w:rsid w:val="00C40CF8"/>
    <w:rsid w:val="00C41204"/>
    <w:rsid w:val="00C41370"/>
    <w:rsid w:val="00C41557"/>
    <w:rsid w:val="00C41693"/>
    <w:rsid w:val="00C419B0"/>
    <w:rsid w:val="00C41BDE"/>
    <w:rsid w:val="00C41E8C"/>
    <w:rsid w:val="00C41F5E"/>
    <w:rsid w:val="00C4222E"/>
    <w:rsid w:val="00C42360"/>
    <w:rsid w:val="00C423C7"/>
    <w:rsid w:val="00C4279E"/>
    <w:rsid w:val="00C4289B"/>
    <w:rsid w:val="00C42A14"/>
    <w:rsid w:val="00C42E37"/>
    <w:rsid w:val="00C4317E"/>
    <w:rsid w:val="00C43422"/>
    <w:rsid w:val="00C4376C"/>
    <w:rsid w:val="00C43778"/>
    <w:rsid w:val="00C43B00"/>
    <w:rsid w:val="00C43F30"/>
    <w:rsid w:val="00C43F9B"/>
    <w:rsid w:val="00C440C3"/>
    <w:rsid w:val="00C44247"/>
    <w:rsid w:val="00C44555"/>
    <w:rsid w:val="00C451C8"/>
    <w:rsid w:val="00C45237"/>
    <w:rsid w:val="00C453DB"/>
    <w:rsid w:val="00C46061"/>
    <w:rsid w:val="00C461CF"/>
    <w:rsid w:val="00C46C46"/>
    <w:rsid w:val="00C4717E"/>
    <w:rsid w:val="00C47304"/>
    <w:rsid w:val="00C473F0"/>
    <w:rsid w:val="00C474DC"/>
    <w:rsid w:val="00C47672"/>
    <w:rsid w:val="00C47A91"/>
    <w:rsid w:val="00C47A9E"/>
    <w:rsid w:val="00C47E72"/>
    <w:rsid w:val="00C50621"/>
    <w:rsid w:val="00C5096E"/>
    <w:rsid w:val="00C50C2A"/>
    <w:rsid w:val="00C50D17"/>
    <w:rsid w:val="00C50D22"/>
    <w:rsid w:val="00C50D63"/>
    <w:rsid w:val="00C51262"/>
    <w:rsid w:val="00C51685"/>
    <w:rsid w:val="00C516B9"/>
    <w:rsid w:val="00C51951"/>
    <w:rsid w:val="00C52019"/>
    <w:rsid w:val="00C5205D"/>
    <w:rsid w:val="00C52486"/>
    <w:rsid w:val="00C52540"/>
    <w:rsid w:val="00C52725"/>
    <w:rsid w:val="00C53064"/>
    <w:rsid w:val="00C534EF"/>
    <w:rsid w:val="00C534F0"/>
    <w:rsid w:val="00C537E2"/>
    <w:rsid w:val="00C542ED"/>
    <w:rsid w:val="00C54771"/>
    <w:rsid w:val="00C54850"/>
    <w:rsid w:val="00C54CAB"/>
    <w:rsid w:val="00C550D6"/>
    <w:rsid w:val="00C5516C"/>
    <w:rsid w:val="00C55368"/>
    <w:rsid w:val="00C55998"/>
    <w:rsid w:val="00C55AE4"/>
    <w:rsid w:val="00C55FAD"/>
    <w:rsid w:val="00C565E6"/>
    <w:rsid w:val="00C567A2"/>
    <w:rsid w:val="00C567B7"/>
    <w:rsid w:val="00C56B58"/>
    <w:rsid w:val="00C56C71"/>
    <w:rsid w:val="00C56F42"/>
    <w:rsid w:val="00C57524"/>
    <w:rsid w:val="00C575B1"/>
    <w:rsid w:val="00C576DA"/>
    <w:rsid w:val="00C5786F"/>
    <w:rsid w:val="00C57A96"/>
    <w:rsid w:val="00C57B87"/>
    <w:rsid w:val="00C57CEB"/>
    <w:rsid w:val="00C57D0B"/>
    <w:rsid w:val="00C57F75"/>
    <w:rsid w:val="00C57F91"/>
    <w:rsid w:val="00C6004F"/>
    <w:rsid w:val="00C602E7"/>
    <w:rsid w:val="00C6043A"/>
    <w:rsid w:val="00C60446"/>
    <w:rsid w:val="00C606E6"/>
    <w:rsid w:val="00C60A0B"/>
    <w:rsid w:val="00C60E00"/>
    <w:rsid w:val="00C61556"/>
    <w:rsid w:val="00C617BE"/>
    <w:rsid w:val="00C628D1"/>
    <w:rsid w:val="00C629FE"/>
    <w:rsid w:val="00C62B21"/>
    <w:rsid w:val="00C62BC6"/>
    <w:rsid w:val="00C62F59"/>
    <w:rsid w:val="00C6345F"/>
    <w:rsid w:val="00C63740"/>
    <w:rsid w:val="00C63B43"/>
    <w:rsid w:val="00C6444A"/>
    <w:rsid w:val="00C644F1"/>
    <w:rsid w:val="00C64DFD"/>
    <w:rsid w:val="00C652EE"/>
    <w:rsid w:val="00C65466"/>
    <w:rsid w:val="00C65517"/>
    <w:rsid w:val="00C65A3A"/>
    <w:rsid w:val="00C65CF2"/>
    <w:rsid w:val="00C65ED9"/>
    <w:rsid w:val="00C6619F"/>
    <w:rsid w:val="00C663E3"/>
    <w:rsid w:val="00C664E7"/>
    <w:rsid w:val="00C668BD"/>
    <w:rsid w:val="00C66B33"/>
    <w:rsid w:val="00C66BA4"/>
    <w:rsid w:val="00C66EA1"/>
    <w:rsid w:val="00C67027"/>
    <w:rsid w:val="00C67260"/>
    <w:rsid w:val="00C70004"/>
    <w:rsid w:val="00C70574"/>
    <w:rsid w:val="00C70CA3"/>
    <w:rsid w:val="00C70DEA"/>
    <w:rsid w:val="00C71171"/>
    <w:rsid w:val="00C711C8"/>
    <w:rsid w:val="00C71664"/>
    <w:rsid w:val="00C716BB"/>
    <w:rsid w:val="00C71C7C"/>
    <w:rsid w:val="00C72020"/>
    <w:rsid w:val="00C72062"/>
    <w:rsid w:val="00C7228E"/>
    <w:rsid w:val="00C723F1"/>
    <w:rsid w:val="00C7241D"/>
    <w:rsid w:val="00C726B6"/>
    <w:rsid w:val="00C72820"/>
    <w:rsid w:val="00C72C8F"/>
    <w:rsid w:val="00C72CA8"/>
    <w:rsid w:val="00C73D1F"/>
    <w:rsid w:val="00C73D27"/>
    <w:rsid w:val="00C73EE3"/>
    <w:rsid w:val="00C73EF1"/>
    <w:rsid w:val="00C747EF"/>
    <w:rsid w:val="00C749B3"/>
    <w:rsid w:val="00C75BF8"/>
    <w:rsid w:val="00C75E03"/>
    <w:rsid w:val="00C75EDF"/>
    <w:rsid w:val="00C75F87"/>
    <w:rsid w:val="00C76004"/>
    <w:rsid w:val="00C76145"/>
    <w:rsid w:val="00C76356"/>
    <w:rsid w:val="00C7654F"/>
    <w:rsid w:val="00C76734"/>
    <w:rsid w:val="00C76A63"/>
    <w:rsid w:val="00C76BC0"/>
    <w:rsid w:val="00C77503"/>
    <w:rsid w:val="00C7790A"/>
    <w:rsid w:val="00C77BA6"/>
    <w:rsid w:val="00C77BE5"/>
    <w:rsid w:val="00C77C01"/>
    <w:rsid w:val="00C77E4C"/>
    <w:rsid w:val="00C80072"/>
    <w:rsid w:val="00C801C3"/>
    <w:rsid w:val="00C802B3"/>
    <w:rsid w:val="00C81106"/>
    <w:rsid w:val="00C81180"/>
    <w:rsid w:val="00C816F1"/>
    <w:rsid w:val="00C81AC1"/>
    <w:rsid w:val="00C822AD"/>
    <w:rsid w:val="00C82306"/>
    <w:rsid w:val="00C826C2"/>
    <w:rsid w:val="00C826EE"/>
    <w:rsid w:val="00C82BC3"/>
    <w:rsid w:val="00C82DCA"/>
    <w:rsid w:val="00C82E03"/>
    <w:rsid w:val="00C82F60"/>
    <w:rsid w:val="00C831DF"/>
    <w:rsid w:val="00C8370D"/>
    <w:rsid w:val="00C83861"/>
    <w:rsid w:val="00C83A0F"/>
    <w:rsid w:val="00C83D3B"/>
    <w:rsid w:val="00C8423D"/>
    <w:rsid w:val="00C8447F"/>
    <w:rsid w:val="00C8496E"/>
    <w:rsid w:val="00C84AC5"/>
    <w:rsid w:val="00C8512A"/>
    <w:rsid w:val="00C85490"/>
    <w:rsid w:val="00C8580A"/>
    <w:rsid w:val="00C859BA"/>
    <w:rsid w:val="00C859FC"/>
    <w:rsid w:val="00C85C22"/>
    <w:rsid w:val="00C86003"/>
    <w:rsid w:val="00C86030"/>
    <w:rsid w:val="00C860FF"/>
    <w:rsid w:val="00C86BC2"/>
    <w:rsid w:val="00C86C62"/>
    <w:rsid w:val="00C86ED7"/>
    <w:rsid w:val="00C8747B"/>
    <w:rsid w:val="00C875D2"/>
    <w:rsid w:val="00C878BA"/>
    <w:rsid w:val="00C9001D"/>
    <w:rsid w:val="00C90103"/>
    <w:rsid w:val="00C9022C"/>
    <w:rsid w:val="00C90322"/>
    <w:rsid w:val="00C90C7C"/>
    <w:rsid w:val="00C91552"/>
    <w:rsid w:val="00C91734"/>
    <w:rsid w:val="00C9235E"/>
    <w:rsid w:val="00C92385"/>
    <w:rsid w:val="00C923B8"/>
    <w:rsid w:val="00C92578"/>
    <w:rsid w:val="00C925FB"/>
    <w:rsid w:val="00C927F5"/>
    <w:rsid w:val="00C92CC6"/>
    <w:rsid w:val="00C93AE0"/>
    <w:rsid w:val="00C94152"/>
    <w:rsid w:val="00C9451D"/>
    <w:rsid w:val="00C9457E"/>
    <w:rsid w:val="00C947F1"/>
    <w:rsid w:val="00C948D6"/>
    <w:rsid w:val="00C949D7"/>
    <w:rsid w:val="00C94BFF"/>
    <w:rsid w:val="00C94DB0"/>
    <w:rsid w:val="00C94EFE"/>
    <w:rsid w:val="00C94F1A"/>
    <w:rsid w:val="00C9568B"/>
    <w:rsid w:val="00C95889"/>
    <w:rsid w:val="00C95CC2"/>
    <w:rsid w:val="00C95E0F"/>
    <w:rsid w:val="00C95EC0"/>
    <w:rsid w:val="00C96061"/>
    <w:rsid w:val="00C9638C"/>
    <w:rsid w:val="00C969C6"/>
    <w:rsid w:val="00C96C40"/>
    <w:rsid w:val="00C96DB7"/>
    <w:rsid w:val="00C96F25"/>
    <w:rsid w:val="00C973DF"/>
    <w:rsid w:val="00C97C4B"/>
    <w:rsid w:val="00C97DB0"/>
    <w:rsid w:val="00C97F38"/>
    <w:rsid w:val="00C97FAD"/>
    <w:rsid w:val="00C97FB7"/>
    <w:rsid w:val="00CA0538"/>
    <w:rsid w:val="00CA096B"/>
    <w:rsid w:val="00CA1223"/>
    <w:rsid w:val="00CA1232"/>
    <w:rsid w:val="00CA18A1"/>
    <w:rsid w:val="00CA1B2A"/>
    <w:rsid w:val="00CA1C43"/>
    <w:rsid w:val="00CA1C8C"/>
    <w:rsid w:val="00CA211D"/>
    <w:rsid w:val="00CA22DE"/>
    <w:rsid w:val="00CA22F5"/>
    <w:rsid w:val="00CA259B"/>
    <w:rsid w:val="00CA26DE"/>
    <w:rsid w:val="00CA31D3"/>
    <w:rsid w:val="00CA332E"/>
    <w:rsid w:val="00CA345A"/>
    <w:rsid w:val="00CA34BD"/>
    <w:rsid w:val="00CA38FF"/>
    <w:rsid w:val="00CA390C"/>
    <w:rsid w:val="00CA393D"/>
    <w:rsid w:val="00CA3B22"/>
    <w:rsid w:val="00CA3D16"/>
    <w:rsid w:val="00CA3DA7"/>
    <w:rsid w:val="00CA47D3"/>
    <w:rsid w:val="00CA4E24"/>
    <w:rsid w:val="00CA50C9"/>
    <w:rsid w:val="00CA56C1"/>
    <w:rsid w:val="00CA588B"/>
    <w:rsid w:val="00CA60EC"/>
    <w:rsid w:val="00CA64D4"/>
    <w:rsid w:val="00CA66DB"/>
    <w:rsid w:val="00CA6762"/>
    <w:rsid w:val="00CA6F13"/>
    <w:rsid w:val="00CA72C6"/>
    <w:rsid w:val="00CA7608"/>
    <w:rsid w:val="00CB0363"/>
    <w:rsid w:val="00CB0665"/>
    <w:rsid w:val="00CB06CB"/>
    <w:rsid w:val="00CB08B0"/>
    <w:rsid w:val="00CB0CE9"/>
    <w:rsid w:val="00CB0E0F"/>
    <w:rsid w:val="00CB0E70"/>
    <w:rsid w:val="00CB1025"/>
    <w:rsid w:val="00CB105F"/>
    <w:rsid w:val="00CB1F62"/>
    <w:rsid w:val="00CB20AD"/>
    <w:rsid w:val="00CB21A0"/>
    <w:rsid w:val="00CB234E"/>
    <w:rsid w:val="00CB23C5"/>
    <w:rsid w:val="00CB23E4"/>
    <w:rsid w:val="00CB2964"/>
    <w:rsid w:val="00CB2BAB"/>
    <w:rsid w:val="00CB2FC2"/>
    <w:rsid w:val="00CB325B"/>
    <w:rsid w:val="00CB3286"/>
    <w:rsid w:val="00CB3702"/>
    <w:rsid w:val="00CB3941"/>
    <w:rsid w:val="00CB3996"/>
    <w:rsid w:val="00CB3D51"/>
    <w:rsid w:val="00CB3DC2"/>
    <w:rsid w:val="00CB3F2E"/>
    <w:rsid w:val="00CB40E6"/>
    <w:rsid w:val="00CB4263"/>
    <w:rsid w:val="00CB428C"/>
    <w:rsid w:val="00CB4F35"/>
    <w:rsid w:val="00CB53AF"/>
    <w:rsid w:val="00CB5731"/>
    <w:rsid w:val="00CB5803"/>
    <w:rsid w:val="00CB5C5E"/>
    <w:rsid w:val="00CB63DB"/>
    <w:rsid w:val="00CB63E0"/>
    <w:rsid w:val="00CB667E"/>
    <w:rsid w:val="00CB6AE7"/>
    <w:rsid w:val="00CB6E44"/>
    <w:rsid w:val="00CB71DF"/>
    <w:rsid w:val="00CB78CD"/>
    <w:rsid w:val="00CC00BB"/>
    <w:rsid w:val="00CC0C43"/>
    <w:rsid w:val="00CC125A"/>
    <w:rsid w:val="00CC128F"/>
    <w:rsid w:val="00CC148B"/>
    <w:rsid w:val="00CC14A5"/>
    <w:rsid w:val="00CC18DC"/>
    <w:rsid w:val="00CC1991"/>
    <w:rsid w:val="00CC1C4D"/>
    <w:rsid w:val="00CC1FB5"/>
    <w:rsid w:val="00CC2576"/>
    <w:rsid w:val="00CC3561"/>
    <w:rsid w:val="00CC3A23"/>
    <w:rsid w:val="00CC3AF9"/>
    <w:rsid w:val="00CC3B76"/>
    <w:rsid w:val="00CC3B9A"/>
    <w:rsid w:val="00CC48BD"/>
    <w:rsid w:val="00CC48FC"/>
    <w:rsid w:val="00CC4AFC"/>
    <w:rsid w:val="00CC4F94"/>
    <w:rsid w:val="00CC540A"/>
    <w:rsid w:val="00CC5EDE"/>
    <w:rsid w:val="00CC609D"/>
    <w:rsid w:val="00CC60B2"/>
    <w:rsid w:val="00CC61D8"/>
    <w:rsid w:val="00CC65C8"/>
    <w:rsid w:val="00CC6995"/>
    <w:rsid w:val="00CC6A4C"/>
    <w:rsid w:val="00CC72E5"/>
    <w:rsid w:val="00CC7559"/>
    <w:rsid w:val="00CC79D0"/>
    <w:rsid w:val="00CD0238"/>
    <w:rsid w:val="00CD0866"/>
    <w:rsid w:val="00CD09D2"/>
    <w:rsid w:val="00CD0A2E"/>
    <w:rsid w:val="00CD1128"/>
    <w:rsid w:val="00CD13C6"/>
    <w:rsid w:val="00CD1408"/>
    <w:rsid w:val="00CD177C"/>
    <w:rsid w:val="00CD17F5"/>
    <w:rsid w:val="00CD18CC"/>
    <w:rsid w:val="00CD1E15"/>
    <w:rsid w:val="00CD2183"/>
    <w:rsid w:val="00CD246B"/>
    <w:rsid w:val="00CD2703"/>
    <w:rsid w:val="00CD2A44"/>
    <w:rsid w:val="00CD2C52"/>
    <w:rsid w:val="00CD2C81"/>
    <w:rsid w:val="00CD2DC8"/>
    <w:rsid w:val="00CD3389"/>
    <w:rsid w:val="00CD33E1"/>
    <w:rsid w:val="00CD3A68"/>
    <w:rsid w:val="00CD3D74"/>
    <w:rsid w:val="00CD3DBF"/>
    <w:rsid w:val="00CD3E93"/>
    <w:rsid w:val="00CD4C92"/>
    <w:rsid w:val="00CD4CCD"/>
    <w:rsid w:val="00CD5355"/>
    <w:rsid w:val="00CD5365"/>
    <w:rsid w:val="00CD5784"/>
    <w:rsid w:val="00CD5853"/>
    <w:rsid w:val="00CD5C79"/>
    <w:rsid w:val="00CD62D5"/>
    <w:rsid w:val="00CD6427"/>
    <w:rsid w:val="00CD648F"/>
    <w:rsid w:val="00CD69D0"/>
    <w:rsid w:val="00CD6D15"/>
    <w:rsid w:val="00CD6D37"/>
    <w:rsid w:val="00CD6E28"/>
    <w:rsid w:val="00CD6FD8"/>
    <w:rsid w:val="00CD736B"/>
    <w:rsid w:val="00CD7704"/>
    <w:rsid w:val="00CD7CB3"/>
    <w:rsid w:val="00CD7D27"/>
    <w:rsid w:val="00CD7F68"/>
    <w:rsid w:val="00CE00AE"/>
    <w:rsid w:val="00CE02C8"/>
    <w:rsid w:val="00CE0404"/>
    <w:rsid w:val="00CE0608"/>
    <w:rsid w:val="00CE09D1"/>
    <w:rsid w:val="00CE0E5C"/>
    <w:rsid w:val="00CE100F"/>
    <w:rsid w:val="00CE10FA"/>
    <w:rsid w:val="00CE1374"/>
    <w:rsid w:val="00CE18B9"/>
    <w:rsid w:val="00CE1966"/>
    <w:rsid w:val="00CE1A28"/>
    <w:rsid w:val="00CE2117"/>
    <w:rsid w:val="00CE21EC"/>
    <w:rsid w:val="00CE2278"/>
    <w:rsid w:val="00CE2490"/>
    <w:rsid w:val="00CE2502"/>
    <w:rsid w:val="00CE25A4"/>
    <w:rsid w:val="00CE25FD"/>
    <w:rsid w:val="00CE294D"/>
    <w:rsid w:val="00CE2FA4"/>
    <w:rsid w:val="00CE3250"/>
    <w:rsid w:val="00CE3867"/>
    <w:rsid w:val="00CE3D58"/>
    <w:rsid w:val="00CE3F54"/>
    <w:rsid w:val="00CE3F98"/>
    <w:rsid w:val="00CE4199"/>
    <w:rsid w:val="00CE4777"/>
    <w:rsid w:val="00CE491B"/>
    <w:rsid w:val="00CE5401"/>
    <w:rsid w:val="00CE573A"/>
    <w:rsid w:val="00CE58E4"/>
    <w:rsid w:val="00CE5929"/>
    <w:rsid w:val="00CE5C37"/>
    <w:rsid w:val="00CE5D1A"/>
    <w:rsid w:val="00CE5D8B"/>
    <w:rsid w:val="00CE5DAE"/>
    <w:rsid w:val="00CE6457"/>
    <w:rsid w:val="00CE64E4"/>
    <w:rsid w:val="00CE67D6"/>
    <w:rsid w:val="00CE6E1B"/>
    <w:rsid w:val="00CE6FB2"/>
    <w:rsid w:val="00CE7092"/>
    <w:rsid w:val="00CE73C2"/>
    <w:rsid w:val="00CE744F"/>
    <w:rsid w:val="00CE74DB"/>
    <w:rsid w:val="00CE7807"/>
    <w:rsid w:val="00CE78CA"/>
    <w:rsid w:val="00CE7B50"/>
    <w:rsid w:val="00CE7DC8"/>
    <w:rsid w:val="00CE7FD9"/>
    <w:rsid w:val="00CF03DC"/>
    <w:rsid w:val="00CF06BA"/>
    <w:rsid w:val="00CF103C"/>
    <w:rsid w:val="00CF111E"/>
    <w:rsid w:val="00CF1251"/>
    <w:rsid w:val="00CF14DF"/>
    <w:rsid w:val="00CF16EF"/>
    <w:rsid w:val="00CF1B78"/>
    <w:rsid w:val="00CF1F3E"/>
    <w:rsid w:val="00CF1F6B"/>
    <w:rsid w:val="00CF2247"/>
    <w:rsid w:val="00CF2A64"/>
    <w:rsid w:val="00CF2D79"/>
    <w:rsid w:val="00CF2DC1"/>
    <w:rsid w:val="00CF31C1"/>
    <w:rsid w:val="00CF32DC"/>
    <w:rsid w:val="00CF335C"/>
    <w:rsid w:val="00CF346E"/>
    <w:rsid w:val="00CF3475"/>
    <w:rsid w:val="00CF38F9"/>
    <w:rsid w:val="00CF3C72"/>
    <w:rsid w:val="00CF3F19"/>
    <w:rsid w:val="00CF40B2"/>
    <w:rsid w:val="00CF42B8"/>
    <w:rsid w:val="00CF42C3"/>
    <w:rsid w:val="00CF4B04"/>
    <w:rsid w:val="00CF4B56"/>
    <w:rsid w:val="00CF508A"/>
    <w:rsid w:val="00CF52C7"/>
    <w:rsid w:val="00CF52FC"/>
    <w:rsid w:val="00CF55DA"/>
    <w:rsid w:val="00CF58C9"/>
    <w:rsid w:val="00CF5932"/>
    <w:rsid w:val="00CF62E3"/>
    <w:rsid w:val="00CF6756"/>
    <w:rsid w:val="00CF6903"/>
    <w:rsid w:val="00CF6E2E"/>
    <w:rsid w:val="00CF7312"/>
    <w:rsid w:val="00CF7655"/>
    <w:rsid w:val="00D002A3"/>
    <w:rsid w:val="00D003CF"/>
    <w:rsid w:val="00D00CD7"/>
    <w:rsid w:val="00D00D86"/>
    <w:rsid w:val="00D0100B"/>
    <w:rsid w:val="00D01264"/>
    <w:rsid w:val="00D0175F"/>
    <w:rsid w:val="00D0180A"/>
    <w:rsid w:val="00D01C1B"/>
    <w:rsid w:val="00D01D45"/>
    <w:rsid w:val="00D02275"/>
    <w:rsid w:val="00D02ACD"/>
    <w:rsid w:val="00D02C7F"/>
    <w:rsid w:val="00D02F55"/>
    <w:rsid w:val="00D038C2"/>
    <w:rsid w:val="00D0497D"/>
    <w:rsid w:val="00D04D5E"/>
    <w:rsid w:val="00D04E71"/>
    <w:rsid w:val="00D05753"/>
    <w:rsid w:val="00D05A20"/>
    <w:rsid w:val="00D05AAE"/>
    <w:rsid w:val="00D068A7"/>
    <w:rsid w:val="00D0698B"/>
    <w:rsid w:val="00D069C9"/>
    <w:rsid w:val="00D06A4C"/>
    <w:rsid w:val="00D06C78"/>
    <w:rsid w:val="00D06CA6"/>
    <w:rsid w:val="00D06F47"/>
    <w:rsid w:val="00D07440"/>
    <w:rsid w:val="00D07CC7"/>
    <w:rsid w:val="00D07D71"/>
    <w:rsid w:val="00D102AE"/>
    <w:rsid w:val="00D1043D"/>
    <w:rsid w:val="00D10AE9"/>
    <w:rsid w:val="00D10C26"/>
    <w:rsid w:val="00D1119D"/>
    <w:rsid w:val="00D1155C"/>
    <w:rsid w:val="00D11594"/>
    <w:rsid w:val="00D11983"/>
    <w:rsid w:val="00D11AFB"/>
    <w:rsid w:val="00D11DF4"/>
    <w:rsid w:val="00D11EEE"/>
    <w:rsid w:val="00D1217E"/>
    <w:rsid w:val="00D12A33"/>
    <w:rsid w:val="00D12EE5"/>
    <w:rsid w:val="00D12F3D"/>
    <w:rsid w:val="00D13044"/>
    <w:rsid w:val="00D13169"/>
    <w:rsid w:val="00D13258"/>
    <w:rsid w:val="00D132DF"/>
    <w:rsid w:val="00D13AB2"/>
    <w:rsid w:val="00D13C6E"/>
    <w:rsid w:val="00D13DF4"/>
    <w:rsid w:val="00D140C6"/>
    <w:rsid w:val="00D141BC"/>
    <w:rsid w:val="00D1440D"/>
    <w:rsid w:val="00D14511"/>
    <w:rsid w:val="00D14538"/>
    <w:rsid w:val="00D147E2"/>
    <w:rsid w:val="00D14D42"/>
    <w:rsid w:val="00D14DA5"/>
    <w:rsid w:val="00D150B1"/>
    <w:rsid w:val="00D158D5"/>
    <w:rsid w:val="00D1595F"/>
    <w:rsid w:val="00D15A14"/>
    <w:rsid w:val="00D15BCB"/>
    <w:rsid w:val="00D15CBE"/>
    <w:rsid w:val="00D15E36"/>
    <w:rsid w:val="00D15F70"/>
    <w:rsid w:val="00D16643"/>
    <w:rsid w:val="00D171C9"/>
    <w:rsid w:val="00D17742"/>
    <w:rsid w:val="00D178B7"/>
    <w:rsid w:val="00D17F4E"/>
    <w:rsid w:val="00D201B7"/>
    <w:rsid w:val="00D208D4"/>
    <w:rsid w:val="00D2096C"/>
    <w:rsid w:val="00D20B8E"/>
    <w:rsid w:val="00D20C73"/>
    <w:rsid w:val="00D20E16"/>
    <w:rsid w:val="00D2148E"/>
    <w:rsid w:val="00D21CD6"/>
    <w:rsid w:val="00D21D6E"/>
    <w:rsid w:val="00D21F10"/>
    <w:rsid w:val="00D228EE"/>
    <w:rsid w:val="00D22A24"/>
    <w:rsid w:val="00D22F0F"/>
    <w:rsid w:val="00D2306B"/>
    <w:rsid w:val="00D230C1"/>
    <w:rsid w:val="00D23C97"/>
    <w:rsid w:val="00D24082"/>
    <w:rsid w:val="00D2413E"/>
    <w:rsid w:val="00D24568"/>
    <w:rsid w:val="00D24B71"/>
    <w:rsid w:val="00D24C29"/>
    <w:rsid w:val="00D24DE7"/>
    <w:rsid w:val="00D24F67"/>
    <w:rsid w:val="00D25653"/>
    <w:rsid w:val="00D260AF"/>
    <w:rsid w:val="00D26181"/>
    <w:rsid w:val="00D26962"/>
    <w:rsid w:val="00D26A13"/>
    <w:rsid w:val="00D27218"/>
    <w:rsid w:val="00D2729C"/>
    <w:rsid w:val="00D275E5"/>
    <w:rsid w:val="00D275EF"/>
    <w:rsid w:val="00D27888"/>
    <w:rsid w:val="00D27A7F"/>
    <w:rsid w:val="00D27E1A"/>
    <w:rsid w:val="00D27FA9"/>
    <w:rsid w:val="00D30229"/>
    <w:rsid w:val="00D303E6"/>
    <w:rsid w:val="00D305BC"/>
    <w:rsid w:val="00D3083E"/>
    <w:rsid w:val="00D30AAC"/>
    <w:rsid w:val="00D30AF0"/>
    <w:rsid w:val="00D30CAC"/>
    <w:rsid w:val="00D30ED3"/>
    <w:rsid w:val="00D310E0"/>
    <w:rsid w:val="00D31606"/>
    <w:rsid w:val="00D31684"/>
    <w:rsid w:val="00D31CA7"/>
    <w:rsid w:val="00D322C8"/>
    <w:rsid w:val="00D32585"/>
    <w:rsid w:val="00D328C5"/>
    <w:rsid w:val="00D3293D"/>
    <w:rsid w:val="00D32D9A"/>
    <w:rsid w:val="00D32E91"/>
    <w:rsid w:val="00D33346"/>
    <w:rsid w:val="00D33E7D"/>
    <w:rsid w:val="00D34073"/>
    <w:rsid w:val="00D342A2"/>
    <w:rsid w:val="00D34506"/>
    <w:rsid w:val="00D34A46"/>
    <w:rsid w:val="00D34B50"/>
    <w:rsid w:val="00D34BB3"/>
    <w:rsid w:val="00D34CCB"/>
    <w:rsid w:val="00D35326"/>
    <w:rsid w:val="00D3558A"/>
    <w:rsid w:val="00D359F2"/>
    <w:rsid w:val="00D35B63"/>
    <w:rsid w:val="00D35EC4"/>
    <w:rsid w:val="00D36373"/>
    <w:rsid w:val="00D36423"/>
    <w:rsid w:val="00D3687C"/>
    <w:rsid w:val="00D36A50"/>
    <w:rsid w:val="00D36DF8"/>
    <w:rsid w:val="00D371B2"/>
    <w:rsid w:val="00D37258"/>
    <w:rsid w:val="00D374E9"/>
    <w:rsid w:val="00D37A6C"/>
    <w:rsid w:val="00D37C80"/>
    <w:rsid w:val="00D400CA"/>
    <w:rsid w:val="00D4028C"/>
    <w:rsid w:val="00D40383"/>
    <w:rsid w:val="00D40789"/>
    <w:rsid w:val="00D407A0"/>
    <w:rsid w:val="00D40BA9"/>
    <w:rsid w:val="00D40CC0"/>
    <w:rsid w:val="00D4121D"/>
    <w:rsid w:val="00D41526"/>
    <w:rsid w:val="00D416AB"/>
    <w:rsid w:val="00D41A3B"/>
    <w:rsid w:val="00D41BF8"/>
    <w:rsid w:val="00D41CDF"/>
    <w:rsid w:val="00D42381"/>
    <w:rsid w:val="00D426BF"/>
    <w:rsid w:val="00D42FCF"/>
    <w:rsid w:val="00D43081"/>
    <w:rsid w:val="00D43132"/>
    <w:rsid w:val="00D4345D"/>
    <w:rsid w:val="00D434D6"/>
    <w:rsid w:val="00D435C2"/>
    <w:rsid w:val="00D435EC"/>
    <w:rsid w:val="00D43BDC"/>
    <w:rsid w:val="00D43BF2"/>
    <w:rsid w:val="00D43DA9"/>
    <w:rsid w:val="00D43EEA"/>
    <w:rsid w:val="00D448EC"/>
    <w:rsid w:val="00D44B4E"/>
    <w:rsid w:val="00D44FCC"/>
    <w:rsid w:val="00D453D8"/>
    <w:rsid w:val="00D45778"/>
    <w:rsid w:val="00D45B67"/>
    <w:rsid w:val="00D45BC0"/>
    <w:rsid w:val="00D4660B"/>
    <w:rsid w:val="00D46791"/>
    <w:rsid w:val="00D4771D"/>
    <w:rsid w:val="00D47820"/>
    <w:rsid w:val="00D47998"/>
    <w:rsid w:val="00D47D34"/>
    <w:rsid w:val="00D47DED"/>
    <w:rsid w:val="00D502CD"/>
    <w:rsid w:val="00D50458"/>
    <w:rsid w:val="00D50615"/>
    <w:rsid w:val="00D506B7"/>
    <w:rsid w:val="00D508EC"/>
    <w:rsid w:val="00D50C09"/>
    <w:rsid w:val="00D50FD3"/>
    <w:rsid w:val="00D5103F"/>
    <w:rsid w:val="00D514DE"/>
    <w:rsid w:val="00D515DF"/>
    <w:rsid w:val="00D516B8"/>
    <w:rsid w:val="00D516DB"/>
    <w:rsid w:val="00D517AF"/>
    <w:rsid w:val="00D51998"/>
    <w:rsid w:val="00D51E1A"/>
    <w:rsid w:val="00D51E22"/>
    <w:rsid w:val="00D51FB2"/>
    <w:rsid w:val="00D5245B"/>
    <w:rsid w:val="00D52C30"/>
    <w:rsid w:val="00D53053"/>
    <w:rsid w:val="00D530DA"/>
    <w:rsid w:val="00D53189"/>
    <w:rsid w:val="00D532A0"/>
    <w:rsid w:val="00D535EF"/>
    <w:rsid w:val="00D536B6"/>
    <w:rsid w:val="00D53779"/>
    <w:rsid w:val="00D54020"/>
    <w:rsid w:val="00D54291"/>
    <w:rsid w:val="00D545AB"/>
    <w:rsid w:val="00D5462F"/>
    <w:rsid w:val="00D5470A"/>
    <w:rsid w:val="00D54C95"/>
    <w:rsid w:val="00D54CFA"/>
    <w:rsid w:val="00D54DA3"/>
    <w:rsid w:val="00D5515E"/>
    <w:rsid w:val="00D559AA"/>
    <w:rsid w:val="00D559E8"/>
    <w:rsid w:val="00D55D73"/>
    <w:rsid w:val="00D5637E"/>
    <w:rsid w:val="00D56570"/>
    <w:rsid w:val="00D568BB"/>
    <w:rsid w:val="00D56C39"/>
    <w:rsid w:val="00D56D5D"/>
    <w:rsid w:val="00D57019"/>
    <w:rsid w:val="00D5709D"/>
    <w:rsid w:val="00D571A9"/>
    <w:rsid w:val="00D5729A"/>
    <w:rsid w:val="00D572C6"/>
    <w:rsid w:val="00D5790B"/>
    <w:rsid w:val="00D57A78"/>
    <w:rsid w:val="00D57B9B"/>
    <w:rsid w:val="00D57BD1"/>
    <w:rsid w:val="00D57D8C"/>
    <w:rsid w:val="00D57F27"/>
    <w:rsid w:val="00D60226"/>
    <w:rsid w:val="00D6033D"/>
    <w:rsid w:val="00D60358"/>
    <w:rsid w:val="00D60411"/>
    <w:rsid w:val="00D605ED"/>
    <w:rsid w:val="00D60B62"/>
    <w:rsid w:val="00D61046"/>
    <w:rsid w:val="00D6119E"/>
    <w:rsid w:val="00D615E0"/>
    <w:rsid w:val="00D61676"/>
    <w:rsid w:val="00D623E1"/>
    <w:rsid w:val="00D62782"/>
    <w:rsid w:val="00D62903"/>
    <w:rsid w:val="00D62AAB"/>
    <w:rsid w:val="00D62B0F"/>
    <w:rsid w:val="00D62B93"/>
    <w:rsid w:val="00D62C06"/>
    <w:rsid w:val="00D62C9B"/>
    <w:rsid w:val="00D6325B"/>
    <w:rsid w:val="00D633CC"/>
    <w:rsid w:val="00D63B87"/>
    <w:rsid w:val="00D63C51"/>
    <w:rsid w:val="00D63CBC"/>
    <w:rsid w:val="00D6406B"/>
    <w:rsid w:val="00D640ED"/>
    <w:rsid w:val="00D6456E"/>
    <w:rsid w:val="00D648CB"/>
    <w:rsid w:val="00D64BAD"/>
    <w:rsid w:val="00D64D3C"/>
    <w:rsid w:val="00D65180"/>
    <w:rsid w:val="00D65555"/>
    <w:rsid w:val="00D656B5"/>
    <w:rsid w:val="00D657D6"/>
    <w:rsid w:val="00D65BB5"/>
    <w:rsid w:val="00D667F6"/>
    <w:rsid w:val="00D669CB"/>
    <w:rsid w:val="00D66EF2"/>
    <w:rsid w:val="00D67371"/>
    <w:rsid w:val="00D67805"/>
    <w:rsid w:val="00D67A93"/>
    <w:rsid w:val="00D7016A"/>
    <w:rsid w:val="00D7039D"/>
    <w:rsid w:val="00D703E5"/>
    <w:rsid w:val="00D70BE9"/>
    <w:rsid w:val="00D70C1D"/>
    <w:rsid w:val="00D70FB4"/>
    <w:rsid w:val="00D71000"/>
    <w:rsid w:val="00D71005"/>
    <w:rsid w:val="00D71148"/>
    <w:rsid w:val="00D711AA"/>
    <w:rsid w:val="00D715F9"/>
    <w:rsid w:val="00D71C0E"/>
    <w:rsid w:val="00D721BD"/>
    <w:rsid w:val="00D72F92"/>
    <w:rsid w:val="00D730F3"/>
    <w:rsid w:val="00D73447"/>
    <w:rsid w:val="00D73701"/>
    <w:rsid w:val="00D73776"/>
    <w:rsid w:val="00D73892"/>
    <w:rsid w:val="00D73B16"/>
    <w:rsid w:val="00D7406F"/>
    <w:rsid w:val="00D74165"/>
    <w:rsid w:val="00D742BC"/>
    <w:rsid w:val="00D7432A"/>
    <w:rsid w:val="00D746AC"/>
    <w:rsid w:val="00D746C8"/>
    <w:rsid w:val="00D75414"/>
    <w:rsid w:val="00D755FF"/>
    <w:rsid w:val="00D756BC"/>
    <w:rsid w:val="00D75738"/>
    <w:rsid w:val="00D757D9"/>
    <w:rsid w:val="00D75DB6"/>
    <w:rsid w:val="00D75F10"/>
    <w:rsid w:val="00D769D9"/>
    <w:rsid w:val="00D770F6"/>
    <w:rsid w:val="00D77175"/>
    <w:rsid w:val="00D77234"/>
    <w:rsid w:val="00D775D9"/>
    <w:rsid w:val="00D77BCD"/>
    <w:rsid w:val="00D77C25"/>
    <w:rsid w:val="00D77F14"/>
    <w:rsid w:val="00D8013C"/>
    <w:rsid w:val="00D802FE"/>
    <w:rsid w:val="00D8053C"/>
    <w:rsid w:val="00D80CBD"/>
    <w:rsid w:val="00D815E5"/>
    <w:rsid w:val="00D8184B"/>
    <w:rsid w:val="00D818E9"/>
    <w:rsid w:val="00D81F78"/>
    <w:rsid w:val="00D821A6"/>
    <w:rsid w:val="00D823DF"/>
    <w:rsid w:val="00D828CC"/>
    <w:rsid w:val="00D82941"/>
    <w:rsid w:val="00D82A11"/>
    <w:rsid w:val="00D82BE3"/>
    <w:rsid w:val="00D82CBE"/>
    <w:rsid w:val="00D836DA"/>
    <w:rsid w:val="00D83C24"/>
    <w:rsid w:val="00D83E21"/>
    <w:rsid w:val="00D84487"/>
    <w:rsid w:val="00D844E5"/>
    <w:rsid w:val="00D848F9"/>
    <w:rsid w:val="00D84F9A"/>
    <w:rsid w:val="00D85AED"/>
    <w:rsid w:val="00D85B7F"/>
    <w:rsid w:val="00D86038"/>
    <w:rsid w:val="00D86180"/>
    <w:rsid w:val="00D865D0"/>
    <w:rsid w:val="00D86780"/>
    <w:rsid w:val="00D86A8B"/>
    <w:rsid w:val="00D86B20"/>
    <w:rsid w:val="00D86C63"/>
    <w:rsid w:val="00D86C64"/>
    <w:rsid w:val="00D86EB9"/>
    <w:rsid w:val="00D8700E"/>
    <w:rsid w:val="00D8742D"/>
    <w:rsid w:val="00D875C2"/>
    <w:rsid w:val="00D87761"/>
    <w:rsid w:val="00D878D6"/>
    <w:rsid w:val="00D87963"/>
    <w:rsid w:val="00D8798B"/>
    <w:rsid w:val="00D87A74"/>
    <w:rsid w:val="00D87DCC"/>
    <w:rsid w:val="00D87E5E"/>
    <w:rsid w:val="00D90078"/>
    <w:rsid w:val="00D901D9"/>
    <w:rsid w:val="00D9049F"/>
    <w:rsid w:val="00D907E9"/>
    <w:rsid w:val="00D908C9"/>
    <w:rsid w:val="00D90A32"/>
    <w:rsid w:val="00D90DC6"/>
    <w:rsid w:val="00D9130F"/>
    <w:rsid w:val="00D91931"/>
    <w:rsid w:val="00D9230B"/>
    <w:rsid w:val="00D92A46"/>
    <w:rsid w:val="00D92A57"/>
    <w:rsid w:val="00D92B49"/>
    <w:rsid w:val="00D93289"/>
    <w:rsid w:val="00D933AB"/>
    <w:rsid w:val="00D93518"/>
    <w:rsid w:val="00D935FF"/>
    <w:rsid w:val="00D9379E"/>
    <w:rsid w:val="00D93850"/>
    <w:rsid w:val="00D938EB"/>
    <w:rsid w:val="00D94050"/>
    <w:rsid w:val="00D94139"/>
    <w:rsid w:val="00D942F5"/>
    <w:rsid w:val="00D944B2"/>
    <w:rsid w:val="00D944B6"/>
    <w:rsid w:val="00D944D6"/>
    <w:rsid w:val="00D94783"/>
    <w:rsid w:val="00D9492C"/>
    <w:rsid w:val="00D9498E"/>
    <w:rsid w:val="00D94B5C"/>
    <w:rsid w:val="00D94D85"/>
    <w:rsid w:val="00D9533A"/>
    <w:rsid w:val="00D957C4"/>
    <w:rsid w:val="00D958DF"/>
    <w:rsid w:val="00D95902"/>
    <w:rsid w:val="00D95EE7"/>
    <w:rsid w:val="00D9600A"/>
    <w:rsid w:val="00D9635E"/>
    <w:rsid w:val="00D96474"/>
    <w:rsid w:val="00D96818"/>
    <w:rsid w:val="00D968A3"/>
    <w:rsid w:val="00D96AA6"/>
    <w:rsid w:val="00D96AAC"/>
    <w:rsid w:val="00D96B8B"/>
    <w:rsid w:val="00D96EDA"/>
    <w:rsid w:val="00D97046"/>
    <w:rsid w:val="00D97411"/>
    <w:rsid w:val="00D978CE"/>
    <w:rsid w:val="00D97AA2"/>
    <w:rsid w:val="00DA0BBB"/>
    <w:rsid w:val="00DA0E70"/>
    <w:rsid w:val="00DA0EE0"/>
    <w:rsid w:val="00DA10FE"/>
    <w:rsid w:val="00DA1168"/>
    <w:rsid w:val="00DA14F5"/>
    <w:rsid w:val="00DA1795"/>
    <w:rsid w:val="00DA1A52"/>
    <w:rsid w:val="00DA1B56"/>
    <w:rsid w:val="00DA1F0D"/>
    <w:rsid w:val="00DA20DA"/>
    <w:rsid w:val="00DA27F1"/>
    <w:rsid w:val="00DA27FB"/>
    <w:rsid w:val="00DA2875"/>
    <w:rsid w:val="00DA2A87"/>
    <w:rsid w:val="00DA2E25"/>
    <w:rsid w:val="00DA37AC"/>
    <w:rsid w:val="00DA3878"/>
    <w:rsid w:val="00DA3B1B"/>
    <w:rsid w:val="00DA45A6"/>
    <w:rsid w:val="00DA484A"/>
    <w:rsid w:val="00DA4BE2"/>
    <w:rsid w:val="00DA4C61"/>
    <w:rsid w:val="00DA56AB"/>
    <w:rsid w:val="00DA5CB9"/>
    <w:rsid w:val="00DA5F28"/>
    <w:rsid w:val="00DA659B"/>
    <w:rsid w:val="00DA6AAF"/>
    <w:rsid w:val="00DA6BAD"/>
    <w:rsid w:val="00DA6C9B"/>
    <w:rsid w:val="00DA7356"/>
    <w:rsid w:val="00DA73BB"/>
    <w:rsid w:val="00DA7492"/>
    <w:rsid w:val="00DA74A5"/>
    <w:rsid w:val="00DA76D2"/>
    <w:rsid w:val="00DA7849"/>
    <w:rsid w:val="00DA7C64"/>
    <w:rsid w:val="00DA7ECB"/>
    <w:rsid w:val="00DB03C6"/>
    <w:rsid w:val="00DB05C3"/>
    <w:rsid w:val="00DB0705"/>
    <w:rsid w:val="00DB0A59"/>
    <w:rsid w:val="00DB0B8D"/>
    <w:rsid w:val="00DB0C60"/>
    <w:rsid w:val="00DB1508"/>
    <w:rsid w:val="00DB153C"/>
    <w:rsid w:val="00DB15CA"/>
    <w:rsid w:val="00DB15EB"/>
    <w:rsid w:val="00DB15FF"/>
    <w:rsid w:val="00DB17CC"/>
    <w:rsid w:val="00DB2106"/>
    <w:rsid w:val="00DB24A8"/>
    <w:rsid w:val="00DB2519"/>
    <w:rsid w:val="00DB28A7"/>
    <w:rsid w:val="00DB2B2F"/>
    <w:rsid w:val="00DB2D5E"/>
    <w:rsid w:val="00DB3122"/>
    <w:rsid w:val="00DB33B5"/>
    <w:rsid w:val="00DB3461"/>
    <w:rsid w:val="00DB3491"/>
    <w:rsid w:val="00DB35FB"/>
    <w:rsid w:val="00DB3F7E"/>
    <w:rsid w:val="00DB40F3"/>
    <w:rsid w:val="00DB4290"/>
    <w:rsid w:val="00DB430E"/>
    <w:rsid w:val="00DB4649"/>
    <w:rsid w:val="00DB48AB"/>
    <w:rsid w:val="00DB4B0B"/>
    <w:rsid w:val="00DB4B18"/>
    <w:rsid w:val="00DB4B2A"/>
    <w:rsid w:val="00DB4B4F"/>
    <w:rsid w:val="00DB5505"/>
    <w:rsid w:val="00DB56A2"/>
    <w:rsid w:val="00DB57E3"/>
    <w:rsid w:val="00DB580D"/>
    <w:rsid w:val="00DB59ED"/>
    <w:rsid w:val="00DB5DA0"/>
    <w:rsid w:val="00DB610B"/>
    <w:rsid w:val="00DB676C"/>
    <w:rsid w:val="00DB6884"/>
    <w:rsid w:val="00DB6895"/>
    <w:rsid w:val="00DB6E79"/>
    <w:rsid w:val="00DB6F46"/>
    <w:rsid w:val="00DB7C7C"/>
    <w:rsid w:val="00DB7CC1"/>
    <w:rsid w:val="00DC0A45"/>
    <w:rsid w:val="00DC1058"/>
    <w:rsid w:val="00DC1172"/>
    <w:rsid w:val="00DC1206"/>
    <w:rsid w:val="00DC1786"/>
    <w:rsid w:val="00DC1BA5"/>
    <w:rsid w:val="00DC2100"/>
    <w:rsid w:val="00DC233C"/>
    <w:rsid w:val="00DC237C"/>
    <w:rsid w:val="00DC2527"/>
    <w:rsid w:val="00DC284F"/>
    <w:rsid w:val="00DC339F"/>
    <w:rsid w:val="00DC3550"/>
    <w:rsid w:val="00DC4719"/>
    <w:rsid w:val="00DC4F1E"/>
    <w:rsid w:val="00DC51A7"/>
    <w:rsid w:val="00DC53EC"/>
    <w:rsid w:val="00DC5488"/>
    <w:rsid w:val="00DC5499"/>
    <w:rsid w:val="00DC58E9"/>
    <w:rsid w:val="00DC5A9C"/>
    <w:rsid w:val="00DC5FE1"/>
    <w:rsid w:val="00DC60A4"/>
    <w:rsid w:val="00DC62EA"/>
    <w:rsid w:val="00DC6945"/>
    <w:rsid w:val="00DC6B02"/>
    <w:rsid w:val="00DC6C2D"/>
    <w:rsid w:val="00DC6DCD"/>
    <w:rsid w:val="00DC6EF8"/>
    <w:rsid w:val="00DC740F"/>
    <w:rsid w:val="00DC760D"/>
    <w:rsid w:val="00DC7678"/>
    <w:rsid w:val="00DC7DC5"/>
    <w:rsid w:val="00DC7E1D"/>
    <w:rsid w:val="00DC7E8A"/>
    <w:rsid w:val="00DC7FC2"/>
    <w:rsid w:val="00DD0167"/>
    <w:rsid w:val="00DD0ADD"/>
    <w:rsid w:val="00DD0EC9"/>
    <w:rsid w:val="00DD111A"/>
    <w:rsid w:val="00DD122C"/>
    <w:rsid w:val="00DD16EF"/>
    <w:rsid w:val="00DD1905"/>
    <w:rsid w:val="00DD194E"/>
    <w:rsid w:val="00DD1C07"/>
    <w:rsid w:val="00DD1C93"/>
    <w:rsid w:val="00DD1E0F"/>
    <w:rsid w:val="00DD217C"/>
    <w:rsid w:val="00DD233B"/>
    <w:rsid w:val="00DD2370"/>
    <w:rsid w:val="00DD2404"/>
    <w:rsid w:val="00DD2F84"/>
    <w:rsid w:val="00DD311B"/>
    <w:rsid w:val="00DD3CBF"/>
    <w:rsid w:val="00DD3DB1"/>
    <w:rsid w:val="00DD3DD3"/>
    <w:rsid w:val="00DD41ED"/>
    <w:rsid w:val="00DD45EC"/>
    <w:rsid w:val="00DD482E"/>
    <w:rsid w:val="00DD483A"/>
    <w:rsid w:val="00DD4C71"/>
    <w:rsid w:val="00DD4EF9"/>
    <w:rsid w:val="00DD58ED"/>
    <w:rsid w:val="00DD58F5"/>
    <w:rsid w:val="00DD59AB"/>
    <w:rsid w:val="00DD5C06"/>
    <w:rsid w:val="00DD6120"/>
    <w:rsid w:val="00DD6312"/>
    <w:rsid w:val="00DD6386"/>
    <w:rsid w:val="00DD63D5"/>
    <w:rsid w:val="00DD6622"/>
    <w:rsid w:val="00DD6EE0"/>
    <w:rsid w:val="00DD7053"/>
    <w:rsid w:val="00DD74A8"/>
    <w:rsid w:val="00DD74AD"/>
    <w:rsid w:val="00DD7A63"/>
    <w:rsid w:val="00DE0049"/>
    <w:rsid w:val="00DE01CF"/>
    <w:rsid w:val="00DE033B"/>
    <w:rsid w:val="00DE06CD"/>
    <w:rsid w:val="00DE0BA0"/>
    <w:rsid w:val="00DE0ED8"/>
    <w:rsid w:val="00DE0FFF"/>
    <w:rsid w:val="00DE169D"/>
    <w:rsid w:val="00DE17D9"/>
    <w:rsid w:val="00DE1D7F"/>
    <w:rsid w:val="00DE1DBE"/>
    <w:rsid w:val="00DE1EA3"/>
    <w:rsid w:val="00DE1F43"/>
    <w:rsid w:val="00DE2227"/>
    <w:rsid w:val="00DE22D9"/>
    <w:rsid w:val="00DE23EB"/>
    <w:rsid w:val="00DE265E"/>
    <w:rsid w:val="00DE2EDA"/>
    <w:rsid w:val="00DE3753"/>
    <w:rsid w:val="00DE39AD"/>
    <w:rsid w:val="00DE39E4"/>
    <w:rsid w:val="00DE39F0"/>
    <w:rsid w:val="00DE3CEE"/>
    <w:rsid w:val="00DE4A05"/>
    <w:rsid w:val="00DE4F03"/>
    <w:rsid w:val="00DE4FA9"/>
    <w:rsid w:val="00DE5550"/>
    <w:rsid w:val="00DE601A"/>
    <w:rsid w:val="00DE6156"/>
    <w:rsid w:val="00DE648F"/>
    <w:rsid w:val="00DE6536"/>
    <w:rsid w:val="00DE684F"/>
    <w:rsid w:val="00DE6B96"/>
    <w:rsid w:val="00DE6BD1"/>
    <w:rsid w:val="00DE6F16"/>
    <w:rsid w:val="00DE718A"/>
    <w:rsid w:val="00DE71C8"/>
    <w:rsid w:val="00DE7367"/>
    <w:rsid w:val="00DF0684"/>
    <w:rsid w:val="00DF07CE"/>
    <w:rsid w:val="00DF0872"/>
    <w:rsid w:val="00DF0A22"/>
    <w:rsid w:val="00DF139D"/>
    <w:rsid w:val="00DF168B"/>
    <w:rsid w:val="00DF27EF"/>
    <w:rsid w:val="00DF2D9C"/>
    <w:rsid w:val="00DF3655"/>
    <w:rsid w:val="00DF3C0C"/>
    <w:rsid w:val="00DF3FD5"/>
    <w:rsid w:val="00DF3FE8"/>
    <w:rsid w:val="00DF43B3"/>
    <w:rsid w:val="00DF4840"/>
    <w:rsid w:val="00DF4E3E"/>
    <w:rsid w:val="00DF4E43"/>
    <w:rsid w:val="00DF51C5"/>
    <w:rsid w:val="00DF5387"/>
    <w:rsid w:val="00DF53FE"/>
    <w:rsid w:val="00DF55B6"/>
    <w:rsid w:val="00DF560F"/>
    <w:rsid w:val="00DF5A99"/>
    <w:rsid w:val="00DF5BC0"/>
    <w:rsid w:val="00DF647E"/>
    <w:rsid w:val="00DF6778"/>
    <w:rsid w:val="00DF6862"/>
    <w:rsid w:val="00DF6CB1"/>
    <w:rsid w:val="00DF7674"/>
    <w:rsid w:val="00DF7A37"/>
    <w:rsid w:val="00DF7BE4"/>
    <w:rsid w:val="00DF7DBB"/>
    <w:rsid w:val="00DF7F92"/>
    <w:rsid w:val="00E003A7"/>
    <w:rsid w:val="00E004F7"/>
    <w:rsid w:val="00E00654"/>
    <w:rsid w:val="00E0073B"/>
    <w:rsid w:val="00E00C1B"/>
    <w:rsid w:val="00E00DAA"/>
    <w:rsid w:val="00E00DD2"/>
    <w:rsid w:val="00E00FC1"/>
    <w:rsid w:val="00E01037"/>
    <w:rsid w:val="00E010D6"/>
    <w:rsid w:val="00E01110"/>
    <w:rsid w:val="00E01335"/>
    <w:rsid w:val="00E02715"/>
    <w:rsid w:val="00E0287A"/>
    <w:rsid w:val="00E02A26"/>
    <w:rsid w:val="00E0316C"/>
    <w:rsid w:val="00E031C8"/>
    <w:rsid w:val="00E03279"/>
    <w:rsid w:val="00E03E58"/>
    <w:rsid w:val="00E0472B"/>
    <w:rsid w:val="00E048E2"/>
    <w:rsid w:val="00E04F60"/>
    <w:rsid w:val="00E05002"/>
    <w:rsid w:val="00E054D8"/>
    <w:rsid w:val="00E05529"/>
    <w:rsid w:val="00E05FB4"/>
    <w:rsid w:val="00E06041"/>
    <w:rsid w:val="00E06FB8"/>
    <w:rsid w:val="00E0778E"/>
    <w:rsid w:val="00E07AA2"/>
    <w:rsid w:val="00E07F49"/>
    <w:rsid w:val="00E07F9C"/>
    <w:rsid w:val="00E108B0"/>
    <w:rsid w:val="00E10B1F"/>
    <w:rsid w:val="00E11418"/>
    <w:rsid w:val="00E1159D"/>
    <w:rsid w:val="00E11611"/>
    <w:rsid w:val="00E11A65"/>
    <w:rsid w:val="00E11B3E"/>
    <w:rsid w:val="00E11E54"/>
    <w:rsid w:val="00E12080"/>
    <w:rsid w:val="00E12237"/>
    <w:rsid w:val="00E12550"/>
    <w:rsid w:val="00E1272D"/>
    <w:rsid w:val="00E12882"/>
    <w:rsid w:val="00E12B6B"/>
    <w:rsid w:val="00E12EF5"/>
    <w:rsid w:val="00E13864"/>
    <w:rsid w:val="00E138DB"/>
    <w:rsid w:val="00E139FC"/>
    <w:rsid w:val="00E13A61"/>
    <w:rsid w:val="00E13BFE"/>
    <w:rsid w:val="00E13C63"/>
    <w:rsid w:val="00E13C95"/>
    <w:rsid w:val="00E13D51"/>
    <w:rsid w:val="00E13E00"/>
    <w:rsid w:val="00E13EB2"/>
    <w:rsid w:val="00E13FB5"/>
    <w:rsid w:val="00E14D44"/>
    <w:rsid w:val="00E15136"/>
    <w:rsid w:val="00E156DC"/>
    <w:rsid w:val="00E156F0"/>
    <w:rsid w:val="00E157BA"/>
    <w:rsid w:val="00E158A3"/>
    <w:rsid w:val="00E15A3B"/>
    <w:rsid w:val="00E162DD"/>
    <w:rsid w:val="00E16312"/>
    <w:rsid w:val="00E165B9"/>
    <w:rsid w:val="00E169CE"/>
    <w:rsid w:val="00E17043"/>
    <w:rsid w:val="00E17162"/>
    <w:rsid w:val="00E1722D"/>
    <w:rsid w:val="00E179E0"/>
    <w:rsid w:val="00E17A67"/>
    <w:rsid w:val="00E20072"/>
    <w:rsid w:val="00E201F9"/>
    <w:rsid w:val="00E20432"/>
    <w:rsid w:val="00E2078F"/>
    <w:rsid w:val="00E20806"/>
    <w:rsid w:val="00E20965"/>
    <w:rsid w:val="00E21446"/>
    <w:rsid w:val="00E2150C"/>
    <w:rsid w:val="00E2163A"/>
    <w:rsid w:val="00E219AA"/>
    <w:rsid w:val="00E21F48"/>
    <w:rsid w:val="00E22232"/>
    <w:rsid w:val="00E228A4"/>
    <w:rsid w:val="00E23187"/>
    <w:rsid w:val="00E232A2"/>
    <w:rsid w:val="00E23323"/>
    <w:rsid w:val="00E233F7"/>
    <w:rsid w:val="00E23909"/>
    <w:rsid w:val="00E239D0"/>
    <w:rsid w:val="00E23A28"/>
    <w:rsid w:val="00E23A4A"/>
    <w:rsid w:val="00E242B7"/>
    <w:rsid w:val="00E2444C"/>
    <w:rsid w:val="00E244D1"/>
    <w:rsid w:val="00E2461B"/>
    <w:rsid w:val="00E24EE8"/>
    <w:rsid w:val="00E24F6F"/>
    <w:rsid w:val="00E24F8E"/>
    <w:rsid w:val="00E25558"/>
    <w:rsid w:val="00E25795"/>
    <w:rsid w:val="00E25985"/>
    <w:rsid w:val="00E25CA6"/>
    <w:rsid w:val="00E25E1C"/>
    <w:rsid w:val="00E265AC"/>
    <w:rsid w:val="00E265F5"/>
    <w:rsid w:val="00E26602"/>
    <w:rsid w:val="00E267DA"/>
    <w:rsid w:val="00E26B33"/>
    <w:rsid w:val="00E26DB7"/>
    <w:rsid w:val="00E26F3C"/>
    <w:rsid w:val="00E27127"/>
    <w:rsid w:val="00E272CD"/>
    <w:rsid w:val="00E27609"/>
    <w:rsid w:val="00E2797C"/>
    <w:rsid w:val="00E27D03"/>
    <w:rsid w:val="00E305FA"/>
    <w:rsid w:val="00E30879"/>
    <w:rsid w:val="00E30C07"/>
    <w:rsid w:val="00E30F38"/>
    <w:rsid w:val="00E3105C"/>
    <w:rsid w:val="00E31063"/>
    <w:rsid w:val="00E31852"/>
    <w:rsid w:val="00E31C73"/>
    <w:rsid w:val="00E31CBD"/>
    <w:rsid w:val="00E31F10"/>
    <w:rsid w:val="00E3220C"/>
    <w:rsid w:val="00E327CB"/>
    <w:rsid w:val="00E32C2C"/>
    <w:rsid w:val="00E32C6C"/>
    <w:rsid w:val="00E32C81"/>
    <w:rsid w:val="00E32EE2"/>
    <w:rsid w:val="00E32FFF"/>
    <w:rsid w:val="00E332AB"/>
    <w:rsid w:val="00E33566"/>
    <w:rsid w:val="00E335B5"/>
    <w:rsid w:val="00E33682"/>
    <w:rsid w:val="00E33C07"/>
    <w:rsid w:val="00E33D26"/>
    <w:rsid w:val="00E33EB8"/>
    <w:rsid w:val="00E34044"/>
    <w:rsid w:val="00E34C73"/>
    <w:rsid w:val="00E35190"/>
    <w:rsid w:val="00E35A90"/>
    <w:rsid w:val="00E35AE6"/>
    <w:rsid w:val="00E362F9"/>
    <w:rsid w:val="00E36481"/>
    <w:rsid w:val="00E3670A"/>
    <w:rsid w:val="00E36DC7"/>
    <w:rsid w:val="00E370E7"/>
    <w:rsid w:val="00E3733D"/>
    <w:rsid w:val="00E37947"/>
    <w:rsid w:val="00E37AFC"/>
    <w:rsid w:val="00E37C21"/>
    <w:rsid w:val="00E37C61"/>
    <w:rsid w:val="00E37C69"/>
    <w:rsid w:val="00E37EE1"/>
    <w:rsid w:val="00E40128"/>
    <w:rsid w:val="00E401E9"/>
    <w:rsid w:val="00E4023C"/>
    <w:rsid w:val="00E40369"/>
    <w:rsid w:val="00E40545"/>
    <w:rsid w:val="00E4078F"/>
    <w:rsid w:val="00E40E51"/>
    <w:rsid w:val="00E42630"/>
    <w:rsid w:val="00E426D7"/>
    <w:rsid w:val="00E427B8"/>
    <w:rsid w:val="00E428AB"/>
    <w:rsid w:val="00E428E0"/>
    <w:rsid w:val="00E42A95"/>
    <w:rsid w:val="00E42C47"/>
    <w:rsid w:val="00E42E25"/>
    <w:rsid w:val="00E43574"/>
    <w:rsid w:val="00E43AD5"/>
    <w:rsid w:val="00E44075"/>
    <w:rsid w:val="00E44C7A"/>
    <w:rsid w:val="00E44C99"/>
    <w:rsid w:val="00E44C9D"/>
    <w:rsid w:val="00E44D64"/>
    <w:rsid w:val="00E44DC3"/>
    <w:rsid w:val="00E45284"/>
    <w:rsid w:val="00E452DF"/>
    <w:rsid w:val="00E45302"/>
    <w:rsid w:val="00E4577B"/>
    <w:rsid w:val="00E45905"/>
    <w:rsid w:val="00E45DCC"/>
    <w:rsid w:val="00E4650F"/>
    <w:rsid w:val="00E465F3"/>
    <w:rsid w:val="00E46775"/>
    <w:rsid w:val="00E46926"/>
    <w:rsid w:val="00E46A11"/>
    <w:rsid w:val="00E46B19"/>
    <w:rsid w:val="00E46C32"/>
    <w:rsid w:val="00E474A1"/>
    <w:rsid w:val="00E47505"/>
    <w:rsid w:val="00E47799"/>
    <w:rsid w:val="00E47D3F"/>
    <w:rsid w:val="00E50074"/>
    <w:rsid w:val="00E501E8"/>
    <w:rsid w:val="00E50311"/>
    <w:rsid w:val="00E50640"/>
    <w:rsid w:val="00E509C9"/>
    <w:rsid w:val="00E50CAA"/>
    <w:rsid w:val="00E512C5"/>
    <w:rsid w:val="00E51755"/>
    <w:rsid w:val="00E51AA2"/>
    <w:rsid w:val="00E51AB0"/>
    <w:rsid w:val="00E52539"/>
    <w:rsid w:val="00E525E0"/>
    <w:rsid w:val="00E52711"/>
    <w:rsid w:val="00E52805"/>
    <w:rsid w:val="00E52816"/>
    <w:rsid w:val="00E52B7F"/>
    <w:rsid w:val="00E534EF"/>
    <w:rsid w:val="00E53642"/>
    <w:rsid w:val="00E536DE"/>
    <w:rsid w:val="00E53976"/>
    <w:rsid w:val="00E540FB"/>
    <w:rsid w:val="00E5424F"/>
    <w:rsid w:val="00E54335"/>
    <w:rsid w:val="00E546BE"/>
    <w:rsid w:val="00E546D4"/>
    <w:rsid w:val="00E54A55"/>
    <w:rsid w:val="00E54D4D"/>
    <w:rsid w:val="00E54EBC"/>
    <w:rsid w:val="00E54EC8"/>
    <w:rsid w:val="00E55344"/>
    <w:rsid w:val="00E553A8"/>
    <w:rsid w:val="00E55C76"/>
    <w:rsid w:val="00E55DA6"/>
    <w:rsid w:val="00E55E3C"/>
    <w:rsid w:val="00E56042"/>
    <w:rsid w:val="00E564DE"/>
    <w:rsid w:val="00E56B69"/>
    <w:rsid w:val="00E56BE7"/>
    <w:rsid w:val="00E56CE1"/>
    <w:rsid w:val="00E5726C"/>
    <w:rsid w:val="00E5735C"/>
    <w:rsid w:val="00E5745F"/>
    <w:rsid w:val="00E57FAA"/>
    <w:rsid w:val="00E6013C"/>
    <w:rsid w:val="00E60258"/>
    <w:rsid w:val="00E6034B"/>
    <w:rsid w:val="00E60389"/>
    <w:rsid w:val="00E60754"/>
    <w:rsid w:val="00E60CE5"/>
    <w:rsid w:val="00E61070"/>
    <w:rsid w:val="00E6126A"/>
    <w:rsid w:val="00E615A0"/>
    <w:rsid w:val="00E61920"/>
    <w:rsid w:val="00E619E1"/>
    <w:rsid w:val="00E61B9A"/>
    <w:rsid w:val="00E61ECE"/>
    <w:rsid w:val="00E61F58"/>
    <w:rsid w:val="00E625ED"/>
    <w:rsid w:val="00E631BE"/>
    <w:rsid w:val="00E63232"/>
    <w:rsid w:val="00E63385"/>
    <w:rsid w:val="00E6359F"/>
    <w:rsid w:val="00E638C6"/>
    <w:rsid w:val="00E63B4F"/>
    <w:rsid w:val="00E6419C"/>
    <w:rsid w:val="00E644F3"/>
    <w:rsid w:val="00E644F5"/>
    <w:rsid w:val="00E64727"/>
    <w:rsid w:val="00E6479F"/>
    <w:rsid w:val="00E647F1"/>
    <w:rsid w:val="00E6487E"/>
    <w:rsid w:val="00E649CB"/>
    <w:rsid w:val="00E64A8C"/>
    <w:rsid w:val="00E65112"/>
    <w:rsid w:val="00E65141"/>
    <w:rsid w:val="00E6521B"/>
    <w:rsid w:val="00E6538F"/>
    <w:rsid w:val="00E65442"/>
    <w:rsid w:val="00E65453"/>
    <w:rsid w:val="00E65BC3"/>
    <w:rsid w:val="00E66150"/>
    <w:rsid w:val="00E663FA"/>
    <w:rsid w:val="00E66520"/>
    <w:rsid w:val="00E66BC8"/>
    <w:rsid w:val="00E66CF2"/>
    <w:rsid w:val="00E66E95"/>
    <w:rsid w:val="00E677B9"/>
    <w:rsid w:val="00E678BE"/>
    <w:rsid w:val="00E67B8D"/>
    <w:rsid w:val="00E67D52"/>
    <w:rsid w:val="00E67DA3"/>
    <w:rsid w:val="00E70354"/>
    <w:rsid w:val="00E704FA"/>
    <w:rsid w:val="00E70800"/>
    <w:rsid w:val="00E70BBD"/>
    <w:rsid w:val="00E71247"/>
    <w:rsid w:val="00E71CB0"/>
    <w:rsid w:val="00E71CCA"/>
    <w:rsid w:val="00E722B2"/>
    <w:rsid w:val="00E7237D"/>
    <w:rsid w:val="00E725CA"/>
    <w:rsid w:val="00E72750"/>
    <w:rsid w:val="00E72918"/>
    <w:rsid w:val="00E72949"/>
    <w:rsid w:val="00E73DDF"/>
    <w:rsid w:val="00E74A35"/>
    <w:rsid w:val="00E74DE8"/>
    <w:rsid w:val="00E74FE4"/>
    <w:rsid w:val="00E758DE"/>
    <w:rsid w:val="00E75945"/>
    <w:rsid w:val="00E7596A"/>
    <w:rsid w:val="00E75DB8"/>
    <w:rsid w:val="00E75DCC"/>
    <w:rsid w:val="00E76915"/>
    <w:rsid w:val="00E76B55"/>
    <w:rsid w:val="00E76C05"/>
    <w:rsid w:val="00E76CE2"/>
    <w:rsid w:val="00E76D14"/>
    <w:rsid w:val="00E77400"/>
    <w:rsid w:val="00E8024C"/>
    <w:rsid w:val="00E8042C"/>
    <w:rsid w:val="00E80666"/>
    <w:rsid w:val="00E80755"/>
    <w:rsid w:val="00E80F5A"/>
    <w:rsid w:val="00E80FB8"/>
    <w:rsid w:val="00E81205"/>
    <w:rsid w:val="00E8186C"/>
    <w:rsid w:val="00E81A2C"/>
    <w:rsid w:val="00E81CEC"/>
    <w:rsid w:val="00E82069"/>
    <w:rsid w:val="00E82BA7"/>
    <w:rsid w:val="00E82E2A"/>
    <w:rsid w:val="00E83077"/>
    <w:rsid w:val="00E83229"/>
    <w:rsid w:val="00E83696"/>
    <w:rsid w:val="00E83747"/>
    <w:rsid w:val="00E83B57"/>
    <w:rsid w:val="00E83CF2"/>
    <w:rsid w:val="00E84405"/>
    <w:rsid w:val="00E8442C"/>
    <w:rsid w:val="00E846A1"/>
    <w:rsid w:val="00E848D1"/>
    <w:rsid w:val="00E84AC5"/>
    <w:rsid w:val="00E84DD0"/>
    <w:rsid w:val="00E84DD6"/>
    <w:rsid w:val="00E856EB"/>
    <w:rsid w:val="00E85786"/>
    <w:rsid w:val="00E85815"/>
    <w:rsid w:val="00E8582D"/>
    <w:rsid w:val="00E8589C"/>
    <w:rsid w:val="00E85DE1"/>
    <w:rsid w:val="00E85EAB"/>
    <w:rsid w:val="00E860AB"/>
    <w:rsid w:val="00E8621B"/>
    <w:rsid w:val="00E8628A"/>
    <w:rsid w:val="00E86B0F"/>
    <w:rsid w:val="00E86D5B"/>
    <w:rsid w:val="00E86D8D"/>
    <w:rsid w:val="00E8704F"/>
    <w:rsid w:val="00E875DC"/>
    <w:rsid w:val="00E87687"/>
    <w:rsid w:val="00E87927"/>
    <w:rsid w:val="00E90632"/>
    <w:rsid w:val="00E908C3"/>
    <w:rsid w:val="00E910EA"/>
    <w:rsid w:val="00E91459"/>
    <w:rsid w:val="00E91C6A"/>
    <w:rsid w:val="00E920D4"/>
    <w:rsid w:val="00E922DC"/>
    <w:rsid w:val="00E924AB"/>
    <w:rsid w:val="00E9256C"/>
    <w:rsid w:val="00E92809"/>
    <w:rsid w:val="00E9286B"/>
    <w:rsid w:val="00E92B04"/>
    <w:rsid w:val="00E933F3"/>
    <w:rsid w:val="00E934B2"/>
    <w:rsid w:val="00E93C4A"/>
    <w:rsid w:val="00E93C9F"/>
    <w:rsid w:val="00E93DA2"/>
    <w:rsid w:val="00E94300"/>
    <w:rsid w:val="00E94455"/>
    <w:rsid w:val="00E9465D"/>
    <w:rsid w:val="00E9492B"/>
    <w:rsid w:val="00E9543D"/>
    <w:rsid w:val="00E9564F"/>
    <w:rsid w:val="00E95FB7"/>
    <w:rsid w:val="00E960F9"/>
    <w:rsid w:val="00E96482"/>
    <w:rsid w:val="00E9738A"/>
    <w:rsid w:val="00E974AA"/>
    <w:rsid w:val="00E97A6A"/>
    <w:rsid w:val="00E97A6B"/>
    <w:rsid w:val="00E97FD8"/>
    <w:rsid w:val="00EA036C"/>
    <w:rsid w:val="00EA03DD"/>
    <w:rsid w:val="00EA0885"/>
    <w:rsid w:val="00EA0A64"/>
    <w:rsid w:val="00EA0A8A"/>
    <w:rsid w:val="00EA0DF9"/>
    <w:rsid w:val="00EA116A"/>
    <w:rsid w:val="00EA116C"/>
    <w:rsid w:val="00EA1395"/>
    <w:rsid w:val="00EA13DC"/>
    <w:rsid w:val="00EA1435"/>
    <w:rsid w:val="00EA1737"/>
    <w:rsid w:val="00EA179A"/>
    <w:rsid w:val="00EA1B2B"/>
    <w:rsid w:val="00EA1BE1"/>
    <w:rsid w:val="00EA1E72"/>
    <w:rsid w:val="00EA1F57"/>
    <w:rsid w:val="00EA2113"/>
    <w:rsid w:val="00EA23C1"/>
    <w:rsid w:val="00EA25BB"/>
    <w:rsid w:val="00EA26DD"/>
    <w:rsid w:val="00EA276C"/>
    <w:rsid w:val="00EA289D"/>
    <w:rsid w:val="00EA30A4"/>
    <w:rsid w:val="00EA316C"/>
    <w:rsid w:val="00EA3708"/>
    <w:rsid w:val="00EA3B6D"/>
    <w:rsid w:val="00EA3D28"/>
    <w:rsid w:val="00EA3D93"/>
    <w:rsid w:val="00EA401A"/>
    <w:rsid w:val="00EA41AE"/>
    <w:rsid w:val="00EA4456"/>
    <w:rsid w:val="00EA45EC"/>
    <w:rsid w:val="00EA4806"/>
    <w:rsid w:val="00EA4955"/>
    <w:rsid w:val="00EA4CC3"/>
    <w:rsid w:val="00EA4E81"/>
    <w:rsid w:val="00EA5515"/>
    <w:rsid w:val="00EA5774"/>
    <w:rsid w:val="00EA6167"/>
    <w:rsid w:val="00EA6765"/>
    <w:rsid w:val="00EA67D5"/>
    <w:rsid w:val="00EA683C"/>
    <w:rsid w:val="00EA6D8A"/>
    <w:rsid w:val="00EA6ED9"/>
    <w:rsid w:val="00EA73E3"/>
    <w:rsid w:val="00EA7738"/>
    <w:rsid w:val="00EA7751"/>
    <w:rsid w:val="00EA7852"/>
    <w:rsid w:val="00EA7B32"/>
    <w:rsid w:val="00EB0573"/>
    <w:rsid w:val="00EB06FE"/>
    <w:rsid w:val="00EB07B6"/>
    <w:rsid w:val="00EB1003"/>
    <w:rsid w:val="00EB1300"/>
    <w:rsid w:val="00EB1574"/>
    <w:rsid w:val="00EB158F"/>
    <w:rsid w:val="00EB1906"/>
    <w:rsid w:val="00EB1926"/>
    <w:rsid w:val="00EB1C99"/>
    <w:rsid w:val="00EB1CA3"/>
    <w:rsid w:val="00EB1EAB"/>
    <w:rsid w:val="00EB2250"/>
    <w:rsid w:val="00EB2288"/>
    <w:rsid w:val="00EB2356"/>
    <w:rsid w:val="00EB24CF"/>
    <w:rsid w:val="00EB2895"/>
    <w:rsid w:val="00EB2990"/>
    <w:rsid w:val="00EB2A65"/>
    <w:rsid w:val="00EB322A"/>
    <w:rsid w:val="00EB3559"/>
    <w:rsid w:val="00EB3634"/>
    <w:rsid w:val="00EB3702"/>
    <w:rsid w:val="00EB41D2"/>
    <w:rsid w:val="00EB430D"/>
    <w:rsid w:val="00EB4465"/>
    <w:rsid w:val="00EB45B4"/>
    <w:rsid w:val="00EB46BF"/>
    <w:rsid w:val="00EB5107"/>
    <w:rsid w:val="00EB5332"/>
    <w:rsid w:val="00EB5658"/>
    <w:rsid w:val="00EB57EB"/>
    <w:rsid w:val="00EB5B11"/>
    <w:rsid w:val="00EB5C24"/>
    <w:rsid w:val="00EB5CA0"/>
    <w:rsid w:val="00EB5D65"/>
    <w:rsid w:val="00EB5EA4"/>
    <w:rsid w:val="00EB62DF"/>
    <w:rsid w:val="00EB64C0"/>
    <w:rsid w:val="00EB6894"/>
    <w:rsid w:val="00EB68FB"/>
    <w:rsid w:val="00EB6C99"/>
    <w:rsid w:val="00EB6CD0"/>
    <w:rsid w:val="00EB7191"/>
    <w:rsid w:val="00EB71CB"/>
    <w:rsid w:val="00EB7281"/>
    <w:rsid w:val="00EB73CC"/>
    <w:rsid w:val="00EB7C1B"/>
    <w:rsid w:val="00EC06BD"/>
    <w:rsid w:val="00EC07C4"/>
    <w:rsid w:val="00EC08FE"/>
    <w:rsid w:val="00EC0ACE"/>
    <w:rsid w:val="00EC0B82"/>
    <w:rsid w:val="00EC0C04"/>
    <w:rsid w:val="00EC0C30"/>
    <w:rsid w:val="00EC0DD9"/>
    <w:rsid w:val="00EC0E6A"/>
    <w:rsid w:val="00EC11DE"/>
    <w:rsid w:val="00EC1344"/>
    <w:rsid w:val="00EC1484"/>
    <w:rsid w:val="00EC157B"/>
    <w:rsid w:val="00EC17C0"/>
    <w:rsid w:val="00EC21E1"/>
    <w:rsid w:val="00EC2262"/>
    <w:rsid w:val="00EC22F9"/>
    <w:rsid w:val="00EC237A"/>
    <w:rsid w:val="00EC24C1"/>
    <w:rsid w:val="00EC2869"/>
    <w:rsid w:val="00EC2A91"/>
    <w:rsid w:val="00EC2D86"/>
    <w:rsid w:val="00EC2FDE"/>
    <w:rsid w:val="00EC3261"/>
    <w:rsid w:val="00EC38DA"/>
    <w:rsid w:val="00EC3A42"/>
    <w:rsid w:val="00EC3F42"/>
    <w:rsid w:val="00EC3FE2"/>
    <w:rsid w:val="00EC4050"/>
    <w:rsid w:val="00EC429F"/>
    <w:rsid w:val="00EC4325"/>
    <w:rsid w:val="00EC4D5F"/>
    <w:rsid w:val="00EC4EED"/>
    <w:rsid w:val="00EC5D0C"/>
    <w:rsid w:val="00EC67E6"/>
    <w:rsid w:val="00EC6CC3"/>
    <w:rsid w:val="00EC71A5"/>
    <w:rsid w:val="00EC7D0F"/>
    <w:rsid w:val="00EC7FF6"/>
    <w:rsid w:val="00ED09D9"/>
    <w:rsid w:val="00ED1049"/>
    <w:rsid w:val="00ED1267"/>
    <w:rsid w:val="00ED135C"/>
    <w:rsid w:val="00ED1580"/>
    <w:rsid w:val="00ED1755"/>
    <w:rsid w:val="00ED18B3"/>
    <w:rsid w:val="00ED1AEA"/>
    <w:rsid w:val="00ED1E37"/>
    <w:rsid w:val="00ED1F47"/>
    <w:rsid w:val="00ED2157"/>
    <w:rsid w:val="00ED21DB"/>
    <w:rsid w:val="00ED25CF"/>
    <w:rsid w:val="00ED295B"/>
    <w:rsid w:val="00ED2C21"/>
    <w:rsid w:val="00ED2D99"/>
    <w:rsid w:val="00ED30FD"/>
    <w:rsid w:val="00ED3750"/>
    <w:rsid w:val="00ED3CD3"/>
    <w:rsid w:val="00ED3EA4"/>
    <w:rsid w:val="00ED4481"/>
    <w:rsid w:val="00ED4657"/>
    <w:rsid w:val="00ED46D2"/>
    <w:rsid w:val="00ED548B"/>
    <w:rsid w:val="00ED59DC"/>
    <w:rsid w:val="00ED5DDF"/>
    <w:rsid w:val="00ED5E25"/>
    <w:rsid w:val="00ED6117"/>
    <w:rsid w:val="00ED623B"/>
    <w:rsid w:val="00ED62EF"/>
    <w:rsid w:val="00ED64DD"/>
    <w:rsid w:val="00ED67E2"/>
    <w:rsid w:val="00ED6A05"/>
    <w:rsid w:val="00ED6AAB"/>
    <w:rsid w:val="00ED6CDF"/>
    <w:rsid w:val="00ED7473"/>
    <w:rsid w:val="00ED7DE6"/>
    <w:rsid w:val="00EE00C8"/>
    <w:rsid w:val="00EE0286"/>
    <w:rsid w:val="00EE04C8"/>
    <w:rsid w:val="00EE0DE6"/>
    <w:rsid w:val="00EE0F6D"/>
    <w:rsid w:val="00EE1173"/>
    <w:rsid w:val="00EE119A"/>
    <w:rsid w:val="00EE135F"/>
    <w:rsid w:val="00EE13C4"/>
    <w:rsid w:val="00EE1456"/>
    <w:rsid w:val="00EE17D0"/>
    <w:rsid w:val="00EE1823"/>
    <w:rsid w:val="00EE20DF"/>
    <w:rsid w:val="00EE2188"/>
    <w:rsid w:val="00EE25CA"/>
    <w:rsid w:val="00EE28F0"/>
    <w:rsid w:val="00EE2A50"/>
    <w:rsid w:val="00EE2B0F"/>
    <w:rsid w:val="00EE2B59"/>
    <w:rsid w:val="00EE2C62"/>
    <w:rsid w:val="00EE2EA6"/>
    <w:rsid w:val="00EE301A"/>
    <w:rsid w:val="00EE32B6"/>
    <w:rsid w:val="00EE3754"/>
    <w:rsid w:val="00EE3CD1"/>
    <w:rsid w:val="00EE42DD"/>
    <w:rsid w:val="00EE46F1"/>
    <w:rsid w:val="00EE4A0F"/>
    <w:rsid w:val="00EE50DD"/>
    <w:rsid w:val="00EE50EA"/>
    <w:rsid w:val="00EE5133"/>
    <w:rsid w:val="00EE5A17"/>
    <w:rsid w:val="00EE5C44"/>
    <w:rsid w:val="00EE62E8"/>
    <w:rsid w:val="00EE6939"/>
    <w:rsid w:val="00EE6960"/>
    <w:rsid w:val="00EE6BE5"/>
    <w:rsid w:val="00EE70A2"/>
    <w:rsid w:val="00EE71F0"/>
    <w:rsid w:val="00EE7465"/>
    <w:rsid w:val="00EE74F5"/>
    <w:rsid w:val="00EE7C9D"/>
    <w:rsid w:val="00EE7DDF"/>
    <w:rsid w:val="00EF00BC"/>
    <w:rsid w:val="00EF02AD"/>
    <w:rsid w:val="00EF02C0"/>
    <w:rsid w:val="00EF0393"/>
    <w:rsid w:val="00EF0B50"/>
    <w:rsid w:val="00EF0C17"/>
    <w:rsid w:val="00EF0F1B"/>
    <w:rsid w:val="00EF131A"/>
    <w:rsid w:val="00EF18AF"/>
    <w:rsid w:val="00EF1A5A"/>
    <w:rsid w:val="00EF1EB2"/>
    <w:rsid w:val="00EF2219"/>
    <w:rsid w:val="00EF228A"/>
    <w:rsid w:val="00EF2A50"/>
    <w:rsid w:val="00EF31E3"/>
    <w:rsid w:val="00EF322A"/>
    <w:rsid w:val="00EF3845"/>
    <w:rsid w:val="00EF3BEC"/>
    <w:rsid w:val="00EF417C"/>
    <w:rsid w:val="00EF42A2"/>
    <w:rsid w:val="00EF43F7"/>
    <w:rsid w:val="00EF4431"/>
    <w:rsid w:val="00EF44C3"/>
    <w:rsid w:val="00EF46E4"/>
    <w:rsid w:val="00EF4A40"/>
    <w:rsid w:val="00EF4F2D"/>
    <w:rsid w:val="00EF4FD4"/>
    <w:rsid w:val="00EF51C5"/>
    <w:rsid w:val="00EF51DE"/>
    <w:rsid w:val="00EF57CD"/>
    <w:rsid w:val="00EF57E4"/>
    <w:rsid w:val="00EF5BEA"/>
    <w:rsid w:val="00EF6563"/>
    <w:rsid w:val="00EF6F2D"/>
    <w:rsid w:val="00EF79D6"/>
    <w:rsid w:val="00F000F3"/>
    <w:rsid w:val="00F00397"/>
    <w:rsid w:val="00F008B9"/>
    <w:rsid w:val="00F008D1"/>
    <w:rsid w:val="00F00A54"/>
    <w:rsid w:val="00F01296"/>
    <w:rsid w:val="00F01C1A"/>
    <w:rsid w:val="00F01DA9"/>
    <w:rsid w:val="00F023E7"/>
    <w:rsid w:val="00F024CC"/>
    <w:rsid w:val="00F0253C"/>
    <w:rsid w:val="00F02A5D"/>
    <w:rsid w:val="00F02AF4"/>
    <w:rsid w:val="00F02E79"/>
    <w:rsid w:val="00F02E7A"/>
    <w:rsid w:val="00F0317B"/>
    <w:rsid w:val="00F0341B"/>
    <w:rsid w:val="00F034B5"/>
    <w:rsid w:val="00F0377A"/>
    <w:rsid w:val="00F03906"/>
    <w:rsid w:val="00F03C06"/>
    <w:rsid w:val="00F03E79"/>
    <w:rsid w:val="00F04052"/>
    <w:rsid w:val="00F04081"/>
    <w:rsid w:val="00F04279"/>
    <w:rsid w:val="00F047FA"/>
    <w:rsid w:val="00F0519D"/>
    <w:rsid w:val="00F051E7"/>
    <w:rsid w:val="00F05684"/>
    <w:rsid w:val="00F05B1F"/>
    <w:rsid w:val="00F05B63"/>
    <w:rsid w:val="00F05FF9"/>
    <w:rsid w:val="00F0626B"/>
    <w:rsid w:val="00F0670C"/>
    <w:rsid w:val="00F06D46"/>
    <w:rsid w:val="00F06E90"/>
    <w:rsid w:val="00F06E9B"/>
    <w:rsid w:val="00F06EAF"/>
    <w:rsid w:val="00F0747B"/>
    <w:rsid w:val="00F07766"/>
    <w:rsid w:val="00F07F71"/>
    <w:rsid w:val="00F1033E"/>
    <w:rsid w:val="00F10431"/>
    <w:rsid w:val="00F10929"/>
    <w:rsid w:val="00F1159B"/>
    <w:rsid w:val="00F116D4"/>
    <w:rsid w:val="00F12172"/>
    <w:rsid w:val="00F1278E"/>
    <w:rsid w:val="00F12AEF"/>
    <w:rsid w:val="00F12EB0"/>
    <w:rsid w:val="00F12F46"/>
    <w:rsid w:val="00F13045"/>
    <w:rsid w:val="00F131F2"/>
    <w:rsid w:val="00F13355"/>
    <w:rsid w:val="00F13E84"/>
    <w:rsid w:val="00F140DF"/>
    <w:rsid w:val="00F14546"/>
    <w:rsid w:val="00F148A0"/>
    <w:rsid w:val="00F14949"/>
    <w:rsid w:val="00F14C52"/>
    <w:rsid w:val="00F14DD5"/>
    <w:rsid w:val="00F150B0"/>
    <w:rsid w:val="00F15E37"/>
    <w:rsid w:val="00F15F00"/>
    <w:rsid w:val="00F163A7"/>
    <w:rsid w:val="00F1716B"/>
    <w:rsid w:val="00F17209"/>
    <w:rsid w:val="00F1764C"/>
    <w:rsid w:val="00F20203"/>
    <w:rsid w:val="00F20209"/>
    <w:rsid w:val="00F209E2"/>
    <w:rsid w:val="00F20C6C"/>
    <w:rsid w:val="00F20FF1"/>
    <w:rsid w:val="00F21116"/>
    <w:rsid w:val="00F21142"/>
    <w:rsid w:val="00F2125A"/>
    <w:rsid w:val="00F2147C"/>
    <w:rsid w:val="00F214EA"/>
    <w:rsid w:val="00F218FE"/>
    <w:rsid w:val="00F21925"/>
    <w:rsid w:val="00F21FFC"/>
    <w:rsid w:val="00F224A3"/>
    <w:rsid w:val="00F22D2A"/>
    <w:rsid w:val="00F22E59"/>
    <w:rsid w:val="00F234FD"/>
    <w:rsid w:val="00F2351E"/>
    <w:rsid w:val="00F23681"/>
    <w:rsid w:val="00F23711"/>
    <w:rsid w:val="00F23793"/>
    <w:rsid w:val="00F23B8B"/>
    <w:rsid w:val="00F23C6D"/>
    <w:rsid w:val="00F23E5B"/>
    <w:rsid w:val="00F245F8"/>
    <w:rsid w:val="00F24BE2"/>
    <w:rsid w:val="00F24DCF"/>
    <w:rsid w:val="00F25001"/>
    <w:rsid w:val="00F25104"/>
    <w:rsid w:val="00F2515F"/>
    <w:rsid w:val="00F256FB"/>
    <w:rsid w:val="00F2591B"/>
    <w:rsid w:val="00F25BCD"/>
    <w:rsid w:val="00F261B8"/>
    <w:rsid w:val="00F261C4"/>
    <w:rsid w:val="00F2631E"/>
    <w:rsid w:val="00F26CE9"/>
    <w:rsid w:val="00F26D78"/>
    <w:rsid w:val="00F26E65"/>
    <w:rsid w:val="00F26EF9"/>
    <w:rsid w:val="00F27091"/>
    <w:rsid w:val="00F27107"/>
    <w:rsid w:val="00F2730E"/>
    <w:rsid w:val="00F2733D"/>
    <w:rsid w:val="00F273E2"/>
    <w:rsid w:val="00F277E5"/>
    <w:rsid w:val="00F27AA6"/>
    <w:rsid w:val="00F27C6A"/>
    <w:rsid w:val="00F27F48"/>
    <w:rsid w:val="00F302F3"/>
    <w:rsid w:val="00F30CFA"/>
    <w:rsid w:val="00F311A8"/>
    <w:rsid w:val="00F31689"/>
    <w:rsid w:val="00F31785"/>
    <w:rsid w:val="00F317A6"/>
    <w:rsid w:val="00F31834"/>
    <w:rsid w:val="00F31933"/>
    <w:rsid w:val="00F3234A"/>
    <w:rsid w:val="00F3276F"/>
    <w:rsid w:val="00F32788"/>
    <w:rsid w:val="00F32CB4"/>
    <w:rsid w:val="00F333F8"/>
    <w:rsid w:val="00F335DC"/>
    <w:rsid w:val="00F33731"/>
    <w:rsid w:val="00F33840"/>
    <w:rsid w:val="00F33B32"/>
    <w:rsid w:val="00F33F21"/>
    <w:rsid w:val="00F34245"/>
    <w:rsid w:val="00F3432B"/>
    <w:rsid w:val="00F3436C"/>
    <w:rsid w:val="00F349BA"/>
    <w:rsid w:val="00F34B5D"/>
    <w:rsid w:val="00F34BB8"/>
    <w:rsid w:val="00F34C75"/>
    <w:rsid w:val="00F34CC3"/>
    <w:rsid w:val="00F356F4"/>
    <w:rsid w:val="00F35C4F"/>
    <w:rsid w:val="00F3647C"/>
    <w:rsid w:val="00F36502"/>
    <w:rsid w:val="00F368DB"/>
    <w:rsid w:val="00F36DEC"/>
    <w:rsid w:val="00F3708C"/>
    <w:rsid w:val="00F3746F"/>
    <w:rsid w:val="00F37481"/>
    <w:rsid w:val="00F37771"/>
    <w:rsid w:val="00F4031C"/>
    <w:rsid w:val="00F4033B"/>
    <w:rsid w:val="00F40BBA"/>
    <w:rsid w:val="00F40BDE"/>
    <w:rsid w:val="00F40CCA"/>
    <w:rsid w:val="00F40F0E"/>
    <w:rsid w:val="00F410D0"/>
    <w:rsid w:val="00F411A5"/>
    <w:rsid w:val="00F41212"/>
    <w:rsid w:val="00F41429"/>
    <w:rsid w:val="00F41791"/>
    <w:rsid w:val="00F41A0A"/>
    <w:rsid w:val="00F41A99"/>
    <w:rsid w:val="00F41AA2"/>
    <w:rsid w:val="00F41AAD"/>
    <w:rsid w:val="00F41C3A"/>
    <w:rsid w:val="00F41CF3"/>
    <w:rsid w:val="00F41EC4"/>
    <w:rsid w:val="00F41F8E"/>
    <w:rsid w:val="00F41FE5"/>
    <w:rsid w:val="00F42309"/>
    <w:rsid w:val="00F423FD"/>
    <w:rsid w:val="00F4258F"/>
    <w:rsid w:val="00F43537"/>
    <w:rsid w:val="00F4368F"/>
    <w:rsid w:val="00F43732"/>
    <w:rsid w:val="00F43960"/>
    <w:rsid w:val="00F43998"/>
    <w:rsid w:val="00F43C50"/>
    <w:rsid w:val="00F43DE1"/>
    <w:rsid w:val="00F43EFF"/>
    <w:rsid w:val="00F440DA"/>
    <w:rsid w:val="00F44399"/>
    <w:rsid w:val="00F44F05"/>
    <w:rsid w:val="00F45EC3"/>
    <w:rsid w:val="00F460B7"/>
    <w:rsid w:val="00F460F1"/>
    <w:rsid w:val="00F466D8"/>
    <w:rsid w:val="00F46CD4"/>
    <w:rsid w:val="00F46FEA"/>
    <w:rsid w:val="00F46FF9"/>
    <w:rsid w:val="00F47292"/>
    <w:rsid w:val="00F47530"/>
    <w:rsid w:val="00F47C22"/>
    <w:rsid w:val="00F47C8F"/>
    <w:rsid w:val="00F50427"/>
    <w:rsid w:val="00F50783"/>
    <w:rsid w:val="00F5086C"/>
    <w:rsid w:val="00F511A3"/>
    <w:rsid w:val="00F51433"/>
    <w:rsid w:val="00F524E0"/>
    <w:rsid w:val="00F527B2"/>
    <w:rsid w:val="00F528E6"/>
    <w:rsid w:val="00F52AD0"/>
    <w:rsid w:val="00F52F78"/>
    <w:rsid w:val="00F53114"/>
    <w:rsid w:val="00F53290"/>
    <w:rsid w:val="00F533CE"/>
    <w:rsid w:val="00F5352B"/>
    <w:rsid w:val="00F535C4"/>
    <w:rsid w:val="00F53928"/>
    <w:rsid w:val="00F53BCB"/>
    <w:rsid w:val="00F54767"/>
    <w:rsid w:val="00F54ABD"/>
    <w:rsid w:val="00F55226"/>
    <w:rsid w:val="00F55244"/>
    <w:rsid w:val="00F55A98"/>
    <w:rsid w:val="00F561B5"/>
    <w:rsid w:val="00F56A0A"/>
    <w:rsid w:val="00F56BC2"/>
    <w:rsid w:val="00F56D63"/>
    <w:rsid w:val="00F576A4"/>
    <w:rsid w:val="00F60128"/>
    <w:rsid w:val="00F60485"/>
    <w:rsid w:val="00F60771"/>
    <w:rsid w:val="00F60C9C"/>
    <w:rsid w:val="00F610C4"/>
    <w:rsid w:val="00F6131D"/>
    <w:rsid w:val="00F61658"/>
    <w:rsid w:val="00F61913"/>
    <w:rsid w:val="00F61D38"/>
    <w:rsid w:val="00F61E21"/>
    <w:rsid w:val="00F61F02"/>
    <w:rsid w:val="00F622A9"/>
    <w:rsid w:val="00F6274C"/>
    <w:rsid w:val="00F627A4"/>
    <w:rsid w:val="00F62D33"/>
    <w:rsid w:val="00F62F80"/>
    <w:rsid w:val="00F62FE5"/>
    <w:rsid w:val="00F632C4"/>
    <w:rsid w:val="00F637BE"/>
    <w:rsid w:val="00F63A87"/>
    <w:rsid w:val="00F64253"/>
    <w:rsid w:val="00F64280"/>
    <w:rsid w:val="00F64373"/>
    <w:rsid w:val="00F6461E"/>
    <w:rsid w:val="00F64720"/>
    <w:rsid w:val="00F6488D"/>
    <w:rsid w:val="00F64AEC"/>
    <w:rsid w:val="00F64ECC"/>
    <w:rsid w:val="00F6504D"/>
    <w:rsid w:val="00F650AB"/>
    <w:rsid w:val="00F65327"/>
    <w:rsid w:val="00F662A5"/>
    <w:rsid w:val="00F6663E"/>
    <w:rsid w:val="00F667D5"/>
    <w:rsid w:val="00F669BB"/>
    <w:rsid w:val="00F66C18"/>
    <w:rsid w:val="00F66D4F"/>
    <w:rsid w:val="00F66E17"/>
    <w:rsid w:val="00F67308"/>
    <w:rsid w:val="00F674FD"/>
    <w:rsid w:val="00F67DF3"/>
    <w:rsid w:val="00F70501"/>
    <w:rsid w:val="00F70719"/>
    <w:rsid w:val="00F712BB"/>
    <w:rsid w:val="00F71508"/>
    <w:rsid w:val="00F71509"/>
    <w:rsid w:val="00F71623"/>
    <w:rsid w:val="00F7176C"/>
    <w:rsid w:val="00F717EB"/>
    <w:rsid w:val="00F717F8"/>
    <w:rsid w:val="00F7183E"/>
    <w:rsid w:val="00F71986"/>
    <w:rsid w:val="00F720CC"/>
    <w:rsid w:val="00F7216E"/>
    <w:rsid w:val="00F72538"/>
    <w:rsid w:val="00F725C3"/>
    <w:rsid w:val="00F72679"/>
    <w:rsid w:val="00F7270F"/>
    <w:rsid w:val="00F72805"/>
    <w:rsid w:val="00F72A48"/>
    <w:rsid w:val="00F72F8D"/>
    <w:rsid w:val="00F730ED"/>
    <w:rsid w:val="00F736F1"/>
    <w:rsid w:val="00F73AFF"/>
    <w:rsid w:val="00F73BC0"/>
    <w:rsid w:val="00F73E85"/>
    <w:rsid w:val="00F73EC7"/>
    <w:rsid w:val="00F73F05"/>
    <w:rsid w:val="00F743C2"/>
    <w:rsid w:val="00F74662"/>
    <w:rsid w:val="00F74678"/>
    <w:rsid w:val="00F748E5"/>
    <w:rsid w:val="00F74993"/>
    <w:rsid w:val="00F74BD3"/>
    <w:rsid w:val="00F75A40"/>
    <w:rsid w:val="00F760E8"/>
    <w:rsid w:val="00F765BB"/>
    <w:rsid w:val="00F766F9"/>
    <w:rsid w:val="00F76A5C"/>
    <w:rsid w:val="00F76C16"/>
    <w:rsid w:val="00F76EDA"/>
    <w:rsid w:val="00F77C79"/>
    <w:rsid w:val="00F802FF"/>
    <w:rsid w:val="00F8051A"/>
    <w:rsid w:val="00F805A4"/>
    <w:rsid w:val="00F80676"/>
    <w:rsid w:val="00F808F3"/>
    <w:rsid w:val="00F80C59"/>
    <w:rsid w:val="00F81223"/>
    <w:rsid w:val="00F81468"/>
    <w:rsid w:val="00F81A74"/>
    <w:rsid w:val="00F81B60"/>
    <w:rsid w:val="00F82906"/>
    <w:rsid w:val="00F82B4B"/>
    <w:rsid w:val="00F82FD2"/>
    <w:rsid w:val="00F831C4"/>
    <w:rsid w:val="00F833FC"/>
    <w:rsid w:val="00F83590"/>
    <w:rsid w:val="00F83728"/>
    <w:rsid w:val="00F838E5"/>
    <w:rsid w:val="00F841B5"/>
    <w:rsid w:val="00F84290"/>
    <w:rsid w:val="00F8429D"/>
    <w:rsid w:val="00F84CCF"/>
    <w:rsid w:val="00F84F62"/>
    <w:rsid w:val="00F84F88"/>
    <w:rsid w:val="00F8522C"/>
    <w:rsid w:val="00F85A92"/>
    <w:rsid w:val="00F85AAC"/>
    <w:rsid w:val="00F85E18"/>
    <w:rsid w:val="00F85F7F"/>
    <w:rsid w:val="00F86295"/>
    <w:rsid w:val="00F86524"/>
    <w:rsid w:val="00F866E8"/>
    <w:rsid w:val="00F8694F"/>
    <w:rsid w:val="00F86A41"/>
    <w:rsid w:val="00F86C1F"/>
    <w:rsid w:val="00F872D6"/>
    <w:rsid w:val="00F8733D"/>
    <w:rsid w:val="00F875CC"/>
    <w:rsid w:val="00F87827"/>
    <w:rsid w:val="00F87CC2"/>
    <w:rsid w:val="00F9017F"/>
    <w:rsid w:val="00F901C7"/>
    <w:rsid w:val="00F90568"/>
    <w:rsid w:val="00F905CB"/>
    <w:rsid w:val="00F9065D"/>
    <w:rsid w:val="00F90DD7"/>
    <w:rsid w:val="00F911C5"/>
    <w:rsid w:val="00F9154F"/>
    <w:rsid w:val="00F91930"/>
    <w:rsid w:val="00F921E3"/>
    <w:rsid w:val="00F92A50"/>
    <w:rsid w:val="00F92DB2"/>
    <w:rsid w:val="00F93915"/>
    <w:rsid w:val="00F93E95"/>
    <w:rsid w:val="00F94091"/>
    <w:rsid w:val="00F950D1"/>
    <w:rsid w:val="00F95233"/>
    <w:rsid w:val="00F953C9"/>
    <w:rsid w:val="00F95692"/>
    <w:rsid w:val="00F957F3"/>
    <w:rsid w:val="00F9592B"/>
    <w:rsid w:val="00F95E29"/>
    <w:rsid w:val="00F962B0"/>
    <w:rsid w:val="00F965B5"/>
    <w:rsid w:val="00F967BE"/>
    <w:rsid w:val="00F969A9"/>
    <w:rsid w:val="00F96B62"/>
    <w:rsid w:val="00F970BE"/>
    <w:rsid w:val="00F979BF"/>
    <w:rsid w:val="00F97A62"/>
    <w:rsid w:val="00F97B48"/>
    <w:rsid w:val="00F97CB5"/>
    <w:rsid w:val="00FA001F"/>
    <w:rsid w:val="00FA013F"/>
    <w:rsid w:val="00FA0522"/>
    <w:rsid w:val="00FA066A"/>
    <w:rsid w:val="00FA099F"/>
    <w:rsid w:val="00FA09C2"/>
    <w:rsid w:val="00FA0C75"/>
    <w:rsid w:val="00FA0FE1"/>
    <w:rsid w:val="00FA0FEB"/>
    <w:rsid w:val="00FA115B"/>
    <w:rsid w:val="00FA14BA"/>
    <w:rsid w:val="00FA163D"/>
    <w:rsid w:val="00FA17F9"/>
    <w:rsid w:val="00FA1B85"/>
    <w:rsid w:val="00FA1D76"/>
    <w:rsid w:val="00FA1EFA"/>
    <w:rsid w:val="00FA252D"/>
    <w:rsid w:val="00FA2558"/>
    <w:rsid w:val="00FA2635"/>
    <w:rsid w:val="00FA3789"/>
    <w:rsid w:val="00FA37B9"/>
    <w:rsid w:val="00FA3947"/>
    <w:rsid w:val="00FA3E06"/>
    <w:rsid w:val="00FA4447"/>
    <w:rsid w:val="00FA48B0"/>
    <w:rsid w:val="00FA4AD4"/>
    <w:rsid w:val="00FA4DDE"/>
    <w:rsid w:val="00FA5231"/>
    <w:rsid w:val="00FA5A93"/>
    <w:rsid w:val="00FA5DE4"/>
    <w:rsid w:val="00FA5EAD"/>
    <w:rsid w:val="00FA649C"/>
    <w:rsid w:val="00FA67A1"/>
    <w:rsid w:val="00FA681C"/>
    <w:rsid w:val="00FA693E"/>
    <w:rsid w:val="00FA6A2A"/>
    <w:rsid w:val="00FA6C2E"/>
    <w:rsid w:val="00FA6E9A"/>
    <w:rsid w:val="00FA6EDE"/>
    <w:rsid w:val="00FA7094"/>
    <w:rsid w:val="00FA7481"/>
    <w:rsid w:val="00FA7647"/>
    <w:rsid w:val="00FA76CE"/>
    <w:rsid w:val="00FA79BB"/>
    <w:rsid w:val="00FA7A25"/>
    <w:rsid w:val="00FA7A98"/>
    <w:rsid w:val="00FB03F2"/>
    <w:rsid w:val="00FB0879"/>
    <w:rsid w:val="00FB0971"/>
    <w:rsid w:val="00FB0BD9"/>
    <w:rsid w:val="00FB1989"/>
    <w:rsid w:val="00FB19A8"/>
    <w:rsid w:val="00FB2341"/>
    <w:rsid w:val="00FB23C8"/>
    <w:rsid w:val="00FB255D"/>
    <w:rsid w:val="00FB2602"/>
    <w:rsid w:val="00FB2772"/>
    <w:rsid w:val="00FB2A68"/>
    <w:rsid w:val="00FB2A88"/>
    <w:rsid w:val="00FB2D78"/>
    <w:rsid w:val="00FB2F89"/>
    <w:rsid w:val="00FB2FFA"/>
    <w:rsid w:val="00FB314B"/>
    <w:rsid w:val="00FB32CE"/>
    <w:rsid w:val="00FB3339"/>
    <w:rsid w:val="00FB3429"/>
    <w:rsid w:val="00FB36D0"/>
    <w:rsid w:val="00FB3C65"/>
    <w:rsid w:val="00FB3CA3"/>
    <w:rsid w:val="00FB3E56"/>
    <w:rsid w:val="00FB421E"/>
    <w:rsid w:val="00FB4437"/>
    <w:rsid w:val="00FB473F"/>
    <w:rsid w:val="00FB4918"/>
    <w:rsid w:val="00FB49C2"/>
    <w:rsid w:val="00FB4CC9"/>
    <w:rsid w:val="00FB4D01"/>
    <w:rsid w:val="00FB4EE1"/>
    <w:rsid w:val="00FB52F1"/>
    <w:rsid w:val="00FB546F"/>
    <w:rsid w:val="00FB5952"/>
    <w:rsid w:val="00FB5DBC"/>
    <w:rsid w:val="00FB6297"/>
    <w:rsid w:val="00FB62E0"/>
    <w:rsid w:val="00FB6783"/>
    <w:rsid w:val="00FB685B"/>
    <w:rsid w:val="00FB6CF0"/>
    <w:rsid w:val="00FB6E30"/>
    <w:rsid w:val="00FB6F44"/>
    <w:rsid w:val="00FB701A"/>
    <w:rsid w:val="00FB748C"/>
    <w:rsid w:val="00FB7DD0"/>
    <w:rsid w:val="00FB7E89"/>
    <w:rsid w:val="00FC06F1"/>
    <w:rsid w:val="00FC08A3"/>
    <w:rsid w:val="00FC08AA"/>
    <w:rsid w:val="00FC127B"/>
    <w:rsid w:val="00FC148B"/>
    <w:rsid w:val="00FC17BD"/>
    <w:rsid w:val="00FC1BA0"/>
    <w:rsid w:val="00FC1DBA"/>
    <w:rsid w:val="00FC1DCE"/>
    <w:rsid w:val="00FC1E06"/>
    <w:rsid w:val="00FC1E16"/>
    <w:rsid w:val="00FC2258"/>
    <w:rsid w:val="00FC2550"/>
    <w:rsid w:val="00FC2730"/>
    <w:rsid w:val="00FC29EA"/>
    <w:rsid w:val="00FC3209"/>
    <w:rsid w:val="00FC3C7E"/>
    <w:rsid w:val="00FC3CBE"/>
    <w:rsid w:val="00FC405B"/>
    <w:rsid w:val="00FC45EF"/>
    <w:rsid w:val="00FC47CC"/>
    <w:rsid w:val="00FC4B4B"/>
    <w:rsid w:val="00FC525E"/>
    <w:rsid w:val="00FC5369"/>
    <w:rsid w:val="00FC5818"/>
    <w:rsid w:val="00FC58EF"/>
    <w:rsid w:val="00FC5F67"/>
    <w:rsid w:val="00FC6042"/>
    <w:rsid w:val="00FC60C4"/>
    <w:rsid w:val="00FC6110"/>
    <w:rsid w:val="00FC6287"/>
    <w:rsid w:val="00FC6365"/>
    <w:rsid w:val="00FC757A"/>
    <w:rsid w:val="00FC75F7"/>
    <w:rsid w:val="00FC78A4"/>
    <w:rsid w:val="00FC7A7A"/>
    <w:rsid w:val="00FD0001"/>
    <w:rsid w:val="00FD014C"/>
    <w:rsid w:val="00FD1227"/>
    <w:rsid w:val="00FD134E"/>
    <w:rsid w:val="00FD1467"/>
    <w:rsid w:val="00FD154E"/>
    <w:rsid w:val="00FD1822"/>
    <w:rsid w:val="00FD1874"/>
    <w:rsid w:val="00FD1E61"/>
    <w:rsid w:val="00FD1EEE"/>
    <w:rsid w:val="00FD2141"/>
    <w:rsid w:val="00FD23CA"/>
    <w:rsid w:val="00FD263C"/>
    <w:rsid w:val="00FD26E5"/>
    <w:rsid w:val="00FD28CF"/>
    <w:rsid w:val="00FD291A"/>
    <w:rsid w:val="00FD296A"/>
    <w:rsid w:val="00FD2AFD"/>
    <w:rsid w:val="00FD2C8A"/>
    <w:rsid w:val="00FD2EE9"/>
    <w:rsid w:val="00FD2F75"/>
    <w:rsid w:val="00FD3702"/>
    <w:rsid w:val="00FD39B7"/>
    <w:rsid w:val="00FD3A55"/>
    <w:rsid w:val="00FD3BA0"/>
    <w:rsid w:val="00FD3C49"/>
    <w:rsid w:val="00FD3FF3"/>
    <w:rsid w:val="00FD439D"/>
    <w:rsid w:val="00FD479F"/>
    <w:rsid w:val="00FD4E41"/>
    <w:rsid w:val="00FD4E45"/>
    <w:rsid w:val="00FD505D"/>
    <w:rsid w:val="00FD5187"/>
    <w:rsid w:val="00FD56AD"/>
    <w:rsid w:val="00FD57C7"/>
    <w:rsid w:val="00FD5BF9"/>
    <w:rsid w:val="00FD6235"/>
    <w:rsid w:val="00FD648B"/>
    <w:rsid w:val="00FD66E9"/>
    <w:rsid w:val="00FD681A"/>
    <w:rsid w:val="00FD713B"/>
    <w:rsid w:val="00FD76B1"/>
    <w:rsid w:val="00FD7884"/>
    <w:rsid w:val="00FD7A5A"/>
    <w:rsid w:val="00FD7A90"/>
    <w:rsid w:val="00FD7CB0"/>
    <w:rsid w:val="00FE04B8"/>
    <w:rsid w:val="00FE05D6"/>
    <w:rsid w:val="00FE06E0"/>
    <w:rsid w:val="00FE092E"/>
    <w:rsid w:val="00FE0A1D"/>
    <w:rsid w:val="00FE0AE2"/>
    <w:rsid w:val="00FE0B9E"/>
    <w:rsid w:val="00FE0F14"/>
    <w:rsid w:val="00FE1414"/>
    <w:rsid w:val="00FE1BB4"/>
    <w:rsid w:val="00FE2170"/>
    <w:rsid w:val="00FE21B3"/>
    <w:rsid w:val="00FE2333"/>
    <w:rsid w:val="00FE2789"/>
    <w:rsid w:val="00FE27F4"/>
    <w:rsid w:val="00FE29DB"/>
    <w:rsid w:val="00FE2A6B"/>
    <w:rsid w:val="00FE30F6"/>
    <w:rsid w:val="00FE3753"/>
    <w:rsid w:val="00FE3ABA"/>
    <w:rsid w:val="00FE3FF7"/>
    <w:rsid w:val="00FE4009"/>
    <w:rsid w:val="00FE43A9"/>
    <w:rsid w:val="00FE44C9"/>
    <w:rsid w:val="00FE4A60"/>
    <w:rsid w:val="00FE4C3C"/>
    <w:rsid w:val="00FE4CD8"/>
    <w:rsid w:val="00FE4D9B"/>
    <w:rsid w:val="00FE4E8D"/>
    <w:rsid w:val="00FE540D"/>
    <w:rsid w:val="00FE5540"/>
    <w:rsid w:val="00FE560B"/>
    <w:rsid w:val="00FE5B80"/>
    <w:rsid w:val="00FE5F3B"/>
    <w:rsid w:val="00FE5FAF"/>
    <w:rsid w:val="00FE6021"/>
    <w:rsid w:val="00FE634B"/>
    <w:rsid w:val="00FE63FD"/>
    <w:rsid w:val="00FE6EB2"/>
    <w:rsid w:val="00FE76FB"/>
    <w:rsid w:val="00FE77A2"/>
    <w:rsid w:val="00FE78D3"/>
    <w:rsid w:val="00FE7CA2"/>
    <w:rsid w:val="00FE7EE2"/>
    <w:rsid w:val="00FF05A6"/>
    <w:rsid w:val="00FF0A05"/>
    <w:rsid w:val="00FF0CFB"/>
    <w:rsid w:val="00FF1095"/>
    <w:rsid w:val="00FF1163"/>
    <w:rsid w:val="00FF13DC"/>
    <w:rsid w:val="00FF16BE"/>
    <w:rsid w:val="00FF17BA"/>
    <w:rsid w:val="00FF208B"/>
    <w:rsid w:val="00FF2163"/>
    <w:rsid w:val="00FF2237"/>
    <w:rsid w:val="00FF23E8"/>
    <w:rsid w:val="00FF2719"/>
    <w:rsid w:val="00FF2772"/>
    <w:rsid w:val="00FF29B5"/>
    <w:rsid w:val="00FF2ADE"/>
    <w:rsid w:val="00FF2CF6"/>
    <w:rsid w:val="00FF2D1C"/>
    <w:rsid w:val="00FF2D24"/>
    <w:rsid w:val="00FF357B"/>
    <w:rsid w:val="00FF360A"/>
    <w:rsid w:val="00FF3B86"/>
    <w:rsid w:val="00FF3B8E"/>
    <w:rsid w:val="00FF4194"/>
    <w:rsid w:val="00FF4703"/>
    <w:rsid w:val="00FF4B37"/>
    <w:rsid w:val="00FF4FB5"/>
    <w:rsid w:val="00FF4FF7"/>
    <w:rsid w:val="00FF531C"/>
    <w:rsid w:val="00FF5327"/>
    <w:rsid w:val="00FF5374"/>
    <w:rsid w:val="00FF5896"/>
    <w:rsid w:val="00FF59D5"/>
    <w:rsid w:val="00FF5B68"/>
    <w:rsid w:val="00FF65A5"/>
    <w:rsid w:val="00FF65BA"/>
    <w:rsid w:val="00FF6644"/>
    <w:rsid w:val="00FF6BBB"/>
    <w:rsid w:val="00FF701E"/>
    <w:rsid w:val="00FF744F"/>
    <w:rsid w:val="00FF7D47"/>
    <w:rsid w:val="00FF7EB5"/>
    <w:rsid w:val="00FF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width-percent:400;mso-height-percent:200;mso-width-relative:margin;mso-height-relative:margin" fillcolor="white">
      <v:fill color="white"/>
      <v:textbox style="mso-fit-shape-to-text:t"/>
      <o:colormru v:ext="edit" colors="#bd1f2b,#cf1e24,#d90b13,#e31c18"/>
    </o:shapedefaults>
    <o:shapelayout v:ext="edit">
      <o:idmap v:ext="edit" data="1"/>
    </o:shapelayout>
  </w:shapeDefaults>
  <w:decimalSymbol w:val=","/>
  <w:listSeparator w:val=";"/>
  <w14:docId w14:val="41CA60EB"/>
  <w15:docId w15:val="{F4915719-8CA8-4039-8467-5186AF6E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E620F"/>
    <w:pPr>
      <w:widowControl w:val="0"/>
      <w:overflowPunct w:val="0"/>
      <w:autoSpaceDE w:val="0"/>
      <w:autoSpaceDN w:val="0"/>
      <w:adjustRightInd w:val="0"/>
      <w:spacing w:before="100" w:after="100"/>
    </w:pPr>
    <w:rPr>
      <w:kern w:val="28"/>
    </w:rPr>
  </w:style>
  <w:style w:type="paragraph" w:styleId="Titolo1">
    <w:name w:val="heading 1"/>
    <w:basedOn w:val="Normale"/>
    <w:next w:val="Normale"/>
    <w:link w:val="Titolo1Carattere"/>
    <w:uiPriority w:val="99"/>
    <w:qFormat/>
    <w:rsid w:val="00BC3FFD"/>
    <w:pPr>
      <w:keepNext/>
      <w:spacing w:before="0" w:after="120"/>
      <w:jc w:val="both"/>
      <w:outlineLvl w:val="0"/>
    </w:pPr>
    <w:rPr>
      <w:rFonts w:ascii="Cambria" w:hAnsi="Cambria"/>
      <w:b/>
      <w:kern w:val="32"/>
      <w:sz w:val="32"/>
    </w:rPr>
  </w:style>
  <w:style w:type="paragraph" w:styleId="Titolo3">
    <w:name w:val="heading 3"/>
    <w:basedOn w:val="Normale"/>
    <w:next w:val="Normale"/>
    <w:link w:val="Titolo3Carattere"/>
    <w:unhideWhenUsed/>
    <w:qFormat/>
    <w:locked/>
    <w:rsid w:val="00E77400"/>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qFormat/>
    <w:locked/>
    <w:rsid w:val="00CD17F5"/>
    <w:pPr>
      <w:keepNext/>
      <w:keepLines/>
      <w:spacing w:before="200" w:after="0"/>
      <w:outlineLvl w:val="3"/>
    </w:pPr>
    <w:rPr>
      <w:rFonts w:ascii="Cambria" w:hAnsi="Cambria"/>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226782"/>
    <w:rPr>
      <w:rFonts w:ascii="Cambria" w:hAnsi="Cambria" w:cs="Times New Roman"/>
      <w:b/>
      <w:kern w:val="32"/>
      <w:sz w:val="32"/>
    </w:rPr>
  </w:style>
  <w:style w:type="paragraph" w:styleId="Corpotesto">
    <w:name w:val="Body Text"/>
    <w:basedOn w:val="Normale"/>
    <w:link w:val="CorpotestoCarattere"/>
    <w:uiPriority w:val="99"/>
    <w:rsid w:val="00BC3FFD"/>
    <w:pPr>
      <w:spacing w:before="0" w:after="0" w:line="360" w:lineRule="auto"/>
    </w:pPr>
  </w:style>
  <w:style w:type="character" w:customStyle="1" w:styleId="CorpotestoCarattere">
    <w:name w:val="Corpo testo Carattere"/>
    <w:link w:val="Corpotesto"/>
    <w:uiPriority w:val="99"/>
    <w:locked/>
    <w:rsid w:val="00226782"/>
    <w:rPr>
      <w:rFonts w:cs="Times New Roman"/>
      <w:kern w:val="28"/>
      <w:sz w:val="20"/>
    </w:rPr>
  </w:style>
  <w:style w:type="paragraph" w:styleId="Pidipagina">
    <w:name w:val="footer"/>
    <w:basedOn w:val="Normale"/>
    <w:link w:val="PidipaginaCarattere"/>
    <w:uiPriority w:val="99"/>
    <w:rsid w:val="00BC3FFD"/>
    <w:pPr>
      <w:tabs>
        <w:tab w:val="center" w:pos="4818"/>
        <w:tab w:val="right" w:pos="9637"/>
      </w:tabs>
      <w:spacing w:before="0" w:after="0"/>
      <w:jc w:val="both"/>
    </w:pPr>
  </w:style>
  <w:style w:type="character" w:customStyle="1" w:styleId="PidipaginaCarattere">
    <w:name w:val="Piè di pagina Carattere"/>
    <w:link w:val="Pidipagina"/>
    <w:uiPriority w:val="99"/>
    <w:locked/>
    <w:rsid w:val="00226782"/>
    <w:rPr>
      <w:rFonts w:cs="Times New Roman"/>
      <w:kern w:val="28"/>
      <w:sz w:val="20"/>
    </w:rPr>
  </w:style>
  <w:style w:type="character" w:styleId="Collegamentoipertestuale">
    <w:name w:val="Hyperlink"/>
    <w:uiPriority w:val="99"/>
    <w:rsid w:val="001F7282"/>
    <w:rPr>
      <w:rFonts w:cs="Times New Roman"/>
      <w:color w:val="0000FF"/>
      <w:u w:val="single"/>
    </w:rPr>
  </w:style>
  <w:style w:type="paragraph" w:styleId="Intestazione">
    <w:name w:val="header"/>
    <w:basedOn w:val="Normale"/>
    <w:link w:val="IntestazioneCarattere"/>
    <w:uiPriority w:val="99"/>
    <w:rsid w:val="000F6161"/>
    <w:pPr>
      <w:tabs>
        <w:tab w:val="center" w:pos="4819"/>
        <w:tab w:val="right" w:pos="9638"/>
      </w:tabs>
    </w:pPr>
  </w:style>
  <w:style w:type="character" w:customStyle="1" w:styleId="IntestazioneCarattere">
    <w:name w:val="Intestazione Carattere"/>
    <w:link w:val="Intestazione"/>
    <w:uiPriority w:val="99"/>
    <w:locked/>
    <w:rsid w:val="00226782"/>
    <w:rPr>
      <w:rFonts w:cs="Times New Roman"/>
      <w:kern w:val="28"/>
      <w:sz w:val="20"/>
    </w:rPr>
  </w:style>
  <w:style w:type="character" w:styleId="Numeropagina">
    <w:name w:val="page number"/>
    <w:uiPriority w:val="99"/>
    <w:rsid w:val="0026018C"/>
    <w:rPr>
      <w:rFonts w:cs="Times New Roman"/>
    </w:rPr>
  </w:style>
  <w:style w:type="paragraph" w:styleId="Testofumetto">
    <w:name w:val="Balloon Text"/>
    <w:basedOn w:val="Normale"/>
    <w:link w:val="TestofumettoCarattere"/>
    <w:uiPriority w:val="99"/>
    <w:semiHidden/>
    <w:rsid w:val="00177362"/>
    <w:rPr>
      <w:sz w:val="28"/>
    </w:rPr>
  </w:style>
  <w:style w:type="character" w:customStyle="1" w:styleId="TestofumettoCarattere">
    <w:name w:val="Testo fumetto Carattere"/>
    <w:link w:val="Testofumetto"/>
    <w:uiPriority w:val="99"/>
    <w:semiHidden/>
    <w:locked/>
    <w:rsid w:val="00177362"/>
    <w:rPr>
      <w:kern w:val="28"/>
      <w:sz w:val="28"/>
    </w:rPr>
  </w:style>
  <w:style w:type="paragraph" w:styleId="NormaleWeb">
    <w:name w:val="Normal (Web)"/>
    <w:basedOn w:val="Normale"/>
    <w:uiPriority w:val="99"/>
    <w:rsid w:val="00100058"/>
    <w:pPr>
      <w:widowControl/>
      <w:overflowPunct/>
      <w:autoSpaceDE/>
      <w:autoSpaceDN/>
      <w:adjustRightInd/>
      <w:spacing w:beforeAutospacing="1" w:afterAutospacing="1"/>
    </w:pPr>
    <w:rPr>
      <w:kern w:val="0"/>
      <w:sz w:val="24"/>
      <w:szCs w:val="24"/>
    </w:rPr>
  </w:style>
  <w:style w:type="paragraph" w:styleId="PreformattatoHTML">
    <w:name w:val="HTML Preformatted"/>
    <w:basedOn w:val="Normale"/>
    <w:link w:val="PreformattatoHTMLCarattere"/>
    <w:uiPriority w:val="99"/>
    <w:rsid w:val="009060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pPr>
    <w:rPr>
      <w:rFonts w:ascii="Courier New" w:hAnsi="Courier New"/>
    </w:rPr>
  </w:style>
  <w:style w:type="character" w:customStyle="1" w:styleId="PreformattatoHTMLCarattere">
    <w:name w:val="Preformattato HTML Carattere"/>
    <w:link w:val="PreformattatoHTML"/>
    <w:uiPriority w:val="99"/>
    <w:locked/>
    <w:rsid w:val="00226782"/>
    <w:rPr>
      <w:rFonts w:ascii="Courier New" w:hAnsi="Courier New" w:cs="Times New Roman"/>
      <w:kern w:val="28"/>
      <w:sz w:val="20"/>
    </w:rPr>
  </w:style>
  <w:style w:type="character" w:styleId="Enfasigrassetto">
    <w:name w:val="Strong"/>
    <w:uiPriority w:val="99"/>
    <w:qFormat/>
    <w:rsid w:val="008C6EAA"/>
    <w:rPr>
      <w:rFonts w:cs="Times New Roman"/>
      <w:b/>
    </w:rPr>
  </w:style>
  <w:style w:type="table" w:styleId="Grigliatabella">
    <w:name w:val="Table Grid"/>
    <w:basedOn w:val="Tabellanormale"/>
    <w:uiPriority w:val="99"/>
    <w:locked/>
    <w:rsid w:val="00E75D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uiPriority w:val="99"/>
    <w:rsid w:val="00E75DCC"/>
  </w:style>
  <w:style w:type="paragraph" w:styleId="Testonotaapidipagina">
    <w:name w:val="footnote text"/>
    <w:basedOn w:val="Normale"/>
    <w:link w:val="TestonotaapidipaginaCarattere"/>
    <w:uiPriority w:val="99"/>
    <w:rsid w:val="006C145B"/>
  </w:style>
  <w:style w:type="character" w:customStyle="1" w:styleId="TestonotaapidipaginaCarattere">
    <w:name w:val="Testo nota a piè di pagina Carattere"/>
    <w:link w:val="Testonotaapidipagina"/>
    <w:uiPriority w:val="99"/>
    <w:locked/>
    <w:rsid w:val="00F05FF9"/>
    <w:rPr>
      <w:rFonts w:cs="Times New Roman"/>
      <w:kern w:val="28"/>
      <w:sz w:val="20"/>
    </w:rPr>
  </w:style>
  <w:style w:type="character" w:styleId="Rimandonotaapidipagina">
    <w:name w:val="footnote reference"/>
    <w:rsid w:val="006C145B"/>
    <w:rPr>
      <w:rFonts w:cs="Times New Roman"/>
      <w:vertAlign w:val="superscript"/>
    </w:rPr>
  </w:style>
  <w:style w:type="character" w:styleId="Enfasicorsivo">
    <w:name w:val="Emphasis"/>
    <w:uiPriority w:val="99"/>
    <w:qFormat/>
    <w:locked/>
    <w:rsid w:val="00E80FB8"/>
    <w:rPr>
      <w:rFonts w:cs="Times New Roman"/>
      <w:i/>
    </w:rPr>
  </w:style>
  <w:style w:type="paragraph" w:customStyle="1" w:styleId="Grigliamedia1-Colore21">
    <w:name w:val="Griglia media 1 - Colore 21"/>
    <w:basedOn w:val="Normale"/>
    <w:uiPriority w:val="34"/>
    <w:qFormat/>
    <w:rsid w:val="0022535F"/>
    <w:pPr>
      <w:ind w:left="720"/>
      <w:contextualSpacing/>
    </w:pPr>
  </w:style>
  <w:style w:type="character" w:styleId="Rimandocommento">
    <w:name w:val="annotation reference"/>
    <w:uiPriority w:val="99"/>
    <w:semiHidden/>
    <w:unhideWhenUsed/>
    <w:rsid w:val="00407D29"/>
    <w:rPr>
      <w:sz w:val="16"/>
      <w:szCs w:val="16"/>
    </w:rPr>
  </w:style>
  <w:style w:type="paragraph" w:styleId="Testocommento">
    <w:name w:val="annotation text"/>
    <w:basedOn w:val="Normale"/>
    <w:link w:val="TestocommentoCarattere"/>
    <w:uiPriority w:val="99"/>
    <w:semiHidden/>
    <w:unhideWhenUsed/>
    <w:rsid w:val="00407D29"/>
  </w:style>
  <w:style w:type="character" w:customStyle="1" w:styleId="TestocommentoCarattere">
    <w:name w:val="Testo commento Carattere"/>
    <w:link w:val="Testocommento"/>
    <w:uiPriority w:val="99"/>
    <w:semiHidden/>
    <w:rsid w:val="00407D29"/>
    <w:rPr>
      <w:kern w:val="28"/>
      <w:sz w:val="20"/>
      <w:szCs w:val="20"/>
    </w:rPr>
  </w:style>
  <w:style w:type="paragraph" w:styleId="Soggettocommento">
    <w:name w:val="annotation subject"/>
    <w:basedOn w:val="Testocommento"/>
    <w:next w:val="Testocommento"/>
    <w:link w:val="SoggettocommentoCarattere"/>
    <w:uiPriority w:val="99"/>
    <w:semiHidden/>
    <w:unhideWhenUsed/>
    <w:rsid w:val="00407D29"/>
    <w:rPr>
      <w:b/>
      <w:bCs/>
    </w:rPr>
  </w:style>
  <w:style w:type="character" w:customStyle="1" w:styleId="SoggettocommentoCarattere">
    <w:name w:val="Soggetto commento Carattere"/>
    <w:link w:val="Soggettocommento"/>
    <w:uiPriority w:val="99"/>
    <w:semiHidden/>
    <w:rsid w:val="00407D29"/>
    <w:rPr>
      <w:b/>
      <w:bCs/>
      <w:kern w:val="28"/>
      <w:sz w:val="20"/>
      <w:szCs w:val="20"/>
    </w:rPr>
  </w:style>
  <w:style w:type="paragraph" w:styleId="Sottotitolo">
    <w:name w:val="Subtitle"/>
    <w:basedOn w:val="Normale"/>
    <w:next w:val="Normale"/>
    <w:link w:val="SottotitoloCarattere"/>
    <w:qFormat/>
    <w:locked/>
    <w:rsid w:val="006166D3"/>
    <w:pPr>
      <w:numPr>
        <w:ilvl w:val="1"/>
      </w:numPr>
    </w:pPr>
    <w:rPr>
      <w:rFonts w:ascii="Cambria" w:hAnsi="Cambria"/>
      <w:i/>
      <w:iCs/>
      <w:color w:val="4F81BD"/>
      <w:spacing w:val="15"/>
      <w:sz w:val="24"/>
      <w:szCs w:val="24"/>
    </w:rPr>
  </w:style>
  <w:style w:type="character" w:customStyle="1" w:styleId="SottotitoloCarattere">
    <w:name w:val="Sottotitolo Carattere"/>
    <w:link w:val="Sottotitolo"/>
    <w:rsid w:val="006166D3"/>
    <w:rPr>
      <w:rFonts w:ascii="Cambria" w:eastAsia="Times New Roman" w:hAnsi="Cambria" w:cs="Times New Roman"/>
      <w:i/>
      <w:iCs/>
      <w:color w:val="4F81BD"/>
      <w:spacing w:val="15"/>
      <w:kern w:val="28"/>
      <w:sz w:val="24"/>
      <w:szCs w:val="24"/>
    </w:rPr>
  </w:style>
  <w:style w:type="character" w:customStyle="1" w:styleId="Titolo4Carattere">
    <w:name w:val="Titolo 4 Carattere"/>
    <w:link w:val="Titolo4"/>
    <w:uiPriority w:val="9"/>
    <w:rsid w:val="00CD17F5"/>
    <w:rPr>
      <w:rFonts w:ascii="Cambria" w:eastAsia="Times New Roman" w:hAnsi="Cambria" w:cs="Times New Roman"/>
      <w:b/>
      <w:bCs/>
      <w:i/>
      <w:iCs/>
      <w:color w:val="4F81BD"/>
      <w:kern w:val="28"/>
      <w:sz w:val="20"/>
      <w:szCs w:val="20"/>
    </w:rPr>
  </w:style>
  <w:style w:type="paragraph" w:customStyle="1" w:styleId="Default">
    <w:name w:val="Default"/>
    <w:uiPriority w:val="99"/>
    <w:rsid w:val="00417ECD"/>
    <w:pPr>
      <w:autoSpaceDE w:val="0"/>
      <w:autoSpaceDN w:val="0"/>
      <w:adjustRightInd w:val="0"/>
    </w:pPr>
    <w:rPr>
      <w:rFonts w:ascii="Arial Narrow" w:hAnsi="Arial Narrow"/>
      <w:color w:val="000000"/>
      <w:sz w:val="24"/>
      <w:szCs w:val="24"/>
    </w:rPr>
  </w:style>
  <w:style w:type="paragraph" w:customStyle="1" w:styleId="Paragrafobase">
    <w:name w:val="[Paragrafo base]"/>
    <w:basedOn w:val="Normale"/>
    <w:uiPriority w:val="99"/>
    <w:rsid w:val="00083173"/>
    <w:pPr>
      <w:overflowPunct/>
      <w:spacing w:before="0" w:after="0" w:line="288" w:lineRule="auto"/>
      <w:textAlignment w:val="center"/>
    </w:pPr>
    <w:rPr>
      <w:rFonts w:ascii="Times-Roman" w:hAnsi="Times-Roman" w:cs="Times-Roman"/>
      <w:color w:val="000000"/>
      <w:kern w:val="0"/>
      <w:sz w:val="24"/>
      <w:szCs w:val="24"/>
    </w:rPr>
  </w:style>
  <w:style w:type="table" w:customStyle="1" w:styleId="Grigliatabella1">
    <w:name w:val="Griglia tabella1"/>
    <w:basedOn w:val="Tabellanormale"/>
    <w:next w:val="Grigliatabella"/>
    <w:uiPriority w:val="99"/>
    <w:rsid w:val="00A3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TitoGra">
    <w:name w:val="001TitoGra"/>
    <w:basedOn w:val="Normale"/>
    <w:qFormat/>
    <w:rsid w:val="00FF1163"/>
    <w:pPr>
      <w:spacing w:before="0" w:after="0" w:line="240" w:lineRule="exact"/>
    </w:pPr>
    <w:rPr>
      <w:rFonts w:ascii="Arial Narrow" w:hAnsi="Arial Narrow" w:cs="Arial"/>
      <w:b/>
      <w:color w:val="5F5F5F"/>
      <w:sz w:val="22"/>
      <w:szCs w:val="22"/>
    </w:rPr>
  </w:style>
  <w:style w:type="paragraph" w:customStyle="1" w:styleId="001TitoloBolocco">
    <w:name w:val="001TitoloBolocco"/>
    <w:basedOn w:val="Titolo1"/>
    <w:link w:val="001TitoloBoloccoCarattere"/>
    <w:qFormat/>
    <w:rsid w:val="00FA4447"/>
    <w:pPr>
      <w:pBdr>
        <w:bottom w:val="single" w:sz="18" w:space="1" w:color="E31C18"/>
      </w:pBdr>
      <w:spacing w:after="240" w:line="240" w:lineRule="exact"/>
    </w:pPr>
    <w:rPr>
      <w:rFonts w:ascii="Calibri" w:hAnsi="Calibri" w:cs="Arial"/>
      <w:bCs/>
      <w:caps/>
      <w:color w:val="000000"/>
      <w:sz w:val="26"/>
      <w:szCs w:val="28"/>
    </w:rPr>
  </w:style>
  <w:style w:type="character" w:customStyle="1" w:styleId="001TitoloBoloccoCarattere">
    <w:name w:val="001TitoloBolocco Carattere"/>
    <w:link w:val="001TitoloBolocco"/>
    <w:rsid w:val="00FA4447"/>
    <w:rPr>
      <w:rFonts w:ascii="Calibri" w:hAnsi="Calibri" w:cs="Arial"/>
      <w:b/>
      <w:bCs/>
      <w:caps/>
      <w:color w:val="000000"/>
      <w:kern w:val="32"/>
      <w:sz w:val="26"/>
      <w:szCs w:val="28"/>
    </w:rPr>
  </w:style>
  <w:style w:type="paragraph" w:customStyle="1" w:styleId="00TitoGra1">
    <w:name w:val="00TitoGra1"/>
    <w:basedOn w:val="Normale"/>
    <w:qFormat/>
    <w:rsid w:val="00E53642"/>
    <w:pPr>
      <w:spacing w:before="0" w:after="0" w:line="280" w:lineRule="exact"/>
    </w:pPr>
    <w:rPr>
      <w:rFonts w:ascii="Calibri" w:hAnsi="Calibri" w:cs="Arial"/>
      <w:b/>
      <w:color w:val="D90B13"/>
      <w:sz w:val="28"/>
      <w:szCs w:val="28"/>
    </w:rPr>
  </w:style>
  <w:style w:type="character" w:customStyle="1" w:styleId="001TitoGraRed">
    <w:name w:val="001TitoGraRed"/>
    <w:uiPriority w:val="1"/>
    <w:qFormat/>
    <w:rsid w:val="00FF1163"/>
    <w:rPr>
      <w:color w:val="E31C18"/>
    </w:rPr>
  </w:style>
  <w:style w:type="paragraph" w:customStyle="1" w:styleId="001SottotitoloGra">
    <w:name w:val="001SottotitoloGra"/>
    <w:basedOn w:val="001TitoGra"/>
    <w:qFormat/>
    <w:rsid w:val="00FF1163"/>
    <w:pPr>
      <w:spacing w:after="120"/>
    </w:pPr>
    <w:rPr>
      <w:b w:val="0"/>
      <w:sz w:val="20"/>
      <w:szCs w:val="20"/>
    </w:rPr>
  </w:style>
  <w:style w:type="paragraph" w:styleId="Rientrocorpodeltesto">
    <w:name w:val="Body Text Indent"/>
    <w:basedOn w:val="Normale"/>
    <w:link w:val="RientrocorpodeltestoCarattere"/>
    <w:uiPriority w:val="99"/>
    <w:semiHidden/>
    <w:unhideWhenUsed/>
    <w:rsid w:val="00A53D09"/>
    <w:pPr>
      <w:spacing w:after="120"/>
      <w:ind w:left="283"/>
    </w:pPr>
  </w:style>
  <w:style w:type="character" w:customStyle="1" w:styleId="RientrocorpodeltestoCarattere">
    <w:name w:val="Rientro corpo del testo Carattere"/>
    <w:link w:val="Rientrocorpodeltesto"/>
    <w:uiPriority w:val="99"/>
    <w:semiHidden/>
    <w:rsid w:val="00A53D09"/>
    <w:rPr>
      <w:kern w:val="28"/>
    </w:rPr>
  </w:style>
  <w:style w:type="character" w:customStyle="1" w:styleId="st">
    <w:name w:val="st"/>
    <w:rsid w:val="00431975"/>
  </w:style>
  <w:style w:type="paragraph" w:styleId="Paragrafoelenco">
    <w:name w:val="List Paragraph"/>
    <w:basedOn w:val="Normale"/>
    <w:uiPriority w:val="34"/>
    <w:qFormat/>
    <w:rsid w:val="00011C85"/>
    <w:pPr>
      <w:widowControl/>
      <w:overflowPunct/>
      <w:autoSpaceDE/>
      <w:autoSpaceDN/>
      <w:adjustRightInd/>
      <w:spacing w:before="0" w:after="0"/>
      <w:ind w:left="720"/>
      <w:contextualSpacing/>
    </w:pPr>
    <w:rPr>
      <w:rFonts w:ascii="Calibri" w:eastAsia="Calibri" w:hAnsi="Calibri"/>
      <w:kern w:val="0"/>
      <w:sz w:val="24"/>
      <w:szCs w:val="24"/>
    </w:rPr>
  </w:style>
  <w:style w:type="character" w:styleId="Collegamentovisitato">
    <w:name w:val="FollowedHyperlink"/>
    <w:basedOn w:val="Carpredefinitoparagrafo"/>
    <w:uiPriority w:val="99"/>
    <w:semiHidden/>
    <w:unhideWhenUsed/>
    <w:rsid w:val="00C55AE4"/>
    <w:rPr>
      <w:color w:val="800080" w:themeColor="followedHyperlink"/>
      <w:u w:val="single"/>
    </w:rPr>
  </w:style>
  <w:style w:type="paragraph" w:styleId="Corpodeltesto2">
    <w:name w:val="Body Text 2"/>
    <w:basedOn w:val="Normale"/>
    <w:link w:val="Corpodeltesto2Carattere"/>
    <w:uiPriority w:val="99"/>
    <w:unhideWhenUsed/>
    <w:rsid w:val="003A0D1A"/>
    <w:pPr>
      <w:spacing w:after="120" w:line="480" w:lineRule="auto"/>
    </w:pPr>
  </w:style>
  <w:style w:type="character" w:customStyle="1" w:styleId="Corpodeltesto2Carattere">
    <w:name w:val="Corpo del testo 2 Carattere"/>
    <w:basedOn w:val="Carpredefinitoparagrafo"/>
    <w:link w:val="Corpodeltesto2"/>
    <w:uiPriority w:val="99"/>
    <w:rsid w:val="003A0D1A"/>
    <w:rPr>
      <w:kern w:val="28"/>
    </w:rPr>
  </w:style>
  <w:style w:type="paragraph" w:customStyle="1" w:styleId="Elencoacolori-Colore11">
    <w:name w:val="Elenco a colori - Colore 11"/>
    <w:basedOn w:val="Normale"/>
    <w:uiPriority w:val="34"/>
    <w:qFormat/>
    <w:rsid w:val="003D697C"/>
    <w:pPr>
      <w:widowControl/>
      <w:overflowPunct/>
      <w:autoSpaceDE/>
      <w:autoSpaceDN/>
      <w:adjustRightInd/>
      <w:spacing w:before="0" w:after="0"/>
      <w:ind w:left="720"/>
      <w:contextualSpacing/>
    </w:pPr>
    <w:rPr>
      <w:rFonts w:ascii="Calibri" w:eastAsia="Calibri" w:hAnsi="Calibri"/>
      <w:kern w:val="0"/>
      <w:sz w:val="24"/>
      <w:szCs w:val="24"/>
    </w:rPr>
  </w:style>
  <w:style w:type="character" w:customStyle="1" w:styleId="Corpodeltesto2Carattere1">
    <w:name w:val="Corpo del testo 2 Carattere1"/>
    <w:uiPriority w:val="99"/>
    <w:semiHidden/>
    <w:rsid w:val="003D697C"/>
    <w:rPr>
      <w:kern w:val="28"/>
    </w:rPr>
  </w:style>
  <w:style w:type="character" w:customStyle="1" w:styleId="TestonotaapidipaginaCarattere1">
    <w:name w:val="Testo nota a piè di pagina Carattere1"/>
    <w:uiPriority w:val="99"/>
    <w:semiHidden/>
    <w:rsid w:val="003D697C"/>
    <w:rPr>
      <w:sz w:val="20"/>
    </w:rPr>
  </w:style>
  <w:style w:type="paragraph" w:customStyle="1" w:styleId="Rientrocorpodeltesto31">
    <w:name w:val="Rientro corpo del testo 31"/>
    <w:basedOn w:val="Normale"/>
    <w:uiPriority w:val="99"/>
    <w:rsid w:val="003D697C"/>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verflowPunct/>
      <w:autoSpaceDE/>
      <w:autoSpaceDN/>
      <w:adjustRightInd/>
      <w:spacing w:before="0" w:after="0" w:line="240" w:lineRule="exact"/>
      <w:ind w:left="-567"/>
      <w:jc w:val="both"/>
    </w:pPr>
    <w:rPr>
      <w:spacing w:val="-3"/>
      <w:kern w:val="0"/>
      <w:sz w:val="22"/>
      <w:lang w:eastAsia="ar-SA"/>
    </w:rPr>
  </w:style>
  <w:style w:type="character" w:customStyle="1" w:styleId="Titolo3Carattere">
    <w:name w:val="Titolo 3 Carattere"/>
    <w:basedOn w:val="Carpredefinitoparagrafo"/>
    <w:link w:val="Titolo3"/>
    <w:rsid w:val="00E77400"/>
    <w:rPr>
      <w:rFonts w:asciiTheme="majorHAnsi" w:eastAsiaTheme="majorEastAsia" w:hAnsiTheme="majorHAnsi" w:cstheme="majorBidi"/>
      <w:b/>
      <w:bCs/>
      <w:color w:val="4F81BD" w:themeColor="accent1"/>
      <w:kern w:val="28"/>
    </w:rPr>
  </w:style>
  <w:style w:type="paragraph" w:styleId="Revisione">
    <w:name w:val="Revision"/>
    <w:hidden/>
    <w:uiPriority w:val="71"/>
    <w:rsid w:val="001D330A"/>
    <w:rPr>
      <w:kern w:val="28"/>
    </w:rPr>
  </w:style>
  <w:style w:type="paragraph" w:styleId="Testonotadichiusura">
    <w:name w:val="endnote text"/>
    <w:basedOn w:val="Normale"/>
    <w:link w:val="TestonotadichiusuraCarattere"/>
    <w:uiPriority w:val="99"/>
    <w:semiHidden/>
    <w:unhideWhenUsed/>
    <w:rsid w:val="003E5E5A"/>
    <w:pPr>
      <w:spacing w:before="0" w:after="0"/>
    </w:pPr>
  </w:style>
  <w:style w:type="character" w:customStyle="1" w:styleId="TestonotadichiusuraCarattere">
    <w:name w:val="Testo nota di chiusura Carattere"/>
    <w:basedOn w:val="Carpredefinitoparagrafo"/>
    <w:link w:val="Testonotadichiusura"/>
    <w:uiPriority w:val="99"/>
    <w:semiHidden/>
    <w:rsid w:val="003E5E5A"/>
    <w:rPr>
      <w:kern w:val="28"/>
    </w:rPr>
  </w:style>
  <w:style w:type="character" w:styleId="Rimandonotadichiusura">
    <w:name w:val="endnote reference"/>
    <w:basedOn w:val="Carpredefinitoparagrafo"/>
    <w:uiPriority w:val="99"/>
    <w:semiHidden/>
    <w:unhideWhenUsed/>
    <w:rsid w:val="003E5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486">
      <w:bodyDiv w:val="1"/>
      <w:marLeft w:val="0"/>
      <w:marRight w:val="0"/>
      <w:marTop w:val="0"/>
      <w:marBottom w:val="0"/>
      <w:divBdr>
        <w:top w:val="none" w:sz="0" w:space="0" w:color="auto"/>
        <w:left w:val="none" w:sz="0" w:space="0" w:color="auto"/>
        <w:bottom w:val="none" w:sz="0" w:space="0" w:color="auto"/>
        <w:right w:val="none" w:sz="0" w:space="0" w:color="auto"/>
      </w:divBdr>
    </w:div>
    <w:div w:id="6180447">
      <w:bodyDiv w:val="1"/>
      <w:marLeft w:val="0"/>
      <w:marRight w:val="0"/>
      <w:marTop w:val="0"/>
      <w:marBottom w:val="0"/>
      <w:divBdr>
        <w:top w:val="none" w:sz="0" w:space="0" w:color="auto"/>
        <w:left w:val="none" w:sz="0" w:space="0" w:color="auto"/>
        <w:bottom w:val="none" w:sz="0" w:space="0" w:color="auto"/>
        <w:right w:val="none" w:sz="0" w:space="0" w:color="auto"/>
      </w:divBdr>
    </w:div>
    <w:div w:id="29649862">
      <w:bodyDiv w:val="1"/>
      <w:marLeft w:val="0"/>
      <w:marRight w:val="0"/>
      <w:marTop w:val="0"/>
      <w:marBottom w:val="0"/>
      <w:divBdr>
        <w:top w:val="none" w:sz="0" w:space="0" w:color="auto"/>
        <w:left w:val="none" w:sz="0" w:space="0" w:color="auto"/>
        <w:bottom w:val="none" w:sz="0" w:space="0" w:color="auto"/>
        <w:right w:val="none" w:sz="0" w:space="0" w:color="auto"/>
      </w:divBdr>
    </w:div>
    <w:div w:id="38866925">
      <w:bodyDiv w:val="1"/>
      <w:marLeft w:val="0"/>
      <w:marRight w:val="0"/>
      <w:marTop w:val="0"/>
      <w:marBottom w:val="0"/>
      <w:divBdr>
        <w:top w:val="none" w:sz="0" w:space="0" w:color="auto"/>
        <w:left w:val="none" w:sz="0" w:space="0" w:color="auto"/>
        <w:bottom w:val="none" w:sz="0" w:space="0" w:color="auto"/>
        <w:right w:val="none" w:sz="0" w:space="0" w:color="auto"/>
      </w:divBdr>
    </w:div>
    <w:div w:id="56101012">
      <w:bodyDiv w:val="1"/>
      <w:marLeft w:val="0"/>
      <w:marRight w:val="0"/>
      <w:marTop w:val="0"/>
      <w:marBottom w:val="0"/>
      <w:divBdr>
        <w:top w:val="none" w:sz="0" w:space="0" w:color="auto"/>
        <w:left w:val="none" w:sz="0" w:space="0" w:color="auto"/>
        <w:bottom w:val="none" w:sz="0" w:space="0" w:color="auto"/>
        <w:right w:val="none" w:sz="0" w:space="0" w:color="auto"/>
      </w:divBdr>
    </w:div>
    <w:div w:id="69041894">
      <w:bodyDiv w:val="1"/>
      <w:marLeft w:val="0"/>
      <w:marRight w:val="0"/>
      <w:marTop w:val="0"/>
      <w:marBottom w:val="0"/>
      <w:divBdr>
        <w:top w:val="none" w:sz="0" w:space="0" w:color="auto"/>
        <w:left w:val="none" w:sz="0" w:space="0" w:color="auto"/>
        <w:bottom w:val="none" w:sz="0" w:space="0" w:color="auto"/>
        <w:right w:val="none" w:sz="0" w:space="0" w:color="auto"/>
      </w:divBdr>
    </w:div>
    <w:div w:id="72625743">
      <w:bodyDiv w:val="1"/>
      <w:marLeft w:val="0"/>
      <w:marRight w:val="0"/>
      <w:marTop w:val="0"/>
      <w:marBottom w:val="0"/>
      <w:divBdr>
        <w:top w:val="none" w:sz="0" w:space="0" w:color="auto"/>
        <w:left w:val="none" w:sz="0" w:space="0" w:color="auto"/>
        <w:bottom w:val="none" w:sz="0" w:space="0" w:color="auto"/>
        <w:right w:val="none" w:sz="0" w:space="0" w:color="auto"/>
      </w:divBdr>
    </w:div>
    <w:div w:id="73742131">
      <w:bodyDiv w:val="1"/>
      <w:marLeft w:val="0"/>
      <w:marRight w:val="0"/>
      <w:marTop w:val="0"/>
      <w:marBottom w:val="0"/>
      <w:divBdr>
        <w:top w:val="none" w:sz="0" w:space="0" w:color="auto"/>
        <w:left w:val="none" w:sz="0" w:space="0" w:color="auto"/>
        <w:bottom w:val="none" w:sz="0" w:space="0" w:color="auto"/>
        <w:right w:val="none" w:sz="0" w:space="0" w:color="auto"/>
      </w:divBdr>
    </w:div>
    <w:div w:id="110394348">
      <w:bodyDiv w:val="1"/>
      <w:marLeft w:val="0"/>
      <w:marRight w:val="0"/>
      <w:marTop w:val="0"/>
      <w:marBottom w:val="0"/>
      <w:divBdr>
        <w:top w:val="none" w:sz="0" w:space="0" w:color="auto"/>
        <w:left w:val="none" w:sz="0" w:space="0" w:color="auto"/>
        <w:bottom w:val="none" w:sz="0" w:space="0" w:color="auto"/>
        <w:right w:val="none" w:sz="0" w:space="0" w:color="auto"/>
      </w:divBdr>
    </w:div>
    <w:div w:id="111638430">
      <w:bodyDiv w:val="1"/>
      <w:marLeft w:val="0"/>
      <w:marRight w:val="0"/>
      <w:marTop w:val="0"/>
      <w:marBottom w:val="0"/>
      <w:divBdr>
        <w:top w:val="none" w:sz="0" w:space="0" w:color="auto"/>
        <w:left w:val="none" w:sz="0" w:space="0" w:color="auto"/>
        <w:bottom w:val="none" w:sz="0" w:space="0" w:color="auto"/>
        <w:right w:val="none" w:sz="0" w:space="0" w:color="auto"/>
      </w:divBdr>
    </w:div>
    <w:div w:id="190531945">
      <w:bodyDiv w:val="1"/>
      <w:marLeft w:val="0"/>
      <w:marRight w:val="0"/>
      <w:marTop w:val="0"/>
      <w:marBottom w:val="0"/>
      <w:divBdr>
        <w:top w:val="none" w:sz="0" w:space="0" w:color="auto"/>
        <w:left w:val="none" w:sz="0" w:space="0" w:color="auto"/>
        <w:bottom w:val="none" w:sz="0" w:space="0" w:color="auto"/>
        <w:right w:val="none" w:sz="0" w:space="0" w:color="auto"/>
      </w:divBdr>
    </w:div>
    <w:div w:id="193345705">
      <w:bodyDiv w:val="1"/>
      <w:marLeft w:val="0"/>
      <w:marRight w:val="0"/>
      <w:marTop w:val="0"/>
      <w:marBottom w:val="0"/>
      <w:divBdr>
        <w:top w:val="none" w:sz="0" w:space="0" w:color="auto"/>
        <w:left w:val="none" w:sz="0" w:space="0" w:color="auto"/>
        <w:bottom w:val="none" w:sz="0" w:space="0" w:color="auto"/>
        <w:right w:val="none" w:sz="0" w:space="0" w:color="auto"/>
      </w:divBdr>
    </w:div>
    <w:div w:id="217282464">
      <w:bodyDiv w:val="1"/>
      <w:marLeft w:val="0"/>
      <w:marRight w:val="0"/>
      <w:marTop w:val="0"/>
      <w:marBottom w:val="0"/>
      <w:divBdr>
        <w:top w:val="none" w:sz="0" w:space="0" w:color="auto"/>
        <w:left w:val="none" w:sz="0" w:space="0" w:color="auto"/>
        <w:bottom w:val="none" w:sz="0" w:space="0" w:color="auto"/>
        <w:right w:val="none" w:sz="0" w:space="0" w:color="auto"/>
      </w:divBdr>
    </w:div>
    <w:div w:id="224222885">
      <w:bodyDiv w:val="1"/>
      <w:marLeft w:val="0"/>
      <w:marRight w:val="0"/>
      <w:marTop w:val="0"/>
      <w:marBottom w:val="0"/>
      <w:divBdr>
        <w:top w:val="none" w:sz="0" w:space="0" w:color="auto"/>
        <w:left w:val="none" w:sz="0" w:space="0" w:color="auto"/>
        <w:bottom w:val="none" w:sz="0" w:space="0" w:color="auto"/>
        <w:right w:val="none" w:sz="0" w:space="0" w:color="auto"/>
      </w:divBdr>
    </w:div>
    <w:div w:id="237443218">
      <w:bodyDiv w:val="1"/>
      <w:marLeft w:val="0"/>
      <w:marRight w:val="0"/>
      <w:marTop w:val="0"/>
      <w:marBottom w:val="0"/>
      <w:divBdr>
        <w:top w:val="none" w:sz="0" w:space="0" w:color="auto"/>
        <w:left w:val="none" w:sz="0" w:space="0" w:color="auto"/>
        <w:bottom w:val="none" w:sz="0" w:space="0" w:color="auto"/>
        <w:right w:val="none" w:sz="0" w:space="0" w:color="auto"/>
      </w:divBdr>
    </w:div>
    <w:div w:id="253520606">
      <w:bodyDiv w:val="1"/>
      <w:marLeft w:val="0"/>
      <w:marRight w:val="0"/>
      <w:marTop w:val="0"/>
      <w:marBottom w:val="0"/>
      <w:divBdr>
        <w:top w:val="none" w:sz="0" w:space="0" w:color="auto"/>
        <w:left w:val="none" w:sz="0" w:space="0" w:color="auto"/>
        <w:bottom w:val="none" w:sz="0" w:space="0" w:color="auto"/>
        <w:right w:val="none" w:sz="0" w:space="0" w:color="auto"/>
      </w:divBdr>
    </w:div>
    <w:div w:id="262542289">
      <w:bodyDiv w:val="1"/>
      <w:marLeft w:val="0"/>
      <w:marRight w:val="0"/>
      <w:marTop w:val="0"/>
      <w:marBottom w:val="0"/>
      <w:divBdr>
        <w:top w:val="none" w:sz="0" w:space="0" w:color="auto"/>
        <w:left w:val="none" w:sz="0" w:space="0" w:color="auto"/>
        <w:bottom w:val="none" w:sz="0" w:space="0" w:color="auto"/>
        <w:right w:val="none" w:sz="0" w:space="0" w:color="auto"/>
      </w:divBdr>
    </w:div>
    <w:div w:id="309137912">
      <w:bodyDiv w:val="1"/>
      <w:marLeft w:val="0"/>
      <w:marRight w:val="0"/>
      <w:marTop w:val="0"/>
      <w:marBottom w:val="0"/>
      <w:divBdr>
        <w:top w:val="none" w:sz="0" w:space="0" w:color="auto"/>
        <w:left w:val="none" w:sz="0" w:space="0" w:color="auto"/>
        <w:bottom w:val="none" w:sz="0" w:space="0" w:color="auto"/>
        <w:right w:val="none" w:sz="0" w:space="0" w:color="auto"/>
      </w:divBdr>
    </w:div>
    <w:div w:id="358816678">
      <w:bodyDiv w:val="1"/>
      <w:marLeft w:val="0"/>
      <w:marRight w:val="0"/>
      <w:marTop w:val="0"/>
      <w:marBottom w:val="0"/>
      <w:divBdr>
        <w:top w:val="none" w:sz="0" w:space="0" w:color="auto"/>
        <w:left w:val="none" w:sz="0" w:space="0" w:color="auto"/>
        <w:bottom w:val="none" w:sz="0" w:space="0" w:color="auto"/>
        <w:right w:val="none" w:sz="0" w:space="0" w:color="auto"/>
      </w:divBdr>
    </w:div>
    <w:div w:id="364403850">
      <w:bodyDiv w:val="1"/>
      <w:marLeft w:val="0"/>
      <w:marRight w:val="0"/>
      <w:marTop w:val="0"/>
      <w:marBottom w:val="0"/>
      <w:divBdr>
        <w:top w:val="none" w:sz="0" w:space="0" w:color="auto"/>
        <w:left w:val="none" w:sz="0" w:space="0" w:color="auto"/>
        <w:bottom w:val="none" w:sz="0" w:space="0" w:color="auto"/>
        <w:right w:val="none" w:sz="0" w:space="0" w:color="auto"/>
      </w:divBdr>
    </w:div>
    <w:div w:id="402219072">
      <w:bodyDiv w:val="1"/>
      <w:marLeft w:val="0"/>
      <w:marRight w:val="0"/>
      <w:marTop w:val="0"/>
      <w:marBottom w:val="0"/>
      <w:divBdr>
        <w:top w:val="none" w:sz="0" w:space="0" w:color="auto"/>
        <w:left w:val="none" w:sz="0" w:space="0" w:color="auto"/>
        <w:bottom w:val="none" w:sz="0" w:space="0" w:color="auto"/>
        <w:right w:val="none" w:sz="0" w:space="0" w:color="auto"/>
      </w:divBdr>
    </w:div>
    <w:div w:id="444615401">
      <w:bodyDiv w:val="1"/>
      <w:marLeft w:val="0"/>
      <w:marRight w:val="0"/>
      <w:marTop w:val="0"/>
      <w:marBottom w:val="0"/>
      <w:divBdr>
        <w:top w:val="none" w:sz="0" w:space="0" w:color="auto"/>
        <w:left w:val="none" w:sz="0" w:space="0" w:color="auto"/>
        <w:bottom w:val="none" w:sz="0" w:space="0" w:color="auto"/>
        <w:right w:val="none" w:sz="0" w:space="0" w:color="auto"/>
      </w:divBdr>
    </w:div>
    <w:div w:id="474226301">
      <w:bodyDiv w:val="1"/>
      <w:marLeft w:val="0"/>
      <w:marRight w:val="0"/>
      <w:marTop w:val="0"/>
      <w:marBottom w:val="0"/>
      <w:divBdr>
        <w:top w:val="none" w:sz="0" w:space="0" w:color="auto"/>
        <w:left w:val="none" w:sz="0" w:space="0" w:color="auto"/>
        <w:bottom w:val="none" w:sz="0" w:space="0" w:color="auto"/>
        <w:right w:val="none" w:sz="0" w:space="0" w:color="auto"/>
      </w:divBdr>
    </w:div>
    <w:div w:id="498884580">
      <w:bodyDiv w:val="1"/>
      <w:marLeft w:val="0"/>
      <w:marRight w:val="0"/>
      <w:marTop w:val="0"/>
      <w:marBottom w:val="0"/>
      <w:divBdr>
        <w:top w:val="none" w:sz="0" w:space="0" w:color="auto"/>
        <w:left w:val="none" w:sz="0" w:space="0" w:color="auto"/>
        <w:bottom w:val="none" w:sz="0" w:space="0" w:color="auto"/>
        <w:right w:val="none" w:sz="0" w:space="0" w:color="auto"/>
      </w:divBdr>
    </w:div>
    <w:div w:id="521630806">
      <w:bodyDiv w:val="1"/>
      <w:marLeft w:val="0"/>
      <w:marRight w:val="0"/>
      <w:marTop w:val="0"/>
      <w:marBottom w:val="0"/>
      <w:divBdr>
        <w:top w:val="none" w:sz="0" w:space="0" w:color="auto"/>
        <w:left w:val="none" w:sz="0" w:space="0" w:color="auto"/>
        <w:bottom w:val="none" w:sz="0" w:space="0" w:color="auto"/>
        <w:right w:val="none" w:sz="0" w:space="0" w:color="auto"/>
      </w:divBdr>
    </w:div>
    <w:div w:id="526871493">
      <w:bodyDiv w:val="1"/>
      <w:marLeft w:val="0"/>
      <w:marRight w:val="0"/>
      <w:marTop w:val="0"/>
      <w:marBottom w:val="0"/>
      <w:divBdr>
        <w:top w:val="none" w:sz="0" w:space="0" w:color="auto"/>
        <w:left w:val="none" w:sz="0" w:space="0" w:color="auto"/>
        <w:bottom w:val="none" w:sz="0" w:space="0" w:color="auto"/>
        <w:right w:val="none" w:sz="0" w:space="0" w:color="auto"/>
      </w:divBdr>
    </w:div>
    <w:div w:id="530411729">
      <w:bodyDiv w:val="1"/>
      <w:marLeft w:val="0"/>
      <w:marRight w:val="0"/>
      <w:marTop w:val="0"/>
      <w:marBottom w:val="0"/>
      <w:divBdr>
        <w:top w:val="none" w:sz="0" w:space="0" w:color="auto"/>
        <w:left w:val="none" w:sz="0" w:space="0" w:color="auto"/>
        <w:bottom w:val="none" w:sz="0" w:space="0" w:color="auto"/>
        <w:right w:val="none" w:sz="0" w:space="0" w:color="auto"/>
      </w:divBdr>
    </w:div>
    <w:div w:id="532038552">
      <w:bodyDiv w:val="1"/>
      <w:marLeft w:val="0"/>
      <w:marRight w:val="0"/>
      <w:marTop w:val="0"/>
      <w:marBottom w:val="0"/>
      <w:divBdr>
        <w:top w:val="none" w:sz="0" w:space="0" w:color="auto"/>
        <w:left w:val="none" w:sz="0" w:space="0" w:color="auto"/>
        <w:bottom w:val="none" w:sz="0" w:space="0" w:color="auto"/>
        <w:right w:val="none" w:sz="0" w:space="0" w:color="auto"/>
      </w:divBdr>
    </w:div>
    <w:div w:id="546995541">
      <w:bodyDiv w:val="1"/>
      <w:marLeft w:val="0"/>
      <w:marRight w:val="0"/>
      <w:marTop w:val="0"/>
      <w:marBottom w:val="0"/>
      <w:divBdr>
        <w:top w:val="none" w:sz="0" w:space="0" w:color="auto"/>
        <w:left w:val="none" w:sz="0" w:space="0" w:color="auto"/>
        <w:bottom w:val="none" w:sz="0" w:space="0" w:color="auto"/>
        <w:right w:val="none" w:sz="0" w:space="0" w:color="auto"/>
      </w:divBdr>
    </w:div>
    <w:div w:id="572397950">
      <w:bodyDiv w:val="1"/>
      <w:marLeft w:val="0"/>
      <w:marRight w:val="0"/>
      <w:marTop w:val="0"/>
      <w:marBottom w:val="0"/>
      <w:divBdr>
        <w:top w:val="none" w:sz="0" w:space="0" w:color="auto"/>
        <w:left w:val="none" w:sz="0" w:space="0" w:color="auto"/>
        <w:bottom w:val="none" w:sz="0" w:space="0" w:color="auto"/>
        <w:right w:val="none" w:sz="0" w:space="0" w:color="auto"/>
      </w:divBdr>
    </w:div>
    <w:div w:id="588998793">
      <w:bodyDiv w:val="1"/>
      <w:marLeft w:val="0"/>
      <w:marRight w:val="0"/>
      <w:marTop w:val="0"/>
      <w:marBottom w:val="0"/>
      <w:divBdr>
        <w:top w:val="none" w:sz="0" w:space="0" w:color="auto"/>
        <w:left w:val="none" w:sz="0" w:space="0" w:color="auto"/>
        <w:bottom w:val="none" w:sz="0" w:space="0" w:color="auto"/>
        <w:right w:val="none" w:sz="0" w:space="0" w:color="auto"/>
      </w:divBdr>
    </w:div>
    <w:div w:id="602761312">
      <w:bodyDiv w:val="1"/>
      <w:marLeft w:val="0"/>
      <w:marRight w:val="0"/>
      <w:marTop w:val="0"/>
      <w:marBottom w:val="0"/>
      <w:divBdr>
        <w:top w:val="none" w:sz="0" w:space="0" w:color="auto"/>
        <w:left w:val="none" w:sz="0" w:space="0" w:color="auto"/>
        <w:bottom w:val="none" w:sz="0" w:space="0" w:color="auto"/>
        <w:right w:val="none" w:sz="0" w:space="0" w:color="auto"/>
      </w:divBdr>
    </w:div>
    <w:div w:id="622662056">
      <w:bodyDiv w:val="1"/>
      <w:marLeft w:val="0"/>
      <w:marRight w:val="0"/>
      <w:marTop w:val="0"/>
      <w:marBottom w:val="0"/>
      <w:divBdr>
        <w:top w:val="none" w:sz="0" w:space="0" w:color="auto"/>
        <w:left w:val="none" w:sz="0" w:space="0" w:color="auto"/>
        <w:bottom w:val="none" w:sz="0" w:space="0" w:color="auto"/>
        <w:right w:val="none" w:sz="0" w:space="0" w:color="auto"/>
      </w:divBdr>
    </w:div>
    <w:div w:id="631524876">
      <w:bodyDiv w:val="1"/>
      <w:marLeft w:val="0"/>
      <w:marRight w:val="0"/>
      <w:marTop w:val="0"/>
      <w:marBottom w:val="0"/>
      <w:divBdr>
        <w:top w:val="none" w:sz="0" w:space="0" w:color="auto"/>
        <w:left w:val="none" w:sz="0" w:space="0" w:color="auto"/>
        <w:bottom w:val="none" w:sz="0" w:space="0" w:color="auto"/>
        <w:right w:val="none" w:sz="0" w:space="0" w:color="auto"/>
      </w:divBdr>
    </w:div>
    <w:div w:id="636954640">
      <w:bodyDiv w:val="1"/>
      <w:marLeft w:val="0"/>
      <w:marRight w:val="0"/>
      <w:marTop w:val="0"/>
      <w:marBottom w:val="0"/>
      <w:divBdr>
        <w:top w:val="none" w:sz="0" w:space="0" w:color="auto"/>
        <w:left w:val="none" w:sz="0" w:space="0" w:color="auto"/>
        <w:bottom w:val="none" w:sz="0" w:space="0" w:color="auto"/>
        <w:right w:val="none" w:sz="0" w:space="0" w:color="auto"/>
      </w:divBdr>
    </w:div>
    <w:div w:id="646596715">
      <w:bodyDiv w:val="1"/>
      <w:marLeft w:val="0"/>
      <w:marRight w:val="0"/>
      <w:marTop w:val="0"/>
      <w:marBottom w:val="0"/>
      <w:divBdr>
        <w:top w:val="none" w:sz="0" w:space="0" w:color="auto"/>
        <w:left w:val="none" w:sz="0" w:space="0" w:color="auto"/>
        <w:bottom w:val="none" w:sz="0" w:space="0" w:color="auto"/>
        <w:right w:val="none" w:sz="0" w:space="0" w:color="auto"/>
      </w:divBdr>
    </w:div>
    <w:div w:id="669018745">
      <w:bodyDiv w:val="1"/>
      <w:marLeft w:val="0"/>
      <w:marRight w:val="0"/>
      <w:marTop w:val="0"/>
      <w:marBottom w:val="0"/>
      <w:divBdr>
        <w:top w:val="none" w:sz="0" w:space="0" w:color="auto"/>
        <w:left w:val="none" w:sz="0" w:space="0" w:color="auto"/>
        <w:bottom w:val="none" w:sz="0" w:space="0" w:color="auto"/>
        <w:right w:val="none" w:sz="0" w:space="0" w:color="auto"/>
      </w:divBdr>
    </w:div>
    <w:div w:id="679351289">
      <w:bodyDiv w:val="1"/>
      <w:marLeft w:val="0"/>
      <w:marRight w:val="0"/>
      <w:marTop w:val="0"/>
      <w:marBottom w:val="0"/>
      <w:divBdr>
        <w:top w:val="none" w:sz="0" w:space="0" w:color="auto"/>
        <w:left w:val="none" w:sz="0" w:space="0" w:color="auto"/>
        <w:bottom w:val="none" w:sz="0" w:space="0" w:color="auto"/>
        <w:right w:val="none" w:sz="0" w:space="0" w:color="auto"/>
      </w:divBdr>
    </w:div>
    <w:div w:id="707073509">
      <w:bodyDiv w:val="1"/>
      <w:marLeft w:val="0"/>
      <w:marRight w:val="0"/>
      <w:marTop w:val="0"/>
      <w:marBottom w:val="0"/>
      <w:divBdr>
        <w:top w:val="none" w:sz="0" w:space="0" w:color="auto"/>
        <w:left w:val="none" w:sz="0" w:space="0" w:color="auto"/>
        <w:bottom w:val="none" w:sz="0" w:space="0" w:color="auto"/>
        <w:right w:val="none" w:sz="0" w:space="0" w:color="auto"/>
      </w:divBdr>
    </w:div>
    <w:div w:id="709768472">
      <w:bodyDiv w:val="1"/>
      <w:marLeft w:val="0"/>
      <w:marRight w:val="0"/>
      <w:marTop w:val="0"/>
      <w:marBottom w:val="0"/>
      <w:divBdr>
        <w:top w:val="none" w:sz="0" w:space="0" w:color="auto"/>
        <w:left w:val="none" w:sz="0" w:space="0" w:color="auto"/>
        <w:bottom w:val="none" w:sz="0" w:space="0" w:color="auto"/>
        <w:right w:val="none" w:sz="0" w:space="0" w:color="auto"/>
      </w:divBdr>
    </w:div>
    <w:div w:id="727991793">
      <w:bodyDiv w:val="1"/>
      <w:marLeft w:val="0"/>
      <w:marRight w:val="0"/>
      <w:marTop w:val="0"/>
      <w:marBottom w:val="0"/>
      <w:divBdr>
        <w:top w:val="none" w:sz="0" w:space="0" w:color="auto"/>
        <w:left w:val="none" w:sz="0" w:space="0" w:color="auto"/>
        <w:bottom w:val="none" w:sz="0" w:space="0" w:color="auto"/>
        <w:right w:val="none" w:sz="0" w:space="0" w:color="auto"/>
      </w:divBdr>
    </w:div>
    <w:div w:id="740325353">
      <w:bodyDiv w:val="1"/>
      <w:marLeft w:val="0"/>
      <w:marRight w:val="0"/>
      <w:marTop w:val="0"/>
      <w:marBottom w:val="0"/>
      <w:divBdr>
        <w:top w:val="none" w:sz="0" w:space="0" w:color="auto"/>
        <w:left w:val="none" w:sz="0" w:space="0" w:color="auto"/>
        <w:bottom w:val="none" w:sz="0" w:space="0" w:color="auto"/>
        <w:right w:val="none" w:sz="0" w:space="0" w:color="auto"/>
      </w:divBdr>
    </w:div>
    <w:div w:id="772897932">
      <w:bodyDiv w:val="1"/>
      <w:marLeft w:val="0"/>
      <w:marRight w:val="0"/>
      <w:marTop w:val="0"/>
      <w:marBottom w:val="0"/>
      <w:divBdr>
        <w:top w:val="none" w:sz="0" w:space="0" w:color="auto"/>
        <w:left w:val="none" w:sz="0" w:space="0" w:color="auto"/>
        <w:bottom w:val="none" w:sz="0" w:space="0" w:color="auto"/>
        <w:right w:val="none" w:sz="0" w:space="0" w:color="auto"/>
      </w:divBdr>
    </w:div>
    <w:div w:id="777142644">
      <w:bodyDiv w:val="1"/>
      <w:marLeft w:val="0"/>
      <w:marRight w:val="0"/>
      <w:marTop w:val="0"/>
      <w:marBottom w:val="0"/>
      <w:divBdr>
        <w:top w:val="none" w:sz="0" w:space="0" w:color="auto"/>
        <w:left w:val="none" w:sz="0" w:space="0" w:color="auto"/>
        <w:bottom w:val="none" w:sz="0" w:space="0" w:color="auto"/>
        <w:right w:val="none" w:sz="0" w:space="0" w:color="auto"/>
      </w:divBdr>
    </w:div>
    <w:div w:id="777220110">
      <w:bodyDiv w:val="1"/>
      <w:marLeft w:val="0"/>
      <w:marRight w:val="0"/>
      <w:marTop w:val="0"/>
      <w:marBottom w:val="0"/>
      <w:divBdr>
        <w:top w:val="none" w:sz="0" w:space="0" w:color="auto"/>
        <w:left w:val="none" w:sz="0" w:space="0" w:color="auto"/>
        <w:bottom w:val="none" w:sz="0" w:space="0" w:color="auto"/>
        <w:right w:val="none" w:sz="0" w:space="0" w:color="auto"/>
      </w:divBdr>
    </w:div>
    <w:div w:id="788858470">
      <w:bodyDiv w:val="1"/>
      <w:marLeft w:val="0"/>
      <w:marRight w:val="0"/>
      <w:marTop w:val="0"/>
      <w:marBottom w:val="0"/>
      <w:divBdr>
        <w:top w:val="none" w:sz="0" w:space="0" w:color="auto"/>
        <w:left w:val="none" w:sz="0" w:space="0" w:color="auto"/>
        <w:bottom w:val="none" w:sz="0" w:space="0" w:color="auto"/>
        <w:right w:val="none" w:sz="0" w:space="0" w:color="auto"/>
      </w:divBdr>
    </w:div>
    <w:div w:id="789978370">
      <w:marLeft w:val="0"/>
      <w:marRight w:val="0"/>
      <w:marTop w:val="0"/>
      <w:marBottom w:val="0"/>
      <w:divBdr>
        <w:top w:val="none" w:sz="0" w:space="0" w:color="auto"/>
        <w:left w:val="none" w:sz="0" w:space="0" w:color="auto"/>
        <w:bottom w:val="none" w:sz="0" w:space="0" w:color="auto"/>
        <w:right w:val="none" w:sz="0" w:space="0" w:color="auto"/>
      </w:divBdr>
    </w:div>
    <w:div w:id="789978371">
      <w:marLeft w:val="0"/>
      <w:marRight w:val="0"/>
      <w:marTop w:val="0"/>
      <w:marBottom w:val="0"/>
      <w:divBdr>
        <w:top w:val="none" w:sz="0" w:space="0" w:color="auto"/>
        <w:left w:val="none" w:sz="0" w:space="0" w:color="auto"/>
        <w:bottom w:val="none" w:sz="0" w:space="0" w:color="auto"/>
        <w:right w:val="none" w:sz="0" w:space="0" w:color="auto"/>
      </w:divBdr>
    </w:div>
    <w:div w:id="789978372">
      <w:marLeft w:val="0"/>
      <w:marRight w:val="0"/>
      <w:marTop w:val="0"/>
      <w:marBottom w:val="0"/>
      <w:divBdr>
        <w:top w:val="none" w:sz="0" w:space="0" w:color="auto"/>
        <w:left w:val="none" w:sz="0" w:space="0" w:color="auto"/>
        <w:bottom w:val="none" w:sz="0" w:space="0" w:color="auto"/>
        <w:right w:val="none" w:sz="0" w:space="0" w:color="auto"/>
      </w:divBdr>
    </w:div>
    <w:div w:id="789978373">
      <w:marLeft w:val="0"/>
      <w:marRight w:val="0"/>
      <w:marTop w:val="0"/>
      <w:marBottom w:val="0"/>
      <w:divBdr>
        <w:top w:val="none" w:sz="0" w:space="0" w:color="auto"/>
        <w:left w:val="none" w:sz="0" w:space="0" w:color="auto"/>
        <w:bottom w:val="none" w:sz="0" w:space="0" w:color="auto"/>
        <w:right w:val="none" w:sz="0" w:space="0" w:color="auto"/>
      </w:divBdr>
    </w:div>
    <w:div w:id="789978374">
      <w:marLeft w:val="0"/>
      <w:marRight w:val="0"/>
      <w:marTop w:val="0"/>
      <w:marBottom w:val="0"/>
      <w:divBdr>
        <w:top w:val="none" w:sz="0" w:space="0" w:color="auto"/>
        <w:left w:val="none" w:sz="0" w:space="0" w:color="auto"/>
        <w:bottom w:val="none" w:sz="0" w:space="0" w:color="auto"/>
        <w:right w:val="none" w:sz="0" w:space="0" w:color="auto"/>
      </w:divBdr>
    </w:div>
    <w:div w:id="789978375">
      <w:marLeft w:val="0"/>
      <w:marRight w:val="0"/>
      <w:marTop w:val="0"/>
      <w:marBottom w:val="0"/>
      <w:divBdr>
        <w:top w:val="none" w:sz="0" w:space="0" w:color="auto"/>
        <w:left w:val="none" w:sz="0" w:space="0" w:color="auto"/>
        <w:bottom w:val="none" w:sz="0" w:space="0" w:color="auto"/>
        <w:right w:val="none" w:sz="0" w:space="0" w:color="auto"/>
      </w:divBdr>
    </w:div>
    <w:div w:id="789978376">
      <w:marLeft w:val="0"/>
      <w:marRight w:val="0"/>
      <w:marTop w:val="0"/>
      <w:marBottom w:val="0"/>
      <w:divBdr>
        <w:top w:val="none" w:sz="0" w:space="0" w:color="auto"/>
        <w:left w:val="none" w:sz="0" w:space="0" w:color="auto"/>
        <w:bottom w:val="none" w:sz="0" w:space="0" w:color="auto"/>
        <w:right w:val="none" w:sz="0" w:space="0" w:color="auto"/>
      </w:divBdr>
    </w:div>
    <w:div w:id="789978377">
      <w:marLeft w:val="0"/>
      <w:marRight w:val="0"/>
      <w:marTop w:val="0"/>
      <w:marBottom w:val="0"/>
      <w:divBdr>
        <w:top w:val="none" w:sz="0" w:space="0" w:color="auto"/>
        <w:left w:val="none" w:sz="0" w:space="0" w:color="auto"/>
        <w:bottom w:val="none" w:sz="0" w:space="0" w:color="auto"/>
        <w:right w:val="none" w:sz="0" w:space="0" w:color="auto"/>
      </w:divBdr>
    </w:div>
    <w:div w:id="789978378">
      <w:marLeft w:val="0"/>
      <w:marRight w:val="0"/>
      <w:marTop w:val="0"/>
      <w:marBottom w:val="0"/>
      <w:divBdr>
        <w:top w:val="none" w:sz="0" w:space="0" w:color="auto"/>
        <w:left w:val="none" w:sz="0" w:space="0" w:color="auto"/>
        <w:bottom w:val="none" w:sz="0" w:space="0" w:color="auto"/>
        <w:right w:val="none" w:sz="0" w:space="0" w:color="auto"/>
      </w:divBdr>
    </w:div>
    <w:div w:id="789978379">
      <w:marLeft w:val="0"/>
      <w:marRight w:val="0"/>
      <w:marTop w:val="0"/>
      <w:marBottom w:val="0"/>
      <w:divBdr>
        <w:top w:val="none" w:sz="0" w:space="0" w:color="auto"/>
        <w:left w:val="none" w:sz="0" w:space="0" w:color="auto"/>
        <w:bottom w:val="none" w:sz="0" w:space="0" w:color="auto"/>
        <w:right w:val="none" w:sz="0" w:space="0" w:color="auto"/>
      </w:divBdr>
    </w:div>
    <w:div w:id="789978380">
      <w:marLeft w:val="0"/>
      <w:marRight w:val="0"/>
      <w:marTop w:val="0"/>
      <w:marBottom w:val="0"/>
      <w:divBdr>
        <w:top w:val="none" w:sz="0" w:space="0" w:color="auto"/>
        <w:left w:val="none" w:sz="0" w:space="0" w:color="auto"/>
        <w:bottom w:val="none" w:sz="0" w:space="0" w:color="auto"/>
        <w:right w:val="none" w:sz="0" w:space="0" w:color="auto"/>
      </w:divBdr>
    </w:div>
    <w:div w:id="789978381">
      <w:marLeft w:val="0"/>
      <w:marRight w:val="0"/>
      <w:marTop w:val="0"/>
      <w:marBottom w:val="0"/>
      <w:divBdr>
        <w:top w:val="none" w:sz="0" w:space="0" w:color="auto"/>
        <w:left w:val="none" w:sz="0" w:space="0" w:color="auto"/>
        <w:bottom w:val="none" w:sz="0" w:space="0" w:color="auto"/>
        <w:right w:val="none" w:sz="0" w:space="0" w:color="auto"/>
      </w:divBdr>
    </w:div>
    <w:div w:id="789978382">
      <w:marLeft w:val="0"/>
      <w:marRight w:val="0"/>
      <w:marTop w:val="0"/>
      <w:marBottom w:val="0"/>
      <w:divBdr>
        <w:top w:val="none" w:sz="0" w:space="0" w:color="auto"/>
        <w:left w:val="none" w:sz="0" w:space="0" w:color="auto"/>
        <w:bottom w:val="none" w:sz="0" w:space="0" w:color="auto"/>
        <w:right w:val="none" w:sz="0" w:space="0" w:color="auto"/>
      </w:divBdr>
    </w:div>
    <w:div w:id="789978383">
      <w:marLeft w:val="0"/>
      <w:marRight w:val="0"/>
      <w:marTop w:val="0"/>
      <w:marBottom w:val="0"/>
      <w:divBdr>
        <w:top w:val="none" w:sz="0" w:space="0" w:color="auto"/>
        <w:left w:val="none" w:sz="0" w:space="0" w:color="auto"/>
        <w:bottom w:val="none" w:sz="0" w:space="0" w:color="auto"/>
        <w:right w:val="none" w:sz="0" w:space="0" w:color="auto"/>
      </w:divBdr>
    </w:div>
    <w:div w:id="789978384">
      <w:marLeft w:val="0"/>
      <w:marRight w:val="0"/>
      <w:marTop w:val="0"/>
      <w:marBottom w:val="0"/>
      <w:divBdr>
        <w:top w:val="none" w:sz="0" w:space="0" w:color="auto"/>
        <w:left w:val="none" w:sz="0" w:space="0" w:color="auto"/>
        <w:bottom w:val="none" w:sz="0" w:space="0" w:color="auto"/>
        <w:right w:val="none" w:sz="0" w:space="0" w:color="auto"/>
      </w:divBdr>
    </w:div>
    <w:div w:id="789978385">
      <w:marLeft w:val="0"/>
      <w:marRight w:val="0"/>
      <w:marTop w:val="0"/>
      <w:marBottom w:val="0"/>
      <w:divBdr>
        <w:top w:val="none" w:sz="0" w:space="0" w:color="auto"/>
        <w:left w:val="none" w:sz="0" w:space="0" w:color="auto"/>
        <w:bottom w:val="none" w:sz="0" w:space="0" w:color="auto"/>
        <w:right w:val="none" w:sz="0" w:space="0" w:color="auto"/>
      </w:divBdr>
    </w:div>
    <w:div w:id="789978386">
      <w:marLeft w:val="0"/>
      <w:marRight w:val="0"/>
      <w:marTop w:val="0"/>
      <w:marBottom w:val="0"/>
      <w:divBdr>
        <w:top w:val="none" w:sz="0" w:space="0" w:color="auto"/>
        <w:left w:val="none" w:sz="0" w:space="0" w:color="auto"/>
        <w:bottom w:val="none" w:sz="0" w:space="0" w:color="auto"/>
        <w:right w:val="none" w:sz="0" w:space="0" w:color="auto"/>
      </w:divBdr>
    </w:div>
    <w:div w:id="789978387">
      <w:marLeft w:val="0"/>
      <w:marRight w:val="0"/>
      <w:marTop w:val="0"/>
      <w:marBottom w:val="0"/>
      <w:divBdr>
        <w:top w:val="none" w:sz="0" w:space="0" w:color="auto"/>
        <w:left w:val="none" w:sz="0" w:space="0" w:color="auto"/>
        <w:bottom w:val="none" w:sz="0" w:space="0" w:color="auto"/>
        <w:right w:val="none" w:sz="0" w:space="0" w:color="auto"/>
      </w:divBdr>
    </w:div>
    <w:div w:id="789978388">
      <w:marLeft w:val="0"/>
      <w:marRight w:val="0"/>
      <w:marTop w:val="0"/>
      <w:marBottom w:val="0"/>
      <w:divBdr>
        <w:top w:val="none" w:sz="0" w:space="0" w:color="auto"/>
        <w:left w:val="none" w:sz="0" w:space="0" w:color="auto"/>
        <w:bottom w:val="none" w:sz="0" w:space="0" w:color="auto"/>
        <w:right w:val="none" w:sz="0" w:space="0" w:color="auto"/>
      </w:divBdr>
    </w:div>
    <w:div w:id="789978389">
      <w:marLeft w:val="0"/>
      <w:marRight w:val="0"/>
      <w:marTop w:val="0"/>
      <w:marBottom w:val="0"/>
      <w:divBdr>
        <w:top w:val="none" w:sz="0" w:space="0" w:color="auto"/>
        <w:left w:val="none" w:sz="0" w:space="0" w:color="auto"/>
        <w:bottom w:val="none" w:sz="0" w:space="0" w:color="auto"/>
        <w:right w:val="none" w:sz="0" w:space="0" w:color="auto"/>
      </w:divBdr>
    </w:div>
    <w:div w:id="789978390">
      <w:marLeft w:val="0"/>
      <w:marRight w:val="0"/>
      <w:marTop w:val="0"/>
      <w:marBottom w:val="0"/>
      <w:divBdr>
        <w:top w:val="none" w:sz="0" w:space="0" w:color="auto"/>
        <w:left w:val="none" w:sz="0" w:space="0" w:color="auto"/>
        <w:bottom w:val="none" w:sz="0" w:space="0" w:color="auto"/>
        <w:right w:val="none" w:sz="0" w:space="0" w:color="auto"/>
      </w:divBdr>
    </w:div>
    <w:div w:id="789978391">
      <w:marLeft w:val="0"/>
      <w:marRight w:val="0"/>
      <w:marTop w:val="0"/>
      <w:marBottom w:val="0"/>
      <w:divBdr>
        <w:top w:val="none" w:sz="0" w:space="0" w:color="auto"/>
        <w:left w:val="none" w:sz="0" w:space="0" w:color="auto"/>
        <w:bottom w:val="none" w:sz="0" w:space="0" w:color="auto"/>
        <w:right w:val="none" w:sz="0" w:space="0" w:color="auto"/>
      </w:divBdr>
    </w:div>
    <w:div w:id="789978392">
      <w:marLeft w:val="0"/>
      <w:marRight w:val="0"/>
      <w:marTop w:val="0"/>
      <w:marBottom w:val="0"/>
      <w:divBdr>
        <w:top w:val="none" w:sz="0" w:space="0" w:color="auto"/>
        <w:left w:val="none" w:sz="0" w:space="0" w:color="auto"/>
        <w:bottom w:val="none" w:sz="0" w:space="0" w:color="auto"/>
        <w:right w:val="none" w:sz="0" w:space="0" w:color="auto"/>
      </w:divBdr>
    </w:div>
    <w:div w:id="789978393">
      <w:marLeft w:val="0"/>
      <w:marRight w:val="0"/>
      <w:marTop w:val="0"/>
      <w:marBottom w:val="0"/>
      <w:divBdr>
        <w:top w:val="none" w:sz="0" w:space="0" w:color="auto"/>
        <w:left w:val="none" w:sz="0" w:space="0" w:color="auto"/>
        <w:bottom w:val="none" w:sz="0" w:space="0" w:color="auto"/>
        <w:right w:val="none" w:sz="0" w:space="0" w:color="auto"/>
      </w:divBdr>
    </w:div>
    <w:div w:id="789978394">
      <w:marLeft w:val="0"/>
      <w:marRight w:val="0"/>
      <w:marTop w:val="0"/>
      <w:marBottom w:val="0"/>
      <w:divBdr>
        <w:top w:val="none" w:sz="0" w:space="0" w:color="auto"/>
        <w:left w:val="none" w:sz="0" w:space="0" w:color="auto"/>
        <w:bottom w:val="none" w:sz="0" w:space="0" w:color="auto"/>
        <w:right w:val="none" w:sz="0" w:space="0" w:color="auto"/>
      </w:divBdr>
    </w:div>
    <w:div w:id="789978395">
      <w:marLeft w:val="0"/>
      <w:marRight w:val="0"/>
      <w:marTop w:val="0"/>
      <w:marBottom w:val="0"/>
      <w:divBdr>
        <w:top w:val="none" w:sz="0" w:space="0" w:color="auto"/>
        <w:left w:val="none" w:sz="0" w:space="0" w:color="auto"/>
        <w:bottom w:val="none" w:sz="0" w:space="0" w:color="auto"/>
        <w:right w:val="none" w:sz="0" w:space="0" w:color="auto"/>
      </w:divBdr>
    </w:div>
    <w:div w:id="789978396">
      <w:marLeft w:val="0"/>
      <w:marRight w:val="0"/>
      <w:marTop w:val="0"/>
      <w:marBottom w:val="0"/>
      <w:divBdr>
        <w:top w:val="none" w:sz="0" w:space="0" w:color="auto"/>
        <w:left w:val="none" w:sz="0" w:space="0" w:color="auto"/>
        <w:bottom w:val="none" w:sz="0" w:space="0" w:color="auto"/>
        <w:right w:val="none" w:sz="0" w:space="0" w:color="auto"/>
      </w:divBdr>
    </w:div>
    <w:div w:id="789978397">
      <w:marLeft w:val="0"/>
      <w:marRight w:val="0"/>
      <w:marTop w:val="0"/>
      <w:marBottom w:val="0"/>
      <w:divBdr>
        <w:top w:val="none" w:sz="0" w:space="0" w:color="auto"/>
        <w:left w:val="none" w:sz="0" w:space="0" w:color="auto"/>
        <w:bottom w:val="none" w:sz="0" w:space="0" w:color="auto"/>
        <w:right w:val="none" w:sz="0" w:space="0" w:color="auto"/>
      </w:divBdr>
    </w:div>
    <w:div w:id="789978398">
      <w:marLeft w:val="0"/>
      <w:marRight w:val="0"/>
      <w:marTop w:val="0"/>
      <w:marBottom w:val="0"/>
      <w:divBdr>
        <w:top w:val="none" w:sz="0" w:space="0" w:color="auto"/>
        <w:left w:val="none" w:sz="0" w:space="0" w:color="auto"/>
        <w:bottom w:val="none" w:sz="0" w:space="0" w:color="auto"/>
        <w:right w:val="none" w:sz="0" w:space="0" w:color="auto"/>
      </w:divBdr>
    </w:div>
    <w:div w:id="789978399">
      <w:marLeft w:val="0"/>
      <w:marRight w:val="0"/>
      <w:marTop w:val="0"/>
      <w:marBottom w:val="0"/>
      <w:divBdr>
        <w:top w:val="none" w:sz="0" w:space="0" w:color="auto"/>
        <w:left w:val="none" w:sz="0" w:space="0" w:color="auto"/>
        <w:bottom w:val="none" w:sz="0" w:space="0" w:color="auto"/>
        <w:right w:val="none" w:sz="0" w:space="0" w:color="auto"/>
      </w:divBdr>
    </w:div>
    <w:div w:id="789978400">
      <w:marLeft w:val="0"/>
      <w:marRight w:val="0"/>
      <w:marTop w:val="0"/>
      <w:marBottom w:val="0"/>
      <w:divBdr>
        <w:top w:val="none" w:sz="0" w:space="0" w:color="auto"/>
        <w:left w:val="none" w:sz="0" w:space="0" w:color="auto"/>
        <w:bottom w:val="none" w:sz="0" w:space="0" w:color="auto"/>
        <w:right w:val="none" w:sz="0" w:space="0" w:color="auto"/>
      </w:divBdr>
    </w:div>
    <w:div w:id="789978401">
      <w:marLeft w:val="0"/>
      <w:marRight w:val="0"/>
      <w:marTop w:val="0"/>
      <w:marBottom w:val="0"/>
      <w:divBdr>
        <w:top w:val="none" w:sz="0" w:space="0" w:color="auto"/>
        <w:left w:val="none" w:sz="0" w:space="0" w:color="auto"/>
        <w:bottom w:val="none" w:sz="0" w:space="0" w:color="auto"/>
        <w:right w:val="none" w:sz="0" w:space="0" w:color="auto"/>
      </w:divBdr>
    </w:div>
    <w:div w:id="789978402">
      <w:marLeft w:val="0"/>
      <w:marRight w:val="0"/>
      <w:marTop w:val="0"/>
      <w:marBottom w:val="0"/>
      <w:divBdr>
        <w:top w:val="none" w:sz="0" w:space="0" w:color="auto"/>
        <w:left w:val="none" w:sz="0" w:space="0" w:color="auto"/>
        <w:bottom w:val="none" w:sz="0" w:space="0" w:color="auto"/>
        <w:right w:val="none" w:sz="0" w:space="0" w:color="auto"/>
      </w:divBdr>
    </w:div>
    <w:div w:id="789978403">
      <w:marLeft w:val="0"/>
      <w:marRight w:val="0"/>
      <w:marTop w:val="0"/>
      <w:marBottom w:val="0"/>
      <w:divBdr>
        <w:top w:val="none" w:sz="0" w:space="0" w:color="auto"/>
        <w:left w:val="none" w:sz="0" w:space="0" w:color="auto"/>
        <w:bottom w:val="none" w:sz="0" w:space="0" w:color="auto"/>
        <w:right w:val="none" w:sz="0" w:space="0" w:color="auto"/>
      </w:divBdr>
    </w:div>
    <w:div w:id="789978404">
      <w:marLeft w:val="0"/>
      <w:marRight w:val="0"/>
      <w:marTop w:val="0"/>
      <w:marBottom w:val="0"/>
      <w:divBdr>
        <w:top w:val="none" w:sz="0" w:space="0" w:color="auto"/>
        <w:left w:val="none" w:sz="0" w:space="0" w:color="auto"/>
        <w:bottom w:val="none" w:sz="0" w:space="0" w:color="auto"/>
        <w:right w:val="none" w:sz="0" w:space="0" w:color="auto"/>
      </w:divBdr>
    </w:div>
    <w:div w:id="789978405">
      <w:marLeft w:val="0"/>
      <w:marRight w:val="0"/>
      <w:marTop w:val="0"/>
      <w:marBottom w:val="0"/>
      <w:divBdr>
        <w:top w:val="none" w:sz="0" w:space="0" w:color="auto"/>
        <w:left w:val="none" w:sz="0" w:space="0" w:color="auto"/>
        <w:bottom w:val="none" w:sz="0" w:space="0" w:color="auto"/>
        <w:right w:val="none" w:sz="0" w:space="0" w:color="auto"/>
      </w:divBdr>
    </w:div>
    <w:div w:id="789978406">
      <w:marLeft w:val="0"/>
      <w:marRight w:val="0"/>
      <w:marTop w:val="0"/>
      <w:marBottom w:val="0"/>
      <w:divBdr>
        <w:top w:val="none" w:sz="0" w:space="0" w:color="auto"/>
        <w:left w:val="none" w:sz="0" w:space="0" w:color="auto"/>
        <w:bottom w:val="none" w:sz="0" w:space="0" w:color="auto"/>
        <w:right w:val="none" w:sz="0" w:space="0" w:color="auto"/>
      </w:divBdr>
    </w:div>
    <w:div w:id="789978407">
      <w:marLeft w:val="0"/>
      <w:marRight w:val="0"/>
      <w:marTop w:val="0"/>
      <w:marBottom w:val="0"/>
      <w:divBdr>
        <w:top w:val="none" w:sz="0" w:space="0" w:color="auto"/>
        <w:left w:val="none" w:sz="0" w:space="0" w:color="auto"/>
        <w:bottom w:val="none" w:sz="0" w:space="0" w:color="auto"/>
        <w:right w:val="none" w:sz="0" w:space="0" w:color="auto"/>
      </w:divBdr>
    </w:div>
    <w:div w:id="789978408">
      <w:marLeft w:val="0"/>
      <w:marRight w:val="0"/>
      <w:marTop w:val="0"/>
      <w:marBottom w:val="0"/>
      <w:divBdr>
        <w:top w:val="none" w:sz="0" w:space="0" w:color="auto"/>
        <w:left w:val="none" w:sz="0" w:space="0" w:color="auto"/>
        <w:bottom w:val="none" w:sz="0" w:space="0" w:color="auto"/>
        <w:right w:val="none" w:sz="0" w:space="0" w:color="auto"/>
      </w:divBdr>
    </w:div>
    <w:div w:id="789978409">
      <w:marLeft w:val="0"/>
      <w:marRight w:val="0"/>
      <w:marTop w:val="0"/>
      <w:marBottom w:val="0"/>
      <w:divBdr>
        <w:top w:val="none" w:sz="0" w:space="0" w:color="auto"/>
        <w:left w:val="none" w:sz="0" w:space="0" w:color="auto"/>
        <w:bottom w:val="none" w:sz="0" w:space="0" w:color="auto"/>
        <w:right w:val="none" w:sz="0" w:space="0" w:color="auto"/>
      </w:divBdr>
    </w:div>
    <w:div w:id="789978410">
      <w:marLeft w:val="0"/>
      <w:marRight w:val="0"/>
      <w:marTop w:val="0"/>
      <w:marBottom w:val="0"/>
      <w:divBdr>
        <w:top w:val="none" w:sz="0" w:space="0" w:color="auto"/>
        <w:left w:val="none" w:sz="0" w:space="0" w:color="auto"/>
        <w:bottom w:val="none" w:sz="0" w:space="0" w:color="auto"/>
        <w:right w:val="none" w:sz="0" w:space="0" w:color="auto"/>
      </w:divBdr>
    </w:div>
    <w:div w:id="789978411">
      <w:marLeft w:val="0"/>
      <w:marRight w:val="0"/>
      <w:marTop w:val="0"/>
      <w:marBottom w:val="0"/>
      <w:divBdr>
        <w:top w:val="none" w:sz="0" w:space="0" w:color="auto"/>
        <w:left w:val="none" w:sz="0" w:space="0" w:color="auto"/>
        <w:bottom w:val="none" w:sz="0" w:space="0" w:color="auto"/>
        <w:right w:val="none" w:sz="0" w:space="0" w:color="auto"/>
      </w:divBdr>
    </w:div>
    <w:div w:id="789978412">
      <w:marLeft w:val="0"/>
      <w:marRight w:val="0"/>
      <w:marTop w:val="0"/>
      <w:marBottom w:val="0"/>
      <w:divBdr>
        <w:top w:val="none" w:sz="0" w:space="0" w:color="auto"/>
        <w:left w:val="none" w:sz="0" w:space="0" w:color="auto"/>
        <w:bottom w:val="none" w:sz="0" w:space="0" w:color="auto"/>
        <w:right w:val="none" w:sz="0" w:space="0" w:color="auto"/>
      </w:divBdr>
    </w:div>
    <w:div w:id="789978413">
      <w:marLeft w:val="0"/>
      <w:marRight w:val="0"/>
      <w:marTop w:val="0"/>
      <w:marBottom w:val="0"/>
      <w:divBdr>
        <w:top w:val="none" w:sz="0" w:space="0" w:color="auto"/>
        <w:left w:val="none" w:sz="0" w:space="0" w:color="auto"/>
        <w:bottom w:val="none" w:sz="0" w:space="0" w:color="auto"/>
        <w:right w:val="none" w:sz="0" w:space="0" w:color="auto"/>
      </w:divBdr>
    </w:div>
    <w:div w:id="789978414">
      <w:marLeft w:val="0"/>
      <w:marRight w:val="0"/>
      <w:marTop w:val="0"/>
      <w:marBottom w:val="0"/>
      <w:divBdr>
        <w:top w:val="none" w:sz="0" w:space="0" w:color="auto"/>
        <w:left w:val="none" w:sz="0" w:space="0" w:color="auto"/>
        <w:bottom w:val="none" w:sz="0" w:space="0" w:color="auto"/>
        <w:right w:val="none" w:sz="0" w:space="0" w:color="auto"/>
      </w:divBdr>
    </w:div>
    <w:div w:id="789978415">
      <w:marLeft w:val="0"/>
      <w:marRight w:val="0"/>
      <w:marTop w:val="0"/>
      <w:marBottom w:val="0"/>
      <w:divBdr>
        <w:top w:val="none" w:sz="0" w:space="0" w:color="auto"/>
        <w:left w:val="none" w:sz="0" w:space="0" w:color="auto"/>
        <w:bottom w:val="none" w:sz="0" w:space="0" w:color="auto"/>
        <w:right w:val="none" w:sz="0" w:space="0" w:color="auto"/>
      </w:divBdr>
    </w:div>
    <w:div w:id="789978416">
      <w:marLeft w:val="0"/>
      <w:marRight w:val="0"/>
      <w:marTop w:val="0"/>
      <w:marBottom w:val="0"/>
      <w:divBdr>
        <w:top w:val="none" w:sz="0" w:space="0" w:color="auto"/>
        <w:left w:val="none" w:sz="0" w:space="0" w:color="auto"/>
        <w:bottom w:val="none" w:sz="0" w:space="0" w:color="auto"/>
        <w:right w:val="none" w:sz="0" w:space="0" w:color="auto"/>
      </w:divBdr>
    </w:div>
    <w:div w:id="789978417">
      <w:marLeft w:val="0"/>
      <w:marRight w:val="0"/>
      <w:marTop w:val="0"/>
      <w:marBottom w:val="0"/>
      <w:divBdr>
        <w:top w:val="none" w:sz="0" w:space="0" w:color="auto"/>
        <w:left w:val="none" w:sz="0" w:space="0" w:color="auto"/>
        <w:bottom w:val="none" w:sz="0" w:space="0" w:color="auto"/>
        <w:right w:val="none" w:sz="0" w:space="0" w:color="auto"/>
      </w:divBdr>
    </w:div>
    <w:div w:id="789978418">
      <w:marLeft w:val="0"/>
      <w:marRight w:val="0"/>
      <w:marTop w:val="0"/>
      <w:marBottom w:val="0"/>
      <w:divBdr>
        <w:top w:val="none" w:sz="0" w:space="0" w:color="auto"/>
        <w:left w:val="none" w:sz="0" w:space="0" w:color="auto"/>
        <w:bottom w:val="none" w:sz="0" w:space="0" w:color="auto"/>
        <w:right w:val="none" w:sz="0" w:space="0" w:color="auto"/>
      </w:divBdr>
    </w:div>
    <w:div w:id="789978419">
      <w:marLeft w:val="0"/>
      <w:marRight w:val="0"/>
      <w:marTop w:val="0"/>
      <w:marBottom w:val="0"/>
      <w:divBdr>
        <w:top w:val="none" w:sz="0" w:space="0" w:color="auto"/>
        <w:left w:val="none" w:sz="0" w:space="0" w:color="auto"/>
        <w:bottom w:val="none" w:sz="0" w:space="0" w:color="auto"/>
        <w:right w:val="none" w:sz="0" w:space="0" w:color="auto"/>
      </w:divBdr>
    </w:div>
    <w:div w:id="789978420">
      <w:marLeft w:val="0"/>
      <w:marRight w:val="0"/>
      <w:marTop w:val="0"/>
      <w:marBottom w:val="0"/>
      <w:divBdr>
        <w:top w:val="none" w:sz="0" w:space="0" w:color="auto"/>
        <w:left w:val="none" w:sz="0" w:space="0" w:color="auto"/>
        <w:bottom w:val="none" w:sz="0" w:space="0" w:color="auto"/>
        <w:right w:val="none" w:sz="0" w:space="0" w:color="auto"/>
      </w:divBdr>
    </w:div>
    <w:div w:id="789978421">
      <w:marLeft w:val="0"/>
      <w:marRight w:val="0"/>
      <w:marTop w:val="0"/>
      <w:marBottom w:val="0"/>
      <w:divBdr>
        <w:top w:val="none" w:sz="0" w:space="0" w:color="auto"/>
        <w:left w:val="none" w:sz="0" w:space="0" w:color="auto"/>
        <w:bottom w:val="none" w:sz="0" w:space="0" w:color="auto"/>
        <w:right w:val="none" w:sz="0" w:space="0" w:color="auto"/>
      </w:divBdr>
    </w:div>
    <w:div w:id="789978422">
      <w:marLeft w:val="0"/>
      <w:marRight w:val="0"/>
      <w:marTop w:val="0"/>
      <w:marBottom w:val="0"/>
      <w:divBdr>
        <w:top w:val="none" w:sz="0" w:space="0" w:color="auto"/>
        <w:left w:val="none" w:sz="0" w:space="0" w:color="auto"/>
        <w:bottom w:val="none" w:sz="0" w:space="0" w:color="auto"/>
        <w:right w:val="none" w:sz="0" w:space="0" w:color="auto"/>
      </w:divBdr>
    </w:div>
    <w:div w:id="789978423">
      <w:marLeft w:val="0"/>
      <w:marRight w:val="0"/>
      <w:marTop w:val="0"/>
      <w:marBottom w:val="0"/>
      <w:divBdr>
        <w:top w:val="none" w:sz="0" w:space="0" w:color="auto"/>
        <w:left w:val="none" w:sz="0" w:space="0" w:color="auto"/>
        <w:bottom w:val="none" w:sz="0" w:space="0" w:color="auto"/>
        <w:right w:val="none" w:sz="0" w:space="0" w:color="auto"/>
      </w:divBdr>
    </w:div>
    <w:div w:id="789978424">
      <w:marLeft w:val="0"/>
      <w:marRight w:val="0"/>
      <w:marTop w:val="0"/>
      <w:marBottom w:val="0"/>
      <w:divBdr>
        <w:top w:val="none" w:sz="0" w:space="0" w:color="auto"/>
        <w:left w:val="none" w:sz="0" w:space="0" w:color="auto"/>
        <w:bottom w:val="none" w:sz="0" w:space="0" w:color="auto"/>
        <w:right w:val="none" w:sz="0" w:space="0" w:color="auto"/>
      </w:divBdr>
    </w:div>
    <w:div w:id="789978425">
      <w:marLeft w:val="0"/>
      <w:marRight w:val="0"/>
      <w:marTop w:val="0"/>
      <w:marBottom w:val="0"/>
      <w:divBdr>
        <w:top w:val="none" w:sz="0" w:space="0" w:color="auto"/>
        <w:left w:val="none" w:sz="0" w:space="0" w:color="auto"/>
        <w:bottom w:val="none" w:sz="0" w:space="0" w:color="auto"/>
        <w:right w:val="none" w:sz="0" w:space="0" w:color="auto"/>
      </w:divBdr>
    </w:div>
    <w:div w:id="789978426">
      <w:marLeft w:val="0"/>
      <w:marRight w:val="0"/>
      <w:marTop w:val="0"/>
      <w:marBottom w:val="0"/>
      <w:divBdr>
        <w:top w:val="none" w:sz="0" w:space="0" w:color="auto"/>
        <w:left w:val="none" w:sz="0" w:space="0" w:color="auto"/>
        <w:bottom w:val="none" w:sz="0" w:space="0" w:color="auto"/>
        <w:right w:val="none" w:sz="0" w:space="0" w:color="auto"/>
      </w:divBdr>
    </w:div>
    <w:div w:id="789978427">
      <w:marLeft w:val="0"/>
      <w:marRight w:val="0"/>
      <w:marTop w:val="0"/>
      <w:marBottom w:val="0"/>
      <w:divBdr>
        <w:top w:val="none" w:sz="0" w:space="0" w:color="auto"/>
        <w:left w:val="none" w:sz="0" w:space="0" w:color="auto"/>
        <w:bottom w:val="none" w:sz="0" w:space="0" w:color="auto"/>
        <w:right w:val="none" w:sz="0" w:space="0" w:color="auto"/>
      </w:divBdr>
    </w:div>
    <w:div w:id="789978428">
      <w:marLeft w:val="0"/>
      <w:marRight w:val="0"/>
      <w:marTop w:val="0"/>
      <w:marBottom w:val="0"/>
      <w:divBdr>
        <w:top w:val="none" w:sz="0" w:space="0" w:color="auto"/>
        <w:left w:val="none" w:sz="0" w:space="0" w:color="auto"/>
        <w:bottom w:val="none" w:sz="0" w:space="0" w:color="auto"/>
        <w:right w:val="none" w:sz="0" w:space="0" w:color="auto"/>
      </w:divBdr>
    </w:div>
    <w:div w:id="789978429">
      <w:marLeft w:val="0"/>
      <w:marRight w:val="0"/>
      <w:marTop w:val="0"/>
      <w:marBottom w:val="0"/>
      <w:divBdr>
        <w:top w:val="none" w:sz="0" w:space="0" w:color="auto"/>
        <w:left w:val="none" w:sz="0" w:space="0" w:color="auto"/>
        <w:bottom w:val="none" w:sz="0" w:space="0" w:color="auto"/>
        <w:right w:val="none" w:sz="0" w:space="0" w:color="auto"/>
      </w:divBdr>
    </w:div>
    <w:div w:id="789978430">
      <w:marLeft w:val="0"/>
      <w:marRight w:val="0"/>
      <w:marTop w:val="0"/>
      <w:marBottom w:val="0"/>
      <w:divBdr>
        <w:top w:val="none" w:sz="0" w:space="0" w:color="auto"/>
        <w:left w:val="none" w:sz="0" w:space="0" w:color="auto"/>
        <w:bottom w:val="none" w:sz="0" w:space="0" w:color="auto"/>
        <w:right w:val="none" w:sz="0" w:space="0" w:color="auto"/>
      </w:divBdr>
    </w:div>
    <w:div w:id="789978431">
      <w:marLeft w:val="0"/>
      <w:marRight w:val="0"/>
      <w:marTop w:val="0"/>
      <w:marBottom w:val="0"/>
      <w:divBdr>
        <w:top w:val="none" w:sz="0" w:space="0" w:color="auto"/>
        <w:left w:val="none" w:sz="0" w:space="0" w:color="auto"/>
        <w:bottom w:val="none" w:sz="0" w:space="0" w:color="auto"/>
        <w:right w:val="none" w:sz="0" w:space="0" w:color="auto"/>
      </w:divBdr>
    </w:div>
    <w:div w:id="789978432">
      <w:marLeft w:val="0"/>
      <w:marRight w:val="0"/>
      <w:marTop w:val="0"/>
      <w:marBottom w:val="0"/>
      <w:divBdr>
        <w:top w:val="none" w:sz="0" w:space="0" w:color="auto"/>
        <w:left w:val="none" w:sz="0" w:space="0" w:color="auto"/>
        <w:bottom w:val="none" w:sz="0" w:space="0" w:color="auto"/>
        <w:right w:val="none" w:sz="0" w:space="0" w:color="auto"/>
      </w:divBdr>
    </w:div>
    <w:div w:id="789978433">
      <w:marLeft w:val="0"/>
      <w:marRight w:val="0"/>
      <w:marTop w:val="0"/>
      <w:marBottom w:val="0"/>
      <w:divBdr>
        <w:top w:val="none" w:sz="0" w:space="0" w:color="auto"/>
        <w:left w:val="none" w:sz="0" w:space="0" w:color="auto"/>
        <w:bottom w:val="none" w:sz="0" w:space="0" w:color="auto"/>
        <w:right w:val="none" w:sz="0" w:space="0" w:color="auto"/>
      </w:divBdr>
    </w:div>
    <w:div w:id="789978434">
      <w:marLeft w:val="0"/>
      <w:marRight w:val="0"/>
      <w:marTop w:val="0"/>
      <w:marBottom w:val="0"/>
      <w:divBdr>
        <w:top w:val="none" w:sz="0" w:space="0" w:color="auto"/>
        <w:left w:val="none" w:sz="0" w:space="0" w:color="auto"/>
        <w:bottom w:val="none" w:sz="0" w:space="0" w:color="auto"/>
        <w:right w:val="none" w:sz="0" w:space="0" w:color="auto"/>
      </w:divBdr>
    </w:div>
    <w:div w:id="789978435">
      <w:marLeft w:val="0"/>
      <w:marRight w:val="0"/>
      <w:marTop w:val="0"/>
      <w:marBottom w:val="0"/>
      <w:divBdr>
        <w:top w:val="none" w:sz="0" w:space="0" w:color="auto"/>
        <w:left w:val="none" w:sz="0" w:space="0" w:color="auto"/>
        <w:bottom w:val="none" w:sz="0" w:space="0" w:color="auto"/>
        <w:right w:val="none" w:sz="0" w:space="0" w:color="auto"/>
      </w:divBdr>
    </w:div>
    <w:div w:id="789978436">
      <w:marLeft w:val="0"/>
      <w:marRight w:val="0"/>
      <w:marTop w:val="0"/>
      <w:marBottom w:val="0"/>
      <w:divBdr>
        <w:top w:val="none" w:sz="0" w:space="0" w:color="auto"/>
        <w:left w:val="none" w:sz="0" w:space="0" w:color="auto"/>
        <w:bottom w:val="none" w:sz="0" w:space="0" w:color="auto"/>
        <w:right w:val="none" w:sz="0" w:space="0" w:color="auto"/>
      </w:divBdr>
    </w:div>
    <w:div w:id="789978437">
      <w:marLeft w:val="0"/>
      <w:marRight w:val="0"/>
      <w:marTop w:val="0"/>
      <w:marBottom w:val="0"/>
      <w:divBdr>
        <w:top w:val="none" w:sz="0" w:space="0" w:color="auto"/>
        <w:left w:val="none" w:sz="0" w:space="0" w:color="auto"/>
        <w:bottom w:val="none" w:sz="0" w:space="0" w:color="auto"/>
        <w:right w:val="none" w:sz="0" w:space="0" w:color="auto"/>
      </w:divBdr>
    </w:div>
    <w:div w:id="789978438">
      <w:marLeft w:val="0"/>
      <w:marRight w:val="0"/>
      <w:marTop w:val="0"/>
      <w:marBottom w:val="0"/>
      <w:divBdr>
        <w:top w:val="none" w:sz="0" w:space="0" w:color="auto"/>
        <w:left w:val="none" w:sz="0" w:space="0" w:color="auto"/>
        <w:bottom w:val="none" w:sz="0" w:space="0" w:color="auto"/>
        <w:right w:val="none" w:sz="0" w:space="0" w:color="auto"/>
      </w:divBdr>
    </w:div>
    <w:div w:id="789978439">
      <w:marLeft w:val="0"/>
      <w:marRight w:val="0"/>
      <w:marTop w:val="0"/>
      <w:marBottom w:val="0"/>
      <w:divBdr>
        <w:top w:val="none" w:sz="0" w:space="0" w:color="auto"/>
        <w:left w:val="none" w:sz="0" w:space="0" w:color="auto"/>
        <w:bottom w:val="none" w:sz="0" w:space="0" w:color="auto"/>
        <w:right w:val="none" w:sz="0" w:space="0" w:color="auto"/>
      </w:divBdr>
    </w:div>
    <w:div w:id="789978440">
      <w:marLeft w:val="0"/>
      <w:marRight w:val="0"/>
      <w:marTop w:val="0"/>
      <w:marBottom w:val="0"/>
      <w:divBdr>
        <w:top w:val="none" w:sz="0" w:space="0" w:color="auto"/>
        <w:left w:val="none" w:sz="0" w:space="0" w:color="auto"/>
        <w:bottom w:val="none" w:sz="0" w:space="0" w:color="auto"/>
        <w:right w:val="none" w:sz="0" w:space="0" w:color="auto"/>
      </w:divBdr>
    </w:div>
    <w:div w:id="789978441">
      <w:marLeft w:val="0"/>
      <w:marRight w:val="0"/>
      <w:marTop w:val="0"/>
      <w:marBottom w:val="0"/>
      <w:divBdr>
        <w:top w:val="none" w:sz="0" w:space="0" w:color="auto"/>
        <w:left w:val="none" w:sz="0" w:space="0" w:color="auto"/>
        <w:bottom w:val="none" w:sz="0" w:space="0" w:color="auto"/>
        <w:right w:val="none" w:sz="0" w:space="0" w:color="auto"/>
      </w:divBdr>
    </w:div>
    <w:div w:id="789978442">
      <w:marLeft w:val="0"/>
      <w:marRight w:val="0"/>
      <w:marTop w:val="0"/>
      <w:marBottom w:val="0"/>
      <w:divBdr>
        <w:top w:val="none" w:sz="0" w:space="0" w:color="auto"/>
        <w:left w:val="none" w:sz="0" w:space="0" w:color="auto"/>
        <w:bottom w:val="none" w:sz="0" w:space="0" w:color="auto"/>
        <w:right w:val="none" w:sz="0" w:space="0" w:color="auto"/>
      </w:divBdr>
    </w:div>
    <w:div w:id="789978443">
      <w:marLeft w:val="0"/>
      <w:marRight w:val="0"/>
      <w:marTop w:val="0"/>
      <w:marBottom w:val="0"/>
      <w:divBdr>
        <w:top w:val="none" w:sz="0" w:space="0" w:color="auto"/>
        <w:left w:val="none" w:sz="0" w:space="0" w:color="auto"/>
        <w:bottom w:val="none" w:sz="0" w:space="0" w:color="auto"/>
        <w:right w:val="none" w:sz="0" w:space="0" w:color="auto"/>
      </w:divBdr>
    </w:div>
    <w:div w:id="789978444">
      <w:marLeft w:val="0"/>
      <w:marRight w:val="0"/>
      <w:marTop w:val="0"/>
      <w:marBottom w:val="0"/>
      <w:divBdr>
        <w:top w:val="none" w:sz="0" w:space="0" w:color="auto"/>
        <w:left w:val="none" w:sz="0" w:space="0" w:color="auto"/>
        <w:bottom w:val="none" w:sz="0" w:space="0" w:color="auto"/>
        <w:right w:val="none" w:sz="0" w:space="0" w:color="auto"/>
      </w:divBdr>
    </w:div>
    <w:div w:id="789978445">
      <w:marLeft w:val="0"/>
      <w:marRight w:val="0"/>
      <w:marTop w:val="0"/>
      <w:marBottom w:val="0"/>
      <w:divBdr>
        <w:top w:val="none" w:sz="0" w:space="0" w:color="auto"/>
        <w:left w:val="none" w:sz="0" w:space="0" w:color="auto"/>
        <w:bottom w:val="none" w:sz="0" w:space="0" w:color="auto"/>
        <w:right w:val="none" w:sz="0" w:space="0" w:color="auto"/>
      </w:divBdr>
    </w:div>
    <w:div w:id="789978446">
      <w:marLeft w:val="0"/>
      <w:marRight w:val="0"/>
      <w:marTop w:val="0"/>
      <w:marBottom w:val="0"/>
      <w:divBdr>
        <w:top w:val="none" w:sz="0" w:space="0" w:color="auto"/>
        <w:left w:val="none" w:sz="0" w:space="0" w:color="auto"/>
        <w:bottom w:val="none" w:sz="0" w:space="0" w:color="auto"/>
        <w:right w:val="none" w:sz="0" w:space="0" w:color="auto"/>
      </w:divBdr>
    </w:div>
    <w:div w:id="789978447">
      <w:marLeft w:val="0"/>
      <w:marRight w:val="0"/>
      <w:marTop w:val="0"/>
      <w:marBottom w:val="0"/>
      <w:divBdr>
        <w:top w:val="none" w:sz="0" w:space="0" w:color="auto"/>
        <w:left w:val="none" w:sz="0" w:space="0" w:color="auto"/>
        <w:bottom w:val="none" w:sz="0" w:space="0" w:color="auto"/>
        <w:right w:val="none" w:sz="0" w:space="0" w:color="auto"/>
      </w:divBdr>
    </w:div>
    <w:div w:id="789978448">
      <w:marLeft w:val="0"/>
      <w:marRight w:val="0"/>
      <w:marTop w:val="0"/>
      <w:marBottom w:val="0"/>
      <w:divBdr>
        <w:top w:val="none" w:sz="0" w:space="0" w:color="auto"/>
        <w:left w:val="none" w:sz="0" w:space="0" w:color="auto"/>
        <w:bottom w:val="none" w:sz="0" w:space="0" w:color="auto"/>
        <w:right w:val="none" w:sz="0" w:space="0" w:color="auto"/>
      </w:divBdr>
    </w:div>
    <w:div w:id="789978449">
      <w:marLeft w:val="0"/>
      <w:marRight w:val="0"/>
      <w:marTop w:val="0"/>
      <w:marBottom w:val="0"/>
      <w:divBdr>
        <w:top w:val="none" w:sz="0" w:space="0" w:color="auto"/>
        <w:left w:val="none" w:sz="0" w:space="0" w:color="auto"/>
        <w:bottom w:val="none" w:sz="0" w:space="0" w:color="auto"/>
        <w:right w:val="none" w:sz="0" w:space="0" w:color="auto"/>
      </w:divBdr>
    </w:div>
    <w:div w:id="789978450">
      <w:marLeft w:val="0"/>
      <w:marRight w:val="0"/>
      <w:marTop w:val="0"/>
      <w:marBottom w:val="0"/>
      <w:divBdr>
        <w:top w:val="none" w:sz="0" w:space="0" w:color="auto"/>
        <w:left w:val="none" w:sz="0" w:space="0" w:color="auto"/>
        <w:bottom w:val="none" w:sz="0" w:space="0" w:color="auto"/>
        <w:right w:val="none" w:sz="0" w:space="0" w:color="auto"/>
      </w:divBdr>
    </w:div>
    <w:div w:id="789978451">
      <w:marLeft w:val="0"/>
      <w:marRight w:val="0"/>
      <w:marTop w:val="0"/>
      <w:marBottom w:val="0"/>
      <w:divBdr>
        <w:top w:val="none" w:sz="0" w:space="0" w:color="auto"/>
        <w:left w:val="none" w:sz="0" w:space="0" w:color="auto"/>
        <w:bottom w:val="none" w:sz="0" w:space="0" w:color="auto"/>
        <w:right w:val="none" w:sz="0" w:space="0" w:color="auto"/>
      </w:divBdr>
    </w:div>
    <w:div w:id="789978452">
      <w:marLeft w:val="0"/>
      <w:marRight w:val="0"/>
      <w:marTop w:val="0"/>
      <w:marBottom w:val="0"/>
      <w:divBdr>
        <w:top w:val="none" w:sz="0" w:space="0" w:color="auto"/>
        <w:left w:val="none" w:sz="0" w:space="0" w:color="auto"/>
        <w:bottom w:val="none" w:sz="0" w:space="0" w:color="auto"/>
        <w:right w:val="none" w:sz="0" w:space="0" w:color="auto"/>
      </w:divBdr>
    </w:div>
    <w:div w:id="789978453">
      <w:marLeft w:val="0"/>
      <w:marRight w:val="0"/>
      <w:marTop w:val="0"/>
      <w:marBottom w:val="0"/>
      <w:divBdr>
        <w:top w:val="none" w:sz="0" w:space="0" w:color="auto"/>
        <w:left w:val="none" w:sz="0" w:space="0" w:color="auto"/>
        <w:bottom w:val="none" w:sz="0" w:space="0" w:color="auto"/>
        <w:right w:val="none" w:sz="0" w:space="0" w:color="auto"/>
      </w:divBdr>
    </w:div>
    <w:div w:id="789978454">
      <w:marLeft w:val="0"/>
      <w:marRight w:val="0"/>
      <w:marTop w:val="0"/>
      <w:marBottom w:val="0"/>
      <w:divBdr>
        <w:top w:val="none" w:sz="0" w:space="0" w:color="auto"/>
        <w:left w:val="none" w:sz="0" w:space="0" w:color="auto"/>
        <w:bottom w:val="none" w:sz="0" w:space="0" w:color="auto"/>
        <w:right w:val="none" w:sz="0" w:space="0" w:color="auto"/>
      </w:divBdr>
    </w:div>
    <w:div w:id="789978455">
      <w:marLeft w:val="0"/>
      <w:marRight w:val="0"/>
      <w:marTop w:val="0"/>
      <w:marBottom w:val="0"/>
      <w:divBdr>
        <w:top w:val="none" w:sz="0" w:space="0" w:color="auto"/>
        <w:left w:val="none" w:sz="0" w:space="0" w:color="auto"/>
        <w:bottom w:val="none" w:sz="0" w:space="0" w:color="auto"/>
        <w:right w:val="none" w:sz="0" w:space="0" w:color="auto"/>
      </w:divBdr>
    </w:div>
    <w:div w:id="789978456">
      <w:marLeft w:val="0"/>
      <w:marRight w:val="0"/>
      <w:marTop w:val="0"/>
      <w:marBottom w:val="0"/>
      <w:divBdr>
        <w:top w:val="none" w:sz="0" w:space="0" w:color="auto"/>
        <w:left w:val="none" w:sz="0" w:space="0" w:color="auto"/>
        <w:bottom w:val="none" w:sz="0" w:space="0" w:color="auto"/>
        <w:right w:val="none" w:sz="0" w:space="0" w:color="auto"/>
      </w:divBdr>
    </w:div>
    <w:div w:id="789978457">
      <w:marLeft w:val="0"/>
      <w:marRight w:val="0"/>
      <w:marTop w:val="0"/>
      <w:marBottom w:val="0"/>
      <w:divBdr>
        <w:top w:val="none" w:sz="0" w:space="0" w:color="auto"/>
        <w:left w:val="none" w:sz="0" w:space="0" w:color="auto"/>
        <w:bottom w:val="none" w:sz="0" w:space="0" w:color="auto"/>
        <w:right w:val="none" w:sz="0" w:space="0" w:color="auto"/>
      </w:divBdr>
    </w:div>
    <w:div w:id="789978458">
      <w:marLeft w:val="0"/>
      <w:marRight w:val="0"/>
      <w:marTop w:val="0"/>
      <w:marBottom w:val="0"/>
      <w:divBdr>
        <w:top w:val="none" w:sz="0" w:space="0" w:color="auto"/>
        <w:left w:val="none" w:sz="0" w:space="0" w:color="auto"/>
        <w:bottom w:val="none" w:sz="0" w:space="0" w:color="auto"/>
        <w:right w:val="none" w:sz="0" w:space="0" w:color="auto"/>
      </w:divBdr>
    </w:div>
    <w:div w:id="789978459">
      <w:marLeft w:val="0"/>
      <w:marRight w:val="0"/>
      <w:marTop w:val="0"/>
      <w:marBottom w:val="0"/>
      <w:divBdr>
        <w:top w:val="none" w:sz="0" w:space="0" w:color="auto"/>
        <w:left w:val="none" w:sz="0" w:space="0" w:color="auto"/>
        <w:bottom w:val="none" w:sz="0" w:space="0" w:color="auto"/>
        <w:right w:val="none" w:sz="0" w:space="0" w:color="auto"/>
      </w:divBdr>
    </w:div>
    <w:div w:id="789978460">
      <w:marLeft w:val="0"/>
      <w:marRight w:val="0"/>
      <w:marTop w:val="0"/>
      <w:marBottom w:val="0"/>
      <w:divBdr>
        <w:top w:val="none" w:sz="0" w:space="0" w:color="auto"/>
        <w:left w:val="none" w:sz="0" w:space="0" w:color="auto"/>
        <w:bottom w:val="none" w:sz="0" w:space="0" w:color="auto"/>
        <w:right w:val="none" w:sz="0" w:space="0" w:color="auto"/>
      </w:divBdr>
    </w:div>
    <w:div w:id="789978461">
      <w:marLeft w:val="0"/>
      <w:marRight w:val="0"/>
      <w:marTop w:val="0"/>
      <w:marBottom w:val="0"/>
      <w:divBdr>
        <w:top w:val="none" w:sz="0" w:space="0" w:color="auto"/>
        <w:left w:val="none" w:sz="0" w:space="0" w:color="auto"/>
        <w:bottom w:val="none" w:sz="0" w:space="0" w:color="auto"/>
        <w:right w:val="none" w:sz="0" w:space="0" w:color="auto"/>
      </w:divBdr>
    </w:div>
    <w:div w:id="789978462">
      <w:marLeft w:val="0"/>
      <w:marRight w:val="0"/>
      <w:marTop w:val="0"/>
      <w:marBottom w:val="0"/>
      <w:divBdr>
        <w:top w:val="none" w:sz="0" w:space="0" w:color="auto"/>
        <w:left w:val="none" w:sz="0" w:space="0" w:color="auto"/>
        <w:bottom w:val="none" w:sz="0" w:space="0" w:color="auto"/>
        <w:right w:val="none" w:sz="0" w:space="0" w:color="auto"/>
      </w:divBdr>
    </w:div>
    <w:div w:id="789978463">
      <w:marLeft w:val="0"/>
      <w:marRight w:val="0"/>
      <w:marTop w:val="0"/>
      <w:marBottom w:val="0"/>
      <w:divBdr>
        <w:top w:val="none" w:sz="0" w:space="0" w:color="auto"/>
        <w:left w:val="none" w:sz="0" w:space="0" w:color="auto"/>
        <w:bottom w:val="none" w:sz="0" w:space="0" w:color="auto"/>
        <w:right w:val="none" w:sz="0" w:space="0" w:color="auto"/>
      </w:divBdr>
    </w:div>
    <w:div w:id="789978464">
      <w:marLeft w:val="0"/>
      <w:marRight w:val="0"/>
      <w:marTop w:val="0"/>
      <w:marBottom w:val="0"/>
      <w:divBdr>
        <w:top w:val="none" w:sz="0" w:space="0" w:color="auto"/>
        <w:left w:val="none" w:sz="0" w:space="0" w:color="auto"/>
        <w:bottom w:val="none" w:sz="0" w:space="0" w:color="auto"/>
        <w:right w:val="none" w:sz="0" w:space="0" w:color="auto"/>
      </w:divBdr>
    </w:div>
    <w:div w:id="789978465">
      <w:marLeft w:val="0"/>
      <w:marRight w:val="0"/>
      <w:marTop w:val="0"/>
      <w:marBottom w:val="0"/>
      <w:divBdr>
        <w:top w:val="none" w:sz="0" w:space="0" w:color="auto"/>
        <w:left w:val="none" w:sz="0" w:space="0" w:color="auto"/>
        <w:bottom w:val="none" w:sz="0" w:space="0" w:color="auto"/>
        <w:right w:val="none" w:sz="0" w:space="0" w:color="auto"/>
      </w:divBdr>
    </w:div>
    <w:div w:id="789978466">
      <w:marLeft w:val="0"/>
      <w:marRight w:val="0"/>
      <w:marTop w:val="0"/>
      <w:marBottom w:val="0"/>
      <w:divBdr>
        <w:top w:val="none" w:sz="0" w:space="0" w:color="auto"/>
        <w:left w:val="none" w:sz="0" w:space="0" w:color="auto"/>
        <w:bottom w:val="none" w:sz="0" w:space="0" w:color="auto"/>
        <w:right w:val="none" w:sz="0" w:space="0" w:color="auto"/>
      </w:divBdr>
    </w:div>
    <w:div w:id="789978467">
      <w:marLeft w:val="0"/>
      <w:marRight w:val="0"/>
      <w:marTop w:val="0"/>
      <w:marBottom w:val="0"/>
      <w:divBdr>
        <w:top w:val="none" w:sz="0" w:space="0" w:color="auto"/>
        <w:left w:val="none" w:sz="0" w:space="0" w:color="auto"/>
        <w:bottom w:val="none" w:sz="0" w:space="0" w:color="auto"/>
        <w:right w:val="none" w:sz="0" w:space="0" w:color="auto"/>
      </w:divBdr>
    </w:div>
    <w:div w:id="795757659">
      <w:bodyDiv w:val="1"/>
      <w:marLeft w:val="0"/>
      <w:marRight w:val="0"/>
      <w:marTop w:val="0"/>
      <w:marBottom w:val="0"/>
      <w:divBdr>
        <w:top w:val="none" w:sz="0" w:space="0" w:color="auto"/>
        <w:left w:val="none" w:sz="0" w:space="0" w:color="auto"/>
        <w:bottom w:val="none" w:sz="0" w:space="0" w:color="auto"/>
        <w:right w:val="none" w:sz="0" w:space="0" w:color="auto"/>
      </w:divBdr>
    </w:div>
    <w:div w:id="814880752">
      <w:bodyDiv w:val="1"/>
      <w:marLeft w:val="0"/>
      <w:marRight w:val="0"/>
      <w:marTop w:val="0"/>
      <w:marBottom w:val="0"/>
      <w:divBdr>
        <w:top w:val="none" w:sz="0" w:space="0" w:color="auto"/>
        <w:left w:val="none" w:sz="0" w:space="0" w:color="auto"/>
        <w:bottom w:val="none" w:sz="0" w:space="0" w:color="auto"/>
        <w:right w:val="none" w:sz="0" w:space="0" w:color="auto"/>
      </w:divBdr>
    </w:div>
    <w:div w:id="816804025">
      <w:bodyDiv w:val="1"/>
      <w:marLeft w:val="0"/>
      <w:marRight w:val="0"/>
      <w:marTop w:val="0"/>
      <w:marBottom w:val="0"/>
      <w:divBdr>
        <w:top w:val="none" w:sz="0" w:space="0" w:color="auto"/>
        <w:left w:val="none" w:sz="0" w:space="0" w:color="auto"/>
        <w:bottom w:val="none" w:sz="0" w:space="0" w:color="auto"/>
        <w:right w:val="none" w:sz="0" w:space="0" w:color="auto"/>
      </w:divBdr>
    </w:div>
    <w:div w:id="841511630">
      <w:bodyDiv w:val="1"/>
      <w:marLeft w:val="0"/>
      <w:marRight w:val="0"/>
      <w:marTop w:val="0"/>
      <w:marBottom w:val="0"/>
      <w:divBdr>
        <w:top w:val="none" w:sz="0" w:space="0" w:color="auto"/>
        <w:left w:val="none" w:sz="0" w:space="0" w:color="auto"/>
        <w:bottom w:val="none" w:sz="0" w:space="0" w:color="auto"/>
        <w:right w:val="none" w:sz="0" w:space="0" w:color="auto"/>
      </w:divBdr>
    </w:div>
    <w:div w:id="860320878">
      <w:bodyDiv w:val="1"/>
      <w:marLeft w:val="0"/>
      <w:marRight w:val="0"/>
      <w:marTop w:val="0"/>
      <w:marBottom w:val="0"/>
      <w:divBdr>
        <w:top w:val="none" w:sz="0" w:space="0" w:color="auto"/>
        <w:left w:val="none" w:sz="0" w:space="0" w:color="auto"/>
        <w:bottom w:val="none" w:sz="0" w:space="0" w:color="auto"/>
        <w:right w:val="none" w:sz="0" w:space="0" w:color="auto"/>
      </w:divBdr>
    </w:div>
    <w:div w:id="863788067">
      <w:bodyDiv w:val="1"/>
      <w:marLeft w:val="0"/>
      <w:marRight w:val="0"/>
      <w:marTop w:val="0"/>
      <w:marBottom w:val="0"/>
      <w:divBdr>
        <w:top w:val="none" w:sz="0" w:space="0" w:color="auto"/>
        <w:left w:val="none" w:sz="0" w:space="0" w:color="auto"/>
        <w:bottom w:val="none" w:sz="0" w:space="0" w:color="auto"/>
        <w:right w:val="none" w:sz="0" w:space="0" w:color="auto"/>
      </w:divBdr>
    </w:div>
    <w:div w:id="905456798">
      <w:bodyDiv w:val="1"/>
      <w:marLeft w:val="0"/>
      <w:marRight w:val="0"/>
      <w:marTop w:val="0"/>
      <w:marBottom w:val="0"/>
      <w:divBdr>
        <w:top w:val="none" w:sz="0" w:space="0" w:color="auto"/>
        <w:left w:val="none" w:sz="0" w:space="0" w:color="auto"/>
        <w:bottom w:val="none" w:sz="0" w:space="0" w:color="auto"/>
        <w:right w:val="none" w:sz="0" w:space="0" w:color="auto"/>
      </w:divBdr>
    </w:div>
    <w:div w:id="928737212">
      <w:bodyDiv w:val="1"/>
      <w:marLeft w:val="0"/>
      <w:marRight w:val="0"/>
      <w:marTop w:val="0"/>
      <w:marBottom w:val="0"/>
      <w:divBdr>
        <w:top w:val="none" w:sz="0" w:space="0" w:color="auto"/>
        <w:left w:val="none" w:sz="0" w:space="0" w:color="auto"/>
        <w:bottom w:val="none" w:sz="0" w:space="0" w:color="auto"/>
        <w:right w:val="none" w:sz="0" w:space="0" w:color="auto"/>
      </w:divBdr>
    </w:div>
    <w:div w:id="936712378">
      <w:bodyDiv w:val="1"/>
      <w:marLeft w:val="0"/>
      <w:marRight w:val="0"/>
      <w:marTop w:val="0"/>
      <w:marBottom w:val="0"/>
      <w:divBdr>
        <w:top w:val="none" w:sz="0" w:space="0" w:color="auto"/>
        <w:left w:val="none" w:sz="0" w:space="0" w:color="auto"/>
        <w:bottom w:val="none" w:sz="0" w:space="0" w:color="auto"/>
        <w:right w:val="none" w:sz="0" w:space="0" w:color="auto"/>
      </w:divBdr>
    </w:div>
    <w:div w:id="950010919">
      <w:bodyDiv w:val="1"/>
      <w:marLeft w:val="0"/>
      <w:marRight w:val="0"/>
      <w:marTop w:val="0"/>
      <w:marBottom w:val="0"/>
      <w:divBdr>
        <w:top w:val="none" w:sz="0" w:space="0" w:color="auto"/>
        <w:left w:val="none" w:sz="0" w:space="0" w:color="auto"/>
        <w:bottom w:val="none" w:sz="0" w:space="0" w:color="auto"/>
        <w:right w:val="none" w:sz="0" w:space="0" w:color="auto"/>
      </w:divBdr>
    </w:div>
    <w:div w:id="954796405">
      <w:bodyDiv w:val="1"/>
      <w:marLeft w:val="0"/>
      <w:marRight w:val="0"/>
      <w:marTop w:val="0"/>
      <w:marBottom w:val="0"/>
      <w:divBdr>
        <w:top w:val="none" w:sz="0" w:space="0" w:color="auto"/>
        <w:left w:val="none" w:sz="0" w:space="0" w:color="auto"/>
        <w:bottom w:val="none" w:sz="0" w:space="0" w:color="auto"/>
        <w:right w:val="none" w:sz="0" w:space="0" w:color="auto"/>
      </w:divBdr>
    </w:div>
    <w:div w:id="975910780">
      <w:bodyDiv w:val="1"/>
      <w:marLeft w:val="0"/>
      <w:marRight w:val="0"/>
      <w:marTop w:val="0"/>
      <w:marBottom w:val="0"/>
      <w:divBdr>
        <w:top w:val="none" w:sz="0" w:space="0" w:color="auto"/>
        <w:left w:val="none" w:sz="0" w:space="0" w:color="auto"/>
        <w:bottom w:val="none" w:sz="0" w:space="0" w:color="auto"/>
        <w:right w:val="none" w:sz="0" w:space="0" w:color="auto"/>
      </w:divBdr>
    </w:div>
    <w:div w:id="980883531">
      <w:bodyDiv w:val="1"/>
      <w:marLeft w:val="0"/>
      <w:marRight w:val="0"/>
      <w:marTop w:val="0"/>
      <w:marBottom w:val="0"/>
      <w:divBdr>
        <w:top w:val="none" w:sz="0" w:space="0" w:color="auto"/>
        <w:left w:val="none" w:sz="0" w:space="0" w:color="auto"/>
        <w:bottom w:val="none" w:sz="0" w:space="0" w:color="auto"/>
        <w:right w:val="none" w:sz="0" w:space="0" w:color="auto"/>
      </w:divBdr>
    </w:div>
    <w:div w:id="989481145">
      <w:bodyDiv w:val="1"/>
      <w:marLeft w:val="0"/>
      <w:marRight w:val="0"/>
      <w:marTop w:val="0"/>
      <w:marBottom w:val="0"/>
      <w:divBdr>
        <w:top w:val="none" w:sz="0" w:space="0" w:color="auto"/>
        <w:left w:val="none" w:sz="0" w:space="0" w:color="auto"/>
        <w:bottom w:val="none" w:sz="0" w:space="0" w:color="auto"/>
        <w:right w:val="none" w:sz="0" w:space="0" w:color="auto"/>
      </w:divBdr>
    </w:div>
    <w:div w:id="1056049388">
      <w:bodyDiv w:val="1"/>
      <w:marLeft w:val="0"/>
      <w:marRight w:val="0"/>
      <w:marTop w:val="0"/>
      <w:marBottom w:val="0"/>
      <w:divBdr>
        <w:top w:val="none" w:sz="0" w:space="0" w:color="auto"/>
        <w:left w:val="none" w:sz="0" w:space="0" w:color="auto"/>
        <w:bottom w:val="none" w:sz="0" w:space="0" w:color="auto"/>
        <w:right w:val="none" w:sz="0" w:space="0" w:color="auto"/>
      </w:divBdr>
    </w:div>
    <w:div w:id="1056078106">
      <w:bodyDiv w:val="1"/>
      <w:marLeft w:val="0"/>
      <w:marRight w:val="0"/>
      <w:marTop w:val="0"/>
      <w:marBottom w:val="0"/>
      <w:divBdr>
        <w:top w:val="none" w:sz="0" w:space="0" w:color="auto"/>
        <w:left w:val="none" w:sz="0" w:space="0" w:color="auto"/>
        <w:bottom w:val="none" w:sz="0" w:space="0" w:color="auto"/>
        <w:right w:val="none" w:sz="0" w:space="0" w:color="auto"/>
      </w:divBdr>
    </w:div>
    <w:div w:id="1062564905">
      <w:bodyDiv w:val="1"/>
      <w:marLeft w:val="0"/>
      <w:marRight w:val="0"/>
      <w:marTop w:val="0"/>
      <w:marBottom w:val="0"/>
      <w:divBdr>
        <w:top w:val="none" w:sz="0" w:space="0" w:color="auto"/>
        <w:left w:val="none" w:sz="0" w:space="0" w:color="auto"/>
        <w:bottom w:val="none" w:sz="0" w:space="0" w:color="auto"/>
        <w:right w:val="none" w:sz="0" w:space="0" w:color="auto"/>
      </w:divBdr>
    </w:div>
    <w:div w:id="1095320299">
      <w:bodyDiv w:val="1"/>
      <w:marLeft w:val="0"/>
      <w:marRight w:val="0"/>
      <w:marTop w:val="0"/>
      <w:marBottom w:val="0"/>
      <w:divBdr>
        <w:top w:val="none" w:sz="0" w:space="0" w:color="auto"/>
        <w:left w:val="none" w:sz="0" w:space="0" w:color="auto"/>
        <w:bottom w:val="none" w:sz="0" w:space="0" w:color="auto"/>
        <w:right w:val="none" w:sz="0" w:space="0" w:color="auto"/>
      </w:divBdr>
    </w:div>
    <w:div w:id="1158225750">
      <w:bodyDiv w:val="1"/>
      <w:marLeft w:val="0"/>
      <w:marRight w:val="0"/>
      <w:marTop w:val="0"/>
      <w:marBottom w:val="0"/>
      <w:divBdr>
        <w:top w:val="none" w:sz="0" w:space="0" w:color="auto"/>
        <w:left w:val="none" w:sz="0" w:space="0" w:color="auto"/>
        <w:bottom w:val="none" w:sz="0" w:space="0" w:color="auto"/>
        <w:right w:val="none" w:sz="0" w:space="0" w:color="auto"/>
      </w:divBdr>
    </w:div>
    <w:div w:id="1183520987">
      <w:bodyDiv w:val="1"/>
      <w:marLeft w:val="0"/>
      <w:marRight w:val="0"/>
      <w:marTop w:val="0"/>
      <w:marBottom w:val="0"/>
      <w:divBdr>
        <w:top w:val="none" w:sz="0" w:space="0" w:color="auto"/>
        <w:left w:val="none" w:sz="0" w:space="0" w:color="auto"/>
        <w:bottom w:val="none" w:sz="0" w:space="0" w:color="auto"/>
        <w:right w:val="none" w:sz="0" w:space="0" w:color="auto"/>
      </w:divBdr>
    </w:div>
    <w:div w:id="1193766728">
      <w:bodyDiv w:val="1"/>
      <w:marLeft w:val="0"/>
      <w:marRight w:val="0"/>
      <w:marTop w:val="0"/>
      <w:marBottom w:val="0"/>
      <w:divBdr>
        <w:top w:val="none" w:sz="0" w:space="0" w:color="auto"/>
        <w:left w:val="none" w:sz="0" w:space="0" w:color="auto"/>
        <w:bottom w:val="none" w:sz="0" w:space="0" w:color="auto"/>
        <w:right w:val="none" w:sz="0" w:space="0" w:color="auto"/>
      </w:divBdr>
    </w:div>
    <w:div w:id="1213075025">
      <w:bodyDiv w:val="1"/>
      <w:marLeft w:val="0"/>
      <w:marRight w:val="0"/>
      <w:marTop w:val="0"/>
      <w:marBottom w:val="0"/>
      <w:divBdr>
        <w:top w:val="none" w:sz="0" w:space="0" w:color="auto"/>
        <w:left w:val="none" w:sz="0" w:space="0" w:color="auto"/>
        <w:bottom w:val="none" w:sz="0" w:space="0" w:color="auto"/>
        <w:right w:val="none" w:sz="0" w:space="0" w:color="auto"/>
      </w:divBdr>
    </w:div>
    <w:div w:id="1223516784">
      <w:bodyDiv w:val="1"/>
      <w:marLeft w:val="0"/>
      <w:marRight w:val="0"/>
      <w:marTop w:val="0"/>
      <w:marBottom w:val="0"/>
      <w:divBdr>
        <w:top w:val="none" w:sz="0" w:space="0" w:color="auto"/>
        <w:left w:val="none" w:sz="0" w:space="0" w:color="auto"/>
        <w:bottom w:val="none" w:sz="0" w:space="0" w:color="auto"/>
        <w:right w:val="none" w:sz="0" w:space="0" w:color="auto"/>
      </w:divBdr>
    </w:div>
    <w:div w:id="1230384266">
      <w:bodyDiv w:val="1"/>
      <w:marLeft w:val="0"/>
      <w:marRight w:val="0"/>
      <w:marTop w:val="0"/>
      <w:marBottom w:val="0"/>
      <w:divBdr>
        <w:top w:val="none" w:sz="0" w:space="0" w:color="auto"/>
        <w:left w:val="none" w:sz="0" w:space="0" w:color="auto"/>
        <w:bottom w:val="none" w:sz="0" w:space="0" w:color="auto"/>
        <w:right w:val="none" w:sz="0" w:space="0" w:color="auto"/>
      </w:divBdr>
    </w:div>
    <w:div w:id="1233662563">
      <w:bodyDiv w:val="1"/>
      <w:marLeft w:val="0"/>
      <w:marRight w:val="0"/>
      <w:marTop w:val="0"/>
      <w:marBottom w:val="0"/>
      <w:divBdr>
        <w:top w:val="none" w:sz="0" w:space="0" w:color="auto"/>
        <w:left w:val="none" w:sz="0" w:space="0" w:color="auto"/>
        <w:bottom w:val="none" w:sz="0" w:space="0" w:color="auto"/>
        <w:right w:val="none" w:sz="0" w:space="0" w:color="auto"/>
      </w:divBdr>
    </w:div>
    <w:div w:id="1245871805">
      <w:bodyDiv w:val="1"/>
      <w:marLeft w:val="0"/>
      <w:marRight w:val="0"/>
      <w:marTop w:val="0"/>
      <w:marBottom w:val="0"/>
      <w:divBdr>
        <w:top w:val="none" w:sz="0" w:space="0" w:color="auto"/>
        <w:left w:val="none" w:sz="0" w:space="0" w:color="auto"/>
        <w:bottom w:val="none" w:sz="0" w:space="0" w:color="auto"/>
        <w:right w:val="none" w:sz="0" w:space="0" w:color="auto"/>
      </w:divBdr>
    </w:div>
    <w:div w:id="1255699842">
      <w:bodyDiv w:val="1"/>
      <w:marLeft w:val="0"/>
      <w:marRight w:val="0"/>
      <w:marTop w:val="0"/>
      <w:marBottom w:val="0"/>
      <w:divBdr>
        <w:top w:val="none" w:sz="0" w:space="0" w:color="auto"/>
        <w:left w:val="none" w:sz="0" w:space="0" w:color="auto"/>
        <w:bottom w:val="none" w:sz="0" w:space="0" w:color="auto"/>
        <w:right w:val="none" w:sz="0" w:space="0" w:color="auto"/>
      </w:divBdr>
    </w:div>
    <w:div w:id="1264651650">
      <w:bodyDiv w:val="1"/>
      <w:marLeft w:val="0"/>
      <w:marRight w:val="0"/>
      <w:marTop w:val="0"/>
      <w:marBottom w:val="0"/>
      <w:divBdr>
        <w:top w:val="none" w:sz="0" w:space="0" w:color="auto"/>
        <w:left w:val="none" w:sz="0" w:space="0" w:color="auto"/>
        <w:bottom w:val="none" w:sz="0" w:space="0" w:color="auto"/>
        <w:right w:val="none" w:sz="0" w:space="0" w:color="auto"/>
      </w:divBdr>
    </w:div>
    <w:div w:id="1331058562">
      <w:bodyDiv w:val="1"/>
      <w:marLeft w:val="0"/>
      <w:marRight w:val="0"/>
      <w:marTop w:val="0"/>
      <w:marBottom w:val="0"/>
      <w:divBdr>
        <w:top w:val="none" w:sz="0" w:space="0" w:color="auto"/>
        <w:left w:val="none" w:sz="0" w:space="0" w:color="auto"/>
        <w:bottom w:val="none" w:sz="0" w:space="0" w:color="auto"/>
        <w:right w:val="none" w:sz="0" w:space="0" w:color="auto"/>
      </w:divBdr>
    </w:div>
    <w:div w:id="1344865989">
      <w:bodyDiv w:val="1"/>
      <w:marLeft w:val="0"/>
      <w:marRight w:val="0"/>
      <w:marTop w:val="0"/>
      <w:marBottom w:val="0"/>
      <w:divBdr>
        <w:top w:val="none" w:sz="0" w:space="0" w:color="auto"/>
        <w:left w:val="none" w:sz="0" w:space="0" w:color="auto"/>
        <w:bottom w:val="none" w:sz="0" w:space="0" w:color="auto"/>
        <w:right w:val="none" w:sz="0" w:space="0" w:color="auto"/>
      </w:divBdr>
    </w:div>
    <w:div w:id="1377895670">
      <w:bodyDiv w:val="1"/>
      <w:marLeft w:val="0"/>
      <w:marRight w:val="0"/>
      <w:marTop w:val="0"/>
      <w:marBottom w:val="0"/>
      <w:divBdr>
        <w:top w:val="none" w:sz="0" w:space="0" w:color="auto"/>
        <w:left w:val="none" w:sz="0" w:space="0" w:color="auto"/>
        <w:bottom w:val="none" w:sz="0" w:space="0" w:color="auto"/>
        <w:right w:val="none" w:sz="0" w:space="0" w:color="auto"/>
      </w:divBdr>
    </w:div>
    <w:div w:id="1383098536">
      <w:bodyDiv w:val="1"/>
      <w:marLeft w:val="0"/>
      <w:marRight w:val="0"/>
      <w:marTop w:val="0"/>
      <w:marBottom w:val="0"/>
      <w:divBdr>
        <w:top w:val="none" w:sz="0" w:space="0" w:color="auto"/>
        <w:left w:val="none" w:sz="0" w:space="0" w:color="auto"/>
        <w:bottom w:val="none" w:sz="0" w:space="0" w:color="auto"/>
        <w:right w:val="none" w:sz="0" w:space="0" w:color="auto"/>
      </w:divBdr>
    </w:div>
    <w:div w:id="1394743330">
      <w:bodyDiv w:val="1"/>
      <w:marLeft w:val="0"/>
      <w:marRight w:val="0"/>
      <w:marTop w:val="0"/>
      <w:marBottom w:val="0"/>
      <w:divBdr>
        <w:top w:val="none" w:sz="0" w:space="0" w:color="auto"/>
        <w:left w:val="none" w:sz="0" w:space="0" w:color="auto"/>
        <w:bottom w:val="none" w:sz="0" w:space="0" w:color="auto"/>
        <w:right w:val="none" w:sz="0" w:space="0" w:color="auto"/>
      </w:divBdr>
    </w:div>
    <w:div w:id="1398749045">
      <w:bodyDiv w:val="1"/>
      <w:marLeft w:val="0"/>
      <w:marRight w:val="0"/>
      <w:marTop w:val="0"/>
      <w:marBottom w:val="0"/>
      <w:divBdr>
        <w:top w:val="none" w:sz="0" w:space="0" w:color="auto"/>
        <w:left w:val="none" w:sz="0" w:space="0" w:color="auto"/>
        <w:bottom w:val="none" w:sz="0" w:space="0" w:color="auto"/>
        <w:right w:val="none" w:sz="0" w:space="0" w:color="auto"/>
      </w:divBdr>
    </w:div>
    <w:div w:id="1441340290">
      <w:bodyDiv w:val="1"/>
      <w:marLeft w:val="0"/>
      <w:marRight w:val="0"/>
      <w:marTop w:val="0"/>
      <w:marBottom w:val="0"/>
      <w:divBdr>
        <w:top w:val="none" w:sz="0" w:space="0" w:color="auto"/>
        <w:left w:val="none" w:sz="0" w:space="0" w:color="auto"/>
        <w:bottom w:val="none" w:sz="0" w:space="0" w:color="auto"/>
        <w:right w:val="none" w:sz="0" w:space="0" w:color="auto"/>
      </w:divBdr>
    </w:div>
    <w:div w:id="1452359703">
      <w:bodyDiv w:val="1"/>
      <w:marLeft w:val="0"/>
      <w:marRight w:val="0"/>
      <w:marTop w:val="0"/>
      <w:marBottom w:val="0"/>
      <w:divBdr>
        <w:top w:val="none" w:sz="0" w:space="0" w:color="auto"/>
        <w:left w:val="none" w:sz="0" w:space="0" w:color="auto"/>
        <w:bottom w:val="none" w:sz="0" w:space="0" w:color="auto"/>
        <w:right w:val="none" w:sz="0" w:space="0" w:color="auto"/>
      </w:divBdr>
    </w:div>
    <w:div w:id="1461997288">
      <w:bodyDiv w:val="1"/>
      <w:marLeft w:val="0"/>
      <w:marRight w:val="0"/>
      <w:marTop w:val="0"/>
      <w:marBottom w:val="0"/>
      <w:divBdr>
        <w:top w:val="none" w:sz="0" w:space="0" w:color="auto"/>
        <w:left w:val="none" w:sz="0" w:space="0" w:color="auto"/>
        <w:bottom w:val="none" w:sz="0" w:space="0" w:color="auto"/>
        <w:right w:val="none" w:sz="0" w:space="0" w:color="auto"/>
      </w:divBdr>
    </w:div>
    <w:div w:id="1479565532">
      <w:bodyDiv w:val="1"/>
      <w:marLeft w:val="0"/>
      <w:marRight w:val="0"/>
      <w:marTop w:val="0"/>
      <w:marBottom w:val="0"/>
      <w:divBdr>
        <w:top w:val="none" w:sz="0" w:space="0" w:color="auto"/>
        <w:left w:val="none" w:sz="0" w:space="0" w:color="auto"/>
        <w:bottom w:val="none" w:sz="0" w:space="0" w:color="auto"/>
        <w:right w:val="none" w:sz="0" w:space="0" w:color="auto"/>
      </w:divBdr>
    </w:div>
    <w:div w:id="1495025756">
      <w:bodyDiv w:val="1"/>
      <w:marLeft w:val="0"/>
      <w:marRight w:val="0"/>
      <w:marTop w:val="0"/>
      <w:marBottom w:val="0"/>
      <w:divBdr>
        <w:top w:val="none" w:sz="0" w:space="0" w:color="auto"/>
        <w:left w:val="none" w:sz="0" w:space="0" w:color="auto"/>
        <w:bottom w:val="none" w:sz="0" w:space="0" w:color="auto"/>
        <w:right w:val="none" w:sz="0" w:space="0" w:color="auto"/>
      </w:divBdr>
    </w:div>
    <w:div w:id="1514107287">
      <w:bodyDiv w:val="1"/>
      <w:marLeft w:val="0"/>
      <w:marRight w:val="0"/>
      <w:marTop w:val="0"/>
      <w:marBottom w:val="0"/>
      <w:divBdr>
        <w:top w:val="none" w:sz="0" w:space="0" w:color="auto"/>
        <w:left w:val="none" w:sz="0" w:space="0" w:color="auto"/>
        <w:bottom w:val="none" w:sz="0" w:space="0" w:color="auto"/>
        <w:right w:val="none" w:sz="0" w:space="0" w:color="auto"/>
      </w:divBdr>
    </w:div>
    <w:div w:id="1520392994">
      <w:bodyDiv w:val="1"/>
      <w:marLeft w:val="0"/>
      <w:marRight w:val="0"/>
      <w:marTop w:val="0"/>
      <w:marBottom w:val="0"/>
      <w:divBdr>
        <w:top w:val="none" w:sz="0" w:space="0" w:color="auto"/>
        <w:left w:val="none" w:sz="0" w:space="0" w:color="auto"/>
        <w:bottom w:val="none" w:sz="0" w:space="0" w:color="auto"/>
        <w:right w:val="none" w:sz="0" w:space="0" w:color="auto"/>
      </w:divBdr>
    </w:div>
    <w:div w:id="1542859679">
      <w:bodyDiv w:val="1"/>
      <w:marLeft w:val="0"/>
      <w:marRight w:val="0"/>
      <w:marTop w:val="0"/>
      <w:marBottom w:val="0"/>
      <w:divBdr>
        <w:top w:val="none" w:sz="0" w:space="0" w:color="auto"/>
        <w:left w:val="none" w:sz="0" w:space="0" w:color="auto"/>
        <w:bottom w:val="none" w:sz="0" w:space="0" w:color="auto"/>
        <w:right w:val="none" w:sz="0" w:space="0" w:color="auto"/>
      </w:divBdr>
    </w:div>
    <w:div w:id="1556551405">
      <w:bodyDiv w:val="1"/>
      <w:marLeft w:val="0"/>
      <w:marRight w:val="0"/>
      <w:marTop w:val="0"/>
      <w:marBottom w:val="0"/>
      <w:divBdr>
        <w:top w:val="none" w:sz="0" w:space="0" w:color="auto"/>
        <w:left w:val="none" w:sz="0" w:space="0" w:color="auto"/>
        <w:bottom w:val="none" w:sz="0" w:space="0" w:color="auto"/>
        <w:right w:val="none" w:sz="0" w:space="0" w:color="auto"/>
      </w:divBdr>
    </w:div>
    <w:div w:id="1556771593">
      <w:bodyDiv w:val="1"/>
      <w:marLeft w:val="0"/>
      <w:marRight w:val="0"/>
      <w:marTop w:val="0"/>
      <w:marBottom w:val="0"/>
      <w:divBdr>
        <w:top w:val="none" w:sz="0" w:space="0" w:color="auto"/>
        <w:left w:val="none" w:sz="0" w:space="0" w:color="auto"/>
        <w:bottom w:val="none" w:sz="0" w:space="0" w:color="auto"/>
        <w:right w:val="none" w:sz="0" w:space="0" w:color="auto"/>
      </w:divBdr>
    </w:div>
    <w:div w:id="1557469869">
      <w:bodyDiv w:val="1"/>
      <w:marLeft w:val="0"/>
      <w:marRight w:val="0"/>
      <w:marTop w:val="0"/>
      <w:marBottom w:val="0"/>
      <w:divBdr>
        <w:top w:val="none" w:sz="0" w:space="0" w:color="auto"/>
        <w:left w:val="none" w:sz="0" w:space="0" w:color="auto"/>
        <w:bottom w:val="none" w:sz="0" w:space="0" w:color="auto"/>
        <w:right w:val="none" w:sz="0" w:space="0" w:color="auto"/>
      </w:divBdr>
    </w:div>
    <w:div w:id="1566377109">
      <w:bodyDiv w:val="1"/>
      <w:marLeft w:val="0"/>
      <w:marRight w:val="0"/>
      <w:marTop w:val="0"/>
      <w:marBottom w:val="0"/>
      <w:divBdr>
        <w:top w:val="none" w:sz="0" w:space="0" w:color="auto"/>
        <w:left w:val="none" w:sz="0" w:space="0" w:color="auto"/>
        <w:bottom w:val="none" w:sz="0" w:space="0" w:color="auto"/>
        <w:right w:val="none" w:sz="0" w:space="0" w:color="auto"/>
      </w:divBdr>
    </w:div>
    <w:div w:id="1581212622">
      <w:bodyDiv w:val="1"/>
      <w:marLeft w:val="0"/>
      <w:marRight w:val="0"/>
      <w:marTop w:val="0"/>
      <w:marBottom w:val="0"/>
      <w:divBdr>
        <w:top w:val="none" w:sz="0" w:space="0" w:color="auto"/>
        <w:left w:val="none" w:sz="0" w:space="0" w:color="auto"/>
        <w:bottom w:val="none" w:sz="0" w:space="0" w:color="auto"/>
        <w:right w:val="none" w:sz="0" w:space="0" w:color="auto"/>
      </w:divBdr>
    </w:div>
    <w:div w:id="1587692668">
      <w:bodyDiv w:val="1"/>
      <w:marLeft w:val="0"/>
      <w:marRight w:val="0"/>
      <w:marTop w:val="0"/>
      <w:marBottom w:val="0"/>
      <w:divBdr>
        <w:top w:val="none" w:sz="0" w:space="0" w:color="auto"/>
        <w:left w:val="none" w:sz="0" w:space="0" w:color="auto"/>
        <w:bottom w:val="none" w:sz="0" w:space="0" w:color="auto"/>
        <w:right w:val="none" w:sz="0" w:space="0" w:color="auto"/>
      </w:divBdr>
    </w:div>
    <w:div w:id="1592621503">
      <w:bodyDiv w:val="1"/>
      <w:marLeft w:val="0"/>
      <w:marRight w:val="0"/>
      <w:marTop w:val="0"/>
      <w:marBottom w:val="0"/>
      <w:divBdr>
        <w:top w:val="none" w:sz="0" w:space="0" w:color="auto"/>
        <w:left w:val="none" w:sz="0" w:space="0" w:color="auto"/>
        <w:bottom w:val="none" w:sz="0" w:space="0" w:color="auto"/>
        <w:right w:val="none" w:sz="0" w:space="0" w:color="auto"/>
      </w:divBdr>
    </w:div>
    <w:div w:id="1614052666">
      <w:bodyDiv w:val="1"/>
      <w:marLeft w:val="0"/>
      <w:marRight w:val="0"/>
      <w:marTop w:val="0"/>
      <w:marBottom w:val="0"/>
      <w:divBdr>
        <w:top w:val="none" w:sz="0" w:space="0" w:color="auto"/>
        <w:left w:val="none" w:sz="0" w:space="0" w:color="auto"/>
        <w:bottom w:val="none" w:sz="0" w:space="0" w:color="auto"/>
        <w:right w:val="none" w:sz="0" w:space="0" w:color="auto"/>
      </w:divBdr>
    </w:div>
    <w:div w:id="1622348086">
      <w:bodyDiv w:val="1"/>
      <w:marLeft w:val="0"/>
      <w:marRight w:val="0"/>
      <w:marTop w:val="0"/>
      <w:marBottom w:val="0"/>
      <w:divBdr>
        <w:top w:val="none" w:sz="0" w:space="0" w:color="auto"/>
        <w:left w:val="none" w:sz="0" w:space="0" w:color="auto"/>
        <w:bottom w:val="none" w:sz="0" w:space="0" w:color="auto"/>
        <w:right w:val="none" w:sz="0" w:space="0" w:color="auto"/>
      </w:divBdr>
    </w:div>
    <w:div w:id="1673333997">
      <w:bodyDiv w:val="1"/>
      <w:marLeft w:val="0"/>
      <w:marRight w:val="0"/>
      <w:marTop w:val="0"/>
      <w:marBottom w:val="0"/>
      <w:divBdr>
        <w:top w:val="none" w:sz="0" w:space="0" w:color="auto"/>
        <w:left w:val="none" w:sz="0" w:space="0" w:color="auto"/>
        <w:bottom w:val="none" w:sz="0" w:space="0" w:color="auto"/>
        <w:right w:val="none" w:sz="0" w:space="0" w:color="auto"/>
      </w:divBdr>
    </w:div>
    <w:div w:id="1686714692">
      <w:bodyDiv w:val="1"/>
      <w:marLeft w:val="0"/>
      <w:marRight w:val="0"/>
      <w:marTop w:val="0"/>
      <w:marBottom w:val="0"/>
      <w:divBdr>
        <w:top w:val="none" w:sz="0" w:space="0" w:color="auto"/>
        <w:left w:val="none" w:sz="0" w:space="0" w:color="auto"/>
        <w:bottom w:val="none" w:sz="0" w:space="0" w:color="auto"/>
        <w:right w:val="none" w:sz="0" w:space="0" w:color="auto"/>
      </w:divBdr>
    </w:div>
    <w:div w:id="1694845000">
      <w:bodyDiv w:val="1"/>
      <w:marLeft w:val="0"/>
      <w:marRight w:val="0"/>
      <w:marTop w:val="0"/>
      <w:marBottom w:val="0"/>
      <w:divBdr>
        <w:top w:val="none" w:sz="0" w:space="0" w:color="auto"/>
        <w:left w:val="none" w:sz="0" w:space="0" w:color="auto"/>
        <w:bottom w:val="none" w:sz="0" w:space="0" w:color="auto"/>
        <w:right w:val="none" w:sz="0" w:space="0" w:color="auto"/>
      </w:divBdr>
    </w:div>
    <w:div w:id="1732993946">
      <w:bodyDiv w:val="1"/>
      <w:marLeft w:val="0"/>
      <w:marRight w:val="0"/>
      <w:marTop w:val="0"/>
      <w:marBottom w:val="0"/>
      <w:divBdr>
        <w:top w:val="none" w:sz="0" w:space="0" w:color="auto"/>
        <w:left w:val="none" w:sz="0" w:space="0" w:color="auto"/>
        <w:bottom w:val="none" w:sz="0" w:space="0" w:color="auto"/>
        <w:right w:val="none" w:sz="0" w:space="0" w:color="auto"/>
      </w:divBdr>
    </w:div>
    <w:div w:id="1763067765">
      <w:bodyDiv w:val="1"/>
      <w:marLeft w:val="0"/>
      <w:marRight w:val="0"/>
      <w:marTop w:val="0"/>
      <w:marBottom w:val="0"/>
      <w:divBdr>
        <w:top w:val="none" w:sz="0" w:space="0" w:color="auto"/>
        <w:left w:val="none" w:sz="0" w:space="0" w:color="auto"/>
        <w:bottom w:val="none" w:sz="0" w:space="0" w:color="auto"/>
        <w:right w:val="none" w:sz="0" w:space="0" w:color="auto"/>
      </w:divBdr>
    </w:div>
    <w:div w:id="1779442476">
      <w:bodyDiv w:val="1"/>
      <w:marLeft w:val="0"/>
      <w:marRight w:val="0"/>
      <w:marTop w:val="0"/>
      <w:marBottom w:val="0"/>
      <w:divBdr>
        <w:top w:val="none" w:sz="0" w:space="0" w:color="auto"/>
        <w:left w:val="none" w:sz="0" w:space="0" w:color="auto"/>
        <w:bottom w:val="none" w:sz="0" w:space="0" w:color="auto"/>
        <w:right w:val="none" w:sz="0" w:space="0" w:color="auto"/>
      </w:divBdr>
    </w:div>
    <w:div w:id="1781560111">
      <w:bodyDiv w:val="1"/>
      <w:marLeft w:val="0"/>
      <w:marRight w:val="0"/>
      <w:marTop w:val="0"/>
      <w:marBottom w:val="0"/>
      <w:divBdr>
        <w:top w:val="none" w:sz="0" w:space="0" w:color="auto"/>
        <w:left w:val="none" w:sz="0" w:space="0" w:color="auto"/>
        <w:bottom w:val="none" w:sz="0" w:space="0" w:color="auto"/>
        <w:right w:val="none" w:sz="0" w:space="0" w:color="auto"/>
      </w:divBdr>
    </w:div>
    <w:div w:id="1846632407">
      <w:bodyDiv w:val="1"/>
      <w:marLeft w:val="0"/>
      <w:marRight w:val="0"/>
      <w:marTop w:val="0"/>
      <w:marBottom w:val="0"/>
      <w:divBdr>
        <w:top w:val="none" w:sz="0" w:space="0" w:color="auto"/>
        <w:left w:val="none" w:sz="0" w:space="0" w:color="auto"/>
        <w:bottom w:val="none" w:sz="0" w:space="0" w:color="auto"/>
        <w:right w:val="none" w:sz="0" w:space="0" w:color="auto"/>
      </w:divBdr>
    </w:div>
    <w:div w:id="1886720462">
      <w:bodyDiv w:val="1"/>
      <w:marLeft w:val="0"/>
      <w:marRight w:val="0"/>
      <w:marTop w:val="0"/>
      <w:marBottom w:val="0"/>
      <w:divBdr>
        <w:top w:val="none" w:sz="0" w:space="0" w:color="auto"/>
        <w:left w:val="none" w:sz="0" w:space="0" w:color="auto"/>
        <w:bottom w:val="none" w:sz="0" w:space="0" w:color="auto"/>
        <w:right w:val="none" w:sz="0" w:space="0" w:color="auto"/>
      </w:divBdr>
    </w:div>
    <w:div w:id="1887524226">
      <w:bodyDiv w:val="1"/>
      <w:marLeft w:val="0"/>
      <w:marRight w:val="0"/>
      <w:marTop w:val="0"/>
      <w:marBottom w:val="0"/>
      <w:divBdr>
        <w:top w:val="none" w:sz="0" w:space="0" w:color="auto"/>
        <w:left w:val="none" w:sz="0" w:space="0" w:color="auto"/>
        <w:bottom w:val="none" w:sz="0" w:space="0" w:color="auto"/>
        <w:right w:val="none" w:sz="0" w:space="0" w:color="auto"/>
      </w:divBdr>
    </w:div>
    <w:div w:id="1893539418">
      <w:bodyDiv w:val="1"/>
      <w:marLeft w:val="0"/>
      <w:marRight w:val="0"/>
      <w:marTop w:val="0"/>
      <w:marBottom w:val="0"/>
      <w:divBdr>
        <w:top w:val="none" w:sz="0" w:space="0" w:color="auto"/>
        <w:left w:val="none" w:sz="0" w:space="0" w:color="auto"/>
        <w:bottom w:val="none" w:sz="0" w:space="0" w:color="auto"/>
        <w:right w:val="none" w:sz="0" w:space="0" w:color="auto"/>
      </w:divBdr>
    </w:div>
    <w:div w:id="1916237994">
      <w:bodyDiv w:val="1"/>
      <w:marLeft w:val="0"/>
      <w:marRight w:val="0"/>
      <w:marTop w:val="0"/>
      <w:marBottom w:val="0"/>
      <w:divBdr>
        <w:top w:val="none" w:sz="0" w:space="0" w:color="auto"/>
        <w:left w:val="none" w:sz="0" w:space="0" w:color="auto"/>
        <w:bottom w:val="none" w:sz="0" w:space="0" w:color="auto"/>
        <w:right w:val="none" w:sz="0" w:space="0" w:color="auto"/>
      </w:divBdr>
    </w:div>
    <w:div w:id="1918854835">
      <w:bodyDiv w:val="1"/>
      <w:marLeft w:val="0"/>
      <w:marRight w:val="0"/>
      <w:marTop w:val="0"/>
      <w:marBottom w:val="0"/>
      <w:divBdr>
        <w:top w:val="none" w:sz="0" w:space="0" w:color="auto"/>
        <w:left w:val="none" w:sz="0" w:space="0" w:color="auto"/>
        <w:bottom w:val="none" w:sz="0" w:space="0" w:color="auto"/>
        <w:right w:val="none" w:sz="0" w:space="0" w:color="auto"/>
      </w:divBdr>
    </w:div>
    <w:div w:id="1933514611">
      <w:bodyDiv w:val="1"/>
      <w:marLeft w:val="0"/>
      <w:marRight w:val="0"/>
      <w:marTop w:val="0"/>
      <w:marBottom w:val="0"/>
      <w:divBdr>
        <w:top w:val="none" w:sz="0" w:space="0" w:color="auto"/>
        <w:left w:val="none" w:sz="0" w:space="0" w:color="auto"/>
        <w:bottom w:val="none" w:sz="0" w:space="0" w:color="auto"/>
        <w:right w:val="none" w:sz="0" w:space="0" w:color="auto"/>
      </w:divBdr>
    </w:div>
    <w:div w:id="1957561391">
      <w:bodyDiv w:val="1"/>
      <w:marLeft w:val="0"/>
      <w:marRight w:val="0"/>
      <w:marTop w:val="0"/>
      <w:marBottom w:val="0"/>
      <w:divBdr>
        <w:top w:val="none" w:sz="0" w:space="0" w:color="auto"/>
        <w:left w:val="none" w:sz="0" w:space="0" w:color="auto"/>
        <w:bottom w:val="none" w:sz="0" w:space="0" w:color="auto"/>
        <w:right w:val="none" w:sz="0" w:space="0" w:color="auto"/>
      </w:divBdr>
    </w:div>
    <w:div w:id="1982880334">
      <w:bodyDiv w:val="1"/>
      <w:marLeft w:val="0"/>
      <w:marRight w:val="0"/>
      <w:marTop w:val="0"/>
      <w:marBottom w:val="0"/>
      <w:divBdr>
        <w:top w:val="none" w:sz="0" w:space="0" w:color="auto"/>
        <w:left w:val="none" w:sz="0" w:space="0" w:color="auto"/>
        <w:bottom w:val="none" w:sz="0" w:space="0" w:color="auto"/>
        <w:right w:val="none" w:sz="0" w:space="0" w:color="auto"/>
      </w:divBdr>
    </w:div>
    <w:div w:id="1984846649">
      <w:bodyDiv w:val="1"/>
      <w:marLeft w:val="0"/>
      <w:marRight w:val="0"/>
      <w:marTop w:val="0"/>
      <w:marBottom w:val="0"/>
      <w:divBdr>
        <w:top w:val="none" w:sz="0" w:space="0" w:color="auto"/>
        <w:left w:val="none" w:sz="0" w:space="0" w:color="auto"/>
        <w:bottom w:val="none" w:sz="0" w:space="0" w:color="auto"/>
        <w:right w:val="none" w:sz="0" w:space="0" w:color="auto"/>
      </w:divBdr>
    </w:div>
    <w:div w:id="2040888814">
      <w:bodyDiv w:val="1"/>
      <w:marLeft w:val="0"/>
      <w:marRight w:val="0"/>
      <w:marTop w:val="0"/>
      <w:marBottom w:val="0"/>
      <w:divBdr>
        <w:top w:val="none" w:sz="0" w:space="0" w:color="auto"/>
        <w:left w:val="none" w:sz="0" w:space="0" w:color="auto"/>
        <w:bottom w:val="none" w:sz="0" w:space="0" w:color="auto"/>
        <w:right w:val="none" w:sz="0" w:space="0" w:color="auto"/>
      </w:divBdr>
    </w:div>
    <w:div w:id="2063209383">
      <w:bodyDiv w:val="1"/>
      <w:marLeft w:val="0"/>
      <w:marRight w:val="0"/>
      <w:marTop w:val="0"/>
      <w:marBottom w:val="0"/>
      <w:divBdr>
        <w:top w:val="none" w:sz="0" w:space="0" w:color="auto"/>
        <w:left w:val="none" w:sz="0" w:space="0" w:color="auto"/>
        <w:bottom w:val="none" w:sz="0" w:space="0" w:color="auto"/>
        <w:right w:val="none" w:sz="0" w:space="0" w:color="auto"/>
      </w:divBdr>
    </w:div>
    <w:div w:id="2068020546">
      <w:bodyDiv w:val="1"/>
      <w:marLeft w:val="0"/>
      <w:marRight w:val="0"/>
      <w:marTop w:val="0"/>
      <w:marBottom w:val="0"/>
      <w:divBdr>
        <w:top w:val="none" w:sz="0" w:space="0" w:color="auto"/>
        <w:left w:val="none" w:sz="0" w:space="0" w:color="auto"/>
        <w:bottom w:val="none" w:sz="0" w:space="0" w:color="auto"/>
        <w:right w:val="none" w:sz="0" w:space="0" w:color="auto"/>
      </w:divBdr>
    </w:div>
    <w:div w:id="2068140086">
      <w:bodyDiv w:val="1"/>
      <w:marLeft w:val="0"/>
      <w:marRight w:val="0"/>
      <w:marTop w:val="0"/>
      <w:marBottom w:val="0"/>
      <w:divBdr>
        <w:top w:val="none" w:sz="0" w:space="0" w:color="auto"/>
        <w:left w:val="none" w:sz="0" w:space="0" w:color="auto"/>
        <w:bottom w:val="none" w:sz="0" w:space="0" w:color="auto"/>
        <w:right w:val="none" w:sz="0" w:space="0" w:color="auto"/>
      </w:divBdr>
    </w:div>
    <w:div w:id="2079593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hyperlink" Target="https://esploradati.istat.it/" TargetMode="External"/><Relationship Id="rId21" Type="http://schemas.openxmlformats.org/officeDocument/2006/relationships/image" Target="media/image11.png"/><Relationship Id="rId34" Type="http://schemas.openxmlformats.org/officeDocument/2006/relationships/hyperlink" Target="https://www.istat.it/it/files/2011/04/dlgs322.pdf" TargetMode="External"/><Relationship Id="rId42" Type="http://schemas.openxmlformats.org/officeDocument/2006/relationships/hyperlink" Target="http://ec.europa.eu/eurostat/data/database%20"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yperlink" Target="http://eur-lex.europa.eu/legal-content/IT/TXT/?uri=CELEX%3A32016R0792" TargetMode="External"/><Relationship Id="rId37" Type="http://schemas.openxmlformats.org/officeDocument/2006/relationships/hyperlink" Target="https://www.istat.it/it/informazioni-e-servizi/per-i-giornalisti/appuntamenti/calendario-diffusioni-ed-eventi" TargetMode="External"/><Relationship Id="rId40" Type="http://schemas.openxmlformats.org/officeDocument/2006/relationships/hyperlink" Target="http://dati-congiuntura.istat.it/" TargetMode="Externa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yperlink" Target="http://www.istat.it/it/congiuntura" TargetMode="External"/><Relationship Id="rId28" Type="http://schemas.openxmlformats.org/officeDocument/2006/relationships/header" Target="header3.xml"/><Relationship Id="rId36"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image" Target="media/image9.png"/><Relationship Id="rId31" Type="http://schemas.openxmlformats.org/officeDocument/2006/relationships/header" Target="header4.xml"/><Relationship Id="rId44" Type="http://schemas.openxmlformats.org/officeDocument/2006/relationships/hyperlink" Target="mailto:alessandro.brunetti@istat.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s://esploradati.istat.it/" TargetMode="External"/><Relationship Id="rId27" Type="http://schemas.openxmlformats.org/officeDocument/2006/relationships/image" Target="media/image15.png"/><Relationship Id="rId30" Type="http://schemas.openxmlformats.org/officeDocument/2006/relationships/hyperlink" Target="http://ec.europa.eu/eurostat/ramon/nomenclatures/index.cfm?TargetUrl=DSP_GEN_DESC_VIEW_NOHDR&amp;StrNom=COICOP_5&amp;StrLanguageCode=EN" TargetMode="External"/><Relationship Id="rId35" Type="http://schemas.openxmlformats.org/officeDocument/2006/relationships/hyperlink" Target="http://www.istat.it/it/congiuntura/revisioni" TargetMode="External"/><Relationship Id="rId43" Type="http://schemas.openxmlformats.org/officeDocument/2006/relationships/hyperlink" Target="mailto:manuela.morricone@istat.it"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33" Type="http://schemas.openxmlformats.org/officeDocument/2006/relationships/hyperlink" Target="https://eur-lex.europa.eu/legal-content/IT/TXT/?uri=CELEX:32020R1148" TargetMode="External"/><Relationship Id="rId38" Type="http://schemas.openxmlformats.org/officeDocument/2006/relationships/hyperlink" Target="https://www.istat.it/it/archivio/prezzi+al+consumo" TargetMode="External"/><Relationship Id="rId46"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hyperlink" Target="http://seriestoriche.istat.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6.jpeg"/></Relationships>
</file>

<file path=word/_rels/footnotes.xml.rels><?xml version="1.0" encoding="UTF-8" standalone="yes"?>
<Relationships xmlns="http://schemas.openxmlformats.org/package/2006/relationships"><Relationship Id="rId3" Type="http://schemas.openxmlformats.org/officeDocument/2006/relationships/hyperlink" Target="http://dati.istat.it/" TargetMode="External"/><Relationship Id="rId2" Type="http://schemas.openxmlformats.org/officeDocument/2006/relationships/hyperlink" Target="http://ec.europa.eu/eurostat/documents/3859598/5926625/KS-RA-13-017-EN.PDF/59eb2c1c-da1f-472c-b191-3d0c76521f9b?version=1.0" TargetMode="External"/><Relationship Id="rId1" Type="http://schemas.openxmlformats.org/officeDocument/2006/relationships/hyperlink" Target="http://ec.europa.eu/eurostat/ramon/nomenclatures/index.cfm?TargetUrl=LST_NOM_DTL&amp;StrNom=HICP_2000&amp;StrLanguageCode=EN&amp;IntPcKey=&amp;StrLayout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file:///G:\Users\enzalucia.vaccaro\My%20Documents\TESTATINE\ufficiostampa@istat.it" TargetMode="External"/><Relationship Id="rId7" Type="http://schemas.openxmlformats.org/officeDocument/2006/relationships/image" Target="media/image12.png"/><Relationship Id="rId2" Type="http://schemas.openxmlformats.org/officeDocument/2006/relationships/hyperlink" Target="https://contact.istat.it/s/?language=it" TargetMode="External"/><Relationship Id="rId1" Type="http://schemas.openxmlformats.org/officeDocument/2006/relationships/hyperlink" Target="http://www.istat.it" TargetMode="External"/><Relationship Id="rId6" Type="http://schemas.openxmlformats.org/officeDocument/2006/relationships/hyperlink" Target="file:///G:\Users\enzalucia.vaccaro\My%20Documents\TESTATINE\ufficiostampa@istat.it" TargetMode="External"/><Relationship Id="rId5" Type="http://schemas.openxmlformats.org/officeDocument/2006/relationships/hyperlink" Target="https://contact.istat.it/s/?language=it" TargetMode="External"/><Relationship Id="rId4" Type="http://schemas.openxmlformats.org/officeDocument/2006/relationships/hyperlink" Target="http://www.ista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header4.xml.rels><?xml version="1.0" encoding="UTF-8" standalone="yes"?>
<Relationships xmlns="http://schemas.openxmlformats.org/package/2006/relationships"><Relationship Id="rId1" Type="http://schemas.openxmlformats.org/officeDocument/2006/relationships/image" Target="media/image17.png"/></Relationships>
</file>

<file path=word/_rels/header5.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886d22a-1eb9-406b-961e-e52bb60f5915" xsi:nil="true"/>
    <_dlc_DocIdUrl xmlns="2886d22a-1eb9-406b-961e-e52bb60f5915">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Nota o comunicato" ma:contentTypeID="0x010100B795A82E90F7744F8BBD5BCEA1E47B9D00412BB8B24175FB4599016A296A388103" ma:contentTypeVersion="2" ma:contentTypeDescription="" ma:contentTypeScope="" ma:versionID="fef993d87c238cc71779350178681a56">
  <xsd:schema xmlns:xsd="http://www.w3.org/2001/XMLSchema" xmlns:xs="http://www.w3.org/2001/XMLSchema" xmlns:p="http://schemas.microsoft.com/office/2006/metadata/properties" xmlns:ns2="2886d22a-1eb9-406b-961e-e52bb60f5915" targetNamespace="http://schemas.microsoft.com/office/2006/metadata/properties" ma:root="true" ma:fieldsID="6a986a9c8108b3d7a67e5da413ff238a" ns2:_="">
    <xsd:import namespace="2886d22a-1eb9-406b-961e-e52bb60f59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6d22a-1eb9-406b-961e-e52bb60f5915"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3AF1E-A2A9-4EA0-8AB3-6C89D8C1FDC6}">
  <ds:schemaRefs>
    <ds:schemaRef ds:uri="http://schemas.microsoft.com/sharepoint/v3/contenttype/forms"/>
  </ds:schemaRefs>
</ds:datastoreItem>
</file>

<file path=customXml/itemProps2.xml><?xml version="1.0" encoding="utf-8"?>
<ds:datastoreItem xmlns:ds="http://schemas.openxmlformats.org/officeDocument/2006/customXml" ds:itemID="{895A818C-DDC1-42DD-B617-058F19D5343F}">
  <ds:schemaRefs>
    <ds:schemaRef ds:uri="http://schemas.microsoft.com/sharepoint/events"/>
  </ds:schemaRefs>
</ds:datastoreItem>
</file>

<file path=customXml/itemProps3.xml><?xml version="1.0" encoding="utf-8"?>
<ds:datastoreItem xmlns:ds="http://schemas.openxmlformats.org/officeDocument/2006/customXml" ds:itemID="{9ABA1FE9-F373-477D-AEF6-6C95730012D1}">
  <ds:schemaRefs>
    <ds:schemaRef ds:uri="http://schemas.microsoft.com/office/2006/metadata/properties"/>
    <ds:schemaRef ds:uri="http://schemas.microsoft.com/office/infopath/2007/PartnerControls"/>
    <ds:schemaRef ds:uri="2886d22a-1eb9-406b-961e-e52bb60f5915"/>
  </ds:schemaRefs>
</ds:datastoreItem>
</file>

<file path=customXml/itemProps4.xml><?xml version="1.0" encoding="utf-8"?>
<ds:datastoreItem xmlns:ds="http://schemas.openxmlformats.org/officeDocument/2006/customXml" ds:itemID="{86E03142-7A50-4C8E-AB71-7CC44E5E7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6d22a-1eb9-406b-961e-e52bb60f5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045F3A-3E66-4D3A-A2E4-D3D7D361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9014</Words>
  <Characters>51381</Characters>
  <Application>Microsoft Office Word</Application>
  <DocSecurity>0</DocSecurity>
  <Lines>428</Lines>
  <Paragraphs>120</Paragraphs>
  <ScaleCrop>false</ScaleCrop>
  <HeadingPairs>
    <vt:vector size="2" baseType="variant">
      <vt:variant>
        <vt:lpstr>Titolo</vt:lpstr>
      </vt:variant>
      <vt:variant>
        <vt:i4>1</vt:i4>
      </vt:variant>
    </vt:vector>
  </HeadingPairs>
  <TitlesOfParts>
    <vt:vector size="1" baseType="lpstr">
      <vt:lpstr>Prezzi al consumo</vt:lpstr>
    </vt:vector>
  </TitlesOfParts>
  <Company>HP</Company>
  <LinksUpToDate>false</LinksUpToDate>
  <CharactersWithSpaces>60275</CharactersWithSpaces>
  <SharedDoc>false</SharedDoc>
  <HLinks>
    <vt:vector size="96" baseType="variant">
      <vt:variant>
        <vt:i4>7340157</vt:i4>
      </vt:variant>
      <vt:variant>
        <vt:i4>42</vt:i4>
      </vt:variant>
      <vt:variant>
        <vt:i4>0</vt:i4>
      </vt:variant>
      <vt:variant>
        <vt:i4>5</vt:i4>
      </vt:variant>
      <vt:variant>
        <vt:lpwstr>http://ec.europa.eu/eurostat/data/database</vt:lpwstr>
      </vt:variant>
      <vt:variant>
        <vt:lpwstr/>
      </vt:variant>
      <vt:variant>
        <vt:i4>6291582</vt:i4>
      </vt:variant>
      <vt:variant>
        <vt:i4>39</vt:i4>
      </vt:variant>
      <vt:variant>
        <vt:i4>0</vt:i4>
      </vt:variant>
      <vt:variant>
        <vt:i4>5</vt:i4>
      </vt:variant>
      <vt:variant>
        <vt:lpwstr>http://seriestoriche.istat.it/</vt:lpwstr>
      </vt:variant>
      <vt:variant>
        <vt:lpwstr/>
      </vt:variant>
      <vt:variant>
        <vt:i4>720927</vt:i4>
      </vt:variant>
      <vt:variant>
        <vt:i4>36</vt:i4>
      </vt:variant>
      <vt:variant>
        <vt:i4>0</vt:i4>
      </vt:variant>
      <vt:variant>
        <vt:i4>5</vt:i4>
      </vt:variant>
      <vt:variant>
        <vt:lpwstr>http://dati-congiuntura.istat.it/</vt:lpwstr>
      </vt:variant>
      <vt:variant>
        <vt:lpwstr/>
      </vt:variant>
      <vt:variant>
        <vt:i4>6094849</vt:i4>
      </vt:variant>
      <vt:variant>
        <vt:i4>33</vt:i4>
      </vt:variant>
      <vt:variant>
        <vt:i4>0</vt:i4>
      </vt:variant>
      <vt:variant>
        <vt:i4>5</vt:i4>
      </vt:variant>
      <vt:variant>
        <vt:lpwstr>http://dati.istat.it/</vt:lpwstr>
      </vt:variant>
      <vt:variant>
        <vt:lpwstr/>
      </vt:variant>
      <vt:variant>
        <vt:i4>2031702</vt:i4>
      </vt:variant>
      <vt:variant>
        <vt:i4>30</vt:i4>
      </vt:variant>
      <vt:variant>
        <vt:i4>0</vt:i4>
      </vt:variant>
      <vt:variant>
        <vt:i4>5</vt:i4>
      </vt:variant>
      <vt:variant>
        <vt:lpwstr>http://www.istat.it/it/prezzi</vt:lpwstr>
      </vt:variant>
      <vt:variant>
        <vt:lpwstr/>
      </vt:variant>
      <vt:variant>
        <vt:i4>7471162</vt:i4>
      </vt:variant>
      <vt:variant>
        <vt:i4>27</vt:i4>
      </vt:variant>
      <vt:variant>
        <vt:i4>0</vt:i4>
      </vt:variant>
      <vt:variant>
        <vt:i4>5</vt:i4>
      </vt:variant>
      <vt:variant>
        <vt:lpwstr>http://www.istat.it/it/informazioni/per-i-giornalisti/appuntamenti</vt:lpwstr>
      </vt:variant>
      <vt:variant>
        <vt:lpwstr/>
      </vt:variant>
      <vt:variant>
        <vt:i4>7733354</vt:i4>
      </vt:variant>
      <vt:variant>
        <vt:i4>24</vt:i4>
      </vt:variant>
      <vt:variant>
        <vt:i4>0</vt:i4>
      </vt:variant>
      <vt:variant>
        <vt:i4>5</vt:i4>
      </vt:variant>
      <vt:variant>
        <vt:lpwstr>http://www.istat.it/it/files/2016/07/scheda-PrezziAlConsumo.pdf</vt:lpwstr>
      </vt:variant>
      <vt:variant>
        <vt:lpwstr/>
      </vt:variant>
      <vt:variant>
        <vt:i4>7012425</vt:i4>
      </vt:variant>
      <vt:variant>
        <vt:i4>21</vt:i4>
      </vt:variant>
      <vt:variant>
        <vt:i4>0</vt:i4>
      </vt:variant>
      <vt:variant>
        <vt:i4>5</vt:i4>
      </vt:variant>
      <vt:variant>
        <vt:lpwstr>http://siqual.istat.it/SIQual/files/impo_reg330_2009_it.pdf?cod=13472&amp;tipo=2</vt:lpwstr>
      </vt:variant>
      <vt:variant>
        <vt:lpwstr/>
      </vt:variant>
      <vt:variant>
        <vt:i4>1704030</vt:i4>
      </vt:variant>
      <vt:variant>
        <vt:i4>18</vt:i4>
      </vt:variant>
      <vt:variant>
        <vt:i4>0</vt:i4>
      </vt:variant>
      <vt:variant>
        <vt:i4>5</vt:i4>
      </vt:variant>
      <vt:variant>
        <vt:lpwstr>http://eur-lex.europa.eu/legal-content/IT/TXT/?uri=CELEX%3A32016R0792</vt:lpwstr>
      </vt:variant>
      <vt:variant>
        <vt:lpwstr/>
      </vt:variant>
      <vt:variant>
        <vt:i4>1704030</vt:i4>
      </vt:variant>
      <vt:variant>
        <vt:i4>15</vt:i4>
      </vt:variant>
      <vt:variant>
        <vt:i4>0</vt:i4>
      </vt:variant>
      <vt:variant>
        <vt:i4>5</vt:i4>
      </vt:variant>
      <vt:variant>
        <vt:lpwstr>http://eur-lex.europa.eu/legal-content/IT/TXT/?uri=CELEX%3A32016R0792</vt:lpwstr>
      </vt:variant>
      <vt:variant>
        <vt:lpwstr/>
      </vt:variant>
      <vt:variant>
        <vt:i4>1835016</vt:i4>
      </vt:variant>
      <vt:variant>
        <vt:i4>12</vt:i4>
      </vt:variant>
      <vt:variant>
        <vt:i4>0</vt:i4>
      </vt:variant>
      <vt:variant>
        <vt:i4>5</vt:i4>
      </vt:variant>
      <vt:variant>
        <vt:lpwstr>https://www.istat.it/it/files/2011/04/dlgs322.pdf</vt:lpwstr>
      </vt:variant>
      <vt:variant>
        <vt:lpwstr/>
      </vt:variant>
      <vt:variant>
        <vt:i4>1704030</vt:i4>
      </vt:variant>
      <vt:variant>
        <vt:i4>9</vt:i4>
      </vt:variant>
      <vt:variant>
        <vt:i4>0</vt:i4>
      </vt:variant>
      <vt:variant>
        <vt:i4>5</vt:i4>
      </vt:variant>
      <vt:variant>
        <vt:lpwstr>http://eur-lex.europa.eu/legal-content/IT/TXT/?uri=CELEX%3A32016R0792</vt:lpwstr>
      </vt:variant>
      <vt:variant>
        <vt:lpwstr/>
      </vt:variant>
      <vt:variant>
        <vt:i4>524290</vt:i4>
      </vt:variant>
      <vt:variant>
        <vt:i4>0</vt:i4>
      </vt:variant>
      <vt:variant>
        <vt:i4>0</vt:i4>
      </vt:variant>
      <vt:variant>
        <vt:i4>5</vt:i4>
      </vt:variant>
      <vt:variant>
        <vt:lpwstr>dati.istat.it</vt:lpwstr>
      </vt:variant>
      <vt:variant>
        <vt:lpwstr/>
      </vt:variant>
      <vt:variant>
        <vt:i4>6094849</vt:i4>
      </vt:variant>
      <vt:variant>
        <vt:i4>6</vt:i4>
      </vt:variant>
      <vt:variant>
        <vt:i4>0</vt:i4>
      </vt:variant>
      <vt:variant>
        <vt:i4>5</vt:i4>
      </vt:variant>
      <vt:variant>
        <vt:lpwstr>http://dati.istat.it/</vt:lpwstr>
      </vt:variant>
      <vt:variant>
        <vt:lpwstr/>
      </vt:variant>
      <vt:variant>
        <vt:i4>6422641</vt:i4>
      </vt:variant>
      <vt:variant>
        <vt:i4>3</vt:i4>
      </vt:variant>
      <vt:variant>
        <vt:i4>0</vt:i4>
      </vt:variant>
      <vt:variant>
        <vt:i4>5</vt:i4>
      </vt:variant>
      <vt:variant>
        <vt:lpwstr>http://ec.europa.eu/eurostat/documents/3859598/5926625/KS-RA-13-017-EN.PDF/59eb2c1c-da1f-472c-b191-3d0c76521f9b?version=1.0</vt:lpwstr>
      </vt:variant>
      <vt:variant>
        <vt:lpwstr/>
      </vt:variant>
      <vt:variant>
        <vt:i4>5570613</vt:i4>
      </vt:variant>
      <vt:variant>
        <vt:i4>0</vt:i4>
      </vt:variant>
      <vt:variant>
        <vt:i4>0</vt:i4>
      </vt:variant>
      <vt:variant>
        <vt:i4>5</vt:i4>
      </vt:variant>
      <vt:variant>
        <vt:lpwstr>http://ec.europa.eu/eurostat/ramon/nomenclatures/index.cfm?TargetUrl=LST_NOM_DTL&amp;StrNom=HICP_2000&amp;StrLanguageCode=EN&amp;IntPcKey=&amp;StrLayoutCode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Prezzi al consumo</dc:title>
  <dc:subject/>
  <dc:creator>ISTAT</dc:creator>
  <cp:keywords/>
  <dc:description/>
  <cp:lastModifiedBy>Enza Lucia Rocca Agnese Vaccaro</cp:lastModifiedBy>
  <cp:revision>2</cp:revision>
  <cp:lastPrinted>2025-07-31T05:38:00Z</cp:lastPrinted>
  <dcterms:created xsi:type="dcterms:W3CDTF">2026-02-04T08:36:00Z</dcterms:created>
  <dcterms:modified xsi:type="dcterms:W3CDTF">2026-02-04T08:36:00Z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0x010100B795A82E90F7744F8BBD5BCEA1E47B9D00412BB8B24175FB4599016A296A388103</vt:lpwstr>
  </property>
  <property fmtid="{D5CDD505-2E9C-101B-9397-08002B2CF9AE}" pid="3" name="_dlc_DocIdItemGuid">
    <vt:lpwstr>6bb85586-540d-4d2b-9c4b-d21fc383fe5f</vt:lpwstr>
  </property>
</Properties>
</file>